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0EE1" w14:textId="77777777" w:rsidR="00000000" w:rsidRDefault="001F1B20">
      <w:pPr>
        <w:divId w:val="1305506849"/>
        <w:rPr>
          <w:rFonts w:eastAsia="Times New Roman"/>
          <w:vanish/>
        </w:rPr>
      </w:pPr>
      <w:r>
        <w:rPr>
          <w:rFonts w:eastAsia="Times New Roman"/>
          <w:vanish/>
        </w:rPr>
        <w:t>0.481.162.463.5573574000633030006794500061881000000001583107--12-312021Q3false73574000633030006794500061881000006432800064328000736980000.481.162.463.5540001583107tbph:PublicOfferingMember2021-06-292021-06-2900015831072021-06-292021-06-29</w:t>
      </w:r>
      <w:r>
        <w:rPr>
          <w:rFonts w:eastAsia="Times New Roman"/>
          <w:vanish/>
        </w:rPr>
        <w:t>0001583107us-gaap:RetainedEarningsMember2021-09-300001583107us-gaap:AdditionalPaidInCapitalMember2021-09-300001583107us-gaap:AccumulatedOtherComprehensiveIncomeMember2021-09-300001583107us-gaap:RetainedEarningsMember2021-06-300001583107us-gaap:AdditionalPa</w:t>
      </w:r>
      <w:r>
        <w:rPr>
          <w:rFonts w:eastAsia="Times New Roman"/>
          <w:vanish/>
        </w:rPr>
        <w:t>idInCapitalMember2021-06-300001583107us-gaap:AccumulatedOtherComprehensiveIncomeMember2021-06-3000015831072021-06-300001583107us-gaap:RetainedEarningsMember2020-12-310001583107us-gaap:AdditionalPaidInCapitalMember2020-12-310001583107us-gaap:AccumulatedOthe</w:t>
      </w:r>
      <w:r>
        <w:rPr>
          <w:rFonts w:eastAsia="Times New Roman"/>
          <w:vanish/>
        </w:rPr>
        <w:t>rComprehensiveIncomeMember2020-12-310001583107us-gaap:RetainedEarningsMember2020-09-300001583107us-gaap:AdditionalPaidInCapitalMember2020-09-300001583107us-gaap:AccumulatedOtherComprehensiveIncomeMember2020-09-300001583107us-gaap:RetainedEarningsMember2020</w:t>
      </w:r>
      <w:r>
        <w:rPr>
          <w:rFonts w:eastAsia="Times New Roman"/>
          <w:vanish/>
        </w:rPr>
        <w:t>-06-300001583107us-gaap:AdditionalPaidInCapitalMember2020-06-300001583107us-gaap:AccumulatedOtherComprehensiveIncomeMember2020-06-3000015831072020-06-300001583107us-gaap:RetainedEarningsMember2019-12-310001583107us-gaap:AdditionalPaidInCapitalMember2019-12</w:t>
      </w:r>
      <w:r>
        <w:rPr>
          <w:rFonts w:eastAsia="Times New Roman"/>
          <w:vanish/>
        </w:rPr>
        <w:t>-310001583107us-gaap:AccumulatedOtherComprehensiveIncomeMember2019-12-310001583107us-gaap:CommonStockMember2021-07-012021-09-300001583107us-gaap:CommonStockMember2021-01-012021-09-300001583107us-gaap:CommonStockMember2020-07-012020-09-300001583107us-gaap:C</w:t>
      </w:r>
      <w:r>
        <w:rPr>
          <w:rFonts w:eastAsia="Times New Roman"/>
          <w:vanish/>
        </w:rPr>
        <w:t>ommonStockMember2020-01-012020-09-3000015831072021-06-290001583107tbph:ViatrisMembertbph:NebulizedTD4208Member2016-12-310001583107us-gaap:RoyaltyMembertbph:TheravanceRespiratoryCompanyLlcMember2021-07-012021-09-300001583107tbph:CoPromoteAgreementMember2021</w:t>
      </w:r>
      <w:r>
        <w:rPr>
          <w:rFonts w:eastAsia="Times New Roman"/>
          <w:vanish/>
        </w:rPr>
        <w:t>-07-012021-09-300001583107tbph:ViatrisMembertbph:YupelriMonotherapyMembertbph:SalesMilestonesMember2021-01-012021-09-300001583107tbph:ViatrisMembertbph:YupelriMonotherapyMembertbph:RegulatoryActionsMember2021-01-012021-09-300001583107tbph:ViatrisMembertbph</w:t>
      </w:r>
      <w:r>
        <w:rPr>
          <w:rFonts w:eastAsia="Times New Roman"/>
          <w:vanish/>
        </w:rPr>
        <w:t>:YupelriMonotherapyMembertbph:DevelopmentAndCommercializationAgreementMember2021-01-012021-09-300001583107us-gaap:RoyaltyMembertbph:TheravanceRespiratoryCompanyLlcMember2021-01-012021-09-300001583107tbph:ViatrisMembertbph:SalesMilestonesMember2021-01-01202</w:t>
      </w:r>
      <w:r>
        <w:rPr>
          <w:rFonts w:eastAsia="Times New Roman"/>
          <w:vanish/>
        </w:rPr>
        <w:t>1-09-300001583107tbph:ViatrisMembertbph:NebulizedTD4208Member2021-01-012021-09-300001583107tbph:ViatrisMembertbph:FuturePotentialCombinationProductsMember2021-01-012021-09-300001583107tbph:CoPromoteAgreementMember2021-01-012021-09-300001583107us-gaap:Royal</w:t>
      </w:r>
      <w:r>
        <w:rPr>
          <w:rFonts w:eastAsia="Times New Roman"/>
          <w:vanish/>
        </w:rPr>
        <w:t>tyMembertbph:TheravanceRespiratoryCompanyLlcMember2020-07-012020-09-300001583107tbph:CoPromoteAgreementMember2020-07-012020-09-300001583107tbph:ViatrisMember2020-03-012020-03-310001583107us-gaap:RoyaltyMembertbph:TheravanceRespiratoryCompanyLlcMember2020-0</w:t>
      </w:r>
      <w:r>
        <w:rPr>
          <w:rFonts w:eastAsia="Times New Roman"/>
          <w:vanish/>
        </w:rPr>
        <w:t>1-012020-09-300001583107us-gaap:LicenseMember2020-01-012020-09-300001583107tbph:CoPromoteAgreementMember2020-01-012020-09-300001583107tbph:ViatrisMembertbph:FuturePotentialCombinationProductsMembertbph:DevelopmentAndSalesMilestonesMember2019-06-012019-06-3</w:t>
      </w:r>
      <w:r>
        <w:rPr>
          <w:rFonts w:eastAsia="Times New Roman"/>
          <w:vanish/>
        </w:rPr>
        <w:t>00001583107tbph:ViatrisMembertbph:YupelriMonotherapyMember2019-06-012019-06-300001583107tbph:ViatrisMembertbph:SalesMilestonesMember2019-06-012019-06-300001583107tbph:ViatrisMembertbph:FuturePotentialCombinationProductsMember2019-06-012019-06-300001583107s</w:t>
      </w:r>
      <w:r>
        <w:rPr>
          <w:rFonts w:eastAsia="Times New Roman"/>
          <w:vanish/>
        </w:rPr>
        <w:t>rt:MinimumMember2021-09-300001583107srt:MaximumMember2021-09-300001583107us-gaap:AccumulatedOtherComprehensiveIncomeMember2021-07-012021-09-300001583107us-gaap:AccumulatedOtherComprehensiveIncomeMember2021-01-012021-09-300001583107us-gaap:AccumulatedOtherC</w:t>
      </w:r>
      <w:r>
        <w:rPr>
          <w:rFonts w:eastAsia="Times New Roman"/>
          <w:vanish/>
        </w:rPr>
        <w:t>omprehensiveIncomeMember2020-07-012020-09-300001583107us-gaap:AccumulatedOtherComprehensiveIncomeMember2020-01-012020-09-300001583107us-gaap:RetainedEarningsMember2021-07-012021-09-300001583107us-gaap:RetainedEarningsMember2021-01-012021-09-300001583107us-</w:t>
      </w:r>
      <w:r>
        <w:rPr>
          <w:rFonts w:eastAsia="Times New Roman"/>
          <w:vanish/>
        </w:rPr>
        <w:t>gaap:RetainedEarningsMember2020-07-012020-09-300001583107tbph:TheravanceRespiratoryCompanyLlcMember2020-07-012020-09-300001583107us-gaap:RetainedEarningsMember2020-01-012020-09-300001583107tbph:TheravanceRespiratoryCompanyLlcMember2020-01-012020-09-3000015</w:t>
      </w:r>
      <w:r>
        <w:rPr>
          <w:rFonts w:eastAsia="Times New Roman"/>
          <w:vanish/>
        </w:rPr>
        <w:t>83107tbph:TheravanceRespiratoryCompanyLlcMember2021-07-012021-09-300001583107tbph:IssuerTwoClassCUnitsMember2020-02-210001583107tbph:TheravanceRespiratoryCompanyLlcMember2021-09-300001583107us-gaap:CorporateNoteSecuritiesMember2020-12-310001583107us-gaap:C</w:t>
      </w:r>
      <w:r>
        <w:rPr>
          <w:rFonts w:eastAsia="Times New Roman"/>
          <w:vanish/>
        </w:rPr>
        <w:t>ommercialPaperMember2020-12-310001583107tbph:TheravanceBiopharmaRAndDIncMembertbph:TermNotesDue2035Member2021-09-300001583107tbph:NonRecourseDebt2035Member2021-09-300001583107tbph:NonRecourseDebt2033Member2021-09-300001583107us-gaap:SeniorNotesMember2020-0</w:t>
      </w:r>
      <w:r>
        <w:rPr>
          <w:rFonts w:eastAsia="Times New Roman"/>
          <w:vanish/>
        </w:rPr>
        <w:t>9-300001583107us-gaap:SeniorNotesMember2021-09-300001583107tbph:ViatrisMember2019-06-012019-06-300001583107tbph:JanssenBiotechIncMember2021-09-300001583107us-gaap:CommonStockMember2021-09-300001583107us-gaap:CommonStockMember2021-06-300001583107us-gaap:Com</w:t>
      </w:r>
      <w:r>
        <w:rPr>
          <w:rFonts w:eastAsia="Times New Roman"/>
          <w:vanish/>
        </w:rPr>
        <w:t>monStockMember2020-12-310001583107us-gaap:CommonStockMember2020-09-300001583107us-gaap:CommonStockMember2020-06-300001583107us-gaap:CommonStockMember2019-12-3100015831072019-12-3100015831072020-09-300001583107us-gaap:FairValueInputsLevel1Memberus-gaap:USTr</w:t>
      </w:r>
      <w:r>
        <w:rPr>
          <w:rFonts w:eastAsia="Times New Roman"/>
          <w:vanish/>
        </w:rPr>
        <w:t>easuryAndGovernmentMember2021-09-300001583107us-gaap:FairValueInputsLevel1Memberus-gaap:MoneyMarketFundsMember2021-09-300001583107us-gaap:FairValueInputsLevel2Memberus-gaap:CorporateNoteSecuritiesMember2020-12-310001583107us-gaap:FairValueInputsLevel2Membe</w:t>
      </w:r>
      <w:r>
        <w:rPr>
          <w:rFonts w:eastAsia="Times New Roman"/>
          <w:vanish/>
        </w:rPr>
        <w:t>rus-gaap:CorporateNoteSecuritiesMember2021-09-300001583107us-gaap:FairValueInputsLevel2Memberus-gaap:CommercialPaperMember2021-09-300001583107tbph:MarketableSecuritiesMember2021-09-300001583107us-gaap:FairValueInputsLevel2Memberus-gaap:USGovernmentAgencies</w:t>
      </w:r>
      <w:r>
        <w:rPr>
          <w:rFonts w:eastAsia="Times New Roman"/>
          <w:vanish/>
        </w:rPr>
        <w:t>DebtSecuritiesMember2020-12-310001583107us-gaap:FairValueInputsLevel2Memberus-gaap:CommercialPaperMember2020-12-310001583107us-gaap:FairValueInputsLevel1Memberus-gaap:USTreasuryAndGovernmentMember2020-12-310001583107tbph:MarketableSecuritiesMember2020-12-3</w:t>
      </w:r>
      <w:r>
        <w:rPr>
          <w:rFonts w:eastAsia="Times New Roman"/>
          <w:vanish/>
        </w:rPr>
        <w:t>10001583107us-gaap:StockCompensationPlanMember2021-07-012021-09-300001583107us-gaap:ConvertibleSubordinatedDebtMember2021-07-012021-09-300001583107us-gaap:StockCompensationPlanMember2021-01-012021-09-300001583107us-gaap:ConvertibleSubordinatedDebtMember202</w:t>
      </w:r>
      <w:r>
        <w:rPr>
          <w:rFonts w:eastAsia="Times New Roman"/>
          <w:vanish/>
        </w:rPr>
        <w:t>1-01-012021-09-300001583107us-gaap:StockCompensationPlanMember2020-07-012020-09-300001583107us-gaap:ConvertibleSubordinatedDebtMember2020-07-012020-09-300001583107us-gaap:StockCompensationPlanMember2020-01-012020-09-300001583107us-gaap:ConvertibleSubordina</w:t>
      </w:r>
      <w:r>
        <w:rPr>
          <w:rFonts w:eastAsia="Times New Roman"/>
          <w:vanish/>
        </w:rPr>
        <w:t>tedDebtMember2020-01-012020-09-300001583107us-gaap:SellingGeneralAndAdministrativeExpensesMember2021-07-012021-09-300001583107us-gaap:ResearchAndDevelopmentExpenseMember2021-07-012021-09-300001583107tbph:EmployeePerformanceRestrictedStockUnitsRsuAndCashBon</w:t>
      </w:r>
      <w:r>
        <w:rPr>
          <w:rFonts w:eastAsia="Times New Roman"/>
          <w:vanish/>
        </w:rPr>
        <w:t>usMilestonesMember2021-07-012021-09-300001583107us-gaap:ScenarioPlanMembertbph:EmployeePerformanceRestrictedStockUnitsRsuAndCashBonusMilestonesMember2021-01-012021-09-300001583107us-gaap:SellingGeneralAndAdministrativeExpensesMember2021-01-012021-09-300001</w:t>
      </w:r>
      <w:r>
        <w:rPr>
          <w:rFonts w:eastAsia="Times New Roman"/>
          <w:vanish/>
        </w:rPr>
        <w:t>583107us-gaap:ResearchAndDevelopmentExpenseMember2021-01-012021-09-300001583107tbph:EmployeePerformanceRestrictedStockUnitsRsuAndCashBonusMilestonesMember2021-01-012021-09-300001583107us-gaap:SellingGeneralAndAdministrativeExpensesMember2020-07-012020-09-3</w:t>
      </w:r>
      <w:r>
        <w:rPr>
          <w:rFonts w:eastAsia="Times New Roman"/>
          <w:vanish/>
        </w:rPr>
        <w:t>00001583107us-gaap:ResearchAndDevelopmentExpenseMember2020-07-012020-09-300001583107tbph:EmployeePerformanceRestrictedStockUnitsRsuAndCashBonusMilestonesMember2020-07-012020-09-300001583107us-gaap:SellingGeneralAndAdministrativeExpensesMember2020-01-012020</w:t>
      </w:r>
      <w:r>
        <w:rPr>
          <w:rFonts w:eastAsia="Times New Roman"/>
          <w:vanish/>
        </w:rPr>
        <w:t>-09-300001583107us-gaap:ResearchAndDevelopmentExpenseMember2020-01-012020-09-300001583107tbph:EmployeePerformanceRestrictedStockUnitsRsuAndCashBonusMilestonesMember2020-01-012020-09-300001583107us-gaap:AdditionalPaidInCapitalMember2021-07-012021-09-3000015</w:t>
      </w:r>
      <w:r>
        <w:rPr>
          <w:rFonts w:eastAsia="Times New Roman"/>
          <w:vanish/>
        </w:rPr>
        <w:t>83107us-gaap:AdditionalPaidInCapitalMember2021-01-012021-09-300001583107us-gaap:AdditionalPaidInCapitalMember2020-07-012020-09-300001583107us-gaap:AdditionalPaidInCapitalMember2020-01-012020-09-3000015831072018-02-012018-02-280001583107srt:MinimumMembertbp</w:t>
      </w:r>
      <w:r>
        <w:rPr>
          <w:rFonts w:eastAsia="Times New Roman"/>
          <w:vanish/>
        </w:rPr>
        <w:t>h:TheravanceRespiratoryCompanyLlcMember2020-02-212020-02-210001583107srt:MaximumMembertbph:TheravanceRespiratoryCompanyLlcMember2020-02-212020-02-2100015831072021-09-152021-09-150001583107tbph:TermNotesDue2035Member2020-02-210001583107us-gaap:OverAllotment</w:t>
      </w:r>
      <w:r>
        <w:rPr>
          <w:rFonts w:eastAsia="Times New Roman"/>
          <w:vanish/>
        </w:rPr>
        <w:t>OptionMember2021-06-292021-06-290001583107tbph:ViatrisMembertbph:NebulizedTD4208Member2016-01-012016-12-3100015831072021-07-012021-07-310001583107tbph:TheravanceRespiratoryCompanyLlcMember2021-01-012021-09-300001583107tbph:TheravanceRespiratoryCompanyLlcMe</w:t>
      </w:r>
      <w:r>
        <w:rPr>
          <w:rFonts w:eastAsia="Times New Roman"/>
          <w:vanish/>
        </w:rPr>
        <w:t>mbertbph:IssuerTwoClassCUnitsMember2020-02-212020-02-210001583107tbph:TheravanceRespiratoryCompanyLlcMember2020-02-212020-02-210001583107tbph:TermNotesDue2035Member2021-09-300001583107tbph:YupelriMonotherapyMembertbph:CoPromoteAgreementMember2021-07-012021</w:t>
      </w:r>
      <w:r>
        <w:rPr>
          <w:rFonts w:eastAsia="Times New Roman"/>
          <w:vanish/>
        </w:rPr>
        <w:t>-09-300001583107tbph:OthersMember2021-07-012021-09-300001583107tbph:CoPromoteAgreementMember2021-07-012021-09-300001583107tbph:CollaborativeArrangementRevenueMember2021-07-012021-09-300001583107tbph:YupelriMonotherapyMembertbph:CoPromoteAgreementMember2021</w:t>
      </w:r>
      <w:r>
        <w:rPr>
          <w:rFonts w:eastAsia="Times New Roman"/>
          <w:vanish/>
        </w:rPr>
        <w:t>-01-012021-09-300001583107tbph:OthersMember2021-01-012021-09-300001583107tbph:CoPromoteAgreementMember2021-01-012021-09-300001583107tbph:CollaborativeArrangementRevenueMember2021-01-012021-09-300001583107tbph:YupelriMonotherapyMembertbph:CoPromoteAgreement</w:t>
      </w:r>
      <w:r>
        <w:rPr>
          <w:rFonts w:eastAsia="Times New Roman"/>
          <w:vanish/>
        </w:rPr>
        <w:t>Member2020-07-012020-09-300001583107tbph:OthersMember2020-07-012020-09-300001583107tbph:CoPromoteAgreementMember2020-07-012020-09-300001583107tbph:CollaborativeArrangementRevenueMember2020-07-012020-09-300001583107tbph:YupelriMonotherapyMembertbph:CoPromot</w:t>
      </w:r>
      <w:r>
        <w:rPr>
          <w:rFonts w:eastAsia="Times New Roman"/>
          <w:vanish/>
        </w:rPr>
        <w:t>eAgreementMember2020-01-012020-09-300001583107tbph:OthersMember2020-01-012020-09-300001583107tbph:CoPromoteAgreementMember2020-01-012020-09-300001583107tbph:CollaborativeArrangementRevenueMember2020-01-012020-09-300001583107tbph:ViatrisMember2021-07-012021</w:t>
      </w:r>
      <w:r>
        <w:rPr>
          <w:rFonts w:eastAsia="Times New Roman"/>
          <w:vanish/>
        </w:rPr>
        <w:t>-09-300001583107tbph:JanssenBiotechIncMember2021-07-012021-09-3000015831072021-07-012021-09-300001583107tbph:ViatrisMember2021-01-012021-09-300001583107tbph:ViatrisMember2020-07-012020-09-300001583107tbph:JanssenBiotechIncMember2020-07-012020-09-3000015831</w:t>
      </w:r>
      <w:r>
        <w:rPr>
          <w:rFonts w:eastAsia="Times New Roman"/>
          <w:vanish/>
        </w:rPr>
        <w:t>072020-07-012020-09-300001583107tbph:ViatrisMember2020-01-012020-09-300001583107tbph:JanssenBiotechIncMember2020-01-012020-09-300001583107tbph:JanssenBiotechIncMembertbph:IzencitinibMemberus-gaap:CollaborativeArrangementMember2018-02-012018-02-280001583107</w:t>
      </w:r>
      <w:r>
        <w:rPr>
          <w:rFonts w:eastAsia="Times New Roman"/>
          <w:vanish/>
        </w:rPr>
        <w:t>tbph:JanssenBiotechIncMember2021-01-012021-09-300001583107tbph:JanssenBiotechIncMemberus-gaap:CollaborativeArrangementMember2018-02-012018-02-280001583107tbph:JanssenBiotechIncMember2018-02-012018-02-2800015831072021-07-3100015831072020-01-012020-09-300001</w:t>
      </w:r>
      <w:r>
        <w:rPr>
          <w:rFonts w:eastAsia="Times New Roman"/>
          <w:vanish/>
        </w:rPr>
        <w:t>5831072021-09-3000015831072020-12-3100015831072021-10-2900015831072021-01-012021-09-30xbrli:sharesiso4217:USDutr:sqftxbrli:puretbph:buildingtbph:itemiso4217:USDxbrli:shares</w:t>
      </w:r>
    </w:p>
    <w:p w14:paraId="2C9E9F43" w14:textId="77777777" w:rsidR="00000000" w:rsidRDefault="001F1B20">
      <w:pPr>
        <w:pStyle w:val="a3"/>
        <w:spacing w:before="0" w:beforeAutospacing="0" w:after="120" w:afterAutospacing="0"/>
        <w:divId w:val="1149634655"/>
        <w:rPr>
          <w:sz w:val="20"/>
          <w:szCs w:val="20"/>
        </w:rPr>
      </w:pPr>
      <w:hyperlink w:anchor="TOC" w:history="1">
        <w:r>
          <w:rPr>
            <w:rStyle w:val="a4"/>
            <w:sz w:val="20"/>
            <w:szCs w:val="20"/>
          </w:rPr>
          <w:t>Table of Contents</w:t>
        </w:r>
      </w:hyperlink>
    </w:p>
    <w:p w14:paraId="5C5098CB" w14:textId="77777777" w:rsidR="00000000" w:rsidRDefault="001F1B20">
      <w:pPr>
        <w:pStyle w:val="a3"/>
        <w:pBdr>
          <w:top w:val="single" w:sz="24" w:space="1" w:color="000000"/>
          <w:bottom w:val="single" w:sz="8" w:space="1" w:color="000000"/>
        </w:pBdr>
        <w:spacing w:before="0" w:beforeAutospacing="0" w:after="0" w:afterAutospacing="0"/>
        <w:divId w:val="1885293552"/>
        <w:rPr>
          <w:sz w:val="20"/>
          <w:szCs w:val="20"/>
        </w:rPr>
      </w:pPr>
      <w:r>
        <w:rPr>
          <w:sz w:val="2"/>
          <w:szCs w:val="2"/>
        </w:rPr>
        <w:t>​</w:t>
      </w:r>
    </w:p>
    <w:p w14:paraId="1B027A37" w14:textId="77777777" w:rsidR="00000000" w:rsidRDefault="001F1B20">
      <w:pPr>
        <w:pStyle w:val="a3"/>
        <w:spacing w:before="0" w:beforeAutospacing="0" w:after="0" w:afterAutospacing="0"/>
        <w:divId w:val="1885293552"/>
        <w:rPr>
          <w:sz w:val="20"/>
          <w:szCs w:val="20"/>
        </w:rPr>
      </w:pPr>
      <w:r>
        <w:rPr>
          <w:sz w:val="10"/>
          <w:szCs w:val="10"/>
        </w:rPr>
        <w:t>​</w:t>
      </w:r>
    </w:p>
    <w:p w14:paraId="49175AFC" w14:textId="77777777" w:rsidR="00000000" w:rsidRDefault="001F1B20">
      <w:pPr>
        <w:pStyle w:val="a3"/>
        <w:spacing w:before="0" w:beforeAutospacing="0" w:after="0" w:afterAutospacing="0"/>
        <w:jc w:val="center"/>
        <w:divId w:val="1885293552"/>
        <w:rPr>
          <w:sz w:val="20"/>
          <w:szCs w:val="20"/>
        </w:rPr>
      </w:pPr>
      <w:r>
        <w:rPr>
          <w:b/>
          <w:bCs/>
          <w:sz w:val="34"/>
          <w:szCs w:val="34"/>
        </w:rPr>
        <w:t>UNITED STATES</w:t>
      </w:r>
    </w:p>
    <w:p w14:paraId="200A4892" w14:textId="77777777" w:rsidR="00000000" w:rsidRDefault="001F1B20">
      <w:pPr>
        <w:pStyle w:val="a3"/>
        <w:spacing w:before="0" w:beforeAutospacing="0" w:after="0" w:afterAutospacing="0"/>
        <w:jc w:val="center"/>
        <w:divId w:val="1885293552"/>
        <w:rPr>
          <w:sz w:val="20"/>
          <w:szCs w:val="20"/>
        </w:rPr>
      </w:pPr>
      <w:r>
        <w:rPr>
          <w:b/>
          <w:bCs/>
          <w:sz w:val="34"/>
          <w:szCs w:val="34"/>
        </w:rPr>
        <w:t>SECURITIES AND EXCHAN</w:t>
      </w:r>
      <w:r>
        <w:rPr>
          <w:b/>
          <w:bCs/>
          <w:sz w:val="34"/>
          <w:szCs w:val="34"/>
        </w:rPr>
        <w:t>GE COMMISSION</w:t>
      </w:r>
    </w:p>
    <w:p w14:paraId="458EC668" w14:textId="77777777" w:rsidR="00000000" w:rsidRDefault="001F1B20">
      <w:pPr>
        <w:pStyle w:val="a3"/>
        <w:spacing w:before="0" w:beforeAutospacing="0" w:after="0" w:afterAutospacing="0"/>
        <w:jc w:val="center"/>
        <w:divId w:val="1885293552"/>
        <w:rPr>
          <w:sz w:val="18"/>
          <w:szCs w:val="18"/>
        </w:rPr>
      </w:pPr>
      <w:r>
        <w:rPr>
          <w:b/>
          <w:bCs/>
          <w:sz w:val="18"/>
          <w:szCs w:val="18"/>
        </w:rPr>
        <w:t>Washington, D.C. 20549</w:t>
      </w:r>
    </w:p>
    <w:p w14:paraId="115E548F" w14:textId="77777777" w:rsidR="00000000" w:rsidRDefault="001F1B20">
      <w:pPr>
        <w:pStyle w:val="a3"/>
        <w:spacing w:before="0" w:beforeAutospacing="0" w:after="0" w:afterAutospacing="0"/>
        <w:jc w:val="center"/>
        <w:divId w:val="1885293552"/>
        <w:rPr>
          <w:sz w:val="20"/>
          <w:szCs w:val="20"/>
        </w:rPr>
      </w:pPr>
      <w:r>
        <w:rPr>
          <w:b/>
          <w:bCs/>
          <w:sz w:val="10"/>
          <w:szCs w:val="10"/>
        </w:rPr>
        <w:t>​</w:t>
      </w:r>
    </w:p>
    <w:p w14:paraId="6ADE9E14" w14:textId="77777777" w:rsidR="00000000" w:rsidRDefault="001F1B20">
      <w:pPr>
        <w:pStyle w:val="a3"/>
        <w:spacing w:before="0" w:beforeAutospacing="0" w:after="0" w:afterAutospacing="0"/>
        <w:jc w:val="center"/>
        <w:divId w:val="1885293552"/>
        <w:rPr>
          <w:sz w:val="34"/>
          <w:szCs w:val="34"/>
        </w:rPr>
      </w:pPr>
      <w:r>
        <w:rPr>
          <w:b/>
          <w:bCs/>
          <w:sz w:val="34"/>
          <w:szCs w:val="34"/>
        </w:rPr>
        <w:t>Form 10-Q</w:t>
      </w:r>
    </w:p>
    <w:p w14:paraId="796364F1" w14:textId="77777777" w:rsidR="00000000" w:rsidRDefault="001F1B20">
      <w:pPr>
        <w:pStyle w:val="a3"/>
        <w:spacing w:before="0" w:beforeAutospacing="0" w:after="0" w:afterAutospacing="0"/>
        <w:divId w:val="1885293552"/>
        <w:rPr>
          <w:sz w:val="20"/>
          <w:szCs w:val="20"/>
        </w:rPr>
      </w:pPr>
      <w:r>
        <w:rPr>
          <w:b/>
          <w:bCs/>
          <w:sz w:val="10"/>
          <w:szCs w:val="10"/>
        </w:rPr>
        <w:t>​</w:t>
      </w:r>
    </w:p>
    <w:p w14:paraId="75245F2B" w14:textId="77777777" w:rsidR="00000000" w:rsidRDefault="001F1B20">
      <w:pPr>
        <w:pStyle w:val="a3"/>
        <w:spacing w:before="0" w:beforeAutospacing="0" w:after="0" w:afterAutospacing="0"/>
        <w:divId w:val="1885293552"/>
        <w:rPr>
          <w:sz w:val="18"/>
          <w:szCs w:val="18"/>
        </w:rPr>
      </w:pPr>
      <w:r>
        <w:rPr>
          <w:b/>
          <w:bCs/>
          <w:sz w:val="18"/>
          <w:szCs w:val="18"/>
        </w:rPr>
        <w:t>(Mark One)</w:t>
      </w:r>
    </w:p>
    <w:p w14:paraId="0F63EAF0" w14:textId="77777777" w:rsidR="00000000" w:rsidRDefault="001F1B20">
      <w:pPr>
        <w:pStyle w:val="a3"/>
        <w:spacing w:before="0" w:beforeAutospacing="0" w:after="0" w:afterAutospacing="0"/>
        <w:ind w:left="360" w:hanging="360"/>
        <w:divId w:val="1885293552"/>
        <w:rPr>
          <w:sz w:val="20"/>
          <w:szCs w:val="20"/>
        </w:rPr>
      </w:pPr>
      <w:r>
        <w:rPr>
          <w:b/>
          <w:bCs/>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14:paraId="4CAD5774" w14:textId="77777777">
        <w:trPr>
          <w:divId w:val="1885293552"/>
        </w:trPr>
        <w:tc>
          <w:tcPr>
            <w:tcW w:w="360" w:type="dxa"/>
            <w:tcMar>
              <w:top w:w="0" w:type="dxa"/>
              <w:left w:w="0" w:type="dxa"/>
              <w:bottom w:w="0" w:type="dxa"/>
              <w:right w:w="0" w:type="dxa"/>
            </w:tcMar>
            <w:vAlign w:val="center"/>
            <w:hideMark/>
          </w:tcPr>
          <w:p w14:paraId="0738A579" w14:textId="77777777" w:rsidR="00000000" w:rsidRDefault="001F1B20">
            <w:pPr>
              <w:rPr>
                <w:sz w:val="20"/>
                <w:szCs w:val="20"/>
              </w:rPr>
            </w:pPr>
          </w:p>
        </w:tc>
        <w:tc>
          <w:tcPr>
            <w:tcW w:w="357" w:type="dxa"/>
            <w:noWrap/>
            <w:tcMar>
              <w:top w:w="0" w:type="dxa"/>
              <w:left w:w="0" w:type="dxa"/>
              <w:bottom w:w="0" w:type="dxa"/>
              <w:right w:w="0" w:type="dxa"/>
            </w:tcMar>
            <w:hideMark/>
          </w:tcPr>
          <w:p w14:paraId="2330D3D9" w14:textId="77777777" w:rsidR="00000000" w:rsidRDefault="001F1B20">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14:paraId="233BEAD9" w14:textId="77777777" w:rsidR="00000000" w:rsidRDefault="001F1B20">
            <w:pPr>
              <w:pStyle w:val="a3"/>
              <w:spacing w:before="0" w:beforeAutospacing="0" w:after="0" w:afterAutospacing="0"/>
              <w:rPr>
                <w:sz w:val="20"/>
                <w:szCs w:val="20"/>
              </w:rPr>
            </w:pPr>
            <w:r>
              <w:rPr>
                <w:b/>
                <w:bCs/>
                <w:sz w:val="18"/>
                <w:szCs w:val="18"/>
              </w:rPr>
              <w:t>QUARTERLY REPORT PURSUANT TO SECTION 13 OR 15(d) OF THE SECURITIES EXCHANGE ACT OF 1934</w:t>
            </w:r>
          </w:p>
        </w:tc>
      </w:tr>
    </w:tbl>
    <w:p w14:paraId="3100E811" w14:textId="77777777" w:rsidR="00000000" w:rsidRDefault="001F1B20">
      <w:pPr>
        <w:pStyle w:val="a3"/>
        <w:spacing w:before="0" w:beforeAutospacing="0" w:after="0" w:afterAutospacing="0"/>
        <w:jc w:val="center"/>
        <w:divId w:val="1885293552"/>
        <w:rPr>
          <w:sz w:val="20"/>
          <w:szCs w:val="20"/>
        </w:rPr>
      </w:pPr>
      <w:r>
        <w:rPr>
          <w:sz w:val="10"/>
          <w:szCs w:val="10"/>
        </w:rPr>
        <w:t>​</w:t>
      </w:r>
    </w:p>
    <w:p w14:paraId="0AD38F5F" w14:textId="77777777" w:rsidR="00000000" w:rsidRDefault="001F1B20">
      <w:pPr>
        <w:pStyle w:val="a3"/>
        <w:spacing w:before="0" w:beforeAutospacing="0" w:after="0" w:afterAutospacing="0"/>
        <w:jc w:val="center"/>
        <w:divId w:val="1885293552"/>
        <w:rPr>
          <w:sz w:val="20"/>
          <w:szCs w:val="20"/>
        </w:rPr>
      </w:pPr>
      <w:r>
        <w:rPr>
          <w:b/>
          <w:bCs/>
          <w:sz w:val="18"/>
          <w:szCs w:val="18"/>
        </w:rPr>
        <w:t>For the quarterly period ended September 30, 2021</w:t>
      </w:r>
    </w:p>
    <w:p w14:paraId="712FF604" w14:textId="77777777" w:rsidR="00000000" w:rsidRDefault="001F1B20">
      <w:pPr>
        <w:pStyle w:val="a3"/>
        <w:spacing w:before="0" w:beforeAutospacing="0" w:after="0" w:afterAutospacing="0"/>
        <w:jc w:val="center"/>
        <w:divId w:val="1885293552"/>
        <w:rPr>
          <w:sz w:val="20"/>
          <w:szCs w:val="20"/>
        </w:rPr>
      </w:pPr>
      <w:r>
        <w:rPr>
          <w:sz w:val="10"/>
          <w:szCs w:val="10"/>
        </w:rPr>
        <w:t>​</w:t>
      </w:r>
    </w:p>
    <w:p w14:paraId="57FDF4BB" w14:textId="77777777" w:rsidR="00000000" w:rsidRDefault="001F1B20">
      <w:pPr>
        <w:pStyle w:val="a3"/>
        <w:spacing w:before="0" w:beforeAutospacing="0" w:after="0" w:afterAutospacing="0"/>
        <w:jc w:val="center"/>
        <w:divId w:val="1885293552"/>
        <w:rPr>
          <w:sz w:val="18"/>
          <w:szCs w:val="18"/>
        </w:rPr>
      </w:pPr>
      <w:r>
        <w:rPr>
          <w:b/>
          <w:bCs/>
          <w:sz w:val="18"/>
          <w:szCs w:val="18"/>
        </w:rPr>
        <w:t>OR</w:t>
      </w:r>
    </w:p>
    <w:p w14:paraId="44A29EBF" w14:textId="77777777" w:rsidR="00000000" w:rsidRDefault="001F1B20">
      <w:pPr>
        <w:pStyle w:val="a3"/>
        <w:spacing w:before="0" w:beforeAutospacing="0" w:after="0" w:afterAutospacing="0"/>
        <w:jc w:val="center"/>
        <w:divId w:val="1885293552"/>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14:paraId="49F56A2F" w14:textId="77777777">
        <w:trPr>
          <w:divId w:val="1885293552"/>
        </w:trPr>
        <w:tc>
          <w:tcPr>
            <w:tcW w:w="360" w:type="dxa"/>
            <w:tcMar>
              <w:top w:w="0" w:type="dxa"/>
              <w:left w:w="0" w:type="dxa"/>
              <w:bottom w:w="0" w:type="dxa"/>
              <w:right w:w="0" w:type="dxa"/>
            </w:tcMar>
            <w:vAlign w:val="center"/>
            <w:hideMark/>
          </w:tcPr>
          <w:p w14:paraId="2DB0E60C" w14:textId="77777777" w:rsidR="00000000" w:rsidRDefault="001F1B20">
            <w:pPr>
              <w:rPr>
                <w:sz w:val="20"/>
                <w:szCs w:val="20"/>
              </w:rPr>
            </w:pPr>
          </w:p>
        </w:tc>
        <w:tc>
          <w:tcPr>
            <w:tcW w:w="359" w:type="dxa"/>
            <w:noWrap/>
            <w:tcMar>
              <w:top w:w="0" w:type="dxa"/>
              <w:left w:w="0" w:type="dxa"/>
              <w:bottom w:w="0" w:type="dxa"/>
              <w:right w:w="0" w:type="dxa"/>
            </w:tcMar>
            <w:hideMark/>
          </w:tcPr>
          <w:p w14:paraId="767619F8" w14:textId="77777777" w:rsidR="00000000" w:rsidRDefault="001F1B20">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14:paraId="2BCF4777" w14:textId="77777777" w:rsidR="00000000" w:rsidRDefault="001F1B20">
            <w:pPr>
              <w:pStyle w:val="a3"/>
              <w:spacing w:before="0" w:beforeAutospacing="0" w:after="0" w:afterAutospacing="0"/>
              <w:rPr>
                <w:sz w:val="20"/>
                <w:szCs w:val="20"/>
              </w:rPr>
            </w:pPr>
            <w:r>
              <w:rPr>
                <w:b/>
                <w:bCs/>
                <w:sz w:val="18"/>
                <w:szCs w:val="18"/>
              </w:rPr>
              <w:t>TRANSITION REPORT PURSUANT TO SECTION 13 OR 15(d) OF THE SECURITIES EXCHANGE ACT OF 1934</w:t>
            </w:r>
          </w:p>
        </w:tc>
      </w:tr>
    </w:tbl>
    <w:p w14:paraId="66F771A0" w14:textId="77777777" w:rsidR="00000000" w:rsidRDefault="001F1B20">
      <w:pPr>
        <w:pStyle w:val="a3"/>
        <w:spacing w:before="0" w:beforeAutospacing="0" w:after="0" w:afterAutospacing="0"/>
        <w:ind w:hanging="490"/>
        <w:jc w:val="center"/>
        <w:divId w:val="1885293552"/>
        <w:rPr>
          <w:sz w:val="20"/>
          <w:szCs w:val="20"/>
        </w:rPr>
      </w:pPr>
      <w:r>
        <w:rPr>
          <w:sz w:val="10"/>
          <w:szCs w:val="10"/>
        </w:rPr>
        <w:t>​</w:t>
      </w:r>
    </w:p>
    <w:p w14:paraId="3DCEFE30" w14:textId="77777777" w:rsidR="00000000" w:rsidRDefault="001F1B20">
      <w:pPr>
        <w:pStyle w:val="a3"/>
        <w:spacing w:before="0" w:beforeAutospacing="0" w:after="0" w:afterAutospacing="0"/>
        <w:jc w:val="center"/>
        <w:divId w:val="1885293552"/>
        <w:rPr>
          <w:sz w:val="18"/>
          <w:szCs w:val="18"/>
        </w:rPr>
      </w:pPr>
      <w:r>
        <w:rPr>
          <w:b/>
          <w:bCs/>
          <w:sz w:val="18"/>
          <w:szCs w:val="18"/>
        </w:rPr>
        <w:t>For the transition period from                  to</w:t>
      </w:r>
    </w:p>
    <w:p w14:paraId="48FA42F7" w14:textId="77777777" w:rsidR="00000000" w:rsidRDefault="001F1B20">
      <w:pPr>
        <w:pStyle w:val="a3"/>
        <w:spacing w:before="0" w:beforeAutospacing="0" w:after="0" w:afterAutospacing="0"/>
        <w:jc w:val="center"/>
        <w:divId w:val="1885293552"/>
        <w:rPr>
          <w:sz w:val="20"/>
          <w:szCs w:val="20"/>
        </w:rPr>
      </w:pPr>
      <w:r>
        <w:rPr>
          <w:sz w:val="10"/>
          <w:szCs w:val="10"/>
        </w:rPr>
        <w:t>​</w:t>
      </w:r>
    </w:p>
    <w:p w14:paraId="43E7DB2B" w14:textId="77777777" w:rsidR="00000000" w:rsidRDefault="001F1B20">
      <w:pPr>
        <w:pStyle w:val="a3"/>
        <w:spacing w:before="0" w:beforeAutospacing="0" w:after="0" w:afterAutospacing="0"/>
        <w:jc w:val="center"/>
        <w:divId w:val="1885293552"/>
        <w:rPr>
          <w:sz w:val="20"/>
          <w:szCs w:val="20"/>
        </w:rPr>
      </w:pPr>
      <w:r>
        <w:rPr>
          <w:b/>
          <w:bCs/>
          <w:sz w:val="18"/>
          <w:szCs w:val="18"/>
        </w:rPr>
        <w:t>Commission file number: 001-36033</w:t>
      </w:r>
    </w:p>
    <w:p w14:paraId="30CFC781" w14:textId="77777777" w:rsidR="00000000" w:rsidRDefault="001F1B20">
      <w:pPr>
        <w:pStyle w:val="a3"/>
        <w:spacing w:before="0" w:beforeAutospacing="0" w:after="0" w:afterAutospacing="0"/>
        <w:jc w:val="center"/>
        <w:divId w:val="1885293552"/>
        <w:rPr>
          <w:sz w:val="20"/>
          <w:szCs w:val="20"/>
        </w:rPr>
      </w:pPr>
      <w:r>
        <w:rPr>
          <w:sz w:val="10"/>
          <w:szCs w:val="10"/>
        </w:rPr>
        <w:t>​</w:t>
      </w:r>
    </w:p>
    <w:p w14:paraId="2E257343" w14:textId="77777777" w:rsidR="00000000" w:rsidRDefault="001F1B20">
      <w:pPr>
        <w:pStyle w:val="a3"/>
        <w:spacing w:before="0" w:beforeAutospacing="0" w:after="0" w:afterAutospacing="0"/>
        <w:jc w:val="center"/>
        <w:divId w:val="1885293552"/>
        <w:rPr>
          <w:sz w:val="34"/>
          <w:szCs w:val="34"/>
        </w:rPr>
      </w:pPr>
      <w:r>
        <w:rPr>
          <w:b/>
          <w:bCs/>
          <w:sz w:val="34"/>
          <w:szCs w:val="34"/>
        </w:rPr>
        <w:t>THERAVANCE BIOPHARMA, INC.</w:t>
      </w:r>
    </w:p>
    <w:p w14:paraId="6DC38B2F" w14:textId="77777777" w:rsidR="00000000" w:rsidRDefault="001F1B20">
      <w:pPr>
        <w:pStyle w:val="a3"/>
        <w:spacing w:before="0" w:beforeAutospacing="0" w:after="0" w:afterAutospacing="0"/>
        <w:jc w:val="center"/>
        <w:divId w:val="1885293552"/>
        <w:rPr>
          <w:sz w:val="18"/>
          <w:szCs w:val="18"/>
        </w:rPr>
      </w:pPr>
      <w:r>
        <w:rPr>
          <w:sz w:val="18"/>
          <w:szCs w:val="18"/>
        </w:rPr>
        <w:t>(Exact Name of Registrant as Specified in its Ch</w:t>
      </w:r>
      <w:r>
        <w:rPr>
          <w:sz w:val="18"/>
          <w:szCs w:val="18"/>
        </w:rPr>
        <w:t>arter)</w:t>
      </w:r>
    </w:p>
    <w:p w14:paraId="01BF6C9C" w14:textId="77777777" w:rsidR="00000000" w:rsidRDefault="001F1B20">
      <w:pPr>
        <w:pStyle w:val="a3"/>
        <w:spacing w:before="0" w:beforeAutospacing="0" w:after="0" w:afterAutospacing="0"/>
        <w:jc w:val="center"/>
        <w:divId w:val="1885293552"/>
        <w:rPr>
          <w:sz w:val="20"/>
          <w:szCs w:val="20"/>
        </w:rPr>
      </w:pPr>
      <w:r>
        <w:rPr>
          <w:sz w:val="10"/>
          <w:szCs w:val="10"/>
        </w:rPr>
        <w:t>​</w:t>
      </w:r>
    </w:p>
    <w:p w14:paraId="27B64AC1" w14:textId="77777777" w:rsidR="00000000" w:rsidRDefault="001F1B20">
      <w:pPr>
        <w:pStyle w:val="a3"/>
        <w:spacing w:before="0" w:beforeAutospacing="0" w:after="0" w:afterAutospacing="0"/>
        <w:divId w:val="1885293552"/>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14:paraId="6F5F7196" w14:textId="77777777">
        <w:trPr>
          <w:divId w:val="1885293552"/>
        </w:trPr>
        <w:tc>
          <w:tcPr>
            <w:tcW w:w="2449" w:type="pct"/>
            <w:tcMar>
              <w:top w:w="0" w:type="dxa"/>
              <w:left w:w="0" w:type="dxa"/>
              <w:bottom w:w="0" w:type="dxa"/>
              <w:right w:w="0" w:type="dxa"/>
            </w:tcMar>
            <w:hideMark/>
          </w:tcPr>
          <w:p w14:paraId="175E9CCB" w14:textId="77777777" w:rsidR="00000000" w:rsidRDefault="001F1B20">
            <w:pPr>
              <w:pStyle w:val="a3"/>
              <w:spacing w:before="0" w:beforeAutospacing="0" w:after="0" w:afterAutospacing="0"/>
              <w:rPr>
                <w:sz w:val="20"/>
                <w:szCs w:val="20"/>
              </w:rPr>
            </w:pPr>
            <w:r>
              <w:rPr>
                <w:sz w:val="2"/>
                <w:szCs w:val="2"/>
              </w:rPr>
              <w:t>​</w:t>
            </w:r>
          </w:p>
        </w:tc>
        <w:tc>
          <w:tcPr>
            <w:tcW w:w="100" w:type="pct"/>
            <w:tcMar>
              <w:top w:w="0" w:type="dxa"/>
              <w:left w:w="0" w:type="dxa"/>
              <w:bottom w:w="0" w:type="dxa"/>
              <w:right w:w="0" w:type="dxa"/>
            </w:tcMar>
            <w:vAlign w:val="bottom"/>
            <w:hideMark/>
          </w:tcPr>
          <w:p w14:paraId="23B1D796" w14:textId="77777777" w:rsidR="00000000" w:rsidRDefault="001F1B20">
            <w:pPr>
              <w:pStyle w:val="a3"/>
              <w:spacing w:before="0" w:beforeAutospacing="0" w:after="0" w:afterAutospacing="0"/>
              <w:rPr>
                <w:sz w:val="20"/>
                <w:szCs w:val="20"/>
              </w:rPr>
            </w:pPr>
            <w:r>
              <w:rPr>
                <w:sz w:val="2"/>
                <w:szCs w:val="2"/>
              </w:rPr>
              <w:t>​</w:t>
            </w:r>
          </w:p>
        </w:tc>
        <w:tc>
          <w:tcPr>
            <w:tcW w:w="2449" w:type="pct"/>
            <w:tcMar>
              <w:top w:w="0" w:type="dxa"/>
              <w:left w:w="0" w:type="dxa"/>
              <w:bottom w:w="0" w:type="dxa"/>
              <w:right w:w="0" w:type="dxa"/>
            </w:tcMar>
            <w:hideMark/>
          </w:tcPr>
          <w:p w14:paraId="78A86609" w14:textId="77777777" w:rsidR="00000000" w:rsidRDefault="001F1B20">
            <w:pPr>
              <w:pStyle w:val="a3"/>
              <w:spacing w:before="0" w:beforeAutospacing="0" w:after="0" w:afterAutospacing="0"/>
              <w:rPr>
                <w:sz w:val="20"/>
                <w:szCs w:val="20"/>
              </w:rPr>
            </w:pPr>
            <w:r>
              <w:rPr>
                <w:sz w:val="2"/>
                <w:szCs w:val="2"/>
              </w:rPr>
              <w:t>​</w:t>
            </w:r>
          </w:p>
        </w:tc>
      </w:tr>
      <w:tr w:rsidR="00000000" w14:paraId="672A14BE" w14:textId="77777777">
        <w:trPr>
          <w:divId w:val="1885293552"/>
        </w:trPr>
        <w:tc>
          <w:tcPr>
            <w:tcW w:w="2449" w:type="pct"/>
            <w:tcMar>
              <w:top w:w="0" w:type="dxa"/>
              <w:left w:w="0" w:type="dxa"/>
              <w:bottom w:w="0" w:type="dxa"/>
              <w:right w:w="0" w:type="dxa"/>
            </w:tcMar>
            <w:hideMark/>
          </w:tcPr>
          <w:p w14:paraId="3B956D52" w14:textId="77777777" w:rsidR="00000000" w:rsidRDefault="001F1B20">
            <w:pPr>
              <w:pStyle w:val="a3"/>
              <w:spacing w:before="0" w:beforeAutospacing="0" w:after="0" w:afterAutospacing="0"/>
              <w:ind w:hanging="200"/>
              <w:jc w:val="center"/>
              <w:rPr>
                <w:sz w:val="20"/>
                <w:szCs w:val="20"/>
              </w:rPr>
            </w:pPr>
            <w:r>
              <w:rPr>
                <w:b/>
                <w:bCs/>
                <w:sz w:val="18"/>
                <w:szCs w:val="18"/>
              </w:rPr>
              <w:t>Cayman Islands</w:t>
            </w:r>
          </w:p>
        </w:tc>
        <w:tc>
          <w:tcPr>
            <w:tcW w:w="100" w:type="pct"/>
            <w:tcMar>
              <w:top w:w="0" w:type="dxa"/>
              <w:left w:w="0" w:type="dxa"/>
              <w:bottom w:w="0" w:type="dxa"/>
              <w:right w:w="0" w:type="dxa"/>
            </w:tcMar>
            <w:vAlign w:val="bottom"/>
            <w:hideMark/>
          </w:tcPr>
          <w:p w14:paraId="6E8FB6EE" w14:textId="77777777" w:rsidR="00000000" w:rsidRDefault="001F1B20">
            <w:pPr>
              <w:pStyle w:val="a3"/>
              <w:spacing w:before="0" w:beforeAutospacing="0" w:after="0" w:afterAutospacing="0"/>
              <w:rPr>
                <w:sz w:val="18"/>
                <w:szCs w:val="18"/>
              </w:rPr>
            </w:pPr>
            <w:r>
              <w:rPr>
                <w:b/>
                <w:bCs/>
                <w:sz w:val="18"/>
                <w:szCs w:val="18"/>
              </w:rPr>
              <w:t>    </w:t>
            </w:r>
          </w:p>
        </w:tc>
        <w:tc>
          <w:tcPr>
            <w:tcW w:w="2449" w:type="pct"/>
            <w:tcMar>
              <w:top w:w="0" w:type="dxa"/>
              <w:left w:w="0" w:type="dxa"/>
              <w:bottom w:w="0" w:type="dxa"/>
              <w:right w:w="0" w:type="dxa"/>
            </w:tcMar>
            <w:hideMark/>
          </w:tcPr>
          <w:p w14:paraId="1A69C7FE" w14:textId="77777777" w:rsidR="00000000" w:rsidRDefault="001F1B20">
            <w:pPr>
              <w:pStyle w:val="a3"/>
              <w:spacing w:before="0" w:beforeAutospacing="0" w:after="0" w:afterAutospacing="0"/>
              <w:jc w:val="center"/>
              <w:rPr>
                <w:sz w:val="20"/>
                <w:szCs w:val="20"/>
              </w:rPr>
            </w:pPr>
            <w:r>
              <w:rPr>
                <w:b/>
                <w:bCs/>
                <w:sz w:val="18"/>
                <w:szCs w:val="18"/>
              </w:rPr>
              <w:t>98-1226628</w:t>
            </w:r>
          </w:p>
        </w:tc>
      </w:tr>
      <w:tr w:rsidR="00000000" w14:paraId="0FDCE6F9" w14:textId="77777777">
        <w:trPr>
          <w:divId w:val="1885293552"/>
        </w:trPr>
        <w:tc>
          <w:tcPr>
            <w:tcW w:w="2449" w:type="pct"/>
            <w:tcMar>
              <w:top w:w="0" w:type="dxa"/>
              <w:left w:w="0" w:type="dxa"/>
              <w:bottom w:w="0" w:type="dxa"/>
              <w:right w:w="0" w:type="dxa"/>
            </w:tcMar>
            <w:hideMark/>
          </w:tcPr>
          <w:p w14:paraId="546AA313" w14:textId="77777777" w:rsidR="00000000" w:rsidRDefault="001F1B20">
            <w:pPr>
              <w:pStyle w:val="a3"/>
              <w:spacing w:before="0" w:beforeAutospacing="0" w:after="0" w:afterAutospacing="0"/>
              <w:ind w:hanging="200"/>
              <w:jc w:val="center"/>
              <w:rPr>
                <w:sz w:val="18"/>
                <w:szCs w:val="18"/>
              </w:rPr>
            </w:pPr>
            <w:r>
              <w:rPr>
                <w:sz w:val="18"/>
                <w:szCs w:val="18"/>
              </w:rPr>
              <w:t>(State or Other Jurisdiction of</w:t>
            </w:r>
          </w:p>
        </w:tc>
        <w:tc>
          <w:tcPr>
            <w:tcW w:w="100" w:type="pct"/>
            <w:tcMar>
              <w:top w:w="0" w:type="dxa"/>
              <w:left w:w="0" w:type="dxa"/>
              <w:bottom w:w="0" w:type="dxa"/>
              <w:right w:w="0" w:type="dxa"/>
            </w:tcMar>
            <w:vAlign w:val="bottom"/>
            <w:hideMark/>
          </w:tcPr>
          <w:p w14:paraId="19FEF8E1" w14:textId="77777777" w:rsidR="00000000" w:rsidRDefault="001F1B20">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659E9592" w14:textId="77777777" w:rsidR="00000000" w:rsidRDefault="001F1B20">
            <w:pPr>
              <w:pStyle w:val="a3"/>
              <w:spacing w:before="0" w:beforeAutospacing="0" w:after="0" w:afterAutospacing="0"/>
              <w:jc w:val="center"/>
              <w:rPr>
                <w:sz w:val="18"/>
                <w:szCs w:val="18"/>
              </w:rPr>
            </w:pPr>
            <w:r>
              <w:rPr>
                <w:sz w:val="18"/>
                <w:szCs w:val="18"/>
              </w:rPr>
              <w:t>(I.R.S. Employer</w:t>
            </w:r>
          </w:p>
        </w:tc>
      </w:tr>
      <w:tr w:rsidR="00000000" w14:paraId="49B7DB00" w14:textId="77777777">
        <w:trPr>
          <w:divId w:val="1885293552"/>
        </w:trPr>
        <w:tc>
          <w:tcPr>
            <w:tcW w:w="2449" w:type="pct"/>
            <w:tcMar>
              <w:top w:w="0" w:type="dxa"/>
              <w:left w:w="0" w:type="dxa"/>
              <w:bottom w:w="0" w:type="dxa"/>
              <w:right w:w="0" w:type="dxa"/>
            </w:tcMar>
            <w:hideMark/>
          </w:tcPr>
          <w:p w14:paraId="28958546" w14:textId="77777777" w:rsidR="00000000" w:rsidRDefault="001F1B20">
            <w:pPr>
              <w:pStyle w:val="a3"/>
              <w:spacing w:before="0" w:beforeAutospacing="0" w:after="0" w:afterAutospacing="0"/>
              <w:ind w:hanging="200"/>
              <w:jc w:val="center"/>
              <w:rPr>
                <w:sz w:val="18"/>
                <w:szCs w:val="18"/>
              </w:rPr>
            </w:pPr>
            <w:r>
              <w:rPr>
                <w:sz w:val="18"/>
                <w:szCs w:val="18"/>
              </w:rPr>
              <w:t>Incorporation or Organization)</w:t>
            </w:r>
          </w:p>
        </w:tc>
        <w:tc>
          <w:tcPr>
            <w:tcW w:w="100" w:type="pct"/>
            <w:tcMar>
              <w:top w:w="0" w:type="dxa"/>
              <w:left w:w="0" w:type="dxa"/>
              <w:bottom w:w="0" w:type="dxa"/>
              <w:right w:w="0" w:type="dxa"/>
            </w:tcMar>
            <w:vAlign w:val="bottom"/>
            <w:hideMark/>
          </w:tcPr>
          <w:p w14:paraId="0B26855B" w14:textId="77777777" w:rsidR="00000000" w:rsidRDefault="001F1B20">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5FD6AD01" w14:textId="77777777" w:rsidR="00000000" w:rsidRDefault="001F1B20">
            <w:pPr>
              <w:pStyle w:val="a3"/>
              <w:spacing w:before="0" w:beforeAutospacing="0" w:after="0" w:afterAutospacing="0"/>
              <w:jc w:val="center"/>
              <w:rPr>
                <w:sz w:val="18"/>
                <w:szCs w:val="18"/>
              </w:rPr>
            </w:pPr>
            <w:r>
              <w:rPr>
                <w:sz w:val="18"/>
                <w:szCs w:val="18"/>
              </w:rPr>
              <w:t>Identification No.)</w:t>
            </w:r>
          </w:p>
        </w:tc>
      </w:tr>
      <w:tr w:rsidR="00000000" w14:paraId="0764BF03" w14:textId="77777777">
        <w:trPr>
          <w:divId w:val="1885293552"/>
        </w:trPr>
        <w:tc>
          <w:tcPr>
            <w:tcW w:w="2449" w:type="pct"/>
            <w:tcMar>
              <w:top w:w="0" w:type="dxa"/>
              <w:left w:w="0" w:type="dxa"/>
              <w:bottom w:w="0" w:type="dxa"/>
              <w:right w:w="0" w:type="dxa"/>
            </w:tcMar>
            <w:hideMark/>
          </w:tcPr>
          <w:p w14:paraId="2D596E76" w14:textId="77777777" w:rsidR="00000000" w:rsidRDefault="001F1B20">
            <w:pPr>
              <w:pStyle w:val="a3"/>
              <w:spacing w:before="0" w:beforeAutospacing="0" w:after="0" w:afterAutospacing="0"/>
              <w:ind w:hanging="200"/>
              <w:jc w:val="center"/>
              <w:rPr>
                <w:sz w:val="20"/>
                <w:szCs w:val="20"/>
              </w:rPr>
            </w:pPr>
            <w:r>
              <w:rPr>
                <w:sz w:val="10"/>
                <w:szCs w:val="10"/>
              </w:rPr>
              <w:t>​</w:t>
            </w:r>
          </w:p>
        </w:tc>
        <w:tc>
          <w:tcPr>
            <w:tcW w:w="100" w:type="pct"/>
            <w:tcMar>
              <w:top w:w="0" w:type="dxa"/>
              <w:left w:w="0" w:type="dxa"/>
              <w:bottom w:w="0" w:type="dxa"/>
              <w:right w:w="0" w:type="dxa"/>
            </w:tcMar>
            <w:vAlign w:val="bottom"/>
            <w:hideMark/>
          </w:tcPr>
          <w:p w14:paraId="5AEF6814" w14:textId="77777777" w:rsidR="00000000" w:rsidRDefault="001F1B20">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14:paraId="2D789E7C" w14:textId="77777777" w:rsidR="00000000" w:rsidRDefault="001F1B20">
            <w:pPr>
              <w:pStyle w:val="a3"/>
              <w:spacing w:before="0" w:beforeAutospacing="0" w:after="0" w:afterAutospacing="0"/>
              <w:jc w:val="center"/>
              <w:rPr>
                <w:sz w:val="20"/>
                <w:szCs w:val="20"/>
              </w:rPr>
            </w:pPr>
            <w:r>
              <w:rPr>
                <w:sz w:val="10"/>
                <w:szCs w:val="10"/>
              </w:rPr>
              <w:t>​</w:t>
            </w:r>
          </w:p>
        </w:tc>
      </w:tr>
      <w:tr w:rsidR="00000000" w14:paraId="01B7C948" w14:textId="77777777">
        <w:trPr>
          <w:divId w:val="1885293552"/>
        </w:trPr>
        <w:tc>
          <w:tcPr>
            <w:tcW w:w="2449" w:type="pct"/>
            <w:tcMar>
              <w:top w:w="0" w:type="dxa"/>
              <w:left w:w="0" w:type="dxa"/>
              <w:bottom w:w="0" w:type="dxa"/>
              <w:right w:w="0" w:type="dxa"/>
            </w:tcMar>
            <w:hideMark/>
          </w:tcPr>
          <w:p w14:paraId="3F007FE6" w14:textId="77777777" w:rsidR="00000000" w:rsidRDefault="001F1B20">
            <w:pPr>
              <w:pStyle w:val="a3"/>
              <w:spacing w:before="0" w:beforeAutospacing="0" w:after="0" w:afterAutospacing="0"/>
              <w:ind w:hanging="200"/>
              <w:jc w:val="center"/>
              <w:rPr>
                <w:sz w:val="20"/>
                <w:szCs w:val="20"/>
              </w:rPr>
            </w:pPr>
            <w:r>
              <w:rPr>
                <w:b/>
                <w:bCs/>
                <w:sz w:val="18"/>
                <w:szCs w:val="18"/>
              </w:rPr>
              <w:t>PO Box 309</w:t>
            </w:r>
          </w:p>
        </w:tc>
        <w:tc>
          <w:tcPr>
            <w:tcW w:w="100" w:type="pct"/>
            <w:tcMar>
              <w:top w:w="0" w:type="dxa"/>
              <w:left w:w="0" w:type="dxa"/>
              <w:bottom w:w="0" w:type="dxa"/>
              <w:right w:w="0" w:type="dxa"/>
            </w:tcMar>
            <w:vAlign w:val="bottom"/>
            <w:hideMark/>
          </w:tcPr>
          <w:p w14:paraId="11378209" w14:textId="77777777" w:rsidR="00000000" w:rsidRDefault="001F1B20">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198440D4" w14:textId="77777777" w:rsidR="00000000" w:rsidRDefault="001F1B20">
            <w:pPr>
              <w:pStyle w:val="a3"/>
              <w:spacing w:before="0" w:beforeAutospacing="0" w:after="0" w:afterAutospacing="0"/>
              <w:jc w:val="center"/>
              <w:rPr>
                <w:sz w:val="20"/>
                <w:szCs w:val="20"/>
              </w:rPr>
            </w:pPr>
            <w:r>
              <w:rPr>
                <w:sz w:val="18"/>
                <w:szCs w:val="18"/>
              </w:rPr>
              <w:t>​</w:t>
            </w:r>
          </w:p>
        </w:tc>
      </w:tr>
      <w:tr w:rsidR="00000000" w14:paraId="617B5C96" w14:textId="77777777">
        <w:trPr>
          <w:divId w:val="1885293552"/>
        </w:trPr>
        <w:tc>
          <w:tcPr>
            <w:tcW w:w="2449" w:type="pct"/>
            <w:tcMar>
              <w:top w:w="0" w:type="dxa"/>
              <w:left w:w="0" w:type="dxa"/>
              <w:bottom w:w="0" w:type="dxa"/>
              <w:right w:w="0" w:type="dxa"/>
            </w:tcMar>
            <w:hideMark/>
          </w:tcPr>
          <w:p w14:paraId="02B16E7B" w14:textId="77777777" w:rsidR="00000000" w:rsidRDefault="001F1B20">
            <w:pPr>
              <w:pStyle w:val="a3"/>
              <w:spacing w:before="0" w:beforeAutospacing="0" w:after="0" w:afterAutospacing="0"/>
              <w:ind w:hanging="200"/>
              <w:jc w:val="center"/>
              <w:rPr>
                <w:sz w:val="20"/>
                <w:szCs w:val="20"/>
              </w:rPr>
            </w:pPr>
            <w:r>
              <w:rPr>
                <w:b/>
                <w:bCs/>
                <w:sz w:val="18"/>
                <w:szCs w:val="18"/>
              </w:rPr>
              <w:t>Ugland House, South Church Street</w:t>
            </w:r>
          </w:p>
        </w:tc>
        <w:tc>
          <w:tcPr>
            <w:tcW w:w="100" w:type="pct"/>
            <w:tcMar>
              <w:top w:w="0" w:type="dxa"/>
              <w:left w:w="0" w:type="dxa"/>
              <w:bottom w:w="0" w:type="dxa"/>
              <w:right w:w="0" w:type="dxa"/>
            </w:tcMar>
            <w:vAlign w:val="bottom"/>
            <w:hideMark/>
          </w:tcPr>
          <w:p w14:paraId="6BE81550" w14:textId="77777777" w:rsidR="00000000" w:rsidRDefault="001F1B20">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14:paraId="41868A7B" w14:textId="77777777" w:rsidR="00000000" w:rsidRDefault="001F1B20">
            <w:pPr>
              <w:pStyle w:val="a3"/>
              <w:spacing w:before="0" w:beforeAutospacing="0" w:after="0" w:afterAutospacing="0"/>
              <w:jc w:val="center"/>
              <w:rPr>
                <w:sz w:val="20"/>
                <w:szCs w:val="20"/>
              </w:rPr>
            </w:pPr>
            <w:r>
              <w:rPr>
                <w:b/>
                <w:bCs/>
                <w:sz w:val="18"/>
                <w:szCs w:val="18"/>
              </w:rPr>
              <w:t>​</w:t>
            </w:r>
          </w:p>
        </w:tc>
      </w:tr>
      <w:tr w:rsidR="00000000" w14:paraId="30D5B59D" w14:textId="77777777">
        <w:trPr>
          <w:divId w:val="1885293552"/>
        </w:trPr>
        <w:tc>
          <w:tcPr>
            <w:tcW w:w="2449" w:type="pct"/>
            <w:tcMar>
              <w:top w:w="0" w:type="dxa"/>
              <w:left w:w="0" w:type="dxa"/>
              <w:bottom w:w="0" w:type="dxa"/>
              <w:right w:w="0" w:type="dxa"/>
            </w:tcMar>
            <w:hideMark/>
          </w:tcPr>
          <w:p w14:paraId="549BC068" w14:textId="77777777" w:rsidR="00000000" w:rsidRDefault="001F1B20">
            <w:pPr>
              <w:pStyle w:val="a3"/>
              <w:spacing w:before="0" w:beforeAutospacing="0" w:after="0" w:afterAutospacing="0"/>
              <w:ind w:hanging="200"/>
              <w:jc w:val="center"/>
              <w:rPr>
                <w:sz w:val="20"/>
                <w:szCs w:val="20"/>
              </w:rPr>
            </w:pPr>
            <w:r>
              <w:rPr>
                <w:b/>
                <w:bCs/>
                <w:sz w:val="18"/>
                <w:szCs w:val="18"/>
              </w:rPr>
              <w:t>George Town, Grand Cayman, Cayman Islands</w:t>
            </w:r>
          </w:p>
        </w:tc>
        <w:tc>
          <w:tcPr>
            <w:tcW w:w="100" w:type="pct"/>
            <w:tcMar>
              <w:top w:w="0" w:type="dxa"/>
              <w:left w:w="0" w:type="dxa"/>
              <w:bottom w:w="0" w:type="dxa"/>
              <w:right w:w="0" w:type="dxa"/>
            </w:tcMar>
            <w:vAlign w:val="bottom"/>
            <w:hideMark/>
          </w:tcPr>
          <w:p w14:paraId="76312E6B" w14:textId="77777777" w:rsidR="00000000" w:rsidRDefault="001F1B20">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14:paraId="57CEBA80" w14:textId="77777777" w:rsidR="00000000" w:rsidRDefault="001F1B20">
            <w:pPr>
              <w:pStyle w:val="a3"/>
              <w:spacing w:before="0" w:beforeAutospacing="0" w:after="0" w:afterAutospacing="0"/>
              <w:jc w:val="center"/>
              <w:rPr>
                <w:sz w:val="20"/>
                <w:szCs w:val="20"/>
              </w:rPr>
            </w:pPr>
            <w:r>
              <w:rPr>
                <w:b/>
                <w:bCs/>
                <w:sz w:val="18"/>
                <w:szCs w:val="18"/>
              </w:rPr>
              <w:t>KY1-1104</w:t>
            </w:r>
          </w:p>
        </w:tc>
      </w:tr>
      <w:tr w:rsidR="00000000" w14:paraId="7AE28B09" w14:textId="77777777">
        <w:trPr>
          <w:divId w:val="1885293552"/>
        </w:trPr>
        <w:tc>
          <w:tcPr>
            <w:tcW w:w="2449" w:type="pct"/>
            <w:tcMar>
              <w:top w:w="0" w:type="dxa"/>
              <w:left w:w="0" w:type="dxa"/>
              <w:bottom w:w="0" w:type="dxa"/>
              <w:right w:w="0" w:type="dxa"/>
            </w:tcMar>
            <w:hideMark/>
          </w:tcPr>
          <w:p w14:paraId="11A51E35" w14:textId="77777777" w:rsidR="00000000" w:rsidRDefault="001F1B20">
            <w:pPr>
              <w:pStyle w:val="a3"/>
              <w:spacing w:before="0" w:beforeAutospacing="0" w:after="0" w:afterAutospacing="0"/>
              <w:ind w:hanging="200"/>
              <w:jc w:val="center"/>
              <w:rPr>
                <w:sz w:val="18"/>
                <w:szCs w:val="18"/>
              </w:rPr>
            </w:pPr>
            <w:r>
              <w:rPr>
                <w:sz w:val="18"/>
                <w:szCs w:val="18"/>
              </w:rPr>
              <w:t>(Address of Principal Executive Offices)</w:t>
            </w:r>
          </w:p>
        </w:tc>
        <w:tc>
          <w:tcPr>
            <w:tcW w:w="100" w:type="pct"/>
            <w:tcMar>
              <w:top w:w="0" w:type="dxa"/>
              <w:left w:w="0" w:type="dxa"/>
              <w:bottom w:w="0" w:type="dxa"/>
              <w:right w:w="0" w:type="dxa"/>
            </w:tcMar>
            <w:vAlign w:val="bottom"/>
            <w:hideMark/>
          </w:tcPr>
          <w:p w14:paraId="06848663" w14:textId="77777777" w:rsidR="00000000" w:rsidRDefault="001F1B20">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14:paraId="2524411C" w14:textId="77777777" w:rsidR="00000000" w:rsidRDefault="001F1B20">
            <w:pPr>
              <w:pStyle w:val="a3"/>
              <w:spacing w:before="0" w:beforeAutospacing="0" w:after="0" w:afterAutospacing="0"/>
              <w:jc w:val="center"/>
              <w:rPr>
                <w:sz w:val="18"/>
                <w:szCs w:val="18"/>
              </w:rPr>
            </w:pPr>
            <w:r>
              <w:rPr>
                <w:sz w:val="18"/>
                <w:szCs w:val="18"/>
              </w:rPr>
              <w:t>(Zip Code)</w:t>
            </w:r>
          </w:p>
        </w:tc>
      </w:tr>
    </w:tbl>
    <w:p w14:paraId="5FFCDD7E" w14:textId="77777777" w:rsidR="00000000" w:rsidRDefault="001F1B20">
      <w:pPr>
        <w:pStyle w:val="a3"/>
        <w:spacing w:before="0" w:beforeAutospacing="0" w:after="0" w:afterAutospacing="0"/>
        <w:divId w:val="1885293552"/>
        <w:rPr>
          <w:sz w:val="20"/>
          <w:szCs w:val="20"/>
        </w:rPr>
      </w:pPr>
      <w:r>
        <w:rPr>
          <w:sz w:val="10"/>
          <w:szCs w:val="10"/>
        </w:rPr>
        <w:t>​</w:t>
      </w:r>
    </w:p>
    <w:p w14:paraId="02CA031E" w14:textId="77777777" w:rsidR="00000000" w:rsidRDefault="001F1B20">
      <w:pPr>
        <w:pStyle w:val="a3"/>
        <w:spacing w:before="0" w:beforeAutospacing="0" w:after="0" w:afterAutospacing="0"/>
        <w:jc w:val="center"/>
        <w:divId w:val="1885293552"/>
        <w:rPr>
          <w:sz w:val="20"/>
          <w:szCs w:val="20"/>
        </w:rPr>
      </w:pPr>
      <w:r>
        <w:rPr>
          <w:b/>
          <w:bCs/>
          <w:sz w:val="18"/>
          <w:szCs w:val="18"/>
        </w:rPr>
        <w:t>(650) 808-6000</w:t>
      </w:r>
    </w:p>
    <w:p w14:paraId="1AE64F4C" w14:textId="77777777" w:rsidR="00000000" w:rsidRDefault="001F1B20">
      <w:pPr>
        <w:pStyle w:val="a3"/>
        <w:spacing w:before="0" w:beforeAutospacing="0" w:after="0" w:afterAutospacing="0"/>
        <w:jc w:val="center"/>
        <w:divId w:val="1885293552"/>
        <w:rPr>
          <w:sz w:val="18"/>
          <w:szCs w:val="18"/>
        </w:rPr>
      </w:pPr>
      <w:r>
        <w:rPr>
          <w:sz w:val="18"/>
          <w:szCs w:val="18"/>
        </w:rPr>
        <w:t>(Registrant’s Telephone Number, Including Area Code)</w:t>
      </w:r>
    </w:p>
    <w:p w14:paraId="107CCF56" w14:textId="77777777" w:rsidR="00000000" w:rsidRDefault="001F1B20">
      <w:pPr>
        <w:pStyle w:val="a3"/>
        <w:spacing w:before="0" w:beforeAutospacing="0" w:after="0" w:afterAutospacing="0"/>
        <w:jc w:val="center"/>
        <w:divId w:val="1885293552"/>
        <w:rPr>
          <w:sz w:val="20"/>
          <w:szCs w:val="20"/>
        </w:rPr>
      </w:pPr>
      <w:r>
        <w:rPr>
          <w:sz w:val="18"/>
          <w:szCs w:val="18"/>
        </w:rPr>
        <w:t>​</w:t>
      </w:r>
    </w:p>
    <w:p w14:paraId="1F2ACD9E" w14:textId="77777777" w:rsidR="00000000" w:rsidRDefault="001F1B20">
      <w:pPr>
        <w:pStyle w:val="a3"/>
        <w:spacing w:before="0" w:beforeAutospacing="0" w:after="60" w:afterAutospacing="0"/>
        <w:ind w:firstLine="490"/>
        <w:divId w:val="1885293552"/>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2740"/>
        <w:gridCol w:w="185"/>
        <w:gridCol w:w="185"/>
        <w:gridCol w:w="1367"/>
        <w:gridCol w:w="183"/>
        <w:gridCol w:w="3646"/>
      </w:tblGrid>
      <w:tr w:rsidR="00000000" w14:paraId="1E2AEB44" w14:textId="77777777">
        <w:trPr>
          <w:divId w:val="1885293552"/>
          <w:trHeight w:val="20"/>
        </w:trPr>
        <w:tc>
          <w:tcPr>
            <w:tcW w:w="1648" w:type="pct"/>
            <w:noWrap/>
            <w:tcMar>
              <w:top w:w="0" w:type="dxa"/>
              <w:left w:w="0" w:type="dxa"/>
              <w:bottom w:w="0" w:type="dxa"/>
              <w:right w:w="0" w:type="dxa"/>
            </w:tcMar>
            <w:vAlign w:val="bottom"/>
            <w:hideMark/>
          </w:tcPr>
          <w:p w14:paraId="481EE2CA" w14:textId="77777777" w:rsidR="00000000" w:rsidRDefault="001F1B20">
            <w:pPr>
              <w:rPr>
                <w:sz w:val="18"/>
                <w:szCs w:val="18"/>
              </w:rPr>
            </w:pPr>
          </w:p>
        </w:tc>
        <w:tc>
          <w:tcPr>
            <w:tcW w:w="111" w:type="pct"/>
            <w:tcMar>
              <w:top w:w="0" w:type="dxa"/>
              <w:left w:w="0" w:type="dxa"/>
              <w:bottom w:w="0" w:type="dxa"/>
              <w:right w:w="0" w:type="dxa"/>
            </w:tcMar>
            <w:hideMark/>
          </w:tcPr>
          <w:p w14:paraId="63EF48A8" w14:textId="77777777" w:rsidR="00000000" w:rsidRDefault="001F1B20">
            <w:pPr>
              <w:pStyle w:val="a3"/>
              <w:spacing w:before="0" w:beforeAutospacing="0" w:after="0" w:afterAutospacing="0"/>
              <w:divId w:val="494608696"/>
              <w:rPr>
                <w:sz w:val="20"/>
                <w:szCs w:val="20"/>
              </w:rPr>
            </w:pPr>
            <w:r>
              <w:rPr>
                <w:sz w:val="2"/>
                <w:szCs w:val="2"/>
              </w:rPr>
              <w:t>​</w:t>
            </w:r>
          </w:p>
        </w:tc>
        <w:tc>
          <w:tcPr>
            <w:tcW w:w="111" w:type="pct"/>
            <w:tcMar>
              <w:top w:w="0" w:type="dxa"/>
              <w:left w:w="0" w:type="dxa"/>
              <w:bottom w:w="0" w:type="dxa"/>
              <w:right w:w="0" w:type="dxa"/>
            </w:tcMar>
            <w:hideMark/>
          </w:tcPr>
          <w:p w14:paraId="6DC336BC" w14:textId="77777777" w:rsidR="00000000" w:rsidRDefault="001F1B20">
            <w:pPr>
              <w:rPr>
                <w:sz w:val="20"/>
                <w:szCs w:val="20"/>
              </w:rPr>
            </w:pPr>
          </w:p>
        </w:tc>
        <w:tc>
          <w:tcPr>
            <w:tcW w:w="823" w:type="pct"/>
            <w:noWrap/>
            <w:tcMar>
              <w:top w:w="0" w:type="dxa"/>
              <w:left w:w="0" w:type="dxa"/>
              <w:bottom w:w="0" w:type="dxa"/>
              <w:right w:w="0" w:type="dxa"/>
            </w:tcMar>
            <w:vAlign w:val="bottom"/>
            <w:hideMark/>
          </w:tcPr>
          <w:p w14:paraId="7517C51A" w14:textId="77777777" w:rsidR="00000000" w:rsidRDefault="001F1B20">
            <w:pPr>
              <w:rPr>
                <w:rFonts w:eastAsia="Times New Roman"/>
                <w:sz w:val="20"/>
                <w:szCs w:val="20"/>
              </w:rPr>
            </w:pPr>
          </w:p>
        </w:tc>
        <w:tc>
          <w:tcPr>
            <w:tcW w:w="110" w:type="pct"/>
            <w:tcMar>
              <w:top w:w="0" w:type="dxa"/>
              <w:left w:w="0" w:type="dxa"/>
              <w:bottom w:w="0" w:type="dxa"/>
              <w:right w:w="0" w:type="dxa"/>
            </w:tcMar>
            <w:hideMark/>
          </w:tcPr>
          <w:p w14:paraId="2BF16B8F" w14:textId="77777777" w:rsidR="00000000" w:rsidRDefault="001F1B20">
            <w:pPr>
              <w:rPr>
                <w:rFonts w:eastAsia="Times New Roman"/>
                <w:sz w:val="20"/>
                <w:szCs w:val="20"/>
              </w:rPr>
            </w:pPr>
          </w:p>
        </w:tc>
        <w:tc>
          <w:tcPr>
            <w:tcW w:w="2194" w:type="pct"/>
            <w:noWrap/>
            <w:tcMar>
              <w:top w:w="0" w:type="dxa"/>
              <w:left w:w="0" w:type="dxa"/>
              <w:bottom w:w="0" w:type="dxa"/>
              <w:right w:w="0" w:type="dxa"/>
            </w:tcMar>
            <w:vAlign w:val="bottom"/>
            <w:hideMark/>
          </w:tcPr>
          <w:p w14:paraId="67B82331" w14:textId="77777777" w:rsidR="00000000" w:rsidRDefault="001F1B20">
            <w:pPr>
              <w:rPr>
                <w:rFonts w:eastAsia="Times New Roman"/>
                <w:sz w:val="20"/>
                <w:szCs w:val="20"/>
              </w:rPr>
            </w:pPr>
          </w:p>
        </w:tc>
      </w:tr>
      <w:tr w:rsidR="00000000" w14:paraId="6A64832A" w14:textId="77777777">
        <w:trPr>
          <w:divId w:val="1885293552"/>
        </w:trPr>
        <w:tc>
          <w:tcPr>
            <w:tcW w:w="1648" w:type="pct"/>
            <w:noWrap/>
            <w:tcMar>
              <w:top w:w="0" w:type="dxa"/>
              <w:left w:w="0" w:type="dxa"/>
              <w:bottom w:w="0" w:type="dxa"/>
              <w:right w:w="0" w:type="dxa"/>
            </w:tcMar>
            <w:vAlign w:val="bottom"/>
            <w:hideMark/>
          </w:tcPr>
          <w:p w14:paraId="6F9048B9" w14:textId="77777777" w:rsidR="00000000" w:rsidRDefault="001F1B20">
            <w:pPr>
              <w:pStyle w:val="a3"/>
              <w:spacing w:before="0" w:beforeAutospacing="0" w:after="0" w:afterAutospacing="0"/>
              <w:jc w:val="center"/>
              <w:rPr>
                <w:sz w:val="16"/>
                <w:szCs w:val="16"/>
              </w:rPr>
            </w:pPr>
            <w:r>
              <w:rPr>
                <w:b/>
                <w:bCs/>
                <w:sz w:val="16"/>
                <w:szCs w:val="16"/>
                <w:u w:val="single"/>
              </w:rPr>
              <w:t>Title of each class</w:t>
            </w:r>
          </w:p>
        </w:tc>
        <w:tc>
          <w:tcPr>
            <w:tcW w:w="111" w:type="pct"/>
            <w:tcMar>
              <w:top w:w="0" w:type="dxa"/>
              <w:left w:w="0" w:type="dxa"/>
              <w:bottom w:w="0" w:type="dxa"/>
              <w:right w:w="0" w:type="dxa"/>
            </w:tcMar>
            <w:hideMark/>
          </w:tcPr>
          <w:p w14:paraId="0D42C3D1" w14:textId="77777777" w:rsidR="00000000" w:rsidRDefault="001F1B20">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hideMark/>
          </w:tcPr>
          <w:p w14:paraId="555EDDE6" w14:textId="77777777" w:rsidR="00000000" w:rsidRDefault="001F1B20">
            <w:pPr>
              <w:pStyle w:val="a3"/>
              <w:spacing w:before="0" w:beforeAutospacing="0" w:after="0" w:afterAutospacing="0"/>
              <w:jc w:val="center"/>
              <w:rPr>
                <w:sz w:val="16"/>
                <w:szCs w:val="16"/>
              </w:rPr>
            </w:pPr>
            <w:r>
              <w:rPr>
                <w:b/>
                <w:bCs/>
                <w:sz w:val="16"/>
                <w:szCs w:val="16"/>
              </w:rPr>
              <w:t>    </w:t>
            </w:r>
          </w:p>
        </w:tc>
        <w:tc>
          <w:tcPr>
            <w:tcW w:w="823" w:type="pct"/>
            <w:noWrap/>
            <w:tcMar>
              <w:top w:w="0" w:type="dxa"/>
              <w:left w:w="0" w:type="dxa"/>
              <w:bottom w:w="0" w:type="dxa"/>
              <w:right w:w="0" w:type="dxa"/>
            </w:tcMar>
            <w:vAlign w:val="bottom"/>
            <w:hideMark/>
          </w:tcPr>
          <w:p w14:paraId="3373AA81" w14:textId="77777777" w:rsidR="00000000" w:rsidRDefault="001F1B20">
            <w:pPr>
              <w:pStyle w:val="a3"/>
              <w:spacing w:before="0" w:beforeAutospacing="0" w:after="0" w:afterAutospacing="0"/>
              <w:jc w:val="center"/>
              <w:rPr>
                <w:sz w:val="16"/>
                <w:szCs w:val="16"/>
              </w:rPr>
            </w:pPr>
            <w:r>
              <w:rPr>
                <w:b/>
                <w:bCs/>
                <w:sz w:val="16"/>
                <w:szCs w:val="16"/>
                <w:u w:val="single"/>
              </w:rPr>
              <w:t>Trading Symbol</w:t>
            </w:r>
          </w:p>
        </w:tc>
        <w:tc>
          <w:tcPr>
            <w:tcW w:w="110" w:type="pct"/>
            <w:tcMar>
              <w:top w:w="0" w:type="dxa"/>
              <w:left w:w="0" w:type="dxa"/>
              <w:bottom w:w="0" w:type="dxa"/>
              <w:right w:w="0" w:type="dxa"/>
            </w:tcMar>
            <w:hideMark/>
          </w:tcPr>
          <w:p w14:paraId="7760EA8E" w14:textId="77777777" w:rsidR="00000000" w:rsidRDefault="001F1B20">
            <w:pPr>
              <w:pStyle w:val="a3"/>
              <w:spacing w:before="0" w:beforeAutospacing="0" w:after="0" w:afterAutospacing="0"/>
              <w:jc w:val="center"/>
              <w:rPr>
                <w:sz w:val="16"/>
                <w:szCs w:val="16"/>
              </w:rPr>
            </w:pPr>
            <w:r>
              <w:rPr>
                <w:b/>
                <w:bCs/>
                <w:sz w:val="16"/>
                <w:szCs w:val="16"/>
              </w:rPr>
              <w:t>    </w:t>
            </w:r>
          </w:p>
        </w:tc>
        <w:tc>
          <w:tcPr>
            <w:tcW w:w="2194" w:type="pct"/>
            <w:noWrap/>
            <w:tcMar>
              <w:top w:w="0" w:type="dxa"/>
              <w:left w:w="0" w:type="dxa"/>
              <w:bottom w:w="0" w:type="dxa"/>
              <w:right w:w="0" w:type="dxa"/>
            </w:tcMar>
            <w:vAlign w:val="bottom"/>
            <w:hideMark/>
          </w:tcPr>
          <w:p w14:paraId="5C1345AA" w14:textId="77777777" w:rsidR="00000000" w:rsidRDefault="001F1B20">
            <w:pPr>
              <w:pStyle w:val="a3"/>
              <w:spacing w:before="0" w:beforeAutospacing="0" w:after="0" w:afterAutospacing="0"/>
              <w:jc w:val="center"/>
              <w:rPr>
                <w:sz w:val="16"/>
                <w:szCs w:val="16"/>
              </w:rPr>
            </w:pPr>
            <w:r>
              <w:rPr>
                <w:b/>
                <w:bCs/>
                <w:sz w:val="16"/>
                <w:szCs w:val="16"/>
                <w:u w:val="single"/>
              </w:rPr>
              <w:t>Name of each exchange on which registered</w:t>
            </w:r>
          </w:p>
        </w:tc>
      </w:tr>
      <w:tr w:rsidR="00000000" w14:paraId="7DB33D94" w14:textId="77777777">
        <w:trPr>
          <w:divId w:val="1885293552"/>
        </w:trPr>
        <w:tc>
          <w:tcPr>
            <w:tcW w:w="1648" w:type="pct"/>
            <w:tcMar>
              <w:top w:w="0" w:type="dxa"/>
              <w:left w:w="0" w:type="dxa"/>
              <w:bottom w:w="0" w:type="dxa"/>
              <w:right w:w="0" w:type="dxa"/>
            </w:tcMar>
            <w:hideMark/>
          </w:tcPr>
          <w:p w14:paraId="2D08DE7E" w14:textId="77777777" w:rsidR="00000000" w:rsidRDefault="001F1B20">
            <w:pPr>
              <w:pStyle w:val="a3"/>
              <w:spacing w:before="0" w:beforeAutospacing="0" w:after="0" w:afterAutospacing="0"/>
              <w:jc w:val="center"/>
              <w:rPr>
                <w:sz w:val="20"/>
                <w:szCs w:val="20"/>
              </w:rPr>
            </w:pPr>
            <w:r>
              <w:rPr>
                <w:sz w:val="18"/>
                <w:szCs w:val="18"/>
              </w:rPr>
              <w:t>Ordinary Share $0.00001 Par Value</w:t>
            </w:r>
          </w:p>
        </w:tc>
        <w:tc>
          <w:tcPr>
            <w:tcW w:w="111" w:type="pct"/>
            <w:tcMar>
              <w:top w:w="0" w:type="dxa"/>
              <w:left w:w="0" w:type="dxa"/>
              <w:bottom w:w="0" w:type="dxa"/>
              <w:right w:w="0" w:type="dxa"/>
            </w:tcMar>
            <w:hideMark/>
          </w:tcPr>
          <w:p w14:paraId="484C4165" w14:textId="77777777" w:rsidR="00000000" w:rsidRDefault="001F1B20">
            <w:pPr>
              <w:pStyle w:val="a3"/>
              <w:spacing w:before="0" w:beforeAutospacing="0" w:after="0" w:afterAutospacing="0"/>
              <w:jc w:val="center"/>
              <w:rPr>
                <w:sz w:val="20"/>
                <w:szCs w:val="20"/>
              </w:rPr>
            </w:pPr>
            <w:r>
              <w:rPr>
                <w:sz w:val="18"/>
                <w:szCs w:val="18"/>
              </w:rPr>
              <w:t>​</w:t>
            </w:r>
          </w:p>
        </w:tc>
        <w:tc>
          <w:tcPr>
            <w:tcW w:w="111" w:type="pct"/>
            <w:tcMar>
              <w:top w:w="0" w:type="dxa"/>
              <w:left w:w="0" w:type="dxa"/>
              <w:bottom w:w="0" w:type="dxa"/>
              <w:right w:w="0" w:type="dxa"/>
            </w:tcMar>
            <w:hideMark/>
          </w:tcPr>
          <w:p w14:paraId="30758D52" w14:textId="77777777" w:rsidR="00000000" w:rsidRDefault="001F1B20">
            <w:pPr>
              <w:pStyle w:val="a3"/>
              <w:spacing w:before="0" w:beforeAutospacing="0" w:after="0" w:afterAutospacing="0"/>
              <w:jc w:val="center"/>
              <w:rPr>
                <w:sz w:val="20"/>
                <w:szCs w:val="20"/>
              </w:rPr>
            </w:pPr>
            <w:r>
              <w:rPr>
                <w:sz w:val="18"/>
                <w:szCs w:val="18"/>
              </w:rPr>
              <w:t>​</w:t>
            </w:r>
          </w:p>
        </w:tc>
        <w:tc>
          <w:tcPr>
            <w:tcW w:w="823" w:type="pct"/>
            <w:tcMar>
              <w:top w:w="0" w:type="dxa"/>
              <w:left w:w="0" w:type="dxa"/>
              <w:bottom w:w="0" w:type="dxa"/>
              <w:right w:w="0" w:type="dxa"/>
            </w:tcMar>
            <w:hideMark/>
          </w:tcPr>
          <w:p w14:paraId="28BB3D29" w14:textId="77777777" w:rsidR="00000000" w:rsidRDefault="001F1B20">
            <w:pPr>
              <w:pStyle w:val="a3"/>
              <w:spacing w:before="0" w:beforeAutospacing="0" w:after="0" w:afterAutospacing="0"/>
              <w:jc w:val="center"/>
              <w:rPr>
                <w:sz w:val="20"/>
                <w:szCs w:val="20"/>
              </w:rPr>
            </w:pPr>
            <w:r>
              <w:rPr>
                <w:sz w:val="18"/>
                <w:szCs w:val="18"/>
              </w:rPr>
              <w:t>TBPH</w:t>
            </w:r>
          </w:p>
        </w:tc>
        <w:tc>
          <w:tcPr>
            <w:tcW w:w="110" w:type="pct"/>
            <w:tcMar>
              <w:top w:w="0" w:type="dxa"/>
              <w:left w:w="0" w:type="dxa"/>
              <w:bottom w:w="0" w:type="dxa"/>
              <w:right w:w="0" w:type="dxa"/>
            </w:tcMar>
            <w:hideMark/>
          </w:tcPr>
          <w:p w14:paraId="3226147A" w14:textId="77777777" w:rsidR="00000000" w:rsidRDefault="001F1B20">
            <w:pPr>
              <w:pStyle w:val="a3"/>
              <w:spacing w:before="0" w:beforeAutospacing="0" w:after="0" w:afterAutospacing="0"/>
              <w:jc w:val="center"/>
              <w:rPr>
                <w:sz w:val="20"/>
                <w:szCs w:val="20"/>
              </w:rPr>
            </w:pPr>
            <w:r>
              <w:rPr>
                <w:sz w:val="18"/>
                <w:szCs w:val="18"/>
              </w:rPr>
              <w:t>​</w:t>
            </w:r>
          </w:p>
        </w:tc>
        <w:tc>
          <w:tcPr>
            <w:tcW w:w="2194" w:type="pct"/>
            <w:tcMar>
              <w:top w:w="0" w:type="dxa"/>
              <w:left w:w="0" w:type="dxa"/>
              <w:bottom w:w="0" w:type="dxa"/>
              <w:right w:w="0" w:type="dxa"/>
            </w:tcMar>
            <w:hideMark/>
          </w:tcPr>
          <w:p w14:paraId="79EC6A34" w14:textId="77777777" w:rsidR="00000000" w:rsidRDefault="001F1B20">
            <w:pPr>
              <w:pStyle w:val="a3"/>
              <w:spacing w:before="0" w:beforeAutospacing="0" w:after="0" w:afterAutospacing="0"/>
              <w:jc w:val="center"/>
              <w:rPr>
                <w:sz w:val="20"/>
                <w:szCs w:val="20"/>
              </w:rPr>
            </w:pPr>
            <w:r>
              <w:rPr>
                <w:sz w:val="18"/>
                <w:szCs w:val="18"/>
              </w:rPr>
              <w:t>The Nasdaq Global Market</w:t>
            </w:r>
          </w:p>
        </w:tc>
      </w:tr>
    </w:tbl>
    <w:p w14:paraId="604E5E29" w14:textId="77777777" w:rsidR="00000000" w:rsidRDefault="001F1B20">
      <w:pPr>
        <w:pStyle w:val="a3"/>
        <w:spacing w:before="0" w:beforeAutospacing="0" w:after="0" w:afterAutospacing="0"/>
        <w:jc w:val="center"/>
        <w:divId w:val="1885293552"/>
        <w:rPr>
          <w:sz w:val="20"/>
          <w:szCs w:val="20"/>
        </w:rPr>
      </w:pPr>
      <w:r>
        <w:rPr>
          <w:sz w:val="10"/>
          <w:szCs w:val="10"/>
        </w:rPr>
        <w:t>​</w:t>
      </w:r>
    </w:p>
    <w:p w14:paraId="397F2D6D" w14:textId="77777777" w:rsidR="00000000" w:rsidRDefault="001F1B20">
      <w:pPr>
        <w:pStyle w:val="a3"/>
        <w:spacing w:before="0" w:beforeAutospacing="0" w:after="0" w:afterAutospacing="0"/>
        <w:ind w:firstLine="490"/>
        <w:divId w:val="1885293552"/>
        <w:rPr>
          <w:sz w:val="20"/>
          <w:szCs w:val="20"/>
        </w:rPr>
      </w:pPr>
      <w:r>
        <w:rPr>
          <w:sz w:val="18"/>
          <w:szCs w:val="18"/>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18"/>
          <w:szCs w:val="18"/>
        </w:rPr>
        <w:t>such reports), and (2) has been subject 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r>
        <w:rPr>
          <w:sz w:val="18"/>
          <w:szCs w:val="18"/>
        </w:rPr>
        <w:t> </w:t>
      </w:r>
    </w:p>
    <w:p w14:paraId="5EFE82F7" w14:textId="77777777" w:rsidR="00000000" w:rsidRDefault="001F1B20">
      <w:pPr>
        <w:pStyle w:val="a3"/>
        <w:spacing w:before="0" w:beforeAutospacing="0" w:after="0" w:afterAutospacing="0"/>
        <w:ind w:firstLine="490"/>
        <w:divId w:val="1885293552"/>
        <w:rPr>
          <w:sz w:val="20"/>
          <w:szCs w:val="20"/>
        </w:rPr>
      </w:pPr>
      <w:r>
        <w:rPr>
          <w:sz w:val="10"/>
          <w:szCs w:val="10"/>
        </w:rPr>
        <w:t>​</w:t>
      </w:r>
    </w:p>
    <w:p w14:paraId="64F32BCC" w14:textId="77777777" w:rsidR="00000000" w:rsidRDefault="001F1B20">
      <w:pPr>
        <w:pStyle w:val="a3"/>
        <w:spacing w:before="0" w:beforeAutospacing="0" w:after="0" w:afterAutospacing="0"/>
        <w:ind w:firstLine="490"/>
        <w:divId w:val="1885293552"/>
        <w:rPr>
          <w:sz w:val="20"/>
          <w:szCs w:val="20"/>
        </w:rPr>
      </w:pPr>
      <w:r>
        <w:rPr>
          <w:sz w:val="18"/>
          <w:szCs w:val="18"/>
        </w:rPr>
        <w:t>Indicate by check mark whether the registrant has submitted electronically every Interactive Data File required to be submitted pursuant to Rule 405 of</w:t>
      </w:r>
      <w:r>
        <w:rPr>
          <w:sz w:val="18"/>
          <w:szCs w:val="18"/>
        </w:rPr>
        <w:t xml:space="preserve"> Regulation S-T (§ 232.405 of this chapter)</w:t>
      </w:r>
      <w:r>
        <w:rPr>
          <w:sz w:val="16"/>
          <w:szCs w:val="16"/>
        </w:rPr>
        <w:t xml:space="preserve"> </w:t>
      </w:r>
      <w:r>
        <w:rPr>
          <w:sz w:val="18"/>
          <w:szCs w:val="18"/>
        </w:rPr>
        <w:t>during 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14:paraId="5FE42ACB" w14:textId="77777777" w:rsidR="00000000" w:rsidRDefault="001F1B20">
      <w:pPr>
        <w:pStyle w:val="a3"/>
        <w:spacing w:before="0" w:beforeAutospacing="0" w:after="0" w:afterAutospacing="0"/>
        <w:ind w:firstLine="490"/>
        <w:divId w:val="1885293552"/>
        <w:rPr>
          <w:sz w:val="20"/>
          <w:szCs w:val="20"/>
        </w:rPr>
      </w:pPr>
      <w:r>
        <w:rPr>
          <w:sz w:val="10"/>
          <w:szCs w:val="10"/>
        </w:rPr>
        <w:t>​</w:t>
      </w:r>
    </w:p>
    <w:p w14:paraId="4F4A86FC" w14:textId="77777777" w:rsidR="00000000" w:rsidRDefault="001F1B20">
      <w:pPr>
        <w:pStyle w:val="a3"/>
        <w:spacing w:before="0" w:beforeAutospacing="0" w:after="0" w:afterAutospacing="0"/>
        <w:ind w:firstLine="490"/>
        <w:divId w:val="1885293552"/>
        <w:rPr>
          <w:sz w:val="18"/>
          <w:szCs w:val="18"/>
        </w:rPr>
      </w:pPr>
      <w:r>
        <w:rPr>
          <w:sz w:val="18"/>
          <w:szCs w:val="18"/>
        </w:rPr>
        <w:t>Indicate by check mark whether the registrant is a large accelerated filer, an acce</w:t>
      </w:r>
      <w:r>
        <w:rPr>
          <w:sz w:val="18"/>
          <w:szCs w:val="18"/>
        </w:rPr>
        <w:t xml:space="preserve">lerated filer, a non-accelerated filer, a smaller reporting company, or emerging growth company. See the definitions of “large </w:t>
      </w:r>
      <w:r>
        <w:rPr>
          <w:sz w:val="18"/>
          <w:szCs w:val="18"/>
        </w:rPr>
        <w:lastRenderedPageBreak/>
        <w:t>accelerated filer,” “accelerated filer,” “smaller reporting company,” and “emerging growth company” in Rule 12b-2 of the Exchange</w:t>
      </w:r>
      <w:r>
        <w:rPr>
          <w:sz w:val="18"/>
          <w:szCs w:val="18"/>
        </w:rPr>
        <w:t xml:space="preserve"> Act. </w:t>
      </w:r>
    </w:p>
    <w:p w14:paraId="79295832" w14:textId="77777777" w:rsidR="00000000" w:rsidRDefault="001F1B20">
      <w:pPr>
        <w:pStyle w:val="a3"/>
        <w:spacing w:before="0" w:beforeAutospacing="0" w:after="0" w:afterAutospacing="0"/>
        <w:divId w:val="1885293552"/>
        <w:rPr>
          <w:sz w:val="20"/>
          <w:szCs w:val="20"/>
        </w:rPr>
      </w:pPr>
      <w:r>
        <w:rPr>
          <w:sz w:val="10"/>
          <w:szCs w:val="10"/>
        </w:rPr>
        <w:t>​</w:t>
      </w:r>
    </w:p>
    <w:tbl>
      <w:tblPr>
        <w:tblW w:w="4000" w:type="pct"/>
        <w:tblCellMar>
          <w:top w:w="15" w:type="dxa"/>
          <w:left w:w="0" w:type="dxa"/>
          <w:bottom w:w="15" w:type="dxa"/>
          <w:right w:w="0" w:type="dxa"/>
        </w:tblCellMar>
        <w:tblLook w:val="04A0" w:firstRow="1" w:lastRow="0" w:firstColumn="1" w:lastColumn="0" w:noHBand="0" w:noVBand="1"/>
      </w:tblPr>
      <w:tblGrid>
        <w:gridCol w:w="3025"/>
        <w:gridCol w:w="180"/>
        <w:gridCol w:w="3440"/>
      </w:tblGrid>
      <w:tr w:rsidR="00000000" w14:paraId="69F5F582" w14:textId="77777777">
        <w:trPr>
          <w:divId w:val="1885293552"/>
          <w:trHeight w:val="20"/>
        </w:trPr>
        <w:tc>
          <w:tcPr>
            <w:tcW w:w="2288" w:type="pct"/>
            <w:tcMar>
              <w:top w:w="0" w:type="dxa"/>
              <w:left w:w="0" w:type="dxa"/>
              <w:bottom w:w="0" w:type="dxa"/>
              <w:right w:w="0" w:type="dxa"/>
            </w:tcMar>
            <w:hideMark/>
          </w:tcPr>
          <w:p w14:paraId="42297086" w14:textId="77777777" w:rsidR="00000000" w:rsidRDefault="001F1B20">
            <w:pPr>
              <w:pStyle w:val="a3"/>
              <w:spacing w:before="0" w:beforeAutospacing="0" w:after="0" w:afterAutospacing="0"/>
              <w:divId w:val="1768308453"/>
              <w:rPr>
                <w:sz w:val="20"/>
                <w:szCs w:val="20"/>
              </w:rPr>
            </w:pPr>
            <w:r>
              <w:rPr>
                <w:sz w:val="2"/>
                <w:szCs w:val="2"/>
              </w:rPr>
              <w:t>​</w:t>
            </w:r>
          </w:p>
        </w:tc>
        <w:tc>
          <w:tcPr>
            <w:tcW w:w="112" w:type="pct"/>
            <w:tcMar>
              <w:top w:w="0" w:type="dxa"/>
              <w:left w:w="0" w:type="dxa"/>
              <w:bottom w:w="0" w:type="dxa"/>
              <w:right w:w="0" w:type="dxa"/>
            </w:tcMar>
            <w:vAlign w:val="bottom"/>
            <w:hideMark/>
          </w:tcPr>
          <w:p w14:paraId="4ACE8FFB" w14:textId="77777777" w:rsidR="00000000" w:rsidRDefault="001F1B20">
            <w:pPr>
              <w:pStyle w:val="a3"/>
              <w:spacing w:before="0" w:beforeAutospacing="0" w:after="0" w:afterAutospacing="0"/>
              <w:divId w:val="451899496"/>
              <w:rPr>
                <w:sz w:val="20"/>
                <w:szCs w:val="20"/>
              </w:rPr>
            </w:pPr>
            <w:r>
              <w:rPr>
                <w:sz w:val="2"/>
                <w:szCs w:val="2"/>
              </w:rPr>
              <w:t>​</w:t>
            </w:r>
          </w:p>
        </w:tc>
        <w:tc>
          <w:tcPr>
            <w:tcW w:w="2599" w:type="pct"/>
            <w:tcMar>
              <w:top w:w="0" w:type="dxa"/>
              <w:left w:w="0" w:type="dxa"/>
              <w:bottom w:w="0" w:type="dxa"/>
              <w:right w:w="0" w:type="dxa"/>
            </w:tcMar>
            <w:hideMark/>
          </w:tcPr>
          <w:p w14:paraId="71767F13" w14:textId="77777777" w:rsidR="00000000" w:rsidRDefault="001F1B20">
            <w:pPr>
              <w:pStyle w:val="a3"/>
              <w:spacing w:before="0" w:beforeAutospacing="0" w:after="0" w:afterAutospacing="0"/>
              <w:divId w:val="400450165"/>
              <w:rPr>
                <w:sz w:val="20"/>
                <w:szCs w:val="20"/>
              </w:rPr>
            </w:pPr>
            <w:r>
              <w:rPr>
                <w:sz w:val="2"/>
                <w:szCs w:val="2"/>
              </w:rPr>
              <w:t>​</w:t>
            </w:r>
          </w:p>
        </w:tc>
      </w:tr>
      <w:tr w:rsidR="00000000" w14:paraId="6F784578" w14:textId="77777777">
        <w:trPr>
          <w:divId w:val="1885293552"/>
        </w:trPr>
        <w:tc>
          <w:tcPr>
            <w:tcW w:w="2288" w:type="pct"/>
            <w:tcMar>
              <w:top w:w="0" w:type="dxa"/>
              <w:left w:w="0" w:type="dxa"/>
              <w:bottom w:w="0" w:type="dxa"/>
              <w:right w:w="0" w:type="dxa"/>
            </w:tcMar>
            <w:hideMark/>
          </w:tcPr>
          <w:p w14:paraId="1BD874F0" w14:textId="77777777" w:rsidR="00000000" w:rsidRDefault="001F1B20">
            <w:pPr>
              <w:pStyle w:val="a3"/>
              <w:spacing w:before="0" w:beforeAutospacing="0" w:after="0" w:afterAutospacing="0"/>
              <w:jc w:val="center"/>
              <w:rPr>
                <w:sz w:val="20"/>
                <w:szCs w:val="20"/>
              </w:rPr>
            </w:pPr>
            <w:r>
              <w:rPr>
                <w:sz w:val="18"/>
                <w:szCs w:val="18"/>
              </w:rPr>
              <w:t>Large</w:t>
            </w:r>
            <w:r>
              <w:rPr>
                <w:sz w:val="16"/>
                <w:szCs w:val="16"/>
              </w:rPr>
              <w:t xml:space="preserve"> </w:t>
            </w:r>
            <w:r>
              <w:rPr>
                <w:sz w:val="18"/>
                <w:szCs w:val="18"/>
              </w:rPr>
              <w:t>Accelerated</w:t>
            </w:r>
            <w:r>
              <w:rPr>
                <w:sz w:val="16"/>
                <w:szCs w:val="16"/>
              </w:rPr>
              <w:t xml:space="preserve"> </w:t>
            </w:r>
            <w:r>
              <w:rPr>
                <w:sz w:val="18"/>
                <w:szCs w:val="18"/>
              </w:rPr>
              <w:t>Filer</w:t>
            </w:r>
            <w:r>
              <w:rPr>
                <w:sz w:val="16"/>
                <w:szCs w:val="16"/>
              </w:rPr>
              <w:t xml:space="preserve"> </w:t>
            </w:r>
            <w:r>
              <w:rPr>
                <w:rFonts w:ascii="Segoe UI Symbol" w:hAnsi="Segoe UI Symbol"/>
                <w:sz w:val="18"/>
                <w:szCs w:val="18"/>
              </w:rPr>
              <w:t>☒</w:t>
            </w:r>
          </w:p>
        </w:tc>
        <w:tc>
          <w:tcPr>
            <w:tcW w:w="112" w:type="pct"/>
            <w:tcMar>
              <w:top w:w="0" w:type="dxa"/>
              <w:left w:w="0" w:type="dxa"/>
              <w:bottom w:w="0" w:type="dxa"/>
              <w:right w:w="0" w:type="dxa"/>
            </w:tcMar>
            <w:vAlign w:val="bottom"/>
            <w:hideMark/>
          </w:tcPr>
          <w:p w14:paraId="5A0AE690" w14:textId="77777777" w:rsidR="00000000" w:rsidRDefault="001F1B20">
            <w:pPr>
              <w:pStyle w:val="a3"/>
              <w:spacing w:before="0" w:beforeAutospacing="0" w:after="0" w:afterAutospacing="0"/>
              <w:rPr>
                <w:sz w:val="18"/>
                <w:szCs w:val="18"/>
              </w:rPr>
            </w:pPr>
            <w:r>
              <w:rPr>
                <w:sz w:val="18"/>
                <w:szCs w:val="18"/>
              </w:rPr>
              <w:t>    </w:t>
            </w:r>
          </w:p>
        </w:tc>
        <w:tc>
          <w:tcPr>
            <w:tcW w:w="2599" w:type="pct"/>
            <w:tcMar>
              <w:top w:w="0" w:type="dxa"/>
              <w:left w:w="0" w:type="dxa"/>
              <w:bottom w:w="0" w:type="dxa"/>
              <w:right w:w="0" w:type="dxa"/>
            </w:tcMar>
            <w:hideMark/>
          </w:tcPr>
          <w:p w14:paraId="6F3C182C" w14:textId="77777777" w:rsidR="00000000" w:rsidRDefault="001F1B20">
            <w:pPr>
              <w:pStyle w:val="a3"/>
              <w:spacing w:before="0" w:beforeAutospacing="0" w:after="0" w:afterAutospacing="0"/>
              <w:jc w:val="center"/>
              <w:rPr>
                <w:sz w:val="20"/>
                <w:szCs w:val="20"/>
              </w:rPr>
            </w:pPr>
            <w:r>
              <w:rPr>
                <w:sz w:val="18"/>
                <w:szCs w:val="18"/>
              </w:rPr>
              <w:t>Smaller Reporting Company </w:t>
            </w:r>
            <w:r>
              <w:rPr>
                <w:rFonts w:ascii="Segoe UI Symbol" w:hAnsi="Segoe UI Symbol"/>
                <w:sz w:val="18"/>
                <w:szCs w:val="18"/>
              </w:rPr>
              <w:t>☐</w:t>
            </w:r>
          </w:p>
        </w:tc>
      </w:tr>
      <w:tr w:rsidR="00000000" w14:paraId="624211E1" w14:textId="77777777">
        <w:trPr>
          <w:divId w:val="1885293552"/>
        </w:trPr>
        <w:tc>
          <w:tcPr>
            <w:tcW w:w="2288" w:type="pct"/>
            <w:tcMar>
              <w:top w:w="0" w:type="dxa"/>
              <w:left w:w="0" w:type="dxa"/>
              <w:bottom w:w="0" w:type="dxa"/>
              <w:right w:w="0" w:type="dxa"/>
            </w:tcMar>
            <w:hideMark/>
          </w:tcPr>
          <w:p w14:paraId="740E059A" w14:textId="77777777" w:rsidR="00000000" w:rsidRDefault="001F1B20">
            <w:pPr>
              <w:pStyle w:val="a3"/>
              <w:spacing w:before="0" w:beforeAutospacing="0" w:after="0" w:afterAutospacing="0"/>
              <w:jc w:val="center"/>
              <w:rPr>
                <w:sz w:val="18"/>
                <w:szCs w:val="18"/>
              </w:rPr>
            </w:pPr>
            <w:r>
              <w:rPr>
                <w:sz w:val="18"/>
                <w:szCs w:val="18"/>
              </w:rPr>
              <w:t xml:space="preserve">Non-accelerated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14:paraId="58F9CC45" w14:textId="77777777" w:rsidR="00000000" w:rsidRDefault="001F1B20">
            <w:pPr>
              <w:pStyle w:val="a3"/>
              <w:spacing w:before="0" w:beforeAutospacing="0" w:after="0" w:afterAutospacing="0"/>
              <w:rPr>
                <w:sz w:val="20"/>
                <w:szCs w:val="20"/>
              </w:rPr>
            </w:pPr>
            <w:r>
              <w:rPr>
                <w:sz w:val="10"/>
                <w:szCs w:val="10"/>
              </w:rPr>
              <w:t>​</w:t>
            </w:r>
          </w:p>
        </w:tc>
        <w:tc>
          <w:tcPr>
            <w:tcW w:w="2599" w:type="pct"/>
            <w:tcMar>
              <w:top w:w="0" w:type="dxa"/>
              <w:left w:w="0" w:type="dxa"/>
              <w:bottom w:w="0" w:type="dxa"/>
              <w:right w:w="0" w:type="dxa"/>
            </w:tcMar>
            <w:hideMark/>
          </w:tcPr>
          <w:p w14:paraId="021E5F7E" w14:textId="77777777" w:rsidR="00000000" w:rsidRDefault="001F1B20">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r w:rsidR="00000000" w14:paraId="23155505" w14:textId="77777777">
        <w:trPr>
          <w:divId w:val="1885293552"/>
        </w:trPr>
        <w:tc>
          <w:tcPr>
            <w:tcW w:w="2288" w:type="pct"/>
            <w:tcMar>
              <w:top w:w="0" w:type="dxa"/>
              <w:left w:w="0" w:type="dxa"/>
              <w:bottom w:w="0" w:type="dxa"/>
              <w:right w:w="0" w:type="dxa"/>
            </w:tcMar>
            <w:hideMark/>
          </w:tcPr>
          <w:p w14:paraId="1BB4CBEB" w14:textId="77777777" w:rsidR="00000000" w:rsidRDefault="001F1B20">
            <w:pPr>
              <w:pStyle w:val="a3"/>
              <w:spacing w:before="0" w:beforeAutospacing="0" w:after="0" w:afterAutospacing="0"/>
              <w:jc w:val="center"/>
              <w:rPr>
                <w:sz w:val="18"/>
                <w:szCs w:val="18"/>
              </w:rPr>
            </w:pPr>
            <w:r>
              <w:rPr>
                <w:sz w:val="18"/>
                <w:szCs w:val="18"/>
              </w:rPr>
              <w:t>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14:paraId="01FFC56D" w14:textId="77777777" w:rsidR="00000000" w:rsidRDefault="001F1B20">
            <w:pPr>
              <w:pStyle w:val="a3"/>
              <w:spacing w:before="0" w:beforeAutospacing="0" w:after="0" w:afterAutospacing="0"/>
              <w:rPr>
                <w:sz w:val="20"/>
                <w:szCs w:val="20"/>
              </w:rPr>
            </w:pPr>
            <w:r>
              <w:rPr>
                <w:sz w:val="18"/>
                <w:szCs w:val="18"/>
              </w:rPr>
              <w:t>​</w:t>
            </w:r>
          </w:p>
        </w:tc>
        <w:tc>
          <w:tcPr>
            <w:tcW w:w="2599" w:type="pct"/>
            <w:tcMar>
              <w:top w:w="0" w:type="dxa"/>
              <w:left w:w="0" w:type="dxa"/>
              <w:bottom w:w="0" w:type="dxa"/>
              <w:right w:w="0" w:type="dxa"/>
            </w:tcMar>
            <w:hideMark/>
          </w:tcPr>
          <w:p w14:paraId="4C458BE9" w14:textId="77777777" w:rsidR="00000000" w:rsidRDefault="001F1B20">
            <w:pPr>
              <w:pStyle w:val="a3"/>
              <w:spacing w:before="0" w:beforeAutospacing="0" w:after="0" w:afterAutospacing="0"/>
              <w:jc w:val="center"/>
              <w:rPr>
                <w:sz w:val="20"/>
                <w:szCs w:val="20"/>
              </w:rPr>
            </w:pPr>
            <w:r>
              <w:rPr>
                <w:sz w:val="18"/>
                <w:szCs w:val="18"/>
              </w:rPr>
              <w:t>​</w:t>
            </w:r>
          </w:p>
        </w:tc>
      </w:tr>
    </w:tbl>
    <w:p w14:paraId="046B7677" w14:textId="77777777" w:rsidR="00000000" w:rsidRDefault="001F1B20">
      <w:pPr>
        <w:pStyle w:val="a3"/>
        <w:spacing w:before="0" w:beforeAutospacing="0" w:after="0" w:afterAutospacing="0"/>
        <w:divId w:val="1885293552"/>
        <w:rPr>
          <w:sz w:val="20"/>
          <w:szCs w:val="20"/>
        </w:rPr>
      </w:pPr>
      <w:r>
        <w:rPr>
          <w:sz w:val="10"/>
          <w:szCs w:val="10"/>
        </w:rPr>
        <w:t>​</w:t>
      </w:r>
    </w:p>
    <w:p w14:paraId="29AC57F2" w14:textId="77777777" w:rsidR="00000000" w:rsidRDefault="001F1B20">
      <w:pPr>
        <w:pStyle w:val="a3"/>
        <w:spacing w:before="0" w:beforeAutospacing="0" w:after="0" w:afterAutospacing="0"/>
        <w:ind w:firstLine="490"/>
        <w:divId w:val="1885293552"/>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14:paraId="53B6B8E7" w14:textId="77777777" w:rsidR="00000000" w:rsidRDefault="001F1B20">
      <w:pPr>
        <w:pStyle w:val="a3"/>
        <w:spacing w:before="0" w:beforeAutospacing="0" w:after="0" w:afterAutospacing="0"/>
        <w:ind w:firstLine="490"/>
        <w:divId w:val="1885293552"/>
        <w:rPr>
          <w:sz w:val="20"/>
          <w:szCs w:val="20"/>
        </w:rPr>
      </w:pPr>
      <w:r>
        <w:rPr>
          <w:sz w:val="10"/>
          <w:szCs w:val="10"/>
        </w:rPr>
        <w:t>​</w:t>
      </w:r>
    </w:p>
    <w:p w14:paraId="23E05587" w14:textId="77777777" w:rsidR="00000000" w:rsidRDefault="001F1B20">
      <w:pPr>
        <w:pStyle w:val="a3"/>
        <w:spacing w:before="0" w:beforeAutospacing="0" w:after="0" w:afterAutospacing="0"/>
        <w:ind w:firstLine="490"/>
        <w:divId w:val="1885293552"/>
        <w:rPr>
          <w:sz w:val="20"/>
          <w:szCs w:val="20"/>
        </w:rPr>
      </w:pPr>
      <w:r>
        <w:rPr>
          <w:sz w:val="18"/>
          <w:szCs w:val="18"/>
        </w:rPr>
        <w:t>I</w:t>
      </w:r>
      <w:r>
        <w:rPr>
          <w:sz w:val="18"/>
          <w:szCs w:val="18"/>
        </w:rPr>
        <w:t>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14:paraId="703DED30" w14:textId="77777777" w:rsidR="00000000" w:rsidRDefault="001F1B20">
      <w:pPr>
        <w:pStyle w:val="a3"/>
        <w:spacing w:before="0" w:beforeAutospacing="0" w:after="0" w:afterAutospacing="0"/>
        <w:divId w:val="1885293552"/>
        <w:rPr>
          <w:sz w:val="20"/>
          <w:szCs w:val="20"/>
        </w:rPr>
      </w:pPr>
      <w:r>
        <w:rPr>
          <w:sz w:val="10"/>
          <w:szCs w:val="10"/>
        </w:rPr>
        <w:t>​</w:t>
      </w:r>
    </w:p>
    <w:p w14:paraId="12C13FC7" w14:textId="77777777" w:rsidR="00000000" w:rsidRDefault="001F1B20">
      <w:pPr>
        <w:pStyle w:val="a3"/>
        <w:spacing w:before="0" w:beforeAutospacing="0" w:after="0" w:afterAutospacing="0"/>
        <w:ind w:firstLine="490"/>
        <w:divId w:val="1885293552"/>
        <w:rPr>
          <w:sz w:val="18"/>
          <w:szCs w:val="18"/>
        </w:rPr>
      </w:pPr>
      <w:r>
        <w:rPr>
          <w:sz w:val="18"/>
          <w:szCs w:val="18"/>
        </w:rPr>
        <w:t>As of October 29, 2021, the number of the registrant’s outstanding ordinary shares was 73,698,388</w:t>
      </w:r>
      <w:r>
        <w:rPr>
          <w:sz w:val="20"/>
          <w:szCs w:val="20"/>
        </w:rPr>
        <w:t>.</w:t>
      </w:r>
    </w:p>
    <w:p w14:paraId="1AB87A28" w14:textId="77777777" w:rsidR="00000000" w:rsidRDefault="001F1B20">
      <w:pPr>
        <w:pStyle w:val="a3"/>
        <w:pBdr>
          <w:top w:val="single" w:sz="8" w:space="1" w:color="000000"/>
          <w:bottom w:val="single" w:sz="24" w:space="1" w:color="000000"/>
        </w:pBdr>
        <w:spacing w:before="0" w:beforeAutospacing="0" w:after="0" w:afterAutospacing="0"/>
        <w:divId w:val="1885293552"/>
        <w:rPr>
          <w:sz w:val="20"/>
          <w:szCs w:val="20"/>
        </w:rPr>
      </w:pPr>
      <w:r>
        <w:rPr>
          <w:sz w:val="2"/>
          <w:szCs w:val="2"/>
        </w:rPr>
        <w:t>​</w:t>
      </w:r>
    </w:p>
    <w:p w14:paraId="3233013C" w14:textId="77777777" w:rsidR="00000000" w:rsidRDefault="001F1B20">
      <w:pPr>
        <w:pStyle w:val="a3"/>
        <w:spacing w:before="0" w:beforeAutospacing="0" w:after="0" w:afterAutospacing="0" w:line="0" w:lineRule="atLeast"/>
        <w:jc w:val="center"/>
        <w:divId w:val="1885293552"/>
        <w:rPr>
          <w:vanish/>
        </w:rPr>
      </w:pPr>
      <w:r>
        <w:rPr>
          <w:vanish/>
          <w:sz w:val="2"/>
          <w:szCs w:val="2"/>
        </w:rPr>
        <w:t>​</w:t>
      </w:r>
    </w:p>
    <w:p w14:paraId="69C3372E" w14:textId="77777777" w:rsidR="00000000" w:rsidRDefault="001F1B20">
      <w:pPr>
        <w:pStyle w:val="a3"/>
        <w:spacing w:before="0" w:beforeAutospacing="0" w:after="600" w:afterAutospacing="0"/>
        <w:divId w:val="394744492"/>
        <w:rPr>
          <w:sz w:val="20"/>
          <w:szCs w:val="20"/>
        </w:rPr>
      </w:pPr>
      <w:hyperlink w:anchor="TOC" w:history="1">
        <w:r>
          <w:rPr>
            <w:rStyle w:val="a4"/>
            <w:sz w:val="20"/>
            <w:szCs w:val="20"/>
          </w:rPr>
          <w:t>Table of Contents</w:t>
        </w:r>
      </w:hyperlink>
    </w:p>
    <w:p w14:paraId="0128DE7E" w14:textId="77777777" w:rsidR="00000000" w:rsidRDefault="001F1B20">
      <w:pPr>
        <w:pStyle w:val="a3"/>
        <w:spacing w:before="0" w:beforeAutospacing="0" w:after="0" w:afterAutospacing="0"/>
        <w:jc w:val="center"/>
        <w:divId w:val="278148129"/>
        <w:rPr>
          <w:sz w:val="20"/>
          <w:szCs w:val="20"/>
        </w:rPr>
      </w:pPr>
      <w:r>
        <w:rPr>
          <w:b/>
          <w:bCs/>
          <w:sz w:val="20"/>
          <w:szCs w:val="20"/>
        </w:rPr>
        <w:t>THERAVANCE BIOPHARMA, INC.</w:t>
      </w:r>
    </w:p>
    <w:p w14:paraId="17EC4824" w14:textId="77777777" w:rsidR="00000000" w:rsidRDefault="001F1B20">
      <w:pPr>
        <w:pStyle w:val="a3"/>
        <w:spacing w:before="0" w:beforeAutospacing="0" w:after="0" w:afterAutospacing="0"/>
        <w:jc w:val="center"/>
        <w:divId w:val="278148129"/>
        <w:rPr>
          <w:sz w:val="20"/>
          <w:szCs w:val="20"/>
        </w:rPr>
      </w:pPr>
      <w:r>
        <w:rPr>
          <w:b/>
          <w:bCs/>
          <w:sz w:val="20"/>
          <w:szCs w:val="20"/>
        </w:rPr>
        <w:t>TABLE OF CONTENTS</w:t>
      </w:r>
    </w:p>
    <w:p w14:paraId="5E9841AD" w14:textId="77777777" w:rsidR="00000000" w:rsidRDefault="001F1B20">
      <w:pPr>
        <w:pStyle w:val="a3"/>
        <w:spacing w:before="0" w:beforeAutospacing="0" w:after="0" w:afterAutospacing="0"/>
        <w:divId w:val="27814812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701"/>
        <w:gridCol w:w="605"/>
      </w:tblGrid>
      <w:tr w:rsidR="00000000" w14:paraId="4F520F91" w14:textId="77777777">
        <w:trPr>
          <w:divId w:val="278148129"/>
          <w:trHeight w:val="20"/>
        </w:trPr>
        <w:tc>
          <w:tcPr>
            <w:tcW w:w="4687" w:type="pct"/>
            <w:tcMar>
              <w:top w:w="0" w:type="dxa"/>
              <w:left w:w="0" w:type="dxa"/>
              <w:bottom w:w="0" w:type="dxa"/>
              <w:right w:w="0" w:type="dxa"/>
            </w:tcMar>
            <w:vAlign w:val="bottom"/>
            <w:hideMark/>
          </w:tcPr>
          <w:p w14:paraId="121C82D3" w14:textId="77777777" w:rsidR="00000000" w:rsidRDefault="001F1B20">
            <w:pPr>
              <w:pStyle w:val="a3"/>
              <w:spacing w:before="0" w:beforeAutospacing="0" w:after="0" w:afterAutospacing="0"/>
              <w:divId w:val="699668066"/>
              <w:rPr>
                <w:sz w:val="20"/>
                <w:szCs w:val="20"/>
              </w:rPr>
            </w:pPr>
            <w:r>
              <w:rPr>
                <w:sz w:val="2"/>
                <w:szCs w:val="2"/>
              </w:rPr>
              <w:t>​</w:t>
            </w:r>
          </w:p>
        </w:tc>
        <w:tc>
          <w:tcPr>
            <w:tcW w:w="312" w:type="pct"/>
            <w:tcMar>
              <w:top w:w="0" w:type="dxa"/>
              <w:left w:w="0" w:type="dxa"/>
              <w:bottom w:w="0" w:type="dxa"/>
              <w:right w:w="0" w:type="dxa"/>
            </w:tcMar>
            <w:vAlign w:val="bottom"/>
            <w:hideMark/>
          </w:tcPr>
          <w:p w14:paraId="6AD382E9" w14:textId="77777777" w:rsidR="00000000" w:rsidRDefault="001F1B20">
            <w:pPr>
              <w:pStyle w:val="a3"/>
              <w:spacing w:before="0" w:beforeAutospacing="0" w:after="0" w:afterAutospacing="0"/>
              <w:divId w:val="1702393017"/>
              <w:rPr>
                <w:sz w:val="20"/>
                <w:szCs w:val="20"/>
              </w:rPr>
            </w:pPr>
            <w:r>
              <w:rPr>
                <w:sz w:val="2"/>
                <w:szCs w:val="2"/>
              </w:rPr>
              <w:t>​</w:t>
            </w:r>
          </w:p>
        </w:tc>
      </w:tr>
      <w:tr w:rsidR="00000000" w14:paraId="6009EC24" w14:textId="77777777">
        <w:trPr>
          <w:divId w:val="278148129"/>
        </w:trPr>
        <w:tc>
          <w:tcPr>
            <w:tcW w:w="4687" w:type="pct"/>
            <w:tcMar>
              <w:top w:w="0" w:type="dxa"/>
              <w:left w:w="0" w:type="dxa"/>
              <w:bottom w:w="0" w:type="dxa"/>
              <w:right w:w="0" w:type="dxa"/>
            </w:tcMar>
            <w:vAlign w:val="bottom"/>
            <w:hideMark/>
          </w:tcPr>
          <w:p w14:paraId="1A2C0F4F" w14:textId="77777777" w:rsidR="00000000" w:rsidRDefault="001F1B20">
            <w:pPr>
              <w:pStyle w:val="a3"/>
              <w:spacing w:before="0" w:beforeAutospacing="0" w:after="0" w:afterAutospacing="0"/>
              <w:rPr>
                <w:sz w:val="20"/>
                <w:szCs w:val="20"/>
              </w:rPr>
            </w:pPr>
            <w:r>
              <w:rPr>
                <w:rFonts w:ascii="Times New Roman Bold" w:hAnsi="Times New Roman Bold"/>
                <w:sz w:val="16"/>
                <w:szCs w:val="16"/>
              </w:rPr>
              <w:t>​</w:t>
            </w:r>
          </w:p>
        </w:tc>
        <w:tc>
          <w:tcPr>
            <w:tcW w:w="312" w:type="pct"/>
            <w:tcBorders>
              <w:bottom w:val="single" w:sz="6" w:space="0" w:color="000000"/>
            </w:tcBorders>
            <w:tcMar>
              <w:top w:w="0" w:type="dxa"/>
              <w:left w:w="0" w:type="dxa"/>
              <w:bottom w:w="0" w:type="dxa"/>
              <w:right w:w="0" w:type="dxa"/>
            </w:tcMar>
            <w:vAlign w:val="bottom"/>
            <w:hideMark/>
          </w:tcPr>
          <w:p w14:paraId="2754172D" w14:textId="77777777" w:rsidR="00000000" w:rsidRDefault="001F1B20">
            <w:pPr>
              <w:pStyle w:val="a3"/>
              <w:spacing w:before="0" w:beforeAutospacing="0" w:after="0" w:afterAutospacing="0"/>
              <w:jc w:val="center"/>
              <w:rPr>
                <w:sz w:val="16"/>
                <w:szCs w:val="16"/>
              </w:rPr>
            </w:pPr>
            <w:r>
              <w:rPr>
                <w:b/>
                <w:bCs/>
                <w:sz w:val="16"/>
                <w:szCs w:val="16"/>
              </w:rPr>
              <w:t>Page No.</w:t>
            </w:r>
          </w:p>
        </w:tc>
      </w:tr>
      <w:tr w:rsidR="00000000" w14:paraId="76E7088D" w14:textId="77777777">
        <w:trPr>
          <w:divId w:val="278148129"/>
        </w:trPr>
        <w:tc>
          <w:tcPr>
            <w:tcW w:w="4687" w:type="pct"/>
            <w:tcMar>
              <w:top w:w="0" w:type="dxa"/>
              <w:left w:w="0" w:type="dxa"/>
              <w:bottom w:w="0" w:type="dxa"/>
              <w:right w:w="0" w:type="dxa"/>
            </w:tcMar>
            <w:vAlign w:val="bottom"/>
            <w:hideMark/>
          </w:tcPr>
          <w:p w14:paraId="77B51643" w14:textId="77777777" w:rsidR="00000000" w:rsidRDefault="001F1B20">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p>
        </w:tc>
        <w:tc>
          <w:tcPr>
            <w:tcW w:w="312" w:type="pct"/>
            <w:tcBorders>
              <w:top w:val="single" w:sz="6" w:space="0" w:color="000000"/>
            </w:tcBorders>
            <w:tcMar>
              <w:top w:w="0" w:type="dxa"/>
              <w:left w:w="0" w:type="dxa"/>
              <w:bottom w:w="0" w:type="dxa"/>
              <w:right w:w="0" w:type="dxa"/>
            </w:tcMar>
            <w:vAlign w:val="bottom"/>
            <w:hideMark/>
          </w:tcPr>
          <w:p w14:paraId="79240BD6" w14:textId="77777777" w:rsidR="00000000" w:rsidRDefault="001F1B20">
            <w:pPr>
              <w:pStyle w:val="a3"/>
              <w:spacing w:before="0" w:beforeAutospacing="0" w:after="0" w:afterAutospacing="0"/>
              <w:jc w:val="right"/>
              <w:rPr>
                <w:sz w:val="20"/>
                <w:szCs w:val="20"/>
              </w:rPr>
            </w:pPr>
            <w:r>
              <w:rPr>
                <w:sz w:val="20"/>
                <w:szCs w:val="20"/>
              </w:rPr>
              <w:t>​</w:t>
            </w:r>
          </w:p>
        </w:tc>
      </w:tr>
      <w:tr w:rsidR="00000000" w14:paraId="7A49D360" w14:textId="77777777">
        <w:trPr>
          <w:divId w:val="278148129"/>
        </w:trPr>
        <w:tc>
          <w:tcPr>
            <w:tcW w:w="4687" w:type="pct"/>
            <w:tcMar>
              <w:top w:w="0" w:type="dxa"/>
              <w:left w:w="0" w:type="dxa"/>
              <w:bottom w:w="0" w:type="dxa"/>
              <w:right w:w="0" w:type="dxa"/>
            </w:tcMar>
            <w:vAlign w:val="bottom"/>
            <w:hideMark/>
          </w:tcPr>
          <w:p w14:paraId="183FF426" w14:textId="77777777" w:rsidR="00000000" w:rsidRDefault="001F1B20">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p>
        </w:tc>
        <w:tc>
          <w:tcPr>
            <w:tcW w:w="312" w:type="pct"/>
            <w:tcMar>
              <w:top w:w="0" w:type="dxa"/>
              <w:left w:w="0" w:type="dxa"/>
              <w:bottom w:w="0" w:type="dxa"/>
              <w:right w:w="0" w:type="dxa"/>
            </w:tcMar>
            <w:vAlign w:val="bottom"/>
            <w:hideMark/>
          </w:tcPr>
          <w:p w14:paraId="68861112" w14:textId="77777777" w:rsidR="00000000" w:rsidRDefault="001F1B20">
            <w:pPr>
              <w:pStyle w:val="a3"/>
              <w:spacing w:before="0" w:beforeAutospacing="0" w:after="0" w:afterAutospacing="0"/>
              <w:jc w:val="right"/>
              <w:rPr>
                <w:sz w:val="20"/>
                <w:szCs w:val="20"/>
              </w:rPr>
            </w:pPr>
            <w:r>
              <w:rPr>
                <w:sz w:val="20"/>
                <w:szCs w:val="20"/>
              </w:rPr>
              <w:t>​</w:t>
            </w:r>
          </w:p>
        </w:tc>
      </w:tr>
      <w:tr w:rsidR="00000000" w14:paraId="21D838CD" w14:textId="77777777">
        <w:trPr>
          <w:divId w:val="278148129"/>
        </w:trPr>
        <w:tc>
          <w:tcPr>
            <w:tcW w:w="4687" w:type="pct"/>
            <w:shd w:val="clear" w:color="auto" w:fill="CCEEFF"/>
            <w:tcMar>
              <w:top w:w="0" w:type="dxa"/>
              <w:left w:w="0" w:type="dxa"/>
              <w:bottom w:w="0" w:type="dxa"/>
              <w:right w:w="0" w:type="dxa"/>
            </w:tcMar>
            <w:vAlign w:val="bottom"/>
            <w:hideMark/>
          </w:tcPr>
          <w:p w14:paraId="7D3F0308" w14:textId="77777777" w:rsidR="00000000" w:rsidRDefault="001F1B20">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Balance Sheets as of September 30, 2021 and December 31, 2020 (unaudited)</w:t>
              </w:r>
            </w:hyperlink>
          </w:p>
        </w:tc>
        <w:tc>
          <w:tcPr>
            <w:tcW w:w="312" w:type="pct"/>
            <w:shd w:val="clear" w:color="auto" w:fill="CCEEFF"/>
            <w:tcMar>
              <w:top w:w="0" w:type="dxa"/>
              <w:left w:w="0" w:type="dxa"/>
              <w:bottom w:w="0" w:type="dxa"/>
              <w:right w:w="0" w:type="dxa"/>
            </w:tcMar>
            <w:vAlign w:val="bottom"/>
            <w:hideMark/>
          </w:tcPr>
          <w:p w14:paraId="75643F2B" w14:textId="77777777" w:rsidR="00000000" w:rsidRDefault="001F1B20">
            <w:pPr>
              <w:pStyle w:val="a3"/>
              <w:spacing w:before="0" w:beforeAutospacing="0" w:after="0" w:afterAutospacing="0"/>
              <w:jc w:val="right"/>
              <w:rPr>
                <w:sz w:val="20"/>
                <w:szCs w:val="20"/>
              </w:rPr>
            </w:pPr>
            <w:r>
              <w:rPr>
                <w:sz w:val="20"/>
                <w:szCs w:val="20"/>
              </w:rPr>
              <w:t>3</w:t>
            </w:r>
          </w:p>
        </w:tc>
      </w:tr>
      <w:tr w:rsidR="00000000" w14:paraId="6C5DF9C6" w14:textId="77777777">
        <w:trPr>
          <w:divId w:val="278148129"/>
        </w:trPr>
        <w:tc>
          <w:tcPr>
            <w:tcW w:w="4687" w:type="pct"/>
            <w:tcMar>
              <w:top w:w="0" w:type="dxa"/>
              <w:left w:w="0" w:type="dxa"/>
              <w:bottom w:w="0" w:type="dxa"/>
              <w:right w:w="0" w:type="dxa"/>
            </w:tcMar>
            <w:vAlign w:val="bottom"/>
            <w:hideMark/>
          </w:tcPr>
          <w:p w14:paraId="7F07E4C3" w14:textId="77777777" w:rsidR="00000000" w:rsidRDefault="001F1B20">
            <w:pPr>
              <w:pStyle w:val="a3"/>
              <w:spacing w:before="0" w:beforeAutospacing="0" w:after="0" w:afterAutospacing="0"/>
              <w:ind w:left="144" w:hanging="144"/>
              <w:rPr>
                <w:sz w:val="20"/>
                <w:szCs w:val="20"/>
              </w:rPr>
            </w:pPr>
            <w:hyperlink w:anchor="CONSOLIDATEDSTATEMENTSOFOPERATIONS_3228" w:history="1">
              <w:r>
                <w:rPr>
                  <w:rStyle w:val="a4"/>
                  <w:sz w:val="20"/>
                  <w:szCs w:val="20"/>
                </w:rPr>
                <w:t>Condensed Consolidated Statements of Operations and Comprehensive Loss for the three and nine months ended September 30, 2021 and 2020 (unaudited)</w:t>
              </w:r>
            </w:hyperlink>
          </w:p>
        </w:tc>
        <w:tc>
          <w:tcPr>
            <w:tcW w:w="312" w:type="pct"/>
            <w:tcMar>
              <w:top w:w="0" w:type="dxa"/>
              <w:left w:w="0" w:type="dxa"/>
              <w:bottom w:w="0" w:type="dxa"/>
              <w:right w:w="0" w:type="dxa"/>
            </w:tcMar>
            <w:vAlign w:val="bottom"/>
            <w:hideMark/>
          </w:tcPr>
          <w:p w14:paraId="6CE01A4D" w14:textId="77777777" w:rsidR="00000000" w:rsidRDefault="001F1B20">
            <w:pPr>
              <w:pStyle w:val="a3"/>
              <w:spacing w:before="0" w:beforeAutospacing="0" w:after="0" w:afterAutospacing="0"/>
              <w:jc w:val="right"/>
              <w:rPr>
                <w:sz w:val="20"/>
                <w:szCs w:val="20"/>
              </w:rPr>
            </w:pPr>
            <w:r>
              <w:rPr>
                <w:sz w:val="20"/>
                <w:szCs w:val="20"/>
              </w:rPr>
              <w:t>4</w:t>
            </w:r>
          </w:p>
        </w:tc>
      </w:tr>
      <w:tr w:rsidR="00000000" w14:paraId="5ADC93D3" w14:textId="77777777">
        <w:trPr>
          <w:divId w:val="278148129"/>
        </w:trPr>
        <w:tc>
          <w:tcPr>
            <w:tcW w:w="4687" w:type="pct"/>
            <w:shd w:val="clear" w:color="auto" w:fill="CCEEFF"/>
            <w:tcMar>
              <w:top w:w="0" w:type="dxa"/>
              <w:left w:w="0" w:type="dxa"/>
              <w:bottom w:w="0" w:type="dxa"/>
              <w:right w:w="0" w:type="dxa"/>
            </w:tcMar>
            <w:vAlign w:val="bottom"/>
            <w:hideMark/>
          </w:tcPr>
          <w:p w14:paraId="6C44203B" w14:textId="77777777" w:rsidR="00000000" w:rsidRDefault="001F1B20">
            <w:pPr>
              <w:pStyle w:val="a3"/>
              <w:spacing w:before="0" w:beforeAutospacing="0" w:after="0" w:afterAutospacing="0"/>
              <w:ind w:left="144" w:hanging="144"/>
              <w:rPr>
                <w:sz w:val="20"/>
                <w:szCs w:val="20"/>
              </w:rPr>
            </w:pPr>
            <w:hyperlink w:anchor="CONSOLIDATEDSTATEMENTSOFSHAREHOLDERS_32" w:history="1">
              <w:r>
                <w:rPr>
                  <w:rStyle w:val="a4"/>
                  <w:sz w:val="20"/>
                  <w:szCs w:val="20"/>
                </w:rPr>
                <w:t>Condensed Consolidated Statements of Shareholders’ Deficit for the three and nine months ended September 30, 2021 and 2020 (unaudited)</w:t>
              </w:r>
            </w:hyperlink>
          </w:p>
        </w:tc>
        <w:tc>
          <w:tcPr>
            <w:tcW w:w="312" w:type="pct"/>
            <w:shd w:val="clear" w:color="auto" w:fill="CCEEFF"/>
            <w:tcMar>
              <w:top w:w="0" w:type="dxa"/>
              <w:left w:w="0" w:type="dxa"/>
              <w:bottom w:w="0" w:type="dxa"/>
              <w:right w:w="0" w:type="dxa"/>
            </w:tcMar>
            <w:vAlign w:val="bottom"/>
            <w:hideMark/>
          </w:tcPr>
          <w:p w14:paraId="0C9568A7" w14:textId="77777777" w:rsidR="00000000" w:rsidRDefault="001F1B20">
            <w:pPr>
              <w:pStyle w:val="a3"/>
              <w:spacing w:before="0" w:beforeAutospacing="0" w:after="0" w:afterAutospacing="0"/>
              <w:jc w:val="right"/>
              <w:rPr>
                <w:sz w:val="20"/>
                <w:szCs w:val="20"/>
              </w:rPr>
            </w:pPr>
            <w:r>
              <w:rPr>
                <w:sz w:val="20"/>
                <w:szCs w:val="20"/>
              </w:rPr>
              <w:t>5</w:t>
            </w:r>
          </w:p>
        </w:tc>
      </w:tr>
      <w:tr w:rsidR="00000000" w14:paraId="6D019E2C" w14:textId="77777777">
        <w:trPr>
          <w:divId w:val="278148129"/>
        </w:trPr>
        <w:tc>
          <w:tcPr>
            <w:tcW w:w="4687" w:type="pct"/>
            <w:tcMar>
              <w:top w:w="0" w:type="dxa"/>
              <w:left w:w="0" w:type="dxa"/>
              <w:bottom w:w="0" w:type="dxa"/>
              <w:right w:w="0" w:type="dxa"/>
            </w:tcMar>
            <w:vAlign w:val="bottom"/>
            <w:hideMark/>
          </w:tcPr>
          <w:p w14:paraId="5B1FF897" w14:textId="77777777" w:rsidR="00000000" w:rsidRDefault="001F1B20">
            <w:pPr>
              <w:pStyle w:val="a3"/>
              <w:spacing w:before="0" w:beforeAutospacing="0" w:after="0" w:afterAutospacing="0"/>
              <w:ind w:left="144" w:hanging="144"/>
              <w:rPr>
                <w:sz w:val="20"/>
                <w:szCs w:val="20"/>
              </w:rPr>
            </w:pPr>
            <w:hyperlink w:anchor="CONSOLIDATEDSTATEMENTSOFCASHFLOWS_69820" w:history="1">
              <w:r>
                <w:rPr>
                  <w:rStyle w:val="a4"/>
                  <w:sz w:val="20"/>
                  <w:szCs w:val="20"/>
                </w:rPr>
                <w:t>Condensed Consolidated Statements of Cash Flows for t</w:t>
              </w:r>
              <w:r>
                <w:rPr>
                  <w:rStyle w:val="a4"/>
                  <w:sz w:val="20"/>
                  <w:szCs w:val="20"/>
                </w:rPr>
                <w:t>he nine months ended September 30, 2021 and 2020 (unaudited)</w:t>
              </w:r>
            </w:hyperlink>
          </w:p>
        </w:tc>
        <w:tc>
          <w:tcPr>
            <w:tcW w:w="312" w:type="pct"/>
            <w:tcMar>
              <w:top w:w="0" w:type="dxa"/>
              <w:left w:w="0" w:type="dxa"/>
              <w:bottom w:w="0" w:type="dxa"/>
              <w:right w:w="0" w:type="dxa"/>
            </w:tcMar>
            <w:vAlign w:val="bottom"/>
            <w:hideMark/>
          </w:tcPr>
          <w:p w14:paraId="7490AB1E" w14:textId="77777777" w:rsidR="00000000" w:rsidRDefault="001F1B20">
            <w:pPr>
              <w:pStyle w:val="a3"/>
              <w:spacing w:before="0" w:beforeAutospacing="0" w:after="0" w:afterAutospacing="0"/>
              <w:jc w:val="right"/>
              <w:rPr>
                <w:sz w:val="20"/>
                <w:szCs w:val="20"/>
              </w:rPr>
            </w:pPr>
            <w:r>
              <w:rPr>
                <w:sz w:val="20"/>
                <w:szCs w:val="20"/>
              </w:rPr>
              <w:t>6</w:t>
            </w:r>
          </w:p>
        </w:tc>
      </w:tr>
      <w:tr w:rsidR="00000000" w14:paraId="4576D242" w14:textId="77777777">
        <w:trPr>
          <w:divId w:val="278148129"/>
        </w:trPr>
        <w:tc>
          <w:tcPr>
            <w:tcW w:w="4687" w:type="pct"/>
            <w:shd w:val="clear" w:color="auto" w:fill="CCEEFF"/>
            <w:tcMar>
              <w:top w:w="0" w:type="dxa"/>
              <w:left w:w="0" w:type="dxa"/>
              <w:bottom w:w="0" w:type="dxa"/>
              <w:right w:w="0" w:type="dxa"/>
            </w:tcMar>
            <w:vAlign w:val="bottom"/>
            <w:hideMark/>
          </w:tcPr>
          <w:p w14:paraId="721DFCFC" w14:textId="77777777" w:rsidR="00000000" w:rsidRDefault="001F1B20">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Consolidated Financial Statements (unaudited)</w:t>
              </w:r>
            </w:hyperlink>
          </w:p>
        </w:tc>
        <w:tc>
          <w:tcPr>
            <w:tcW w:w="312" w:type="pct"/>
            <w:shd w:val="clear" w:color="auto" w:fill="CCEEFF"/>
            <w:tcMar>
              <w:top w:w="0" w:type="dxa"/>
              <w:left w:w="0" w:type="dxa"/>
              <w:bottom w:w="0" w:type="dxa"/>
              <w:right w:w="0" w:type="dxa"/>
            </w:tcMar>
            <w:vAlign w:val="bottom"/>
            <w:hideMark/>
          </w:tcPr>
          <w:p w14:paraId="037F4B42" w14:textId="77777777" w:rsidR="00000000" w:rsidRDefault="001F1B20">
            <w:pPr>
              <w:pStyle w:val="a3"/>
              <w:spacing w:before="0" w:beforeAutospacing="0" w:after="0" w:afterAutospacing="0"/>
              <w:jc w:val="right"/>
              <w:rPr>
                <w:sz w:val="20"/>
                <w:szCs w:val="20"/>
              </w:rPr>
            </w:pPr>
            <w:r>
              <w:rPr>
                <w:sz w:val="20"/>
                <w:szCs w:val="20"/>
              </w:rPr>
              <w:t>7</w:t>
            </w:r>
          </w:p>
        </w:tc>
      </w:tr>
      <w:tr w:rsidR="00000000" w14:paraId="01F48097" w14:textId="77777777">
        <w:trPr>
          <w:divId w:val="278148129"/>
        </w:trPr>
        <w:tc>
          <w:tcPr>
            <w:tcW w:w="4687" w:type="pct"/>
            <w:tcMar>
              <w:top w:w="0" w:type="dxa"/>
              <w:left w:w="0" w:type="dxa"/>
              <w:bottom w:w="0" w:type="dxa"/>
              <w:right w:w="0" w:type="dxa"/>
            </w:tcMar>
            <w:vAlign w:val="bottom"/>
            <w:hideMark/>
          </w:tcPr>
          <w:p w14:paraId="7A6CF90D" w14:textId="77777777" w:rsidR="00000000" w:rsidRDefault="001F1B20">
            <w:pPr>
              <w:pStyle w:val="a3"/>
              <w:spacing w:before="0" w:beforeAutospacing="0" w:after="0" w:afterAutospacing="0"/>
              <w:rPr>
                <w:sz w:val="20"/>
                <w:szCs w:val="20"/>
              </w:rPr>
            </w:pPr>
            <w:hyperlink w:anchor="MANAGEMENTSDISCUSSIONANDANALYSIS_237225" w:history="1">
              <w:r>
                <w:rPr>
                  <w:rStyle w:val="a4"/>
                  <w:sz w:val="20"/>
                  <w:szCs w:val="20"/>
                </w:rPr>
                <w:t>Item 2. Management’s Discussion and Analysis of Financial Condition and Results of Operations</w:t>
              </w:r>
            </w:hyperlink>
          </w:p>
        </w:tc>
        <w:tc>
          <w:tcPr>
            <w:tcW w:w="312" w:type="pct"/>
            <w:tcMar>
              <w:top w:w="0" w:type="dxa"/>
              <w:left w:w="0" w:type="dxa"/>
              <w:bottom w:w="0" w:type="dxa"/>
              <w:right w:w="0" w:type="dxa"/>
            </w:tcMar>
            <w:vAlign w:val="bottom"/>
            <w:hideMark/>
          </w:tcPr>
          <w:p w14:paraId="419B6813" w14:textId="77777777" w:rsidR="00000000" w:rsidRDefault="001F1B20">
            <w:pPr>
              <w:pStyle w:val="a3"/>
              <w:spacing w:before="0" w:beforeAutospacing="0" w:after="0" w:afterAutospacing="0"/>
              <w:jc w:val="right"/>
              <w:rPr>
                <w:sz w:val="20"/>
                <w:szCs w:val="20"/>
              </w:rPr>
            </w:pPr>
            <w:r>
              <w:rPr>
                <w:sz w:val="20"/>
                <w:szCs w:val="20"/>
              </w:rPr>
              <w:t>19</w:t>
            </w:r>
          </w:p>
        </w:tc>
      </w:tr>
      <w:tr w:rsidR="00000000" w14:paraId="73B29821" w14:textId="77777777">
        <w:trPr>
          <w:divId w:val="278148129"/>
        </w:trPr>
        <w:tc>
          <w:tcPr>
            <w:tcW w:w="4687" w:type="pct"/>
            <w:shd w:val="clear" w:color="auto" w:fill="CCEEFF"/>
            <w:tcMar>
              <w:top w:w="0" w:type="dxa"/>
              <w:left w:w="0" w:type="dxa"/>
              <w:bottom w:w="0" w:type="dxa"/>
              <w:right w:w="0" w:type="dxa"/>
            </w:tcMar>
            <w:vAlign w:val="bottom"/>
            <w:hideMark/>
          </w:tcPr>
          <w:p w14:paraId="1BF5D29C" w14:textId="77777777" w:rsidR="00000000" w:rsidRDefault="001F1B20">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w:t>
              </w:r>
              <w:r>
                <w:rPr>
                  <w:rStyle w:val="a4"/>
                  <w:sz w:val="20"/>
                  <w:szCs w:val="20"/>
                </w:rPr>
                <w:t>ve Disclosures About Market Risk</w:t>
              </w:r>
            </w:hyperlink>
          </w:p>
        </w:tc>
        <w:tc>
          <w:tcPr>
            <w:tcW w:w="312" w:type="pct"/>
            <w:shd w:val="clear" w:color="auto" w:fill="CCEEFF"/>
            <w:tcMar>
              <w:top w:w="0" w:type="dxa"/>
              <w:left w:w="0" w:type="dxa"/>
              <w:bottom w:w="0" w:type="dxa"/>
              <w:right w:w="0" w:type="dxa"/>
            </w:tcMar>
            <w:vAlign w:val="bottom"/>
            <w:hideMark/>
          </w:tcPr>
          <w:p w14:paraId="409D7587" w14:textId="77777777" w:rsidR="00000000" w:rsidRDefault="001F1B20">
            <w:pPr>
              <w:pStyle w:val="a3"/>
              <w:spacing w:before="0" w:beforeAutospacing="0" w:after="0" w:afterAutospacing="0"/>
              <w:jc w:val="right"/>
              <w:rPr>
                <w:sz w:val="20"/>
                <w:szCs w:val="20"/>
              </w:rPr>
            </w:pPr>
            <w:r>
              <w:rPr>
                <w:sz w:val="20"/>
                <w:szCs w:val="20"/>
              </w:rPr>
              <w:t>36</w:t>
            </w:r>
          </w:p>
        </w:tc>
      </w:tr>
      <w:tr w:rsidR="00000000" w14:paraId="21FA1F19" w14:textId="77777777">
        <w:trPr>
          <w:divId w:val="278148129"/>
        </w:trPr>
        <w:tc>
          <w:tcPr>
            <w:tcW w:w="4687" w:type="pct"/>
            <w:tcMar>
              <w:top w:w="0" w:type="dxa"/>
              <w:left w:w="0" w:type="dxa"/>
              <w:bottom w:w="0" w:type="dxa"/>
              <w:right w:w="0" w:type="dxa"/>
            </w:tcMar>
            <w:vAlign w:val="bottom"/>
            <w:hideMark/>
          </w:tcPr>
          <w:p w14:paraId="25830CE5" w14:textId="77777777" w:rsidR="00000000" w:rsidRDefault="001F1B20">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p>
        </w:tc>
        <w:tc>
          <w:tcPr>
            <w:tcW w:w="312" w:type="pct"/>
            <w:tcMar>
              <w:top w:w="0" w:type="dxa"/>
              <w:left w:w="0" w:type="dxa"/>
              <w:bottom w:w="0" w:type="dxa"/>
              <w:right w:w="0" w:type="dxa"/>
            </w:tcMar>
            <w:vAlign w:val="bottom"/>
            <w:hideMark/>
          </w:tcPr>
          <w:p w14:paraId="2F927E0A" w14:textId="77777777" w:rsidR="00000000" w:rsidRDefault="001F1B20">
            <w:pPr>
              <w:pStyle w:val="a3"/>
              <w:spacing w:before="0" w:beforeAutospacing="0" w:after="0" w:afterAutospacing="0"/>
              <w:jc w:val="right"/>
              <w:rPr>
                <w:sz w:val="20"/>
                <w:szCs w:val="20"/>
              </w:rPr>
            </w:pPr>
            <w:r>
              <w:rPr>
                <w:sz w:val="20"/>
                <w:szCs w:val="20"/>
              </w:rPr>
              <w:t>36</w:t>
            </w:r>
          </w:p>
        </w:tc>
      </w:tr>
      <w:tr w:rsidR="00000000" w14:paraId="74E3CFF2" w14:textId="77777777">
        <w:trPr>
          <w:divId w:val="278148129"/>
        </w:trPr>
        <w:tc>
          <w:tcPr>
            <w:tcW w:w="4687" w:type="pct"/>
            <w:shd w:val="clear" w:color="auto" w:fill="CCEEFF"/>
            <w:tcMar>
              <w:top w:w="0" w:type="dxa"/>
              <w:left w:w="0" w:type="dxa"/>
              <w:bottom w:w="0" w:type="dxa"/>
              <w:right w:w="0" w:type="dxa"/>
            </w:tcMar>
            <w:vAlign w:val="bottom"/>
            <w:hideMark/>
          </w:tcPr>
          <w:p w14:paraId="1387D747" w14:textId="77777777" w:rsidR="00000000" w:rsidRDefault="001F1B20">
            <w:pPr>
              <w:pStyle w:val="a3"/>
              <w:spacing w:before="0" w:beforeAutospacing="0" w:after="0" w:afterAutospacing="0"/>
              <w:rPr>
                <w:sz w:val="20"/>
                <w:szCs w:val="20"/>
              </w:rPr>
            </w:pPr>
            <w:r>
              <w:rPr>
                <w:sz w:val="20"/>
                <w:szCs w:val="20"/>
              </w:rPr>
              <w:t>​</w:t>
            </w:r>
          </w:p>
        </w:tc>
        <w:tc>
          <w:tcPr>
            <w:tcW w:w="312" w:type="pct"/>
            <w:shd w:val="clear" w:color="auto" w:fill="CCEEFF"/>
            <w:tcMar>
              <w:top w:w="0" w:type="dxa"/>
              <w:left w:w="0" w:type="dxa"/>
              <w:bottom w:w="0" w:type="dxa"/>
              <w:right w:w="0" w:type="dxa"/>
            </w:tcMar>
            <w:vAlign w:val="bottom"/>
            <w:hideMark/>
          </w:tcPr>
          <w:p w14:paraId="5D5A866C" w14:textId="77777777" w:rsidR="00000000" w:rsidRDefault="001F1B20">
            <w:pPr>
              <w:pStyle w:val="a3"/>
              <w:spacing w:before="0" w:beforeAutospacing="0" w:after="0" w:afterAutospacing="0"/>
              <w:jc w:val="right"/>
              <w:rPr>
                <w:sz w:val="20"/>
                <w:szCs w:val="20"/>
              </w:rPr>
            </w:pPr>
            <w:r>
              <w:rPr>
                <w:sz w:val="20"/>
                <w:szCs w:val="20"/>
              </w:rPr>
              <w:t>​</w:t>
            </w:r>
          </w:p>
        </w:tc>
      </w:tr>
      <w:tr w:rsidR="00000000" w14:paraId="154D6A09" w14:textId="77777777">
        <w:trPr>
          <w:divId w:val="278148129"/>
        </w:trPr>
        <w:tc>
          <w:tcPr>
            <w:tcW w:w="4687" w:type="pct"/>
            <w:tcMar>
              <w:top w:w="0" w:type="dxa"/>
              <w:left w:w="0" w:type="dxa"/>
              <w:bottom w:w="0" w:type="dxa"/>
              <w:right w:w="0" w:type="dxa"/>
            </w:tcMar>
            <w:vAlign w:val="bottom"/>
            <w:hideMark/>
          </w:tcPr>
          <w:p w14:paraId="62AD7AA3" w14:textId="77777777" w:rsidR="00000000" w:rsidRDefault="001F1B20">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p>
        </w:tc>
        <w:tc>
          <w:tcPr>
            <w:tcW w:w="312" w:type="pct"/>
            <w:tcMar>
              <w:top w:w="0" w:type="dxa"/>
              <w:left w:w="0" w:type="dxa"/>
              <w:bottom w:w="0" w:type="dxa"/>
              <w:right w:w="0" w:type="dxa"/>
            </w:tcMar>
            <w:vAlign w:val="bottom"/>
            <w:hideMark/>
          </w:tcPr>
          <w:p w14:paraId="3446A5A5" w14:textId="77777777" w:rsidR="00000000" w:rsidRDefault="001F1B20">
            <w:pPr>
              <w:pStyle w:val="a3"/>
              <w:spacing w:before="0" w:beforeAutospacing="0" w:after="0" w:afterAutospacing="0"/>
              <w:jc w:val="right"/>
              <w:rPr>
                <w:sz w:val="20"/>
                <w:szCs w:val="20"/>
              </w:rPr>
            </w:pPr>
            <w:r>
              <w:rPr>
                <w:sz w:val="20"/>
                <w:szCs w:val="20"/>
              </w:rPr>
              <w:t>​</w:t>
            </w:r>
          </w:p>
        </w:tc>
      </w:tr>
      <w:tr w:rsidR="00000000" w14:paraId="07D93B1F" w14:textId="77777777">
        <w:trPr>
          <w:divId w:val="278148129"/>
        </w:trPr>
        <w:tc>
          <w:tcPr>
            <w:tcW w:w="4687" w:type="pct"/>
            <w:shd w:val="clear" w:color="auto" w:fill="CCEEFF"/>
            <w:tcMar>
              <w:top w:w="0" w:type="dxa"/>
              <w:left w:w="0" w:type="dxa"/>
              <w:bottom w:w="0" w:type="dxa"/>
              <w:right w:w="0" w:type="dxa"/>
            </w:tcMar>
            <w:vAlign w:val="bottom"/>
            <w:hideMark/>
          </w:tcPr>
          <w:p w14:paraId="55E98C7F" w14:textId="77777777" w:rsidR="00000000" w:rsidRDefault="001F1B20">
            <w:pPr>
              <w:pStyle w:val="a3"/>
              <w:spacing w:before="0" w:beforeAutospacing="0" w:after="0" w:afterAutospacing="0"/>
              <w:rPr>
                <w:sz w:val="20"/>
                <w:szCs w:val="20"/>
              </w:rPr>
            </w:pPr>
            <w:hyperlink w:anchor="ITEM1LEGALPROCEEDINGS_174301" w:history="1">
              <w:r>
                <w:rPr>
                  <w:rStyle w:val="a4"/>
                  <w:sz w:val="20"/>
                  <w:szCs w:val="20"/>
                </w:rPr>
                <w:t>Item 1. Legal Proceedings</w:t>
              </w:r>
            </w:hyperlink>
          </w:p>
        </w:tc>
        <w:tc>
          <w:tcPr>
            <w:tcW w:w="312" w:type="pct"/>
            <w:shd w:val="clear" w:color="auto" w:fill="CCEEFF"/>
            <w:tcMar>
              <w:top w:w="0" w:type="dxa"/>
              <w:left w:w="0" w:type="dxa"/>
              <w:bottom w:w="0" w:type="dxa"/>
              <w:right w:w="0" w:type="dxa"/>
            </w:tcMar>
            <w:vAlign w:val="bottom"/>
            <w:hideMark/>
          </w:tcPr>
          <w:p w14:paraId="7BBFCAEF" w14:textId="77777777" w:rsidR="00000000" w:rsidRDefault="001F1B20">
            <w:pPr>
              <w:pStyle w:val="a3"/>
              <w:spacing w:before="0" w:beforeAutospacing="0" w:after="0" w:afterAutospacing="0"/>
              <w:jc w:val="right"/>
              <w:rPr>
                <w:sz w:val="20"/>
                <w:szCs w:val="20"/>
              </w:rPr>
            </w:pPr>
            <w:r>
              <w:rPr>
                <w:sz w:val="20"/>
                <w:szCs w:val="20"/>
              </w:rPr>
              <w:t>37</w:t>
            </w:r>
          </w:p>
        </w:tc>
      </w:tr>
      <w:tr w:rsidR="00000000" w14:paraId="6285F286" w14:textId="77777777">
        <w:trPr>
          <w:divId w:val="278148129"/>
        </w:trPr>
        <w:tc>
          <w:tcPr>
            <w:tcW w:w="4687" w:type="pct"/>
            <w:tcMar>
              <w:top w:w="0" w:type="dxa"/>
              <w:left w:w="0" w:type="dxa"/>
              <w:bottom w:w="0" w:type="dxa"/>
              <w:right w:w="0" w:type="dxa"/>
            </w:tcMar>
            <w:vAlign w:val="bottom"/>
            <w:hideMark/>
          </w:tcPr>
          <w:p w14:paraId="33BDD753" w14:textId="77777777" w:rsidR="00000000" w:rsidRDefault="001F1B20">
            <w:pPr>
              <w:pStyle w:val="a3"/>
              <w:spacing w:before="0" w:beforeAutospacing="0" w:after="0" w:afterAutospacing="0"/>
              <w:rPr>
                <w:sz w:val="20"/>
                <w:szCs w:val="20"/>
              </w:rPr>
            </w:pPr>
            <w:hyperlink w:anchor="ITEM1ARISKFACTORS_513956" w:history="1">
              <w:r>
                <w:rPr>
                  <w:rStyle w:val="a4"/>
                  <w:sz w:val="20"/>
                  <w:szCs w:val="20"/>
                </w:rPr>
                <w:t>Item 1A. Risk Factors</w:t>
              </w:r>
            </w:hyperlink>
          </w:p>
        </w:tc>
        <w:tc>
          <w:tcPr>
            <w:tcW w:w="312" w:type="pct"/>
            <w:tcMar>
              <w:top w:w="0" w:type="dxa"/>
              <w:left w:w="0" w:type="dxa"/>
              <w:bottom w:w="0" w:type="dxa"/>
              <w:right w:w="0" w:type="dxa"/>
            </w:tcMar>
            <w:vAlign w:val="bottom"/>
            <w:hideMark/>
          </w:tcPr>
          <w:p w14:paraId="14FA546F" w14:textId="77777777" w:rsidR="00000000" w:rsidRDefault="001F1B20">
            <w:pPr>
              <w:pStyle w:val="a3"/>
              <w:spacing w:before="0" w:beforeAutospacing="0" w:after="0" w:afterAutospacing="0"/>
              <w:jc w:val="right"/>
              <w:rPr>
                <w:sz w:val="20"/>
                <w:szCs w:val="20"/>
              </w:rPr>
            </w:pPr>
            <w:r>
              <w:rPr>
                <w:sz w:val="20"/>
                <w:szCs w:val="20"/>
              </w:rPr>
              <w:t>37</w:t>
            </w:r>
          </w:p>
        </w:tc>
      </w:tr>
      <w:tr w:rsidR="00000000" w14:paraId="35490785" w14:textId="77777777">
        <w:trPr>
          <w:divId w:val="278148129"/>
        </w:trPr>
        <w:tc>
          <w:tcPr>
            <w:tcW w:w="4687" w:type="pct"/>
            <w:shd w:val="clear" w:color="auto" w:fill="CCEEFF"/>
            <w:tcMar>
              <w:top w:w="0" w:type="dxa"/>
              <w:left w:w="0" w:type="dxa"/>
              <w:bottom w:w="0" w:type="dxa"/>
              <w:right w:w="0" w:type="dxa"/>
            </w:tcMar>
            <w:vAlign w:val="bottom"/>
            <w:hideMark/>
          </w:tcPr>
          <w:p w14:paraId="47B5F478" w14:textId="77777777" w:rsidR="00000000" w:rsidRDefault="001F1B20">
            <w:pPr>
              <w:pStyle w:val="a3"/>
              <w:spacing w:before="0" w:beforeAutospacing="0" w:after="0" w:afterAutospacing="0"/>
              <w:rPr>
                <w:sz w:val="20"/>
                <w:szCs w:val="20"/>
              </w:rPr>
            </w:pPr>
            <w:hyperlink w:anchor="ITEM2UNREGISTEREDSALESOFEQUITYSECURITIE" w:history="1">
              <w:r>
                <w:rPr>
                  <w:rStyle w:val="a4"/>
                  <w:sz w:val="20"/>
                  <w:szCs w:val="20"/>
                </w:rPr>
                <w:t>Item 2. Unregistered Sales of Equity Securities and Use of Proceeds</w:t>
              </w:r>
            </w:hyperlink>
          </w:p>
        </w:tc>
        <w:tc>
          <w:tcPr>
            <w:tcW w:w="312" w:type="pct"/>
            <w:shd w:val="clear" w:color="auto" w:fill="CCEEFF"/>
            <w:tcMar>
              <w:top w:w="0" w:type="dxa"/>
              <w:left w:w="0" w:type="dxa"/>
              <w:bottom w:w="0" w:type="dxa"/>
              <w:right w:w="0" w:type="dxa"/>
            </w:tcMar>
            <w:vAlign w:val="bottom"/>
            <w:hideMark/>
          </w:tcPr>
          <w:p w14:paraId="2A7067C0" w14:textId="77777777" w:rsidR="00000000" w:rsidRDefault="001F1B20">
            <w:pPr>
              <w:pStyle w:val="a3"/>
              <w:spacing w:before="0" w:beforeAutospacing="0" w:after="0" w:afterAutospacing="0"/>
              <w:jc w:val="right"/>
              <w:rPr>
                <w:sz w:val="20"/>
                <w:szCs w:val="20"/>
              </w:rPr>
            </w:pPr>
            <w:r>
              <w:rPr>
                <w:sz w:val="20"/>
                <w:szCs w:val="20"/>
              </w:rPr>
              <w:t>74</w:t>
            </w:r>
          </w:p>
        </w:tc>
      </w:tr>
      <w:tr w:rsidR="00000000" w14:paraId="381C903D" w14:textId="77777777">
        <w:trPr>
          <w:divId w:val="278148129"/>
        </w:trPr>
        <w:tc>
          <w:tcPr>
            <w:tcW w:w="4687" w:type="pct"/>
            <w:tcMar>
              <w:top w:w="0" w:type="dxa"/>
              <w:left w:w="0" w:type="dxa"/>
              <w:bottom w:w="0" w:type="dxa"/>
              <w:right w:w="0" w:type="dxa"/>
            </w:tcMar>
            <w:vAlign w:val="bottom"/>
            <w:hideMark/>
          </w:tcPr>
          <w:p w14:paraId="4DB239D4" w14:textId="77777777" w:rsidR="00000000" w:rsidRDefault="001F1B20">
            <w:pPr>
              <w:pStyle w:val="a3"/>
              <w:spacing w:before="0" w:beforeAutospacing="0" w:after="0" w:afterAutospacing="0"/>
              <w:rPr>
                <w:sz w:val="20"/>
                <w:szCs w:val="20"/>
              </w:rPr>
            </w:pPr>
            <w:hyperlink w:anchor="ITEM6EXHIBITS_250977" w:history="1">
              <w:r>
                <w:rPr>
                  <w:rStyle w:val="a4"/>
                  <w:sz w:val="20"/>
                  <w:szCs w:val="20"/>
                </w:rPr>
                <w:t>Item 6. Exhibits</w:t>
              </w:r>
            </w:hyperlink>
          </w:p>
        </w:tc>
        <w:tc>
          <w:tcPr>
            <w:tcW w:w="312" w:type="pct"/>
            <w:tcMar>
              <w:top w:w="0" w:type="dxa"/>
              <w:left w:w="0" w:type="dxa"/>
              <w:bottom w:w="0" w:type="dxa"/>
              <w:right w:w="0" w:type="dxa"/>
            </w:tcMar>
            <w:vAlign w:val="bottom"/>
            <w:hideMark/>
          </w:tcPr>
          <w:p w14:paraId="496162EA" w14:textId="77777777" w:rsidR="00000000" w:rsidRDefault="001F1B20">
            <w:pPr>
              <w:pStyle w:val="a3"/>
              <w:spacing w:before="0" w:beforeAutospacing="0" w:after="0" w:afterAutospacing="0"/>
              <w:jc w:val="right"/>
              <w:rPr>
                <w:sz w:val="20"/>
                <w:szCs w:val="20"/>
              </w:rPr>
            </w:pPr>
            <w:r>
              <w:rPr>
                <w:sz w:val="20"/>
                <w:szCs w:val="20"/>
              </w:rPr>
              <w:t>75</w:t>
            </w:r>
          </w:p>
        </w:tc>
      </w:tr>
      <w:tr w:rsidR="00000000" w14:paraId="56AFFAA8" w14:textId="77777777">
        <w:trPr>
          <w:divId w:val="278148129"/>
        </w:trPr>
        <w:tc>
          <w:tcPr>
            <w:tcW w:w="4687" w:type="pct"/>
            <w:shd w:val="clear" w:color="auto" w:fill="CCEEFF"/>
            <w:tcMar>
              <w:top w:w="0" w:type="dxa"/>
              <w:left w:w="0" w:type="dxa"/>
              <w:bottom w:w="0" w:type="dxa"/>
              <w:right w:w="0" w:type="dxa"/>
            </w:tcMar>
            <w:vAlign w:val="bottom"/>
            <w:hideMark/>
          </w:tcPr>
          <w:p w14:paraId="3AD636D9" w14:textId="77777777" w:rsidR="00000000" w:rsidRDefault="001F1B20">
            <w:pPr>
              <w:pStyle w:val="a3"/>
              <w:spacing w:before="0" w:beforeAutospacing="0" w:after="0" w:afterAutospacing="0"/>
              <w:rPr>
                <w:sz w:val="20"/>
                <w:szCs w:val="20"/>
              </w:rPr>
            </w:pPr>
            <w:hyperlink w:anchor="SIGNATURES_417351" w:history="1">
              <w:r>
                <w:rPr>
                  <w:rStyle w:val="a4"/>
                  <w:sz w:val="20"/>
                  <w:szCs w:val="20"/>
                </w:rPr>
                <w:t>Signatures</w:t>
              </w:r>
            </w:hyperlink>
          </w:p>
        </w:tc>
        <w:tc>
          <w:tcPr>
            <w:tcW w:w="312" w:type="pct"/>
            <w:shd w:val="clear" w:color="auto" w:fill="CCEEFF"/>
            <w:tcMar>
              <w:top w:w="0" w:type="dxa"/>
              <w:left w:w="0" w:type="dxa"/>
              <w:bottom w:w="0" w:type="dxa"/>
              <w:right w:w="0" w:type="dxa"/>
            </w:tcMar>
            <w:vAlign w:val="bottom"/>
            <w:hideMark/>
          </w:tcPr>
          <w:p w14:paraId="4702EFA2" w14:textId="77777777" w:rsidR="00000000" w:rsidRDefault="001F1B20">
            <w:pPr>
              <w:pStyle w:val="a3"/>
              <w:spacing w:before="0" w:beforeAutospacing="0" w:after="0" w:afterAutospacing="0"/>
              <w:jc w:val="right"/>
              <w:rPr>
                <w:sz w:val="20"/>
                <w:szCs w:val="20"/>
              </w:rPr>
            </w:pPr>
            <w:r>
              <w:rPr>
                <w:sz w:val="20"/>
                <w:szCs w:val="20"/>
              </w:rPr>
              <w:t>76</w:t>
            </w:r>
          </w:p>
        </w:tc>
      </w:tr>
    </w:tbl>
    <w:p w14:paraId="382FF2F2" w14:textId="77777777" w:rsidR="00000000" w:rsidRDefault="001F1B20">
      <w:pPr>
        <w:pStyle w:val="a3"/>
        <w:spacing w:before="0" w:beforeAutospacing="0" w:after="0" w:afterAutospacing="0"/>
        <w:divId w:val="278148129"/>
        <w:rPr>
          <w:sz w:val="20"/>
          <w:szCs w:val="20"/>
        </w:rPr>
      </w:pPr>
      <w:r>
        <w:rPr>
          <w:sz w:val="20"/>
          <w:szCs w:val="20"/>
        </w:rPr>
        <w:t>​</w:t>
      </w:r>
    </w:p>
    <w:p w14:paraId="228807AE" w14:textId="77777777" w:rsidR="00000000" w:rsidRDefault="001F1B20">
      <w:pPr>
        <w:pStyle w:val="a3"/>
        <w:spacing w:before="0" w:beforeAutospacing="0" w:after="0" w:afterAutospacing="0"/>
        <w:divId w:val="278148129"/>
        <w:rPr>
          <w:sz w:val="20"/>
          <w:szCs w:val="20"/>
        </w:rPr>
      </w:pPr>
      <w:r>
        <w:rPr>
          <w:sz w:val="20"/>
          <w:szCs w:val="20"/>
        </w:rPr>
        <w:t>​</w:t>
      </w:r>
    </w:p>
    <w:p w14:paraId="579B68EA" w14:textId="77777777" w:rsidR="00000000" w:rsidRDefault="001F1B20">
      <w:pPr>
        <w:pStyle w:val="a3"/>
        <w:spacing w:before="360" w:beforeAutospacing="0" w:after="0" w:afterAutospacing="0"/>
        <w:jc w:val="center"/>
        <w:divId w:val="1844397769"/>
        <w:rPr>
          <w:sz w:val="20"/>
          <w:szCs w:val="20"/>
        </w:rPr>
      </w:pPr>
      <w:r>
        <w:rPr>
          <w:sz w:val="20"/>
          <w:szCs w:val="20"/>
        </w:rPr>
        <w:t>2</w:t>
      </w:r>
    </w:p>
    <w:p w14:paraId="0014B686" w14:textId="77777777" w:rsidR="00000000" w:rsidRDefault="001F1B20">
      <w:pPr>
        <w:pStyle w:val="a3"/>
        <w:spacing w:before="0" w:beforeAutospacing="0" w:after="600" w:afterAutospacing="0"/>
        <w:divId w:val="1156725503"/>
        <w:rPr>
          <w:sz w:val="20"/>
          <w:szCs w:val="20"/>
        </w:rPr>
      </w:pPr>
      <w:hyperlink w:anchor="TOC" w:history="1">
        <w:r>
          <w:rPr>
            <w:rStyle w:val="a4"/>
            <w:sz w:val="20"/>
            <w:szCs w:val="20"/>
          </w:rPr>
          <w:t>Table of Contents</w:t>
        </w:r>
      </w:hyperlink>
    </w:p>
    <w:p w14:paraId="35AADA2B" w14:textId="77777777" w:rsidR="00000000" w:rsidRDefault="001F1B20">
      <w:pPr>
        <w:pStyle w:val="a3"/>
        <w:spacing w:before="0" w:beforeAutospacing="0" w:after="0" w:afterAutospacing="0"/>
        <w:divId w:val="2073698176"/>
        <w:rPr>
          <w:sz w:val="20"/>
          <w:szCs w:val="20"/>
        </w:rPr>
      </w:pPr>
      <w:r>
        <w:rPr>
          <w:b/>
          <w:bCs/>
          <w:sz w:val="20"/>
          <w:szCs w:val="20"/>
        </w:rPr>
        <w:lastRenderedPageBreak/>
        <w:t>PART I. FINANCIAL INFORMATION</w:t>
      </w:r>
    </w:p>
    <w:p w14:paraId="768072E5" w14:textId="77777777" w:rsidR="00000000" w:rsidRDefault="001F1B20">
      <w:pPr>
        <w:pStyle w:val="a3"/>
        <w:spacing w:before="0" w:beforeAutospacing="0" w:after="240" w:afterAutospacing="0"/>
        <w:ind w:hanging="1008"/>
        <w:divId w:val="2073698176"/>
        <w:rPr>
          <w:sz w:val="20"/>
          <w:szCs w:val="20"/>
        </w:rPr>
      </w:pPr>
      <w:r>
        <w:rPr>
          <w:b/>
          <w:bCs/>
          <w:sz w:val="20"/>
          <w:szCs w:val="20"/>
        </w:rPr>
        <w:t>ITEM 1.    FINANCIAL STATEMENTS</w:t>
      </w:r>
    </w:p>
    <w:p w14:paraId="38C4A969" w14:textId="77777777" w:rsidR="00000000" w:rsidRDefault="001F1B20">
      <w:pPr>
        <w:pStyle w:val="a3"/>
        <w:spacing w:before="0" w:beforeAutospacing="0" w:after="0" w:afterAutospacing="0"/>
        <w:jc w:val="center"/>
        <w:divId w:val="2073698176"/>
        <w:rPr>
          <w:sz w:val="20"/>
          <w:szCs w:val="20"/>
        </w:rPr>
      </w:pPr>
      <w:r>
        <w:rPr>
          <w:b/>
          <w:bCs/>
          <w:sz w:val="20"/>
          <w:szCs w:val="20"/>
        </w:rPr>
        <w:t>THERAVANCE BIOPHARMA, INC.</w:t>
      </w:r>
    </w:p>
    <w:p w14:paraId="6BA40279" w14:textId="77777777" w:rsidR="00000000" w:rsidRDefault="001F1B20">
      <w:pPr>
        <w:pStyle w:val="a3"/>
        <w:spacing w:before="0" w:beforeAutospacing="0" w:after="0" w:afterAutospacing="0"/>
        <w:jc w:val="center"/>
        <w:divId w:val="2073698176"/>
        <w:rPr>
          <w:sz w:val="20"/>
          <w:szCs w:val="20"/>
        </w:rPr>
      </w:pPr>
      <w:r>
        <w:rPr>
          <w:b/>
          <w:bCs/>
          <w:sz w:val="20"/>
          <w:szCs w:val="20"/>
        </w:rPr>
        <w:t>CONDENSED CONSOLIDATED BALANCE SHEETS</w:t>
      </w:r>
    </w:p>
    <w:p w14:paraId="0DFFDA4A" w14:textId="77777777" w:rsidR="00000000" w:rsidRDefault="001F1B20">
      <w:pPr>
        <w:pStyle w:val="a3"/>
        <w:spacing w:before="0" w:beforeAutospacing="0" w:after="0" w:afterAutospacing="0"/>
        <w:jc w:val="center"/>
        <w:divId w:val="2073698176"/>
        <w:rPr>
          <w:sz w:val="20"/>
          <w:szCs w:val="20"/>
        </w:rPr>
      </w:pPr>
      <w:r>
        <w:rPr>
          <w:b/>
          <w:bCs/>
          <w:sz w:val="20"/>
          <w:szCs w:val="20"/>
        </w:rPr>
        <w:t>(Unaudited)</w:t>
      </w:r>
    </w:p>
    <w:p w14:paraId="2B6605F3" w14:textId="77777777" w:rsidR="00000000" w:rsidRDefault="001F1B20">
      <w:pPr>
        <w:pStyle w:val="a3"/>
        <w:spacing w:before="0" w:beforeAutospacing="0" w:after="120" w:afterAutospacing="0"/>
        <w:jc w:val="center"/>
        <w:divId w:val="2073698176"/>
        <w:rPr>
          <w:sz w:val="20"/>
          <w:szCs w:val="20"/>
        </w:rPr>
      </w:pPr>
      <w:r>
        <w:rPr>
          <w:b/>
          <w:bCs/>
          <w:sz w:val="20"/>
          <w:szCs w:val="20"/>
        </w:rPr>
        <w:t>(In thousands, except per share data)</w:t>
      </w:r>
    </w:p>
    <w:tbl>
      <w:tblPr>
        <w:tblW w:w="5000" w:type="pct"/>
        <w:tblCellMar>
          <w:top w:w="15" w:type="dxa"/>
          <w:left w:w="0" w:type="dxa"/>
          <w:bottom w:w="15" w:type="dxa"/>
          <w:right w:w="0" w:type="dxa"/>
        </w:tblCellMar>
        <w:tblLook w:val="04A0" w:firstRow="1" w:lastRow="0" w:firstColumn="1" w:lastColumn="0" w:noHBand="0" w:noVBand="1"/>
      </w:tblPr>
      <w:tblGrid>
        <w:gridCol w:w="5923"/>
        <w:gridCol w:w="195"/>
        <w:gridCol w:w="140"/>
        <w:gridCol w:w="878"/>
        <w:gridCol w:w="196"/>
        <w:gridCol w:w="134"/>
        <w:gridCol w:w="840"/>
      </w:tblGrid>
      <w:tr w:rsidR="00000000" w14:paraId="548B0068" w14:textId="77777777">
        <w:trPr>
          <w:divId w:val="2073698176"/>
          <w:trHeight w:val="20"/>
        </w:trPr>
        <w:tc>
          <w:tcPr>
            <w:tcW w:w="3572" w:type="pct"/>
            <w:tcMar>
              <w:top w:w="0" w:type="dxa"/>
              <w:left w:w="0" w:type="dxa"/>
              <w:bottom w:w="0" w:type="dxa"/>
              <w:right w:w="0" w:type="dxa"/>
            </w:tcMar>
            <w:hideMark/>
          </w:tcPr>
          <w:p w14:paraId="03FF168B" w14:textId="77777777" w:rsidR="00000000" w:rsidRDefault="001F1B20">
            <w:pPr>
              <w:pStyle w:val="a3"/>
              <w:spacing w:before="0" w:beforeAutospacing="0" w:after="0" w:afterAutospacing="0"/>
              <w:divId w:val="1470324212"/>
              <w:rPr>
                <w:sz w:val="20"/>
                <w:szCs w:val="20"/>
              </w:rPr>
            </w:pPr>
            <w:r>
              <w:rPr>
                <w:sz w:val="2"/>
                <w:szCs w:val="2"/>
              </w:rPr>
              <w:t>​</w:t>
            </w:r>
          </w:p>
        </w:tc>
        <w:tc>
          <w:tcPr>
            <w:tcW w:w="127" w:type="pct"/>
            <w:noWrap/>
            <w:tcMar>
              <w:top w:w="0" w:type="dxa"/>
              <w:left w:w="0" w:type="dxa"/>
              <w:bottom w:w="0" w:type="dxa"/>
              <w:right w:w="0" w:type="dxa"/>
            </w:tcMar>
            <w:vAlign w:val="bottom"/>
            <w:hideMark/>
          </w:tcPr>
          <w:p w14:paraId="6C108F1C" w14:textId="77777777" w:rsidR="00000000" w:rsidRDefault="001F1B20">
            <w:pPr>
              <w:pStyle w:val="a3"/>
              <w:spacing w:before="0" w:beforeAutospacing="0" w:after="0" w:afterAutospacing="0"/>
              <w:divId w:val="524827961"/>
              <w:rPr>
                <w:sz w:val="20"/>
                <w:szCs w:val="20"/>
              </w:rPr>
            </w:pPr>
            <w:r>
              <w:rPr>
                <w:sz w:val="2"/>
                <w:szCs w:val="2"/>
              </w:rPr>
              <w:t>​</w:t>
            </w:r>
          </w:p>
        </w:tc>
        <w:tc>
          <w:tcPr>
            <w:tcW w:w="80" w:type="pct"/>
            <w:noWrap/>
            <w:tcMar>
              <w:top w:w="0" w:type="dxa"/>
              <w:left w:w="0" w:type="dxa"/>
              <w:bottom w:w="0" w:type="dxa"/>
              <w:right w:w="0" w:type="dxa"/>
            </w:tcMar>
            <w:vAlign w:val="bottom"/>
            <w:hideMark/>
          </w:tcPr>
          <w:p w14:paraId="524F235A" w14:textId="77777777" w:rsidR="00000000" w:rsidRDefault="001F1B20">
            <w:pPr>
              <w:pStyle w:val="a3"/>
              <w:spacing w:before="0" w:beforeAutospacing="0" w:after="0" w:afterAutospacing="0"/>
              <w:divId w:val="1986350524"/>
              <w:rPr>
                <w:sz w:val="20"/>
                <w:szCs w:val="20"/>
              </w:rPr>
            </w:pPr>
            <w:r>
              <w:rPr>
                <w:sz w:val="2"/>
                <w:szCs w:val="2"/>
              </w:rPr>
              <w:t>​</w:t>
            </w:r>
          </w:p>
        </w:tc>
        <w:tc>
          <w:tcPr>
            <w:tcW w:w="504" w:type="pct"/>
            <w:noWrap/>
            <w:tcMar>
              <w:top w:w="0" w:type="dxa"/>
              <w:left w:w="0" w:type="dxa"/>
              <w:bottom w:w="0" w:type="dxa"/>
              <w:right w:w="0" w:type="dxa"/>
            </w:tcMar>
            <w:vAlign w:val="bottom"/>
            <w:hideMark/>
          </w:tcPr>
          <w:p w14:paraId="410C090A" w14:textId="77777777" w:rsidR="00000000" w:rsidRDefault="001F1B20">
            <w:pPr>
              <w:pStyle w:val="a3"/>
              <w:spacing w:before="0" w:beforeAutospacing="0" w:after="0" w:afterAutospacing="0"/>
              <w:divId w:val="1880891652"/>
              <w:rPr>
                <w:sz w:val="20"/>
                <w:szCs w:val="20"/>
              </w:rPr>
            </w:pPr>
            <w:r>
              <w:rPr>
                <w:sz w:val="2"/>
                <w:szCs w:val="2"/>
              </w:rPr>
              <w:t>​</w:t>
            </w:r>
          </w:p>
        </w:tc>
        <w:tc>
          <w:tcPr>
            <w:tcW w:w="127" w:type="pct"/>
            <w:noWrap/>
            <w:tcMar>
              <w:top w:w="0" w:type="dxa"/>
              <w:left w:w="0" w:type="dxa"/>
              <w:bottom w:w="0" w:type="dxa"/>
              <w:right w:w="0" w:type="dxa"/>
            </w:tcMar>
            <w:vAlign w:val="bottom"/>
            <w:hideMark/>
          </w:tcPr>
          <w:p w14:paraId="05C39A34" w14:textId="77777777" w:rsidR="00000000" w:rsidRDefault="001F1B20">
            <w:pPr>
              <w:pStyle w:val="a3"/>
              <w:spacing w:before="0" w:beforeAutospacing="0" w:after="0" w:afterAutospacing="0"/>
              <w:divId w:val="1451777887"/>
              <w:rPr>
                <w:sz w:val="20"/>
                <w:szCs w:val="20"/>
              </w:rPr>
            </w:pPr>
            <w:r>
              <w:rPr>
                <w:sz w:val="2"/>
                <w:szCs w:val="2"/>
              </w:rPr>
              <w:t>​</w:t>
            </w:r>
          </w:p>
        </w:tc>
        <w:tc>
          <w:tcPr>
            <w:tcW w:w="80" w:type="pct"/>
            <w:noWrap/>
            <w:tcMar>
              <w:top w:w="0" w:type="dxa"/>
              <w:left w:w="0" w:type="dxa"/>
              <w:bottom w:w="0" w:type="dxa"/>
              <w:right w:w="0" w:type="dxa"/>
            </w:tcMar>
            <w:vAlign w:val="bottom"/>
            <w:hideMark/>
          </w:tcPr>
          <w:p w14:paraId="3BFF8100" w14:textId="77777777" w:rsidR="00000000" w:rsidRDefault="001F1B20">
            <w:pPr>
              <w:pStyle w:val="a3"/>
              <w:spacing w:before="0" w:beforeAutospacing="0" w:after="0" w:afterAutospacing="0"/>
              <w:divId w:val="1994289702"/>
              <w:rPr>
                <w:sz w:val="20"/>
                <w:szCs w:val="20"/>
              </w:rPr>
            </w:pPr>
            <w:r>
              <w:rPr>
                <w:sz w:val="2"/>
                <w:szCs w:val="2"/>
              </w:rPr>
              <w:t>​</w:t>
            </w:r>
          </w:p>
        </w:tc>
        <w:tc>
          <w:tcPr>
            <w:tcW w:w="504" w:type="pct"/>
            <w:noWrap/>
            <w:tcMar>
              <w:top w:w="0" w:type="dxa"/>
              <w:left w:w="0" w:type="dxa"/>
              <w:bottom w:w="0" w:type="dxa"/>
              <w:right w:w="0" w:type="dxa"/>
            </w:tcMar>
            <w:vAlign w:val="bottom"/>
            <w:hideMark/>
          </w:tcPr>
          <w:p w14:paraId="5404BB1C" w14:textId="77777777" w:rsidR="00000000" w:rsidRDefault="001F1B20">
            <w:pPr>
              <w:pStyle w:val="a3"/>
              <w:spacing w:before="0" w:beforeAutospacing="0" w:after="0" w:afterAutospacing="0"/>
              <w:divId w:val="1902934352"/>
              <w:rPr>
                <w:sz w:val="20"/>
                <w:szCs w:val="20"/>
              </w:rPr>
            </w:pPr>
            <w:r>
              <w:rPr>
                <w:sz w:val="2"/>
                <w:szCs w:val="2"/>
              </w:rPr>
              <w:t>​</w:t>
            </w:r>
          </w:p>
        </w:tc>
      </w:tr>
      <w:tr w:rsidR="00000000" w14:paraId="470956DD" w14:textId="77777777">
        <w:trPr>
          <w:divId w:val="2073698176"/>
        </w:trPr>
        <w:tc>
          <w:tcPr>
            <w:tcW w:w="3572" w:type="pct"/>
            <w:tcMar>
              <w:top w:w="0" w:type="dxa"/>
              <w:left w:w="0" w:type="dxa"/>
              <w:bottom w:w="0" w:type="dxa"/>
              <w:right w:w="0" w:type="dxa"/>
            </w:tcMar>
            <w:vAlign w:val="bottom"/>
            <w:hideMark/>
          </w:tcPr>
          <w:p w14:paraId="739B6A73" w14:textId="77777777" w:rsidR="00000000" w:rsidRDefault="001F1B20">
            <w:pPr>
              <w:pStyle w:val="a3"/>
              <w:spacing w:before="0" w:beforeAutospacing="0" w:after="0" w:afterAutospacing="0"/>
              <w:rPr>
                <w:sz w:val="20"/>
                <w:szCs w:val="20"/>
              </w:rPr>
            </w:pPr>
            <w:r>
              <w:rPr>
                <w:b/>
                <w:bCs/>
                <w:sz w:val="16"/>
                <w:szCs w:val="16"/>
              </w:rPr>
              <w:t>​</w:t>
            </w:r>
          </w:p>
        </w:tc>
        <w:tc>
          <w:tcPr>
            <w:tcW w:w="127" w:type="pct"/>
            <w:noWrap/>
            <w:tcMar>
              <w:top w:w="0" w:type="dxa"/>
              <w:left w:w="0" w:type="dxa"/>
              <w:bottom w:w="0" w:type="dxa"/>
              <w:right w:w="0" w:type="dxa"/>
            </w:tcMar>
            <w:vAlign w:val="bottom"/>
            <w:hideMark/>
          </w:tcPr>
          <w:p w14:paraId="2C4FA15C" w14:textId="77777777" w:rsidR="00000000" w:rsidRDefault="001F1B20">
            <w:pPr>
              <w:pStyle w:val="a3"/>
              <w:spacing w:before="0" w:beforeAutospacing="0" w:after="0" w:afterAutospacing="0"/>
              <w:rPr>
                <w:sz w:val="20"/>
                <w:szCs w:val="20"/>
              </w:rPr>
            </w:pPr>
            <w:r>
              <w:rPr>
                <w:b/>
                <w:bCs/>
                <w:sz w:val="16"/>
                <w:szCs w:val="16"/>
              </w:rPr>
              <w:t>​</w:t>
            </w:r>
          </w:p>
        </w:tc>
        <w:tc>
          <w:tcPr>
            <w:tcW w:w="585" w:type="pct"/>
            <w:gridSpan w:val="2"/>
            <w:noWrap/>
            <w:tcMar>
              <w:top w:w="0" w:type="dxa"/>
              <w:left w:w="0" w:type="dxa"/>
              <w:bottom w:w="0" w:type="dxa"/>
              <w:right w:w="0" w:type="dxa"/>
            </w:tcMar>
            <w:vAlign w:val="bottom"/>
            <w:hideMark/>
          </w:tcPr>
          <w:p w14:paraId="05EE0956"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127" w:type="pct"/>
            <w:noWrap/>
            <w:tcMar>
              <w:top w:w="0" w:type="dxa"/>
              <w:left w:w="0" w:type="dxa"/>
              <w:bottom w:w="0" w:type="dxa"/>
              <w:right w:w="0" w:type="dxa"/>
            </w:tcMar>
            <w:vAlign w:val="bottom"/>
            <w:hideMark/>
          </w:tcPr>
          <w:p w14:paraId="17E8E397" w14:textId="77777777" w:rsidR="00000000" w:rsidRDefault="001F1B20">
            <w:pPr>
              <w:pStyle w:val="a3"/>
              <w:spacing w:before="0" w:beforeAutospacing="0" w:after="0" w:afterAutospacing="0"/>
              <w:rPr>
                <w:sz w:val="20"/>
                <w:szCs w:val="20"/>
              </w:rPr>
            </w:pPr>
            <w:r>
              <w:rPr>
                <w:b/>
                <w:bCs/>
                <w:sz w:val="16"/>
                <w:szCs w:val="16"/>
              </w:rPr>
              <w:t>​</w:t>
            </w:r>
          </w:p>
        </w:tc>
        <w:tc>
          <w:tcPr>
            <w:tcW w:w="585" w:type="pct"/>
            <w:gridSpan w:val="2"/>
            <w:noWrap/>
            <w:tcMar>
              <w:top w:w="0" w:type="dxa"/>
              <w:left w:w="0" w:type="dxa"/>
              <w:bottom w:w="0" w:type="dxa"/>
              <w:right w:w="0" w:type="dxa"/>
            </w:tcMar>
            <w:vAlign w:val="bottom"/>
            <w:hideMark/>
          </w:tcPr>
          <w:p w14:paraId="5C6FC5EF" w14:textId="77777777" w:rsidR="00000000" w:rsidRDefault="001F1B20">
            <w:pPr>
              <w:pStyle w:val="a3"/>
              <w:spacing w:before="0" w:beforeAutospacing="0" w:after="0" w:afterAutospacing="0"/>
              <w:jc w:val="center"/>
              <w:rPr>
                <w:sz w:val="16"/>
                <w:szCs w:val="16"/>
              </w:rPr>
            </w:pPr>
            <w:r>
              <w:rPr>
                <w:b/>
                <w:bCs/>
                <w:sz w:val="16"/>
                <w:szCs w:val="16"/>
              </w:rPr>
              <w:t>December 31, </w:t>
            </w:r>
          </w:p>
        </w:tc>
      </w:tr>
      <w:tr w:rsidR="00000000" w14:paraId="19F273FE" w14:textId="77777777">
        <w:trPr>
          <w:divId w:val="2073698176"/>
        </w:trPr>
        <w:tc>
          <w:tcPr>
            <w:tcW w:w="3572" w:type="pct"/>
            <w:tcMar>
              <w:top w:w="0" w:type="dxa"/>
              <w:left w:w="0" w:type="dxa"/>
              <w:bottom w:w="0" w:type="dxa"/>
              <w:right w:w="0" w:type="dxa"/>
            </w:tcMar>
            <w:vAlign w:val="bottom"/>
            <w:hideMark/>
          </w:tcPr>
          <w:p w14:paraId="4C562B7C" w14:textId="77777777" w:rsidR="00000000" w:rsidRDefault="001F1B20">
            <w:pPr>
              <w:pStyle w:val="a3"/>
              <w:spacing w:before="0" w:beforeAutospacing="0" w:after="0" w:afterAutospacing="0"/>
              <w:rPr>
                <w:sz w:val="20"/>
                <w:szCs w:val="20"/>
              </w:rPr>
            </w:pPr>
            <w:r>
              <w:rPr>
                <w:b/>
                <w:bCs/>
                <w:sz w:val="16"/>
                <w:szCs w:val="16"/>
              </w:rPr>
              <w:t>​</w:t>
            </w:r>
          </w:p>
        </w:tc>
        <w:tc>
          <w:tcPr>
            <w:tcW w:w="127" w:type="pct"/>
            <w:noWrap/>
            <w:tcMar>
              <w:top w:w="0" w:type="dxa"/>
              <w:left w:w="0" w:type="dxa"/>
              <w:bottom w:w="0" w:type="dxa"/>
              <w:right w:w="0" w:type="dxa"/>
            </w:tcMar>
            <w:vAlign w:val="bottom"/>
            <w:hideMark/>
          </w:tcPr>
          <w:p w14:paraId="20CF0DAA" w14:textId="77777777" w:rsidR="00000000" w:rsidRDefault="001F1B20">
            <w:pPr>
              <w:pStyle w:val="a3"/>
              <w:spacing w:before="0" w:beforeAutospacing="0" w:after="0" w:afterAutospacing="0"/>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14:paraId="424BEF86" w14:textId="77777777" w:rsidR="00000000" w:rsidRDefault="001F1B20">
            <w:pPr>
              <w:pStyle w:val="a3"/>
              <w:spacing w:before="0" w:beforeAutospacing="0" w:after="0" w:afterAutospacing="0"/>
              <w:jc w:val="center"/>
              <w:rPr>
                <w:sz w:val="16"/>
                <w:szCs w:val="16"/>
              </w:rPr>
            </w:pPr>
            <w:r>
              <w:rPr>
                <w:b/>
                <w:bCs/>
                <w:sz w:val="16"/>
                <w:szCs w:val="16"/>
              </w:rPr>
              <w:t>2021</w:t>
            </w:r>
          </w:p>
        </w:tc>
        <w:tc>
          <w:tcPr>
            <w:tcW w:w="127" w:type="pct"/>
            <w:noWrap/>
            <w:tcMar>
              <w:top w:w="0" w:type="dxa"/>
              <w:left w:w="0" w:type="dxa"/>
              <w:bottom w:w="0" w:type="dxa"/>
              <w:right w:w="0" w:type="dxa"/>
            </w:tcMar>
            <w:vAlign w:val="bottom"/>
            <w:hideMark/>
          </w:tcPr>
          <w:p w14:paraId="7630CD6E" w14:textId="77777777" w:rsidR="00000000" w:rsidRDefault="001F1B20">
            <w:pPr>
              <w:pStyle w:val="a3"/>
              <w:spacing w:before="0" w:beforeAutospacing="0" w:after="0" w:afterAutospacing="0"/>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14:paraId="4945E86D" w14:textId="77777777" w:rsidR="00000000" w:rsidRDefault="001F1B20">
            <w:pPr>
              <w:pStyle w:val="a3"/>
              <w:spacing w:before="0" w:beforeAutospacing="0" w:after="0" w:afterAutospacing="0"/>
              <w:jc w:val="center"/>
              <w:rPr>
                <w:sz w:val="16"/>
                <w:szCs w:val="16"/>
              </w:rPr>
            </w:pPr>
            <w:r>
              <w:rPr>
                <w:b/>
                <w:bCs/>
                <w:sz w:val="16"/>
                <w:szCs w:val="16"/>
              </w:rPr>
              <w:t>2020</w:t>
            </w:r>
          </w:p>
        </w:tc>
      </w:tr>
      <w:tr w:rsidR="00000000" w14:paraId="098D172A" w14:textId="77777777">
        <w:trPr>
          <w:divId w:val="2073698176"/>
        </w:trPr>
        <w:tc>
          <w:tcPr>
            <w:tcW w:w="3572" w:type="pct"/>
            <w:shd w:val="clear" w:color="auto" w:fill="CCEEFF"/>
            <w:tcMar>
              <w:top w:w="0" w:type="dxa"/>
              <w:left w:w="0" w:type="dxa"/>
              <w:bottom w:w="0" w:type="dxa"/>
              <w:right w:w="0" w:type="dxa"/>
            </w:tcMar>
            <w:hideMark/>
          </w:tcPr>
          <w:p w14:paraId="05589B50" w14:textId="77777777" w:rsidR="00000000" w:rsidRDefault="001F1B20">
            <w:pPr>
              <w:pStyle w:val="a3"/>
              <w:spacing w:before="0" w:beforeAutospacing="0" w:after="0" w:afterAutospacing="0"/>
              <w:rPr>
                <w:sz w:val="18"/>
                <w:szCs w:val="18"/>
              </w:rPr>
            </w:pPr>
            <w:r>
              <w:rPr>
                <w:b/>
                <w:bCs/>
                <w:sz w:val="18"/>
                <w:szCs w:val="18"/>
              </w:rPr>
              <w:t>Assets</w:t>
            </w:r>
          </w:p>
        </w:tc>
        <w:tc>
          <w:tcPr>
            <w:tcW w:w="127" w:type="pct"/>
            <w:shd w:val="clear" w:color="auto" w:fill="CCEEFF"/>
            <w:noWrap/>
            <w:tcMar>
              <w:top w:w="0" w:type="dxa"/>
              <w:left w:w="0" w:type="dxa"/>
              <w:bottom w:w="0" w:type="dxa"/>
              <w:right w:w="0" w:type="dxa"/>
            </w:tcMar>
            <w:vAlign w:val="bottom"/>
            <w:hideMark/>
          </w:tcPr>
          <w:p w14:paraId="334AFCD8"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5ED2A775" w14:textId="77777777" w:rsidR="00000000" w:rsidRDefault="001F1B20">
            <w:pPr>
              <w:pStyle w:val="a3"/>
              <w:spacing w:before="0" w:beforeAutospacing="0" w:after="0" w:afterAutospacing="0"/>
              <w:jc w:val="center"/>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526F2E29" w14:textId="77777777" w:rsidR="00000000" w:rsidRDefault="001F1B20">
            <w:pPr>
              <w:pStyle w:val="a3"/>
              <w:spacing w:before="0" w:beforeAutospacing="0" w:after="0" w:afterAutospacing="0"/>
              <w:jc w:val="right"/>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14:paraId="0E4AC200"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65012B13" w14:textId="77777777" w:rsidR="00000000" w:rsidRDefault="001F1B20">
            <w:pPr>
              <w:pStyle w:val="a3"/>
              <w:spacing w:before="0" w:beforeAutospacing="0" w:after="0" w:afterAutospacing="0"/>
              <w:jc w:val="center"/>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78DE7721" w14:textId="77777777" w:rsidR="00000000" w:rsidRDefault="001F1B20">
            <w:pPr>
              <w:pStyle w:val="a3"/>
              <w:spacing w:before="0" w:beforeAutospacing="0" w:after="0" w:afterAutospacing="0"/>
              <w:jc w:val="right"/>
              <w:rPr>
                <w:sz w:val="20"/>
                <w:szCs w:val="20"/>
              </w:rPr>
            </w:pPr>
            <w:r>
              <w:rPr>
                <w:sz w:val="18"/>
                <w:szCs w:val="18"/>
              </w:rPr>
              <w:t>​</w:t>
            </w:r>
          </w:p>
        </w:tc>
      </w:tr>
      <w:tr w:rsidR="00000000" w14:paraId="48034987" w14:textId="77777777">
        <w:trPr>
          <w:divId w:val="2073698176"/>
        </w:trPr>
        <w:tc>
          <w:tcPr>
            <w:tcW w:w="3572" w:type="pct"/>
            <w:tcMar>
              <w:top w:w="0" w:type="dxa"/>
              <w:left w:w="0" w:type="dxa"/>
              <w:bottom w:w="0" w:type="dxa"/>
              <w:right w:w="0" w:type="dxa"/>
            </w:tcMar>
            <w:hideMark/>
          </w:tcPr>
          <w:p w14:paraId="04BE6893" w14:textId="77777777" w:rsidR="00000000" w:rsidRDefault="001F1B20">
            <w:pPr>
              <w:pStyle w:val="a3"/>
              <w:spacing w:before="0" w:beforeAutospacing="0" w:after="0" w:afterAutospacing="0"/>
              <w:rPr>
                <w:sz w:val="18"/>
                <w:szCs w:val="18"/>
              </w:rPr>
            </w:pPr>
            <w:r>
              <w:rPr>
                <w:sz w:val="18"/>
                <w:szCs w:val="18"/>
              </w:rPr>
              <w:t>Current assets:</w:t>
            </w:r>
          </w:p>
        </w:tc>
        <w:tc>
          <w:tcPr>
            <w:tcW w:w="127" w:type="pct"/>
            <w:noWrap/>
            <w:tcMar>
              <w:top w:w="0" w:type="dxa"/>
              <w:left w:w="0" w:type="dxa"/>
              <w:bottom w:w="0" w:type="dxa"/>
              <w:right w:w="0" w:type="dxa"/>
            </w:tcMar>
            <w:vAlign w:val="bottom"/>
            <w:hideMark/>
          </w:tcPr>
          <w:p w14:paraId="17BE795D"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0142B3D7" w14:textId="77777777" w:rsidR="00000000" w:rsidRDefault="001F1B20">
            <w:pPr>
              <w:pStyle w:val="a3"/>
              <w:spacing w:before="0" w:beforeAutospacing="0" w:after="0" w:afterAutospacing="0"/>
              <w:jc w:val="center"/>
              <w:rPr>
                <w:sz w:val="20"/>
                <w:szCs w:val="20"/>
              </w:rPr>
            </w:pPr>
            <w:r>
              <w:rPr>
                <w:sz w:val="18"/>
                <w:szCs w:val="18"/>
              </w:rPr>
              <w:t>​</w:t>
            </w:r>
          </w:p>
        </w:tc>
        <w:tc>
          <w:tcPr>
            <w:tcW w:w="504" w:type="pct"/>
            <w:noWrap/>
            <w:tcMar>
              <w:top w:w="0" w:type="dxa"/>
              <w:left w:w="0" w:type="dxa"/>
              <w:bottom w:w="0" w:type="dxa"/>
              <w:right w:w="0" w:type="dxa"/>
            </w:tcMar>
            <w:vAlign w:val="bottom"/>
            <w:hideMark/>
          </w:tcPr>
          <w:p w14:paraId="76F9E46B" w14:textId="77777777" w:rsidR="00000000" w:rsidRDefault="001F1B20">
            <w:pPr>
              <w:pStyle w:val="a3"/>
              <w:spacing w:before="0" w:beforeAutospacing="0" w:after="0" w:afterAutospacing="0"/>
              <w:jc w:val="right"/>
              <w:rPr>
                <w:sz w:val="20"/>
                <w:szCs w:val="20"/>
              </w:rPr>
            </w:pPr>
            <w:r>
              <w:rPr>
                <w:sz w:val="18"/>
                <w:szCs w:val="18"/>
              </w:rPr>
              <w:t>​</w:t>
            </w:r>
          </w:p>
        </w:tc>
        <w:tc>
          <w:tcPr>
            <w:tcW w:w="127" w:type="pct"/>
            <w:noWrap/>
            <w:tcMar>
              <w:top w:w="0" w:type="dxa"/>
              <w:left w:w="0" w:type="dxa"/>
              <w:bottom w:w="0" w:type="dxa"/>
              <w:right w:w="0" w:type="dxa"/>
            </w:tcMar>
            <w:vAlign w:val="bottom"/>
            <w:hideMark/>
          </w:tcPr>
          <w:p w14:paraId="6BBCC83E"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445AE324" w14:textId="77777777" w:rsidR="00000000" w:rsidRDefault="001F1B20">
            <w:pPr>
              <w:pStyle w:val="a3"/>
              <w:spacing w:before="0" w:beforeAutospacing="0" w:after="0" w:afterAutospacing="0"/>
              <w:jc w:val="center"/>
              <w:rPr>
                <w:sz w:val="20"/>
                <w:szCs w:val="20"/>
              </w:rPr>
            </w:pPr>
            <w:r>
              <w:rPr>
                <w:sz w:val="18"/>
                <w:szCs w:val="18"/>
              </w:rPr>
              <w:t>​</w:t>
            </w:r>
          </w:p>
        </w:tc>
        <w:tc>
          <w:tcPr>
            <w:tcW w:w="504" w:type="pct"/>
            <w:noWrap/>
            <w:tcMar>
              <w:top w:w="0" w:type="dxa"/>
              <w:left w:w="0" w:type="dxa"/>
              <w:bottom w:w="0" w:type="dxa"/>
              <w:right w:w="0" w:type="dxa"/>
            </w:tcMar>
            <w:vAlign w:val="bottom"/>
            <w:hideMark/>
          </w:tcPr>
          <w:p w14:paraId="6DC8B637" w14:textId="77777777" w:rsidR="00000000" w:rsidRDefault="001F1B20">
            <w:pPr>
              <w:pStyle w:val="a3"/>
              <w:spacing w:before="0" w:beforeAutospacing="0" w:after="0" w:afterAutospacing="0"/>
              <w:jc w:val="right"/>
              <w:rPr>
                <w:sz w:val="20"/>
                <w:szCs w:val="20"/>
              </w:rPr>
            </w:pPr>
            <w:r>
              <w:rPr>
                <w:sz w:val="18"/>
                <w:szCs w:val="18"/>
              </w:rPr>
              <w:t>​</w:t>
            </w:r>
          </w:p>
        </w:tc>
      </w:tr>
      <w:tr w:rsidR="00000000" w14:paraId="2F0A3C2C" w14:textId="77777777">
        <w:trPr>
          <w:divId w:val="2073698176"/>
        </w:trPr>
        <w:tc>
          <w:tcPr>
            <w:tcW w:w="3572" w:type="pct"/>
            <w:shd w:val="clear" w:color="auto" w:fill="CCEEFF"/>
            <w:tcMar>
              <w:top w:w="0" w:type="dxa"/>
              <w:left w:w="0" w:type="dxa"/>
              <w:bottom w:w="0" w:type="dxa"/>
              <w:right w:w="0" w:type="dxa"/>
            </w:tcMar>
            <w:hideMark/>
          </w:tcPr>
          <w:p w14:paraId="41288919" w14:textId="77777777" w:rsidR="00000000" w:rsidRDefault="001F1B20">
            <w:pPr>
              <w:pStyle w:val="a3"/>
              <w:spacing w:before="0" w:beforeAutospacing="0" w:after="0" w:afterAutospacing="0"/>
              <w:ind w:left="240"/>
              <w:rPr>
                <w:sz w:val="18"/>
                <w:szCs w:val="18"/>
              </w:rPr>
            </w:pPr>
            <w:r>
              <w:rPr>
                <w:sz w:val="18"/>
                <w:szCs w:val="18"/>
              </w:rPr>
              <w:t xml:space="preserve">Cash and cash equivalents </w:t>
            </w:r>
          </w:p>
        </w:tc>
        <w:tc>
          <w:tcPr>
            <w:tcW w:w="127" w:type="pct"/>
            <w:shd w:val="clear" w:color="auto" w:fill="CCEEFF"/>
            <w:noWrap/>
            <w:tcMar>
              <w:top w:w="0" w:type="dxa"/>
              <w:left w:w="0" w:type="dxa"/>
              <w:bottom w:w="0" w:type="dxa"/>
              <w:right w:w="0" w:type="dxa"/>
            </w:tcMar>
            <w:vAlign w:val="bottom"/>
            <w:hideMark/>
          </w:tcPr>
          <w:p w14:paraId="4B2061BE"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345291D0" w14:textId="77777777" w:rsidR="00000000" w:rsidRDefault="001F1B20">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14:paraId="5EB09F98" w14:textId="77777777" w:rsidR="00000000" w:rsidRDefault="001F1B20">
            <w:pPr>
              <w:pStyle w:val="a3"/>
              <w:spacing w:before="0" w:beforeAutospacing="0" w:after="0" w:afterAutospacing="0"/>
              <w:ind w:right="60"/>
              <w:jc w:val="right"/>
              <w:rPr>
                <w:sz w:val="18"/>
                <w:szCs w:val="18"/>
              </w:rPr>
            </w:pPr>
            <w:r>
              <w:rPr>
                <w:sz w:val="18"/>
                <w:szCs w:val="18"/>
              </w:rPr>
              <w:t>121,424</w:t>
            </w:r>
          </w:p>
        </w:tc>
        <w:tc>
          <w:tcPr>
            <w:tcW w:w="127" w:type="pct"/>
            <w:shd w:val="clear" w:color="auto" w:fill="CCEEFF"/>
            <w:noWrap/>
            <w:tcMar>
              <w:top w:w="0" w:type="dxa"/>
              <w:left w:w="0" w:type="dxa"/>
              <w:bottom w:w="0" w:type="dxa"/>
              <w:right w:w="0" w:type="dxa"/>
            </w:tcMar>
            <w:vAlign w:val="bottom"/>
            <w:hideMark/>
          </w:tcPr>
          <w:p w14:paraId="38E76B8D"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2115D831" w14:textId="77777777" w:rsidR="00000000" w:rsidRDefault="001F1B20">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14:paraId="5E138CB7" w14:textId="77777777" w:rsidR="00000000" w:rsidRDefault="001F1B20">
            <w:pPr>
              <w:pStyle w:val="a3"/>
              <w:spacing w:before="0" w:beforeAutospacing="0" w:after="0" w:afterAutospacing="0"/>
              <w:ind w:right="60"/>
              <w:jc w:val="right"/>
              <w:rPr>
                <w:sz w:val="18"/>
                <w:szCs w:val="18"/>
              </w:rPr>
            </w:pPr>
            <w:r>
              <w:rPr>
                <w:sz w:val="18"/>
                <w:szCs w:val="18"/>
              </w:rPr>
              <w:t>81,467</w:t>
            </w:r>
          </w:p>
        </w:tc>
      </w:tr>
      <w:tr w:rsidR="00000000" w14:paraId="42133A3F" w14:textId="77777777">
        <w:trPr>
          <w:divId w:val="2073698176"/>
        </w:trPr>
        <w:tc>
          <w:tcPr>
            <w:tcW w:w="3572" w:type="pct"/>
            <w:tcMar>
              <w:top w:w="0" w:type="dxa"/>
              <w:left w:w="0" w:type="dxa"/>
              <w:bottom w:w="0" w:type="dxa"/>
              <w:right w:w="0" w:type="dxa"/>
            </w:tcMar>
            <w:hideMark/>
          </w:tcPr>
          <w:p w14:paraId="36B328D8" w14:textId="77777777" w:rsidR="00000000" w:rsidRDefault="001F1B20">
            <w:pPr>
              <w:pStyle w:val="a3"/>
              <w:spacing w:before="0" w:beforeAutospacing="0" w:after="0" w:afterAutospacing="0"/>
              <w:ind w:left="240"/>
              <w:rPr>
                <w:sz w:val="18"/>
                <w:szCs w:val="18"/>
              </w:rPr>
            </w:pPr>
            <w:r>
              <w:rPr>
                <w:sz w:val="18"/>
                <w:szCs w:val="18"/>
              </w:rPr>
              <w:t>Short-term marketable securities</w:t>
            </w:r>
          </w:p>
        </w:tc>
        <w:tc>
          <w:tcPr>
            <w:tcW w:w="127" w:type="pct"/>
            <w:noWrap/>
            <w:tcMar>
              <w:top w:w="0" w:type="dxa"/>
              <w:left w:w="0" w:type="dxa"/>
              <w:bottom w:w="0" w:type="dxa"/>
              <w:right w:w="0" w:type="dxa"/>
            </w:tcMar>
            <w:vAlign w:val="bottom"/>
            <w:hideMark/>
          </w:tcPr>
          <w:p w14:paraId="1232BD8A"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3F9E0D28"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2D6B8FF3" w14:textId="77777777" w:rsidR="00000000" w:rsidRDefault="001F1B20">
            <w:pPr>
              <w:pStyle w:val="a3"/>
              <w:spacing w:before="0" w:beforeAutospacing="0" w:after="0" w:afterAutospacing="0"/>
              <w:ind w:right="60"/>
              <w:jc w:val="right"/>
              <w:rPr>
                <w:sz w:val="18"/>
                <w:szCs w:val="18"/>
              </w:rPr>
            </w:pPr>
            <w:r>
              <w:rPr>
                <w:sz w:val="18"/>
                <w:szCs w:val="18"/>
              </w:rPr>
              <w:t>94,789</w:t>
            </w:r>
          </w:p>
        </w:tc>
        <w:tc>
          <w:tcPr>
            <w:tcW w:w="127" w:type="pct"/>
            <w:noWrap/>
            <w:tcMar>
              <w:top w:w="0" w:type="dxa"/>
              <w:left w:w="0" w:type="dxa"/>
              <w:bottom w:w="0" w:type="dxa"/>
              <w:right w:w="0" w:type="dxa"/>
            </w:tcMar>
            <w:vAlign w:val="bottom"/>
            <w:hideMark/>
          </w:tcPr>
          <w:p w14:paraId="127E1DA5"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0B43F78B"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497C569A" w14:textId="77777777" w:rsidR="00000000" w:rsidRDefault="001F1B20">
            <w:pPr>
              <w:pStyle w:val="a3"/>
              <w:spacing w:before="0" w:beforeAutospacing="0" w:after="0" w:afterAutospacing="0"/>
              <w:ind w:right="60"/>
              <w:jc w:val="right"/>
              <w:rPr>
                <w:sz w:val="18"/>
                <w:szCs w:val="18"/>
              </w:rPr>
            </w:pPr>
            <w:r>
              <w:rPr>
                <w:sz w:val="18"/>
                <w:szCs w:val="18"/>
              </w:rPr>
              <w:t>211,474</w:t>
            </w:r>
          </w:p>
        </w:tc>
      </w:tr>
      <w:tr w:rsidR="00000000" w14:paraId="16081486" w14:textId="77777777">
        <w:trPr>
          <w:divId w:val="2073698176"/>
        </w:trPr>
        <w:tc>
          <w:tcPr>
            <w:tcW w:w="3572" w:type="pct"/>
            <w:shd w:val="clear" w:color="auto" w:fill="CCEEFF"/>
            <w:tcMar>
              <w:top w:w="0" w:type="dxa"/>
              <w:left w:w="0" w:type="dxa"/>
              <w:bottom w:w="0" w:type="dxa"/>
              <w:right w:w="0" w:type="dxa"/>
            </w:tcMar>
            <w:hideMark/>
          </w:tcPr>
          <w:p w14:paraId="76AE56BA" w14:textId="77777777" w:rsidR="00000000" w:rsidRDefault="001F1B20">
            <w:pPr>
              <w:pStyle w:val="a3"/>
              <w:spacing w:before="0" w:beforeAutospacing="0" w:after="0" w:afterAutospacing="0"/>
              <w:ind w:left="240"/>
              <w:rPr>
                <w:sz w:val="18"/>
                <w:szCs w:val="18"/>
              </w:rPr>
            </w:pPr>
            <w:r>
              <w:rPr>
                <w:sz w:val="18"/>
                <w:szCs w:val="18"/>
              </w:rPr>
              <w:t xml:space="preserve">Receivables from collaborative arrangements </w:t>
            </w:r>
          </w:p>
        </w:tc>
        <w:tc>
          <w:tcPr>
            <w:tcW w:w="127" w:type="pct"/>
            <w:shd w:val="clear" w:color="auto" w:fill="CCEEFF"/>
            <w:noWrap/>
            <w:tcMar>
              <w:top w:w="0" w:type="dxa"/>
              <w:left w:w="0" w:type="dxa"/>
              <w:bottom w:w="0" w:type="dxa"/>
              <w:right w:w="0" w:type="dxa"/>
            </w:tcMar>
            <w:vAlign w:val="bottom"/>
            <w:hideMark/>
          </w:tcPr>
          <w:p w14:paraId="19422797"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19F595D0" w14:textId="77777777" w:rsidR="00000000" w:rsidRDefault="001F1B2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14:paraId="7D810AC0" w14:textId="77777777" w:rsidR="00000000" w:rsidRDefault="001F1B20">
            <w:pPr>
              <w:pStyle w:val="a3"/>
              <w:spacing w:before="0" w:beforeAutospacing="0" w:after="0" w:afterAutospacing="0"/>
              <w:ind w:right="60"/>
              <w:jc w:val="right"/>
              <w:rPr>
                <w:sz w:val="18"/>
                <w:szCs w:val="18"/>
              </w:rPr>
            </w:pPr>
            <w:r>
              <w:rPr>
                <w:sz w:val="18"/>
                <w:szCs w:val="18"/>
              </w:rPr>
              <w:t>14,001</w:t>
            </w:r>
          </w:p>
        </w:tc>
        <w:tc>
          <w:tcPr>
            <w:tcW w:w="127" w:type="pct"/>
            <w:shd w:val="clear" w:color="auto" w:fill="CCEEFF"/>
            <w:noWrap/>
            <w:tcMar>
              <w:top w:w="0" w:type="dxa"/>
              <w:left w:w="0" w:type="dxa"/>
              <w:bottom w:w="0" w:type="dxa"/>
              <w:right w:w="0" w:type="dxa"/>
            </w:tcMar>
            <w:vAlign w:val="bottom"/>
            <w:hideMark/>
          </w:tcPr>
          <w:p w14:paraId="5A865ECF"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6FF01D2A" w14:textId="77777777" w:rsidR="00000000" w:rsidRDefault="001F1B2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14:paraId="699BB8A9" w14:textId="77777777" w:rsidR="00000000" w:rsidRDefault="001F1B20">
            <w:pPr>
              <w:pStyle w:val="a3"/>
              <w:spacing w:before="0" w:beforeAutospacing="0" w:after="0" w:afterAutospacing="0"/>
              <w:ind w:right="60"/>
              <w:jc w:val="right"/>
              <w:rPr>
                <w:sz w:val="18"/>
                <w:szCs w:val="18"/>
              </w:rPr>
            </w:pPr>
            <w:r>
              <w:rPr>
                <w:sz w:val="18"/>
                <w:szCs w:val="18"/>
              </w:rPr>
              <w:t>15,868</w:t>
            </w:r>
          </w:p>
        </w:tc>
      </w:tr>
      <w:tr w:rsidR="00000000" w14:paraId="01E7FC3E" w14:textId="77777777">
        <w:trPr>
          <w:divId w:val="2073698176"/>
        </w:trPr>
        <w:tc>
          <w:tcPr>
            <w:tcW w:w="3572" w:type="pct"/>
            <w:tcMar>
              <w:top w:w="0" w:type="dxa"/>
              <w:left w:w="0" w:type="dxa"/>
              <w:bottom w:w="0" w:type="dxa"/>
              <w:right w:w="0" w:type="dxa"/>
            </w:tcMar>
            <w:hideMark/>
          </w:tcPr>
          <w:p w14:paraId="4F080616" w14:textId="77777777" w:rsidR="00000000" w:rsidRDefault="001F1B20">
            <w:pPr>
              <w:pStyle w:val="a3"/>
              <w:spacing w:before="0" w:beforeAutospacing="0" w:after="0" w:afterAutospacing="0"/>
              <w:ind w:left="240"/>
              <w:rPr>
                <w:sz w:val="18"/>
                <w:szCs w:val="18"/>
              </w:rPr>
            </w:pPr>
            <w:r>
              <w:rPr>
                <w:sz w:val="18"/>
                <w:szCs w:val="18"/>
              </w:rPr>
              <w:t>Amounts due from TRC, LLC</w:t>
            </w:r>
          </w:p>
        </w:tc>
        <w:tc>
          <w:tcPr>
            <w:tcW w:w="127" w:type="pct"/>
            <w:noWrap/>
            <w:tcMar>
              <w:top w:w="0" w:type="dxa"/>
              <w:left w:w="0" w:type="dxa"/>
              <w:bottom w:w="0" w:type="dxa"/>
              <w:right w:w="0" w:type="dxa"/>
            </w:tcMar>
            <w:vAlign w:val="bottom"/>
            <w:hideMark/>
          </w:tcPr>
          <w:p w14:paraId="01DE56AF"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49B01F23"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04A757F7" w14:textId="77777777" w:rsidR="00000000" w:rsidRDefault="001F1B20">
            <w:pPr>
              <w:pStyle w:val="a3"/>
              <w:spacing w:before="0" w:beforeAutospacing="0" w:after="0" w:afterAutospacing="0"/>
              <w:ind w:right="60"/>
              <w:jc w:val="right"/>
              <w:rPr>
                <w:sz w:val="18"/>
                <w:szCs w:val="18"/>
              </w:rPr>
            </w:pPr>
            <w:r>
              <w:rPr>
                <w:sz w:val="18"/>
                <w:szCs w:val="18"/>
              </w:rPr>
              <w:t>43,773</w:t>
            </w:r>
          </w:p>
        </w:tc>
        <w:tc>
          <w:tcPr>
            <w:tcW w:w="127" w:type="pct"/>
            <w:noWrap/>
            <w:tcMar>
              <w:top w:w="0" w:type="dxa"/>
              <w:left w:w="0" w:type="dxa"/>
              <w:bottom w:w="0" w:type="dxa"/>
              <w:right w:w="0" w:type="dxa"/>
            </w:tcMar>
            <w:vAlign w:val="bottom"/>
            <w:hideMark/>
          </w:tcPr>
          <w:p w14:paraId="22E64578"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7703E2E8"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6B24E812" w14:textId="77777777" w:rsidR="00000000" w:rsidRDefault="001F1B20">
            <w:pPr>
              <w:pStyle w:val="a3"/>
              <w:spacing w:before="0" w:beforeAutospacing="0" w:after="0" w:afterAutospacing="0"/>
              <w:ind w:right="60"/>
              <w:jc w:val="right"/>
              <w:rPr>
                <w:sz w:val="18"/>
                <w:szCs w:val="18"/>
              </w:rPr>
            </w:pPr>
            <w:r>
              <w:rPr>
                <w:sz w:val="18"/>
                <w:szCs w:val="18"/>
              </w:rPr>
              <w:t>53,799</w:t>
            </w:r>
          </w:p>
        </w:tc>
      </w:tr>
      <w:tr w:rsidR="00000000" w14:paraId="08BDCA02" w14:textId="77777777">
        <w:trPr>
          <w:divId w:val="2073698176"/>
        </w:trPr>
        <w:tc>
          <w:tcPr>
            <w:tcW w:w="3572" w:type="pct"/>
            <w:shd w:val="clear" w:color="auto" w:fill="CCEEFF"/>
            <w:tcMar>
              <w:top w:w="0" w:type="dxa"/>
              <w:left w:w="0" w:type="dxa"/>
              <w:bottom w:w="0" w:type="dxa"/>
              <w:right w:w="0" w:type="dxa"/>
            </w:tcMar>
            <w:hideMark/>
          </w:tcPr>
          <w:p w14:paraId="3BC49A2F" w14:textId="77777777" w:rsidR="00000000" w:rsidRDefault="001F1B20">
            <w:pPr>
              <w:pStyle w:val="a3"/>
              <w:spacing w:before="0" w:beforeAutospacing="0" w:after="0" w:afterAutospacing="0"/>
              <w:ind w:left="240"/>
              <w:rPr>
                <w:sz w:val="18"/>
                <w:szCs w:val="18"/>
              </w:rPr>
            </w:pPr>
            <w:r>
              <w:rPr>
                <w:sz w:val="18"/>
                <w:szCs w:val="18"/>
              </w:rPr>
              <w:t>Prepaid clinical and development services</w:t>
            </w:r>
          </w:p>
        </w:tc>
        <w:tc>
          <w:tcPr>
            <w:tcW w:w="127" w:type="pct"/>
            <w:shd w:val="clear" w:color="auto" w:fill="CCEEFF"/>
            <w:noWrap/>
            <w:tcMar>
              <w:top w:w="0" w:type="dxa"/>
              <w:left w:w="0" w:type="dxa"/>
              <w:bottom w:w="0" w:type="dxa"/>
              <w:right w:w="0" w:type="dxa"/>
            </w:tcMar>
            <w:vAlign w:val="bottom"/>
            <w:hideMark/>
          </w:tcPr>
          <w:p w14:paraId="005BD7BE"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5E705642"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16AA11B3" w14:textId="77777777" w:rsidR="00000000" w:rsidRDefault="001F1B20">
            <w:pPr>
              <w:pStyle w:val="a3"/>
              <w:spacing w:before="0" w:beforeAutospacing="0" w:after="0" w:afterAutospacing="0"/>
              <w:ind w:right="60"/>
              <w:jc w:val="right"/>
              <w:rPr>
                <w:sz w:val="18"/>
                <w:szCs w:val="18"/>
              </w:rPr>
            </w:pPr>
            <w:r>
              <w:rPr>
                <w:sz w:val="18"/>
                <w:szCs w:val="18"/>
              </w:rPr>
              <w:t>13,242</w:t>
            </w:r>
          </w:p>
        </w:tc>
        <w:tc>
          <w:tcPr>
            <w:tcW w:w="127" w:type="pct"/>
            <w:shd w:val="clear" w:color="auto" w:fill="CCEEFF"/>
            <w:noWrap/>
            <w:tcMar>
              <w:top w:w="0" w:type="dxa"/>
              <w:left w:w="0" w:type="dxa"/>
              <w:bottom w:w="0" w:type="dxa"/>
              <w:right w:w="0" w:type="dxa"/>
            </w:tcMar>
            <w:vAlign w:val="bottom"/>
            <w:hideMark/>
          </w:tcPr>
          <w:p w14:paraId="1575BB39"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609C4037"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655854E5" w14:textId="77777777" w:rsidR="00000000" w:rsidRDefault="001F1B20">
            <w:pPr>
              <w:pStyle w:val="a3"/>
              <w:spacing w:before="0" w:beforeAutospacing="0" w:after="0" w:afterAutospacing="0"/>
              <w:ind w:right="60"/>
              <w:jc w:val="right"/>
              <w:rPr>
                <w:sz w:val="18"/>
                <w:szCs w:val="18"/>
              </w:rPr>
            </w:pPr>
            <w:r>
              <w:rPr>
                <w:sz w:val="18"/>
                <w:szCs w:val="18"/>
              </w:rPr>
              <w:t>20,374</w:t>
            </w:r>
          </w:p>
        </w:tc>
      </w:tr>
      <w:tr w:rsidR="00000000" w14:paraId="55DBC252" w14:textId="77777777">
        <w:trPr>
          <w:divId w:val="2073698176"/>
        </w:trPr>
        <w:tc>
          <w:tcPr>
            <w:tcW w:w="3572" w:type="pct"/>
            <w:tcMar>
              <w:top w:w="0" w:type="dxa"/>
              <w:left w:w="0" w:type="dxa"/>
              <w:bottom w:w="0" w:type="dxa"/>
              <w:right w:w="0" w:type="dxa"/>
            </w:tcMar>
            <w:hideMark/>
          </w:tcPr>
          <w:p w14:paraId="73FB6905" w14:textId="77777777" w:rsidR="00000000" w:rsidRDefault="001F1B20">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7" w:type="pct"/>
            <w:noWrap/>
            <w:tcMar>
              <w:top w:w="0" w:type="dxa"/>
              <w:left w:w="0" w:type="dxa"/>
              <w:bottom w:w="0" w:type="dxa"/>
              <w:right w:w="0" w:type="dxa"/>
            </w:tcMar>
            <w:vAlign w:val="bottom"/>
            <w:hideMark/>
          </w:tcPr>
          <w:p w14:paraId="0EF8CACC"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14:paraId="7988AFD3" w14:textId="77777777" w:rsidR="00000000" w:rsidRDefault="001F1B20">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14:paraId="0BCE28F1" w14:textId="77777777" w:rsidR="00000000" w:rsidRDefault="001F1B20">
            <w:pPr>
              <w:pStyle w:val="a3"/>
              <w:spacing w:before="0" w:beforeAutospacing="0" w:after="0" w:afterAutospacing="0"/>
              <w:ind w:right="60"/>
              <w:jc w:val="right"/>
              <w:rPr>
                <w:sz w:val="18"/>
                <w:szCs w:val="18"/>
              </w:rPr>
            </w:pPr>
            <w:r>
              <w:rPr>
                <w:sz w:val="18"/>
                <w:szCs w:val="18"/>
              </w:rPr>
              <w:t>9,943</w:t>
            </w:r>
          </w:p>
        </w:tc>
        <w:tc>
          <w:tcPr>
            <w:tcW w:w="127" w:type="pct"/>
            <w:noWrap/>
            <w:tcMar>
              <w:top w:w="0" w:type="dxa"/>
              <w:left w:w="0" w:type="dxa"/>
              <w:bottom w:w="0" w:type="dxa"/>
              <w:right w:w="0" w:type="dxa"/>
            </w:tcMar>
            <w:vAlign w:val="bottom"/>
            <w:hideMark/>
          </w:tcPr>
          <w:p w14:paraId="7F055F9E"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14:paraId="0C3227D6" w14:textId="77777777" w:rsidR="00000000" w:rsidRDefault="001F1B20">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14:paraId="7B2F04E5" w14:textId="77777777" w:rsidR="00000000" w:rsidRDefault="001F1B20">
            <w:pPr>
              <w:pStyle w:val="a3"/>
              <w:spacing w:before="0" w:beforeAutospacing="0" w:after="0" w:afterAutospacing="0"/>
              <w:ind w:right="60"/>
              <w:jc w:val="right"/>
              <w:rPr>
                <w:sz w:val="18"/>
                <w:szCs w:val="18"/>
              </w:rPr>
            </w:pPr>
            <w:r>
              <w:rPr>
                <w:sz w:val="18"/>
                <w:szCs w:val="18"/>
              </w:rPr>
              <w:t>10,359</w:t>
            </w:r>
          </w:p>
        </w:tc>
      </w:tr>
      <w:tr w:rsidR="00000000" w14:paraId="54712DF8" w14:textId="77777777">
        <w:trPr>
          <w:divId w:val="2073698176"/>
        </w:trPr>
        <w:tc>
          <w:tcPr>
            <w:tcW w:w="3572" w:type="pct"/>
            <w:shd w:val="clear" w:color="auto" w:fill="CCEEFF"/>
            <w:tcMar>
              <w:top w:w="0" w:type="dxa"/>
              <w:left w:w="0" w:type="dxa"/>
              <w:bottom w:w="0" w:type="dxa"/>
              <w:right w:w="0" w:type="dxa"/>
            </w:tcMar>
            <w:hideMark/>
          </w:tcPr>
          <w:p w14:paraId="6ABAAAD0" w14:textId="77777777" w:rsidR="00000000" w:rsidRDefault="001F1B20">
            <w:pPr>
              <w:pStyle w:val="a3"/>
              <w:spacing w:before="0" w:beforeAutospacing="0" w:after="0" w:afterAutospacing="0"/>
              <w:ind w:left="360"/>
              <w:rPr>
                <w:sz w:val="18"/>
                <w:szCs w:val="18"/>
              </w:rPr>
            </w:pPr>
            <w:r>
              <w:rPr>
                <w:sz w:val="18"/>
                <w:szCs w:val="18"/>
              </w:rPr>
              <w:t xml:space="preserve">Total current assets </w:t>
            </w:r>
          </w:p>
        </w:tc>
        <w:tc>
          <w:tcPr>
            <w:tcW w:w="127" w:type="pct"/>
            <w:shd w:val="clear" w:color="auto" w:fill="CCEEFF"/>
            <w:noWrap/>
            <w:tcMar>
              <w:top w:w="0" w:type="dxa"/>
              <w:left w:w="0" w:type="dxa"/>
              <w:bottom w:w="0" w:type="dxa"/>
              <w:right w:w="0" w:type="dxa"/>
            </w:tcMar>
            <w:vAlign w:val="bottom"/>
            <w:hideMark/>
          </w:tcPr>
          <w:p w14:paraId="1637E467"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7941FA0A" w14:textId="77777777" w:rsidR="00000000" w:rsidRDefault="001F1B2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14:paraId="73223B6E" w14:textId="77777777" w:rsidR="00000000" w:rsidRDefault="001F1B20">
            <w:pPr>
              <w:pStyle w:val="a3"/>
              <w:spacing w:before="0" w:beforeAutospacing="0" w:after="0" w:afterAutospacing="0"/>
              <w:ind w:right="60"/>
              <w:jc w:val="right"/>
              <w:rPr>
                <w:sz w:val="18"/>
                <w:szCs w:val="18"/>
              </w:rPr>
            </w:pPr>
            <w:r>
              <w:rPr>
                <w:sz w:val="18"/>
                <w:szCs w:val="18"/>
              </w:rPr>
              <w:t>297,172</w:t>
            </w:r>
          </w:p>
        </w:tc>
        <w:tc>
          <w:tcPr>
            <w:tcW w:w="127" w:type="pct"/>
            <w:shd w:val="clear" w:color="auto" w:fill="CCEEFF"/>
            <w:noWrap/>
            <w:tcMar>
              <w:top w:w="0" w:type="dxa"/>
              <w:left w:w="0" w:type="dxa"/>
              <w:bottom w:w="0" w:type="dxa"/>
              <w:right w:w="0" w:type="dxa"/>
            </w:tcMar>
            <w:vAlign w:val="bottom"/>
            <w:hideMark/>
          </w:tcPr>
          <w:p w14:paraId="034ED716"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029E1EAB" w14:textId="77777777" w:rsidR="00000000" w:rsidRDefault="001F1B2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14:paraId="070B3808" w14:textId="77777777" w:rsidR="00000000" w:rsidRDefault="001F1B20">
            <w:pPr>
              <w:pStyle w:val="a3"/>
              <w:spacing w:before="0" w:beforeAutospacing="0" w:after="0" w:afterAutospacing="0"/>
              <w:ind w:right="60"/>
              <w:jc w:val="right"/>
              <w:rPr>
                <w:sz w:val="18"/>
                <w:szCs w:val="18"/>
              </w:rPr>
            </w:pPr>
            <w:r>
              <w:rPr>
                <w:sz w:val="18"/>
                <w:szCs w:val="18"/>
              </w:rPr>
              <w:t>393,341</w:t>
            </w:r>
          </w:p>
        </w:tc>
      </w:tr>
      <w:tr w:rsidR="00000000" w14:paraId="18E516BE" w14:textId="77777777">
        <w:trPr>
          <w:divId w:val="2073698176"/>
        </w:trPr>
        <w:tc>
          <w:tcPr>
            <w:tcW w:w="3572" w:type="pct"/>
            <w:tcMar>
              <w:top w:w="0" w:type="dxa"/>
              <w:left w:w="0" w:type="dxa"/>
              <w:bottom w:w="0" w:type="dxa"/>
              <w:right w:w="0" w:type="dxa"/>
            </w:tcMar>
            <w:hideMark/>
          </w:tcPr>
          <w:p w14:paraId="14FD559D" w14:textId="77777777" w:rsidR="00000000" w:rsidRDefault="001F1B20">
            <w:pPr>
              <w:pStyle w:val="a3"/>
              <w:spacing w:before="0" w:beforeAutospacing="0" w:after="0" w:afterAutospacing="0"/>
              <w:rPr>
                <w:sz w:val="18"/>
                <w:szCs w:val="18"/>
              </w:rPr>
            </w:pPr>
            <w:r>
              <w:rPr>
                <w:sz w:val="18"/>
                <w:szCs w:val="18"/>
              </w:rPr>
              <w:t xml:space="preserve">Property and equipment, net </w:t>
            </w:r>
          </w:p>
        </w:tc>
        <w:tc>
          <w:tcPr>
            <w:tcW w:w="127" w:type="pct"/>
            <w:noWrap/>
            <w:tcMar>
              <w:top w:w="0" w:type="dxa"/>
              <w:left w:w="0" w:type="dxa"/>
              <w:bottom w:w="0" w:type="dxa"/>
              <w:right w:w="0" w:type="dxa"/>
            </w:tcMar>
            <w:vAlign w:val="bottom"/>
            <w:hideMark/>
          </w:tcPr>
          <w:p w14:paraId="55CA131E"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444C50BF"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3EC289FA" w14:textId="77777777" w:rsidR="00000000" w:rsidRDefault="001F1B20">
            <w:pPr>
              <w:pStyle w:val="a3"/>
              <w:spacing w:before="0" w:beforeAutospacing="0" w:after="0" w:afterAutospacing="0"/>
              <w:ind w:right="60"/>
              <w:jc w:val="right"/>
              <w:rPr>
                <w:sz w:val="18"/>
                <w:szCs w:val="18"/>
              </w:rPr>
            </w:pPr>
            <w:r>
              <w:rPr>
                <w:sz w:val="18"/>
                <w:szCs w:val="18"/>
              </w:rPr>
              <w:t>16,003</w:t>
            </w:r>
          </w:p>
        </w:tc>
        <w:tc>
          <w:tcPr>
            <w:tcW w:w="127" w:type="pct"/>
            <w:noWrap/>
            <w:tcMar>
              <w:top w:w="0" w:type="dxa"/>
              <w:left w:w="0" w:type="dxa"/>
              <w:bottom w:w="0" w:type="dxa"/>
              <w:right w:w="0" w:type="dxa"/>
            </w:tcMar>
            <w:vAlign w:val="bottom"/>
            <w:hideMark/>
          </w:tcPr>
          <w:p w14:paraId="48340673"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0EE84053"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7EF85BC2" w14:textId="77777777" w:rsidR="00000000" w:rsidRDefault="001F1B20">
            <w:pPr>
              <w:pStyle w:val="a3"/>
              <w:spacing w:before="0" w:beforeAutospacing="0" w:after="0" w:afterAutospacing="0"/>
              <w:ind w:right="60"/>
              <w:jc w:val="right"/>
              <w:rPr>
                <w:sz w:val="18"/>
                <w:szCs w:val="18"/>
              </w:rPr>
            </w:pPr>
            <w:r>
              <w:rPr>
                <w:sz w:val="18"/>
                <w:szCs w:val="18"/>
              </w:rPr>
              <w:t>16,422</w:t>
            </w:r>
          </w:p>
        </w:tc>
      </w:tr>
      <w:tr w:rsidR="00000000" w14:paraId="1822614C" w14:textId="77777777">
        <w:trPr>
          <w:divId w:val="2073698176"/>
        </w:trPr>
        <w:tc>
          <w:tcPr>
            <w:tcW w:w="3572" w:type="pct"/>
            <w:shd w:val="clear" w:color="auto" w:fill="CCEEFF"/>
            <w:tcMar>
              <w:top w:w="0" w:type="dxa"/>
              <w:left w:w="0" w:type="dxa"/>
              <w:bottom w:w="0" w:type="dxa"/>
              <w:right w:w="0" w:type="dxa"/>
            </w:tcMar>
            <w:hideMark/>
          </w:tcPr>
          <w:p w14:paraId="27A634D7" w14:textId="77777777" w:rsidR="00000000" w:rsidRDefault="001F1B20">
            <w:pPr>
              <w:pStyle w:val="a3"/>
              <w:spacing w:before="0" w:beforeAutospacing="0" w:after="0" w:afterAutospacing="0"/>
              <w:rPr>
                <w:sz w:val="18"/>
                <w:szCs w:val="18"/>
              </w:rPr>
            </w:pPr>
            <w:r>
              <w:rPr>
                <w:sz w:val="18"/>
                <w:szCs w:val="18"/>
              </w:rPr>
              <w:t>Operating lease assets</w:t>
            </w:r>
          </w:p>
        </w:tc>
        <w:tc>
          <w:tcPr>
            <w:tcW w:w="127" w:type="pct"/>
            <w:shd w:val="clear" w:color="auto" w:fill="CCEEFF"/>
            <w:noWrap/>
            <w:tcMar>
              <w:top w:w="0" w:type="dxa"/>
              <w:left w:w="0" w:type="dxa"/>
              <w:bottom w:w="0" w:type="dxa"/>
              <w:right w:w="0" w:type="dxa"/>
            </w:tcMar>
            <w:vAlign w:val="bottom"/>
            <w:hideMark/>
          </w:tcPr>
          <w:p w14:paraId="2E45F054"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4C218049"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3C434C15" w14:textId="77777777" w:rsidR="00000000" w:rsidRDefault="001F1B20">
            <w:pPr>
              <w:pStyle w:val="a3"/>
              <w:spacing w:before="0" w:beforeAutospacing="0" w:after="0" w:afterAutospacing="0"/>
              <w:ind w:right="60"/>
              <w:jc w:val="right"/>
              <w:rPr>
                <w:sz w:val="18"/>
                <w:szCs w:val="18"/>
              </w:rPr>
            </w:pPr>
            <w:r>
              <w:rPr>
                <w:sz w:val="18"/>
                <w:szCs w:val="18"/>
              </w:rPr>
              <w:t>40,718</w:t>
            </w:r>
          </w:p>
        </w:tc>
        <w:tc>
          <w:tcPr>
            <w:tcW w:w="127" w:type="pct"/>
            <w:shd w:val="clear" w:color="auto" w:fill="CCEEFF"/>
            <w:noWrap/>
            <w:tcMar>
              <w:top w:w="0" w:type="dxa"/>
              <w:left w:w="0" w:type="dxa"/>
              <w:bottom w:w="0" w:type="dxa"/>
              <w:right w:w="0" w:type="dxa"/>
            </w:tcMar>
            <w:vAlign w:val="bottom"/>
            <w:hideMark/>
          </w:tcPr>
          <w:p w14:paraId="7CCA9A1E"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03875E99"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7B44C40F" w14:textId="77777777" w:rsidR="00000000" w:rsidRDefault="001F1B20">
            <w:pPr>
              <w:pStyle w:val="a3"/>
              <w:spacing w:before="0" w:beforeAutospacing="0" w:after="0" w:afterAutospacing="0"/>
              <w:ind w:right="60"/>
              <w:jc w:val="right"/>
              <w:rPr>
                <w:sz w:val="18"/>
                <w:szCs w:val="18"/>
              </w:rPr>
            </w:pPr>
            <w:r>
              <w:rPr>
                <w:sz w:val="18"/>
                <w:szCs w:val="18"/>
              </w:rPr>
              <w:t>43,260</w:t>
            </w:r>
          </w:p>
        </w:tc>
      </w:tr>
      <w:tr w:rsidR="00000000" w14:paraId="715D5BB7" w14:textId="77777777">
        <w:trPr>
          <w:divId w:val="2073698176"/>
        </w:trPr>
        <w:tc>
          <w:tcPr>
            <w:tcW w:w="3572" w:type="pct"/>
            <w:tcMar>
              <w:top w:w="0" w:type="dxa"/>
              <w:left w:w="0" w:type="dxa"/>
              <w:bottom w:w="0" w:type="dxa"/>
              <w:right w:w="0" w:type="dxa"/>
            </w:tcMar>
            <w:hideMark/>
          </w:tcPr>
          <w:p w14:paraId="79FB5F2C" w14:textId="77777777" w:rsidR="00000000" w:rsidRDefault="001F1B20">
            <w:pPr>
              <w:pStyle w:val="a3"/>
              <w:spacing w:before="0" w:beforeAutospacing="0" w:after="0" w:afterAutospacing="0"/>
              <w:rPr>
                <w:sz w:val="18"/>
                <w:szCs w:val="18"/>
              </w:rPr>
            </w:pPr>
            <w:r>
              <w:rPr>
                <w:sz w:val="18"/>
                <w:szCs w:val="18"/>
              </w:rPr>
              <w:t>Equity in net assets of TRC, LLC</w:t>
            </w:r>
          </w:p>
        </w:tc>
        <w:tc>
          <w:tcPr>
            <w:tcW w:w="127" w:type="pct"/>
            <w:noWrap/>
            <w:tcMar>
              <w:top w:w="0" w:type="dxa"/>
              <w:left w:w="0" w:type="dxa"/>
              <w:bottom w:w="0" w:type="dxa"/>
              <w:right w:w="0" w:type="dxa"/>
            </w:tcMar>
            <w:vAlign w:val="bottom"/>
            <w:hideMark/>
          </w:tcPr>
          <w:p w14:paraId="3B7F0E86"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145D081E"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500D2DC8" w14:textId="77777777" w:rsidR="00000000" w:rsidRDefault="001F1B20">
            <w:pPr>
              <w:pStyle w:val="a3"/>
              <w:spacing w:before="0" w:beforeAutospacing="0" w:after="0" w:afterAutospacing="0"/>
              <w:ind w:right="60"/>
              <w:jc w:val="right"/>
              <w:rPr>
                <w:sz w:val="18"/>
                <w:szCs w:val="18"/>
              </w:rPr>
            </w:pPr>
            <w:r>
              <w:rPr>
                <w:sz w:val="18"/>
                <w:szCs w:val="18"/>
              </w:rPr>
              <w:t>45,086</w:t>
            </w:r>
          </w:p>
        </w:tc>
        <w:tc>
          <w:tcPr>
            <w:tcW w:w="127" w:type="pct"/>
            <w:noWrap/>
            <w:tcMar>
              <w:top w:w="0" w:type="dxa"/>
              <w:left w:w="0" w:type="dxa"/>
              <w:bottom w:w="0" w:type="dxa"/>
              <w:right w:w="0" w:type="dxa"/>
            </w:tcMar>
            <w:vAlign w:val="bottom"/>
            <w:hideMark/>
          </w:tcPr>
          <w:p w14:paraId="24A2250E"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7B7443ED"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365EE3FE" w14:textId="77777777" w:rsidR="00000000" w:rsidRDefault="001F1B20">
            <w:pPr>
              <w:pStyle w:val="a3"/>
              <w:spacing w:before="0" w:beforeAutospacing="0" w:after="0" w:afterAutospacing="0"/>
              <w:ind w:right="60"/>
              <w:jc w:val="right"/>
              <w:rPr>
                <w:sz w:val="18"/>
                <w:szCs w:val="18"/>
              </w:rPr>
            </w:pPr>
            <w:r>
              <w:rPr>
                <w:sz w:val="18"/>
                <w:szCs w:val="18"/>
              </w:rPr>
              <w:t>12,750</w:t>
            </w:r>
          </w:p>
        </w:tc>
      </w:tr>
      <w:tr w:rsidR="00000000" w14:paraId="691F7EBA" w14:textId="77777777">
        <w:trPr>
          <w:divId w:val="2073698176"/>
        </w:trPr>
        <w:tc>
          <w:tcPr>
            <w:tcW w:w="3572" w:type="pct"/>
            <w:shd w:val="clear" w:color="auto" w:fill="CCEEFF"/>
            <w:tcMar>
              <w:top w:w="0" w:type="dxa"/>
              <w:left w:w="0" w:type="dxa"/>
              <w:bottom w:w="0" w:type="dxa"/>
              <w:right w:w="0" w:type="dxa"/>
            </w:tcMar>
            <w:hideMark/>
          </w:tcPr>
          <w:p w14:paraId="25947085" w14:textId="77777777" w:rsidR="00000000" w:rsidRDefault="001F1B20">
            <w:pPr>
              <w:pStyle w:val="a3"/>
              <w:spacing w:before="0" w:beforeAutospacing="0" w:after="0" w:afterAutospacing="0"/>
              <w:rPr>
                <w:sz w:val="18"/>
                <w:szCs w:val="18"/>
              </w:rPr>
            </w:pPr>
            <w:r>
              <w:rPr>
                <w:sz w:val="18"/>
                <w:szCs w:val="18"/>
              </w:rPr>
              <w:t xml:space="preserve">Restricted cash </w:t>
            </w:r>
          </w:p>
        </w:tc>
        <w:tc>
          <w:tcPr>
            <w:tcW w:w="127" w:type="pct"/>
            <w:shd w:val="clear" w:color="auto" w:fill="CCEEFF"/>
            <w:noWrap/>
            <w:tcMar>
              <w:top w:w="0" w:type="dxa"/>
              <w:left w:w="0" w:type="dxa"/>
              <w:bottom w:w="0" w:type="dxa"/>
              <w:right w:w="0" w:type="dxa"/>
            </w:tcMar>
            <w:vAlign w:val="bottom"/>
            <w:hideMark/>
          </w:tcPr>
          <w:p w14:paraId="4AAD6DAA"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7A54FA4E" w14:textId="77777777" w:rsidR="00000000" w:rsidRDefault="001F1B2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14:paraId="29138397" w14:textId="77777777" w:rsidR="00000000" w:rsidRDefault="001F1B20">
            <w:pPr>
              <w:pStyle w:val="a3"/>
              <w:spacing w:before="0" w:beforeAutospacing="0" w:after="0" w:afterAutospacing="0"/>
              <w:ind w:right="60"/>
              <w:jc w:val="right"/>
              <w:rPr>
                <w:sz w:val="18"/>
                <w:szCs w:val="18"/>
              </w:rPr>
            </w:pPr>
            <w:r>
              <w:rPr>
                <w:sz w:val="18"/>
                <w:szCs w:val="18"/>
              </w:rPr>
              <w:t>833</w:t>
            </w:r>
          </w:p>
        </w:tc>
        <w:tc>
          <w:tcPr>
            <w:tcW w:w="127" w:type="pct"/>
            <w:shd w:val="clear" w:color="auto" w:fill="CCEEFF"/>
            <w:noWrap/>
            <w:tcMar>
              <w:top w:w="0" w:type="dxa"/>
              <w:left w:w="0" w:type="dxa"/>
              <w:bottom w:w="0" w:type="dxa"/>
              <w:right w:w="0" w:type="dxa"/>
            </w:tcMar>
            <w:vAlign w:val="bottom"/>
            <w:hideMark/>
          </w:tcPr>
          <w:p w14:paraId="6CABF811"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1C589791" w14:textId="77777777" w:rsidR="00000000" w:rsidRDefault="001F1B2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14:paraId="0DBB6507" w14:textId="77777777" w:rsidR="00000000" w:rsidRDefault="001F1B20">
            <w:pPr>
              <w:pStyle w:val="a3"/>
              <w:spacing w:before="0" w:beforeAutospacing="0" w:after="0" w:afterAutospacing="0"/>
              <w:ind w:right="60"/>
              <w:jc w:val="right"/>
              <w:rPr>
                <w:sz w:val="18"/>
                <w:szCs w:val="18"/>
              </w:rPr>
            </w:pPr>
            <w:r>
              <w:rPr>
                <w:sz w:val="18"/>
                <w:szCs w:val="18"/>
              </w:rPr>
              <w:t>833</w:t>
            </w:r>
          </w:p>
        </w:tc>
      </w:tr>
      <w:tr w:rsidR="00000000" w14:paraId="5098BF76" w14:textId="77777777">
        <w:trPr>
          <w:divId w:val="2073698176"/>
        </w:trPr>
        <w:tc>
          <w:tcPr>
            <w:tcW w:w="3572" w:type="pct"/>
            <w:tcMar>
              <w:top w:w="0" w:type="dxa"/>
              <w:left w:w="0" w:type="dxa"/>
              <w:bottom w:w="0" w:type="dxa"/>
              <w:right w:w="0" w:type="dxa"/>
            </w:tcMar>
            <w:hideMark/>
          </w:tcPr>
          <w:p w14:paraId="784DA6D2" w14:textId="77777777" w:rsidR="00000000" w:rsidRDefault="001F1B20">
            <w:pPr>
              <w:pStyle w:val="a3"/>
              <w:spacing w:before="0" w:beforeAutospacing="0" w:after="0" w:afterAutospacing="0"/>
              <w:rPr>
                <w:sz w:val="18"/>
                <w:szCs w:val="18"/>
              </w:rPr>
            </w:pPr>
            <w:r>
              <w:rPr>
                <w:sz w:val="18"/>
                <w:szCs w:val="18"/>
              </w:rPr>
              <w:t>Other assets</w:t>
            </w:r>
          </w:p>
        </w:tc>
        <w:tc>
          <w:tcPr>
            <w:tcW w:w="127" w:type="pct"/>
            <w:noWrap/>
            <w:tcMar>
              <w:top w:w="0" w:type="dxa"/>
              <w:left w:w="0" w:type="dxa"/>
              <w:bottom w:w="0" w:type="dxa"/>
              <w:right w:w="0" w:type="dxa"/>
            </w:tcMar>
            <w:vAlign w:val="bottom"/>
            <w:hideMark/>
          </w:tcPr>
          <w:p w14:paraId="5605ACCA"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14:paraId="32C2ADCE" w14:textId="77777777" w:rsidR="00000000" w:rsidRDefault="001F1B20">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14:paraId="71928B4E" w14:textId="77777777" w:rsidR="00000000" w:rsidRDefault="001F1B20">
            <w:pPr>
              <w:pStyle w:val="a3"/>
              <w:spacing w:before="0" w:beforeAutospacing="0" w:after="0" w:afterAutospacing="0"/>
              <w:ind w:right="60"/>
              <w:jc w:val="right"/>
              <w:rPr>
                <w:sz w:val="18"/>
                <w:szCs w:val="18"/>
              </w:rPr>
            </w:pPr>
            <w:r>
              <w:rPr>
                <w:sz w:val="18"/>
                <w:szCs w:val="18"/>
              </w:rPr>
              <w:t>3,297</w:t>
            </w:r>
          </w:p>
        </w:tc>
        <w:tc>
          <w:tcPr>
            <w:tcW w:w="127" w:type="pct"/>
            <w:noWrap/>
            <w:tcMar>
              <w:top w:w="0" w:type="dxa"/>
              <w:left w:w="0" w:type="dxa"/>
              <w:bottom w:w="0" w:type="dxa"/>
              <w:right w:w="0" w:type="dxa"/>
            </w:tcMar>
            <w:vAlign w:val="bottom"/>
            <w:hideMark/>
          </w:tcPr>
          <w:p w14:paraId="1DF71684"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14:paraId="2B277E13" w14:textId="77777777" w:rsidR="00000000" w:rsidRDefault="001F1B20">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14:paraId="251C7A9E" w14:textId="77777777" w:rsidR="00000000" w:rsidRDefault="001F1B20">
            <w:pPr>
              <w:pStyle w:val="a3"/>
              <w:spacing w:before="0" w:beforeAutospacing="0" w:after="0" w:afterAutospacing="0"/>
              <w:ind w:right="60"/>
              <w:jc w:val="right"/>
              <w:rPr>
                <w:sz w:val="18"/>
                <w:szCs w:val="18"/>
              </w:rPr>
            </w:pPr>
            <w:r>
              <w:rPr>
                <w:sz w:val="18"/>
                <w:szCs w:val="18"/>
              </w:rPr>
              <w:t>2,451</w:t>
            </w:r>
          </w:p>
        </w:tc>
      </w:tr>
      <w:tr w:rsidR="00000000" w14:paraId="454989A2" w14:textId="77777777">
        <w:trPr>
          <w:divId w:val="2073698176"/>
        </w:trPr>
        <w:tc>
          <w:tcPr>
            <w:tcW w:w="3572" w:type="pct"/>
            <w:shd w:val="clear" w:color="auto" w:fill="CCEEFF"/>
            <w:tcMar>
              <w:top w:w="0" w:type="dxa"/>
              <w:left w:w="0" w:type="dxa"/>
              <w:bottom w:w="0" w:type="dxa"/>
              <w:right w:w="0" w:type="dxa"/>
            </w:tcMar>
            <w:hideMark/>
          </w:tcPr>
          <w:p w14:paraId="0EF5F753" w14:textId="77777777" w:rsidR="00000000" w:rsidRDefault="001F1B20">
            <w:pPr>
              <w:pStyle w:val="a3"/>
              <w:spacing w:before="0" w:beforeAutospacing="0" w:after="0" w:afterAutospacing="0"/>
              <w:ind w:left="360"/>
              <w:rPr>
                <w:sz w:val="18"/>
                <w:szCs w:val="18"/>
              </w:rPr>
            </w:pPr>
            <w:r>
              <w:rPr>
                <w:sz w:val="18"/>
                <w:szCs w:val="18"/>
              </w:rPr>
              <w:t xml:space="preserve">Total assets </w:t>
            </w:r>
          </w:p>
        </w:tc>
        <w:tc>
          <w:tcPr>
            <w:tcW w:w="127" w:type="pct"/>
            <w:shd w:val="clear" w:color="auto" w:fill="CCEEFF"/>
            <w:noWrap/>
            <w:tcMar>
              <w:top w:w="0" w:type="dxa"/>
              <w:left w:w="0" w:type="dxa"/>
              <w:bottom w:w="0" w:type="dxa"/>
              <w:right w:w="0" w:type="dxa"/>
            </w:tcMar>
            <w:vAlign w:val="bottom"/>
            <w:hideMark/>
          </w:tcPr>
          <w:p w14:paraId="0D1DDC62"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14:paraId="4D9C5C0A" w14:textId="77777777" w:rsidR="00000000" w:rsidRDefault="001F1B20">
            <w:pPr>
              <w:pStyle w:val="a3"/>
              <w:spacing w:before="0" w:beforeAutospacing="0" w:after="0" w:afterAutospacing="0"/>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14:paraId="0283CD91" w14:textId="77777777" w:rsidR="00000000" w:rsidRDefault="001F1B20">
            <w:pPr>
              <w:pStyle w:val="a3"/>
              <w:spacing w:before="0" w:beforeAutospacing="0" w:after="0" w:afterAutospacing="0"/>
              <w:ind w:right="60"/>
              <w:jc w:val="right"/>
              <w:rPr>
                <w:sz w:val="18"/>
                <w:szCs w:val="18"/>
              </w:rPr>
            </w:pPr>
            <w:r>
              <w:rPr>
                <w:sz w:val="18"/>
                <w:szCs w:val="18"/>
              </w:rPr>
              <w:t>403,109</w:t>
            </w:r>
          </w:p>
        </w:tc>
        <w:tc>
          <w:tcPr>
            <w:tcW w:w="127" w:type="pct"/>
            <w:shd w:val="clear" w:color="auto" w:fill="CCEEFF"/>
            <w:noWrap/>
            <w:tcMar>
              <w:top w:w="0" w:type="dxa"/>
              <w:left w:w="0" w:type="dxa"/>
              <w:bottom w:w="0" w:type="dxa"/>
              <w:right w:w="0" w:type="dxa"/>
            </w:tcMar>
            <w:vAlign w:val="bottom"/>
            <w:hideMark/>
          </w:tcPr>
          <w:p w14:paraId="1571F6AA"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14:paraId="50109A12" w14:textId="77777777" w:rsidR="00000000" w:rsidRDefault="001F1B20">
            <w:pPr>
              <w:pStyle w:val="a3"/>
              <w:spacing w:before="0" w:beforeAutospacing="0" w:after="0" w:afterAutospacing="0"/>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14:paraId="27F38BDE" w14:textId="77777777" w:rsidR="00000000" w:rsidRDefault="001F1B20">
            <w:pPr>
              <w:pStyle w:val="a3"/>
              <w:spacing w:before="0" w:beforeAutospacing="0" w:after="0" w:afterAutospacing="0"/>
              <w:ind w:right="60"/>
              <w:jc w:val="right"/>
              <w:rPr>
                <w:sz w:val="18"/>
                <w:szCs w:val="18"/>
              </w:rPr>
            </w:pPr>
            <w:r>
              <w:rPr>
                <w:sz w:val="18"/>
                <w:szCs w:val="18"/>
              </w:rPr>
              <w:t>469,057</w:t>
            </w:r>
          </w:p>
        </w:tc>
      </w:tr>
      <w:tr w:rsidR="00000000" w14:paraId="501C0805" w14:textId="77777777">
        <w:trPr>
          <w:divId w:val="2073698176"/>
        </w:trPr>
        <w:tc>
          <w:tcPr>
            <w:tcW w:w="3572" w:type="pct"/>
            <w:tcMar>
              <w:top w:w="0" w:type="dxa"/>
              <w:left w:w="0" w:type="dxa"/>
              <w:bottom w:w="0" w:type="dxa"/>
              <w:right w:w="0" w:type="dxa"/>
            </w:tcMar>
            <w:hideMark/>
          </w:tcPr>
          <w:p w14:paraId="3131D85B" w14:textId="77777777" w:rsidR="00000000" w:rsidRDefault="001F1B20">
            <w:pPr>
              <w:pStyle w:val="a3"/>
              <w:spacing w:before="0" w:beforeAutospacing="0" w:after="0" w:afterAutospacing="0"/>
              <w:rPr>
                <w:sz w:val="20"/>
                <w:szCs w:val="20"/>
              </w:rPr>
            </w:pPr>
            <w:r>
              <w:rPr>
                <w:sz w:val="18"/>
                <w:szCs w:val="18"/>
              </w:rPr>
              <w:t>​</w:t>
            </w:r>
          </w:p>
        </w:tc>
        <w:tc>
          <w:tcPr>
            <w:tcW w:w="127" w:type="pct"/>
            <w:noWrap/>
            <w:tcMar>
              <w:top w:w="0" w:type="dxa"/>
              <w:left w:w="0" w:type="dxa"/>
              <w:bottom w:w="0" w:type="dxa"/>
              <w:right w:w="0" w:type="dxa"/>
            </w:tcMar>
            <w:vAlign w:val="bottom"/>
            <w:hideMark/>
          </w:tcPr>
          <w:p w14:paraId="6045DFFE"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73AEF14E"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196C3BF8" w14:textId="77777777" w:rsidR="00000000" w:rsidRDefault="001F1B20">
            <w:pPr>
              <w:pStyle w:val="a3"/>
              <w:spacing w:before="0" w:beforeAutospacing="0" w:after="0" w:afterAutospacing="0"/>
              <w:jc w:val="right"/>
              <w:rPr>
                <w:sz w:val="20"/>
                <w:szCs w:val="20"/>
              </w:rPr>
            </w:pPr>
            <w:r>
              <w:rPr>
                <w:sz w:val="18"/>
                <w:szCs w:val="18"/>
              </w:rPr>
              <w:t>​</w:t>
            </w:r>
          </w:p>
        </w:tc>
        <w:tc>
          <w:tcPr>
            <w:tcW w:w="127" w:type="pct"/>
            <w:noWrap/>
            <w:tcMar>
              <w:top w:w="0" w:type="dxa"/>
              <w:left w:w="0" w:type="dxa"/>
              <w:bottom w:w="0" w:type="dxa"/>
              <w:right w:w="0" w:type="dxa"/>
            </w:tcMar>
            <w:vAlign w:val="bottom"/>
            <w:hideMark/>
          </w:tcPr>
          <w:p w14:paraId="68454BAB"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4574D043"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2D667ED2" w14:textId="77777777" w:rsidR="00000000" w:rsidRDefault="001F1B20">
            <w:pPr>
              <w:pStyle w:val="a3"/>
              <w:spacing w:before="0" w:beforeAutospacing="0" w:after="0" w:afterAutospacing="0"/>
              <w:jc w:val="right"/>
              <w:rPr>
                <w:sz w:val="20"/>
                <w:szCs w:val="20"/>
              </w:rPr>
            </w:pPr>
            <w:r>
              <w:rPr>
                <w:sz w:val="18"/>
                <w:szCs w:val="18"/>
              </w:rPr>
              <w:t>​</w:t>
            </w:r>
          </w:p>
        </w:tc>
      </w:tr>
      <w:tr w:rsidR="00000000" w14:paraId="47D2DAF1" w14:textId="77777777">
        <w:trPr>
          <w:divId w:val="2073698176"/>
        </w:trPr>
        <w:tc>
          <w:tcPr>
            <w:tcW w:w="3572" w:type="pct"/>
            <w:shd w:val="clear" w:color="auto" w:fill="CCEEFF"/>
            <w:tcMar>
              <w:top w:w="0" w:type="dxa"/>
              <w:left w:w="0" w:type="dxa"/>
              <w:bottom w:w="0" w:type="dxa"/>
              <w:right w:w="0" w:type="dxa"/>
            </w:tcMar>
            <w:hideMark/>
          </w:tcPr>
          <w:p w14:paraId="5E6C7777" w14:textId="77777777" w:rsidR="00000000" w:rsidRDefault="001F1B20">
            <w:pPr>
              <w:pStyle w:val="a3"/>
              <w:spacing w:before="0" w:beforeAutospacing="0" w:after="0" w:afterAutospacing="0"/>
              <w:rPr>
                <w:sz w:val="18"/>
                <w:szCs w:val="18"/>
              </w:rPr>
            </w:pPr>
            <w:r>
              <w:rPr>
                <w:b/>
                <w:bCs/>
                <w:sz w:val="18"/>
                <w:szCs w:val="18"/>
              </w:rPr>
              <w:t>Liabilities and Shareholders' Deficit</w:t>
            </w:r>
          </w:p>
        </w:tc>
        <w:tc>
          <w:tcPr>
            <w:tcW w:w="127" w:type="pct"/>
            <w:shd w:val="clear" w:color="auto" w:fill="CCEEFF"/>
            <w:noWrap/>
            <w:tcMar>
              <w:top w:w="0" w:type="dxa"/>
              <w:left w:w="0" w:type="dxa"/>
              <w:bottom w:w="0" w:type="dxa"/>
              <w:right w:w="0" w:type="dxa"/>
            </w:tcMar>
            <w:vAlign w:val="bottom"/>
            <w:hideMark/>
          </w:tcPr>
          <w:p w14:paraId="022FED4C"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03AF20A7"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7084684E" w14:textId="77777777" w:rsidR="00000000" w:rsidRDefault="001F1B20">
            <w:pPr>
              <w:pStyle w:val="a3"/>
              <w:spacing w:before="0" w:beforeAutospacing="0" w:after="0" w:afterAutospacing="0"/>
              <w:jc w:val="right"/>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14:paraId="22A26DAB"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4C55EEB2"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17B2F7A3" w14:textId="77777777" w:rsidR="00000000" w:rsidRDefault="001F1B20">
            <w:pPr>
              <w:pStyle w:val="a3"/>
              <w:spacing w:before="0" w:beforeAutospacing="0" w:after="0" w:afterAutospacing="0"/>
              <w:jc w:val="right"/>
              <w:rPr>
                <w:sz w:val="20"/>
                <w:szCs w:val="20"/>
              </w:rPr>
            </w:pPr>
            <w:r>
              <w:rPr>
                <w:sz w:val="18"/>
                <w:szCs w:val="18"/>
              </w:rPr>
              <w:t>​</w:t>
            </w:r>
          </w:p>
        </w:tc>
      </w:tr>
      <w:tr w:rsidR="00000000" w14:paraId="2DF3670A" w14:textId="77777777">
        <w:trPr>
          <w:divId w:val="2073698176"/>
        </w:trPr>
        <w:tc>
          <w:tcPr>
            <w:tcW w:w="3572" w:type="pct"/>
            <w:tcMar>
              <w:top w:w="0" w:type="dxa"/>
              <w:left w:w="0" w:type="dxa"/>
              <w:bottom w:w="0" w:type="dxa"/>
              <w:right w:w="0" w:type="dxa"/>
            </w:tcMar>
            <w:hideMark/>
          </w:tcPr>
          <w:p w14:paraId="7F262843" w14:textId="77777777" w:rsidR="00000000" w:rsidRDefault="001F1B20">
            <w:pPr>
              <w:pStyle w:val="a3"/>
              <w:spacing w:before="0" w:beforeAutospacing="0" w:after="0" w:afterAutospacing="0"/>
              <w:rPr>
                <w:sz w:val="18"/>
                <w:szCs w:val="18"/>
              </w:rPr>
            </w:pPr>
            <w:r>
              <w:rPr>
                <w:sz w:val="18"/>
                <w:szCs w:val="18"/>
              </w:rPr>
              <w:t>Current liabilities:</w:t>
            </w:r>
          </w:p>
        </w:tc>
        <w:tc>
          <w:tcPr>
            <w:tcW w:w="127" w:type="pct"/>
            <w:noWrap/>
            <w:tcMar>
              <w:top w:w="0" w:type="dxa"/>
              <w:left w:w="0" w:type="dxa"/>
              <w:bottom w:w="0" w:type="dxa"/>
              <w:right w:w="0" w:type="dxa"/>
            </w:tcMar>
            <w:vAlign w:val="bottom"/>
            <w:hideMark/>
          </w:tcPr>
          <w:p w14:paraId="75E394F0"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36D5AC1B"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3E385775" w14:textId="77777777" w:rsidR="00000000" w:rsidRDefault="001F1B20">
            <w:pPr>
              <w:pStyle w:val="a3"/>
              <w:spacing w:before="0" w:beforeAutospacing="0" w:after="0" w:afterAutospacing="0"/>
              <w:jc w:val="right"/>
              <w:rPr>
                <w:sz w:val="20"/>
                <w:szCs w:val="20"/>
              </w:rPr>
            </w:pPr>
            <w:r>
              <w:rPr>
                <w:sz w:val="18"/>
                <w:szCs w:val="18"/>
              </w:rPr>
              <w:t>​</w:t>
            </w:r>
          </w:p>
        </w:tc>
        <w:tc>
          <w:tcPr>
            <w:tcW w:w="127" w:type="pct"/>
            <w:noWrap/>
            <w:tcMar>
              <w:top w:w="0" w:type="dxa"/>
              <w:left w:w="0" w:type="dxa"/>
              <w:bottom w:w="0" w:type="dxa"/>
              <w:right w:w="0" w:type="dxa"/>
            </w:tcMar>
            <w:vAlign w:val="bottom"/>
            <w:hideMark/>
          </w:tcPr>
          <w:p w14:paraId="12800091"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53A28514"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1CD83845" w14:textId="77777777" w:rsidR="00000000" w:rsidRDefault="001F1B20">
            <w:pPr>
              <w:pStyle w:val="a3"/>
              <w:spacing w:before="0" w:beforeAutospacing="0" w:after="0" w:afterAutospacing="0"/>
              <w:jc w:val="right"/>
              <w:rPr>
                <w:sz w:val="20"/>
                <w:szCs w:val="20"/>
              </w:rPr>
            </w:pPr>
            <w:r>
              <w:rPr>
                <w:sz w:val="18"/>
                <w:szCs w:val="18"/>
              </w:rPr>
              <w:t>​</w:t>
            </w:r>
          </w:p>
        </w:tc>
      </w:tr>
      <w:tr w:rsidR="00000000" w14:paraId="44C0249E" w14:textId="77777777">
        <w:trPr>
          <w:divId w:val="2073698176"/>
        </w:trPr>
        <w:tc>
          <w:tcPr>
            <w:tcW w:w="3572" w:type="pct"/>
            <w:shd w:val="clear" w:color="auto" w:fill="CCEEFF"/>
            <w:tcMar>
              <w:top w:w="0" w:type="dxa"/>
              <w:left w:w="0" w:type="dxa"/>
              <w:bottom w:w="0" w:type="dxa"/>
              <w:right w:w="0" w:type="dxa"/>
            </w:tcMar>
            <w:hideMark/>
          </w:tcPr>
          <w:p w14:paraId="6DC4B868" w14:textId="77777777" w:rsidR="00000000" w:rsidRDefault="001F1B20">
            <w:pPr>
              <w:pStyle w:val="a3"/>
              <w:spacing w:before="0" w:beforeAutospacing="0" w:after="0" w:afterAutospacing="0"/>
              <w:ind w:left="240"/>
              <w:rPr>
                <w:sz w:val="18"/>
                <w:szCs w:val="18"/>
              </w:rPr>
            </w:pPr>
            <w:r>
              <w:rPr>
                <w:sz w:val="18"/>
                <w:szCs w:val="18"/>
              </w:rPr>
              <w:t xml:space="preserve">Accounts payable </w:t>
            </w:r>
          </w:p>
        </w:tc>
        <w:tc>
          <w:tcPr>
            <w:tcW w:w="127" w:type="pct"/>
            <w:shd w:val="clear" w:color="auto" w:fill="CCEEFF"/>
            <w:noWrap/>
            <w:tcMar>
              <w:top w:w="0" w:type="dxa"/>
              <w:left w:w="0" w:type="dxa"/>
              <w:bottom w:w="0" w:type="dxa"/>
              <w:right w:w="0" w:type="dxa"/>
            </w:tcMar>
            <w:vAlign w:val="bottom"/>
            <w:hideMark/>
          </w:tcPr>
          <w:p w14:paraId="2EE35C74"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635E8C8E" w14:textId="77777777" w:rsidR="00000000" w:rsidRDefault="001F1B20">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14:paraId="3D430930" w14:textId="77777777" w:rsidR="00000000" w:rsidRDefault="001F1B20">
            <w:pPr>
              <w:pStyle w:val="a3"/>
              <w:spacing w:before="0" w:beforeAutospacing="0" w:after="0" w:afterAutospacing="0"/>
              <w:ind w:right="60"/>
              <w:jc w:val="right"/>
              <w:rPr>
                <w:sz w:val="18"/>
                <w:szCs w:val="18"/>
              </w:rPr>
            </w:pPr>
            <w:r>
              <w:rPr>
                <w:sz w:val="18"/>
                <w:szCs w:val="18"/>
              </w:rPr>
              <w:t>8,900</w:t>
            </w:r>
          </w:p>
        </w:tc>
        <w:tc>
          <w:tcPr>
            <w:tcW w:w="127" w:type="pct"/>
            <w:shd w:val="clear" w:color="auto" w:fill="CCEEFF"/>
            <w:noWrap/>
            <w:tcMar>
              <w:top w:w="0" w:type="dxa"/>
              <w:left w:w="0" w:type="dxa"/>
              <w:bottom w:w="0" w:type="dxa"/>
              <w:right w:w="0" w:type="dxa"/>
            </w:tcMar>
            <w:vAlign w:val="bottom"/>
            <w:hideMark/>
          </w:tcPr>
          <w:p w14:paraId="4FC45BF7"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3B08F14A" w14:textId="77777777" w:rsidR="00000000" w:rsidRDefault="001F1B20">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14:paraId="611D8690" w14:textId="77777777" w:rsidR="00000000" w:rsidRDefault="001F1B20">
            <w:pPr>
              <w:pStyle w:val="a3"/>
              <w:spacing w:before="0" w:beforeAutospacing="0" w:after="0" w:afterAutospacing="0"/>
              <w:ind w:right="60"/>
              <w:jc w:val="right"/>
              <w:rPr>
                <w:sz w:val="18"/>
                <w:szCs w:val="18"/>
              </w:rPr>
            </w:pPr>
            <w:r>
              <w:rPr>
                <w:sz w:val="18"/>
                <w:szCs w:val="18"/>
              </w:rPr>
              <w:t>6,775</w:t>
            </w:r>
          </w:p>
        </w:tc>
      </w:tr>
      <w:tr w:rsidR="00000000" w14:paraId="062DD01D" w14:textId="77777777">
        <w:trPr>
          <w:divId w:val="2073698176"/>
        </w:trPr>
        <w:tc>
          <w:tcPr>
            <w:tcW w:w="3572" w:type="pct"/>
            <w:tcMar>
              <w:top w:w="0" w:type="dxa"/>
              <w:left w:w="0" w:type="dxa"/>
              <w:bottom w:w="0" w:type="dxa"/>
              <w:right w:w="0" w:type="dxa"/>
            </w:tcMar>
            <w:hideMark/>
          </w:tcPr>
          <w:p w14:paraId="1A49A73B" w14:textId="77777777" w:rsidR="00000000" w:rsidRDefault="001F1B20">
            <w:pPr>
              <w:pStyle w:val="a3"/>
              <w:spacing w:before="0" w:beforeAutospacing="0" w:after="0" w:afterAutospacing="0"/>
              <w:ind w:left="240"/>
              <w:rPr>
                <w:sz w:val="18"/>
                <w:szCs w:val="18"/>
              </w:rPr>
            </w:pPr>
            <w:r>
              <w:rPr>
                <w:sz w:val="18"/>
                <w:szCs w:val="18"/>
              </w:rPr>
              <w:t xml:space="preserve">Accrued personnel-related expenses </w:t>
            </w:r>
          </w:p>
        </w:tc>
        <w:tc>
          <w:tcPr>
            <w:tcW w:w="127" w:type="pct"/>
            <w:noWrap/>
            <w:tcMar>
              <w:top w:w="0" w:type="dxa"/>
              <w:left w:w="0" w:type="dxa"/>
              <w:bottom w:w="0" w:type="dxa"/>
              <w:right w:w="0" w:type="dxa"/>
            </w:tcMar>
            <w:vAlign w:val="bottom"/>
            <w:hideMark/>
          </w:tcPr>
          <w:p w14:paraId="16A13025"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40C0A746"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39DE0C3C" w14:textId="77777777" w:rsidR="00000000" w:rsidRDefault="001F1B20">
            <w:pPr>
              <w:pStyle w:val="a3"/>
              <w:spacing w:before="0" w:beforeAutospacing="0" w:after="0" w:afterAutospacing="0"/>
              <w:ind w:right="60"/>
              <w:jc w:val="right"/>
              <w:rPr>
                <w:sz w:val="18"/>
                <w:szCs w:val="18"/>
              </w:rPr>
            </w:pPr>
            <w:r>
              <w:rPr>
                <w:sz w:val="18"/>
                <w:szCs w:val="18"/>
              </w:rPr>
              <w:t>8,635</w:t>
            </w:r>
          </w:p>
        </w:tc>
        <w:tc>
          <w:tcPr>
            <w:tcW w:w="127" w:type="pct"/>
            <w:noWrap/>
            <w:tcMar>
              <w:top w:w="0" w:type="dxa"/>
              <w:left w:w="0" w:type="dxa"/>
              <w:bottom w:w="0" w:type="dxa"/>
              <w:right w:w="0" w:type="dxa"/>
            </w:tcMar>
            <w:vAlign w:val="bottom"/>
            <w:hideMark/>
          </w:tcPr>
          <w:p w14:paraId="1688318A"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01E14983"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3ACDD9EB" w14:textId="77777777" w:rsidR="00000000" w:rsidRDefault="001F1B20">
            <w:pPr>
              <w:pStyle w:val="a3"/>
              <w:spacing w:before="0" w:beforeAutospacing="0" w:after="0" w:afterAutospacing="0"/>
              <w:ind w:right="60"/>
              <w:jc w:val="right"/>
              <w:rPr>
                <w:sz w:val="18"/>
                <w:szCs w:val="18"/>
              </w:rPr>
            </w:pPr>
            <w:r>
              <w:rPr>
                <w:sz w:val="18"/>
                <w:szCs w:val="18"/>
              </w:rPr>
              <w:t>35,238</w:t>
            </w:r>
          </w:p>
        </w:tc>
      </w:tr>
      <w:tr w:rsidR="00000000" w14:paraId="0EAE8D4B" w14:textId="77777777">
        <w:trPr>
          <w:divId w:val="2073698176"/>
        </w:trPr>
        <w:tc>
          <w:tcPr>
            <w:tcW w:w="3572" w:type="pct"/>
            <w:shd w:val="clear" w:color="auto" w:fill="CCEEFF"/>
            <w:tcMar>
              <w:top w:w="0" w:type="dxa"/>
              <w:left w:w="0" w:type="dxa"/>
              <w:bottom w:w="0" w:type="dxa"/>
              <w:right w:w="0" w:type="dxa"/>
            </w:tcMar>
            <w:hideMark/>
          </w:tcPr>
          <w:p w14:paraId="26959472" w14:textId="77777777" w:rsidR="00000000" w:rsidRDefault="001F1B20">
            <w:pPr>
              <w:pStyle w:val="a3"/>
              <w:spacing w:before="0" w:beforeAutospacing="0" w:after="0" w:afterAutospacing="0"/>
              <w:ind w:left="240"/>
              <w:rPr>
                <w:sz w:val="18"/>
                <w:szCs w:val="18"/>
              </w:rPr>
            </w:pPr>
            <w:r>
              <w:rPr>
                <w:sz w:val="18"/>
                <w:szCs w:val="18"/>
              </w:rPr>
              <w:t xml:space="preserve">Accrued clinical and development expenses </w:t>
            </w:r>
          </w:p>
        </w:tc>
        <w:tc>
          <w:tcPr>
            <w:tcW w:w="127" w:type="pct"/>
            <w:shd w:val="clear" w:color="auto" w:fill="CCEEFF"/>
            <w:noWrap/>
            <w:tcMar>
              <w:top w:w="0" w:type="dxa"/>
              <w:left w:w="0" w:type="dxa"/>
              <w:bottom w:w="0" w:type="dxa"/>
              <w:right w:w="0" w:type="dxa"/>
            </w:tcMar>
            <w:vAlign w:val="bottom"/>
            <w:hideMark/>
          </w:tcPr>
          <w:p w14:paraId="536C9DD3"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08EF7B47" w14:textId="77777777" w:rsidR="00000000" w:rsidRDefault="001F1B2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14:paraId="6658FB2D" w14:textId="77777777" w:rsidR="00000000" w:rsidRDefault="001F1B20">
            <w:pPr>
              <w:pStyle w:val="a3"/>
              <w:spacing w:before="0" w:beforeAutospacing="0" w:after="0" w:afterAutospacing="0"/>
              <w:ind w:right="60"/>
              <w:jc w:val="right"/>
              <w:rPr>
                <w:sz w:val="18"/>
                <w:szCs w:val="18"/>
              </w:rPr>
            </w:pPr>
            <w:r>
              <w:rPr>
                <w:sz w:val="18"/>
                <w:szCs w:val="18"/>
              </w:rPr>
              <w:t>20,607</w:t>
            </w:r>
          </w:p>
        </w:tc>
        <w:tc>
          <w:tcPr>
            <w:tcW w:w="127" w:type="pct"/>
            <w:shd w:val="clear" w:color="auto" w:fill="CCEEFF"/>
            <w:noWrap/>
            <w:tcMar>
              <w:top w:w="0" w:type="dxa"/>
              <w:left w:w="0" w:type="dxa"/>
              <w:bottom w:w="0" w:type="dxa"/>
              <w:right w:w="0" w:type="dxa"/>
            </w:tcMar>
            <w:vAlign w:val="bottom"/>
            <w:hideMark/>
          </w:tcPr>
          <w:p w14:paraId="7EA8E9E0"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3121323C" w14:textId="77777777" w:rsidR="00000000" w:rsidRDefault="001F1B2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14:paraId="6190E503" w14:textId="77777777" w:rsidR="00000000" w:rsidRDefault="001F1B20">
            <w:pPr>
              <w:pStyle w:val="a3"/>
              <w:spacing w:before="0" w:beforeAutospacing="0" w:after="0" w:afterAutospacing="0"/>
              <w:ind w:right="60"/>
              <w:jc w:val="right"/>
              <w:rPr>
                <w:sz w:val="18"/>
                <w:szCs w:val="18"/>
              </w:rPr>
            </w:pPr>
            <w:r>
              <w:rPr>
                <w:sz w:val="18"/>
                <w:szCs w:val="18"/>
              </w:rPr>
              <w:t>28,799</w:t>
            </w:r>
          </w:p>
        </w:tc>
      </w:tr>
      <w:tr w:rsidR="00000000" w14:paraId="002ACBAA" w14:textId="77777777">
        <w:trPr>
          <w:divId w:val="2073698176"/>
        </w:trPr>
        <w:tc>
          <w:tcPr>
            <w:tcW w:w="3572" w:type="pct"/>
            <w:tcMar>
              <w:top w:w="0" w:type="dxa"/>
              <w:left w:w="0" w:type="dxa"/>
              <w:bottom w:w="0" w:type="dxa"/>
              <w:right w:w="0" w:type="dxa"/>
            </w:tcMar>
            <w:hideMark/>
          </w:tcPr>
          <w:p w14:paraId="596F2A9F" w14:textId="77777777" w:rsidR="00000000" w:rsidRDefault="001F1B20">
            <w:pPr>
              <w:pStyle w:val="a3"/>
              <w:spacing w:before="0" w:beforeAutospacing="0" w:after="0" w:afterAutospacing="0"/>
              <w:ind w:left="240"/>
              <w:rPr>
                <w:sz w:val="18"/>
                <w:szCs w:val="18"/>
              </w:rPr>
            </w:pPr>
            <w:r>
              <w:rPr>
                <w:sz w:val="18"/>
                <w:szCs w:val="18"/>
              </w:rPr>
              <w:t>Accrued general and administrative expenses</w:t>
            </w:r>
          </w:p>
        </w:tc>
        <w:tc>
          <w:tcPr>
            <w:tcW w:w="127" w:type="pct"/>
            <w:noWrap/>
            <w:tcMar>
              <w:top w:w="0" w:type="dxa"/>
              <w:left w:w="0" w:type="dxa"/>
              <w:bottom w:w="0" w:type="dxa"/>
              <w:right w:w="0" w:type="dxa"/>
            </w:tcMar>
            <w:vAlign w:val="bottom"/>
            <w:hideMark/>
          </w:tcPr>
          <w:p w14:paraId="18C2EE54"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093DDAD2"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250056A6" w14:textId="77777777" w:rsidR="00000000" w:rsidRDefault="001F1B20">
            <w:pPr>
              <w:pStyle w:val="a3"/>
              <w:spacing w:before="0" w:beforeAutospacing="0" w:after="0" w:afterAutospacing="0"/>
              <w:ind w:right="60"/>
              <w:jc w:val="right"/>
              <w:rPr>
                <w:sz w:val="18"/>
                <w:szCs w:val="18"/>
              </w:rPr>
            </w:pPr>
            <w:r>
              <w:rPr>
                <w:sz w:val="18"/>
                <w:szCs w:val="18"/>
              </w:rPr>
              <w:t>3,854</w:t>
            </w:r>
          </w:p>
        </w:tc>
        <w:tc>
          <w:tcPr>
            <w:tcW w:w="127" w:type="pct"/>
            <w:noWrap/>
            <w:tcMar>
              <w:top w:w="0" w:type="dxa"/>
              <w:left w:w="0" w:type="dxa"/>
              <w:bottom w:w="0" w:type="dxa"/>
              <w:right w:w="0" w:type="dxa"/>
            </w:tcMar>
            <w:vAlign w:val="bottom"/>
            <w:hideMark/>
          </w:tcPr>
          <w:p w14:paraId="1908E62A"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05729428"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17AA6D2B" w14:textId="77777777" w:rsidR="00000000" w:rsidRDefault="001F1B20">
            <w:pPr>
              <w:pStyle w:val="a3"/>
              <w:spacing w:before="0" w:beforeAutospacing="0" w:after="0" w:afterAutospacing="0"/>
              <w:ind w:right="60"/>
              <w:jc w:val="right"/>
              <w:rPr>
                <w:sz w:val="18"/>
                <w:szCs w:val="18"/>
              </w:rPr>
            </w:pPr>
            <w:r>
              <w:rPr>
                <w:sz w:val="18"/>
                <w:szCs w:val="18"/>
              </w:rPr>
              <w:t>6,048</w:t>
            </w:r>
          </w:p>
        </w:tc>
      </w:tr>
      <w:tr w:rsidR="00000000" w14:paraId="1602937A" w14:textId="77777777">
        <w:trPr>
          <w:divId w:val="2073698176"/>
        </w:trPr>
        <w:tc>
          <w:tcPr>
            <w:tcW w:w="3572" w:type="pct"/>
            <w:shd w:val="clear" w:color="auto" w:fill="CCEEFF"/>
            <w:tcMar>
              <w:top w:w="0" w:type="dxa"/>
              <w:left w:w="0" w:type="dxa"/>
              <w:bottom w:w="0" w:type="dxa"/>
              <w:right w:w="0" w:type="dxa"/>
            </w:tcMar>
            <w:hideMark/>
          </w:tcPr>
          <w:p w14:paraId="04D3DF5A" w14:textId="77777777" w:rsidR="00000000" w:rsidRDefault="001F1B20">
            <w:pPr>
              <w:pStyle w:val="a3"/>
              <w:spacing w:before="0" w:beforeAutospacing="0" w:after="0" w:afterAutospacing="0"/>
              <w:ind w:left="240"/>
              <w:rPr>
                <w:sz w:val="18"/>
                <w:szCs w:val="18"/>
              </w:rPr>
            </w:pPr>
            <w:r>
              <w:rPr>
                <w:sz w:val="18"/>
                <w:szCs w:val="18"/>
              </w:rPr>
              <w:t>Accrued interest payable</w:t>
            </w:r>
          </w:p>
        </w:tc>
        <w:tc>
          <w:tcPr>
            <w:tcW w:w="127" w:type="pct"/>
            <w:shd w:val="clear" w:color="auto" w:fill="CCEEFF"/>
            <w:noWrap/>
            <w:tcMar>
              <w:top w:w="0" w:type="dxa"/>
              <w:left w:w="0" w:type="dxa"/>
              <w:bottom w:w="0" w:type="dxa"/>
              <w:right w:w="0" w:type="dxa"/>
            </w:tcMar>
            <w:vAlign w:val="bottom"/>
            <w:hideMark/>
          </w:tcPr>
          <w:p w14:paraId="4F2C21B7"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6B163D29"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4F35331F" w14:textId="77777777" w:rsidR="00000000" w:rsidRDefault="001F1B20">
            <w:pPr>
              <w:pStyle w:val="a3"/>
              <w:spacing w:before="0" w:beforeAutospacing="0" w:after="0" w:afterAutospacing="0"/>
              <w:ind w:right="60"/>
              <w:jc w:val="right"/>
              <w:rPr>
                <w:sz w:val="18"/>
                <w:szCs w:val="18"/>
              </w:rPr>
            </w:pPr>
            <w:r>
              <w:rPr>
                <w:sz w:val="18"/>
                <w:szCs w:val="18"/>
              </w:rPr>
              <w:t>5,808</w:t>
            </w:r>
          </w:p>
        </w:tc>
        <w:tc>
          <w:tcPr>
            <w:tcW w:w="127" w:type="pct"/>
            <w:shd w:val="clear" w:color="auto" w:fill="CCEEFF"/>
            <w:noWrap/>
            <w:tcMar>
              <w:top w:w="0" w:type="dxa"/>
              <w:left w:w="0" w:type="dxa"/>
              <w:bottom w:w="0" w:type="dxa"/>
              <w:right w:w="0" w:type="dxa"/>
            </w:tcMar>
            <w:vAlign w:val="bottom"/>
            <w:hideMark/>
          </w:tcPr>
          <w:p w14:paraId="46F71563"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0FFC4ABD"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5CCBEAFB" w14:textId="77777777" w:rsidR="00000000" w:rsidRDefault="001F1B20">
            <w:pPr>
              <w:pStyle w:val="a3"/>
              <w:spacing w:before="0" w:beforeAutospacing="0" w:after="0" w:afterAutospacing="0"/>
              <w:ind w:right="60"/>
              <w:jc w:val="right"/>
              <w:rPr>
                <w:sz w:val="18"/>
                <w:szCs w:val="18"/>
              </w:rPr>
            </w:pPr>
            <w:r>
              <w:rPr>
                <w:sz w:val="18"/>
                <w:szCs w:val="18"/>
              </w:rPr>
              <w:t>3,974</w:t>
            </w:r>
          </w:p>
        </w:tc>
      </w:tr>
      <w:tr w:rsidR="00000000" w14:paraId="3FF7BF89" w14:textId="77777777">
        <w:trPr>
          <w:divId w:val="2073698176"/>
        </w:trPr>
        <w:tc>
          <w:tcPr>
            <w:tcW w:w="3572" w:type="pct"/>
            <w:tcMar>
              <w:top w:w="0" w:type="dxa"/>
              <w:left w:w="0" w:type="dxa"/>
              <w:bottom w:w="0" w:type="dxa"/>
              <w:right w:w="0" w:type="dxa"/>
            </w:tcMar>
            <w:hideMark/>
          </w:tcPr>
          <w:p w14:paraId="7BE05F32" w14:textId="77777777" w:rsidR="00000000" w:rsidRDefault="001F1B20">
            <w:pPr>
              <w:pStyle w:val="a3"/>
              <w:spacing w:before="0" w:beforeAutospacing="0" w:after="0" w:afterAutospacing="0"/>
              <w:ind w:left="240"/>
              <w:rPr>
                <w:sz w:val="18"/>
                <w:szCs w:val="18"/>
              </w:rPr>
            </w:pPr>
            <w:r>
              <w:rPr>
                <w:sz w:val="18"/>
                <w:szCs w:val="18"/>
              </w:rPr>
              <w:t>Current portion of non-recourse notes due 2035, net</w:t>
            </w:r>
          </w:p>
        </w:tc>
        <w:tc>
          <w:tcPr>
            <w:tcW w:w="127" w:type="pct"/>
            <w:noWrap/>
            <w:tcMar>
              <w:top w:w="0" w:type="dxa"/>
              <w:left w:w="0" w:type="dxa"/>
              <w:bottom w:w="0" w:type="dxa"/>
              <w:right w:w="0" w:type="dxa"/>
            </w:tcMar>
            <w:vAlign w:val="bottom"/>
            <w:hideMark/>
          </w:tcPr>
          <w:p w14:paraId="69B103FD"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46F2E072"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6E993F97" w14:textId="77777777" w:rsidR="00000000" w:rsidRDefault="001F1B20">
            <w:pPr>
              <w:pStyle w:val="a3"/>
              <w:spacing w:before="0" w:beforeAutospacing="0" w:after="0" w:afterAutospacing="0"/>
              <w:ind w:right="60"/>
              <w:jc w:val="right"/>
              <w:rPr>
                <w:sz w:val="18"/>
                <w:szCs w:val="18"/>
              </w:rPr>
            </w:pPr>
            <w:r>
              <w:rPr>
                <w:sz w:val="18"/>
                <w:szCs w:val="18"/>
              </w:rPr>
              <w:t>12,530</w:t>
            </w:r>
          </w:p>
        </w:tc>
        <w:tc>
          <w:tcPr>
            <w:tcW w:w="127" w:type="pct"/>
            <w:noWrap/>
            <w:tcMar>
              <w:top w:w="0" w:type="dxa"/>
              <w:left w:w="0" w:type="dxa"/>
              <w:bottom w:w="0" w:type="dxa"/>
              <w:right w:w="0" w:type="dxa"/>
            </w:tcMar>
            <w:vAlign w:val="bottom"/>
            <w:hideMark/>
          </w:tcPr>
          <w:p w14:paraId="08297D51"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3AB950D6"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725EF55C" w14:textId="77777777" w:rsidR="00000000" w:rsidRDefault="001F1B20">
            <w:pPr>
              <w:pStyle w:val="a3"/>
              <w:spacing w:before="0" w:beforeAutospacing="0" w:after="0" w:afterAutospacing="0"/>
              <w:ind w:right="60"/>
              <w:jc w:val="right"/>
              <w:rPr>
                <w:sz w:val="18"/>
                <w:szCs w:val="18"/>
              </w:rPr>
            </w:pPr>
            <w:r>
              <w:rPr>
                <w:sz w:val="18"/>
                <w:szCs w:val="18"/>
              </w:rPr>
              <w:t>19,334</w:t>
            </w:r>
          </w:p>
        </w:tc>
      </w:tr>
      <w:tr w:rsidR="00000000" w14:paraId="42D305E5" w14:textId="77777777">
        <w:trPr>
          <w:divId w:val="2073698176"/>
        </w:trPr>
        <w:tc>
          <w:tcPr>
            <w:tcW w:w="3572" w:type="pct"/>
            <w:shd w:val="clear" w:color="auto" w:fill="CCEEFF"/>
            <w:tcMar>
              <w:top w:w="0" w:type="dxa"/>
              <w:left w:w="0" w:type="dxa"/>
              <w:bottom w:w="0" w:type="dxa"/>
              <w:right w:w="0" w:type="dxa"/>
            </w:tcMar>
            <w:hideMark/>
          </w:tcPr>
          <w:p w14:paraId="1E7BC104" w14:textId="77777777" w:rsidR="00000000" w:rsidRDefault="001F1B20">
            <w:pPr>
              <w:pStyle w:val="a3"/>
              <w:spacing w:before="0" w:beforeAutospacing="0" w:after="0" w:afterAutospacing="0"/>
              <w:ind w:left="240"/>
              <w:rPr>
                <w:sz w:val="18"/>
                <w:szCs w:val="18"/>
              </w:rPr>
            </w:pPr>
            <w:r>
              <w:rPr>
                <w:sz w:val="18"/>
                <w:szCs w:val="18"/>
              </w:rPr>
              <w:t>Operating lease liabilities</w:t>
            </w:r>
          </w:p>
        </w:tc>
        <w:tc>
          <w:tcPr>
            <w:tcW w:w="127" w:type="pct"/>
            <w:shd w:val="clear" w:color="auto" w:fill="CCEEFF"/>
            <w:noWrap/>
            <w:tcMar>
              <w:top w:w="0" w:type="dxa"/>
              <w:left w:w="0" w:type="dxa"/>
              <w:bottom w:w="0" w:type="dxa"/>
              <w:right w:w="0" w:type="dxa"/>
            </w:tcMar>
            <w:vAlign w:val="bottom"/>
            <w:hideMark/>
          </w:tcPr>
          <w:p w14:paraId="0CA86C8E"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34593C9B"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5E76E8EA" w14:textId="77777777" w:rsidR="00000000" w:rsidRDefault="001F1B20">
            <w:pPr>
              <w:pStyle w:val="a3"/>
              <w:spacing w:before="0" w:beforeAutospacing="0" w:after="0" w:afterAutospacing="0"/>
              <w:ind w:right="60"/>
              <w:jc w:val="right"/>
              <w:rPr>
                <w:sz w:val="18"/>
                <w:szCs w:val="18"/>
              </w:rPr>
            </w:pPr>
            <w:r>
              <w:rPr>
                <w:sz w:val="18"/>
                <w:szCs w:val="18"/>
              </w:rPr>
              <w:t>1,016</w:t>
            </w:r>
          </w:p>
        </w:tc>
        <w:tc>
          <w:tcPr>
            <w:tcW w:w="127" w:type="pct"/>
            <w:shd w:val="clear" w:color="auto" w:fill="CCEEFF"/>
            <w:noWrap/>
            <w:tcMar>
              <w:top w:w="0" w:type="dxa"/>
              <w:left w:w="0" w:type="dxa"/>
              <w:bottom w:w="0" w:type="dxa"/>
              <w:right w:w="0" w:type="dxa"/>
            </w:tcMar>
            <w:vAlign w:val="bottom"/>
            <w:hideMark/>
          </w:tcPr>
          <w:p w14:paraId="12D23459"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252EFDEB"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16CFF412" w14:textId="77777777" w:rsidR="00000000" w:rsidRDefault="001F1B20">
            <w:pPr>
              <w:pStyle w:val="a3"/>
              <w:spacing w:before="0" w:beforeAutospacing="0" w:after="0" w:afterAutospacing="0"/>
              <w:ind w:right="60"/>
              <w:jc w:val="right"/>
              <w:rPr>
                <w:sz w:val="18"/>
                <w:szCs w:val="18"/>
              </w:rPr>
            </w:pPr>
            <w:r>
              <w:rPr>
                <w:sz w:val="18"/>
                <w:szCs w:val="18"/>
              </w:rPr>
              <w:t>9,867</w:t>
            </w:r>
          </w:p>
        </w:tc>
      </w:tr>
      <w:tr w:rsidR="00000000" w14:paraId="4749C94D" w14:textId="77777777">
        <w:trPr>
          <w:divId w:val="2073698176"/>
        </w:trPr>
        <w:tc>
          <w:tcPr>
            <w:tcW w:w="3572" w:type="pct"/>
            <w:tcMar>
              <w:top w:w="0" w:type="dxa"/>
              <w:left w:w="0" w:type="dxa"/>
              <w:bottom w:w="0" w:type="dxa"/>
              <w:right w:w="0" w:type="dxa"/>
            </w:tcMar>
            <w:hideMark/>
          </w:tcPr>
          <w:p w14:paraId="3495F43D" w14:textId="77777777" w:rsidR="00000000" w:rsidRDefault="001F1B20">
            <w:pPr>
              <w:pStyle w:val="a3"/>
              <w:spacing w:before="0" w:beforeAutospacing="0" w:after="0" w:afterAutospacing="0"/>
              <w:ind w:left="240"/>
              <w:rPr>
                <w:sz w:val="18"/>
                <w:szCs w:val="18"/>
              </w:rPr>
            </w:pPr>
            <w:r>
              <w:rPr>
                <w:sz w:val="18"/>
                <w:szCs w:val="18"/>
              </w:rPr>
              <w:t>Deferred revenue</w:t>
            </w:r>
          </w:p>
        </w:tc>
        <w:tc>
          <w:tcPr>
            <w:tcW w:w="127" w:type="pct"/>
            <w:noWrap/>
            <w:tcMar>
              <w:top w:w="0" w:type="dxa"/>
              <w:left w:w="0" w:type="dxa"/>
              <w:bottom w:w="0" w:type="dxa"/>
              <w:right w:w="0" w:type="dxa"/>
            </w:tcMar>
            <w:vAlign w:val="bottom"/>
            <w:hideMark/>
          </w:tcPr>
          <w:p w14:paraId="77C79E06"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40065287"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4D98D2BE" w14:textId="77777777" w:rsidR="00000000" w:rsidRDefault="001F1B20">
            <w:pPr>
              <w:pStyle w:val="a3"/>
              <w:spacing w:before="0" w:beforeAutospacing="0" w:after="0" w:afterAutospacing="0"/>
              <w:ind w:right="60"/>
              <w:jc w:val="right"/>
              <w:rPr>
                <w:sz w:val="18"/>
                <w:szCs w:val="18"/>
              </w:rPr>
            </w:pPr>
            <w:r>
              <w:rPr>
                <w:sz w:val="18"/>
                <w:szCs w:val="18"/>
              </w:rPr>
              <w:t>2,902</w:t>
            </w:r>
          </w:p>
        </w:tc>
        <w:tc>
          <w:tcPr>
            <w:tcW w:w="127" w:type="pct"/>
            <w:noWrap/>
            <w:tcMar>
              <w:top w:w="0" w:type="dxa"/>
              <w:left w:w="0" w:type="dxa"/>
              <w:bottom w:w="0" w:type="dxa"/>
              <w:right w:w="0" w:type="dxa"/>
            </w:tcMar>
            <w:vAlign w:val="bottom"/>
            <w:hideMark/>
          </w:tcPr>
          <w:p w14:paraId="7AD9AAB9"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0B776409"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7E45653D" w14:textId="77777777" w:rsidR="00000000" w:rsidRDefault="001F1B20">
            <w:pPr>
              <w:pStyle w:val="a3"/>
              <w:spacing w:before="0" w:beforeAutospacing="0" w:after="0" w:afterAutospacing="0"/>
              <w:ind w:right="60"/>
              <w:jc w:val="right"/>
              <w:rPr>
                <w:sz w:val="18"/>
                <w:szCs w:val="18"/>
              </w:rPr>
            </w:pPr>
            <w:r>
              <w:rPr>
                <w:sz w:val="18"/>
                <w:szCs w:val="18"/>
              </w:rPr>
              <w:t>11,523</w:t>
            </w:r>
          </w:p>
        </w:tc>
      </w:tr>
      <w:tr w:rsidR="00000000" w14:paraId="37827146" w14:textId="77777777">
        <w:trPr>
          <w:divId w:val="2073698176"/>
        </w:trPr>
        <w:tc>
          <w:tcPr>
            <w:tcW w:w="3572" w:type="pct"/>
            <w:shd w:val="clear" w:color="auto" w:fill="CCEEFF"/>
            <w:tcMar>
              <w:top w:w="0" w:type="dxa"/>
              <w:left w:w="0" w:type="dxa"/>
              <w:bottom w:w="0" w:type="dxa"/>
              <w:right w:w="0" w:type="dxa"/>
            </w:tcMar>
            <w:hideMark/>
          </w:tcPr>
          <w:p w14:paraId="74BC576D" w14:textId="77777777" w:rsidR="00000000" w:rsidRDefault="001F1B20">
            <w:pPr>
              <w:pStyle w:val="a3"/>
              <w:spacing w:before="0" w:beforeAutospacing="0" w:after="0" w:afterAutospacing="0"/>
              <w:ind w:left="240"/>
              <w:rPr>
                <w:sz w:val="18"/>
                <w:szCs w:val="18"/>
              </w:rPr>
            </w:pPr>
            <w:r>
              <w:rPr>
                <w:sz w:val="18"/>
                <w:szCs w:val="18"/>
              </w:rPr>
              <w:t>Other accrued liabilities</w:t>
            </w:r>
          </w:p>
        </w:tc>
        <w:tc>
          <w:tcPr>
            <w:tcW w:w="127" w:type="pct"/>
            <w:shd w:val="clear" w:color="auto" w:fill="CCEEFF"/>
            <w:noWrap/>
            <w:tcMar>
              <w:top w:w="0" w:type="dxa"/>
              <w:left w:w="0" w:type="dxa"/>
              <w:bottom w:w="0" w:type="dxa"/>
              <w:right w:w="0" w:type="dxa"/>
            </w:tcMar>
            <w:vAlign w:val="bottom"/>
            <w:hideMark/>
          </w:tcPr>
          <w:p w14:paraId="7872E33C"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14:paraId="6A8471B3" w14:textId="77777777" w:rsidR="00000000" w:rsidRDefault="001F1B20">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14:paraId="760AD86F" w14:textId="77777777" w:rsidR="00000000" w:rsidRDefault="001F1B20">
            <w:pPr>
              <w:pStyle w:val="a3"/>
              <w:spacing w:before="0" w:beforeAutospacing="0" w:after="0" w:afterAutospacing="0"/>
              <w:ind w:right="60"/>
              <w:jc w:val="right"/>
              <w:rPr>
                <w:sz w:val="18"/>
                <w:szCs w:val="18"/>
              </w:rPr>
            </w:pPr>
            <w:r>
              <w:rPr>
                <w:sz w:val="18"/>
                <w:szCs w:val="18"/>
              </w:rPr>
              <w:t>1,830</w:t>
            </w:r>
          </w:p>
        </w:tc>
        <w:tc>
          <w:tcPr>
            <w:tcW w:w="127" w:type="pct"/>
            <w:shd w:val="clear" w:color="auto" w:fill="CCEEFF"/>
            <w:noWrap/>
            <w:tcMar>
              <w:top w:w="0" w:type="dxa"/>
              <w:left w:w="0" w:type="dxa"/>
              <w:bottom w:w="0" w:type="dxa"/>
              <w:right w:w="0" w:type="dxa"/>
            </w:tcMar>
            <w:vAlign w:val="bottom"/>
            <w:hideMark/>
          </w:tcPr>
          <w:p w14:paraId="191E168F"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14:paraId="325425B8" w14:textId="77777777" w:rsidR="00000000" w:rsidRDefault="001F1B20">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14:paraId="6137DF68" w14:textId="77777777" w:rsidR="00000000" w:rsidRDefault="001F1B20">
            <w:pPr>
              <w:pStyle w:val="a3"/>
              <w:spacing w:before="0" w:beforeAutospacing="0" w:after="0" w:afterAutospacing="0"/>
              <w:ind w:right="60"/>
              <w:jc w:val="right"/>
              <w:rPr>
                <w:sz w:val="18"/>
                <w:szCs w:val="18"/>
              </w:rPr>
            </w:pPr>
            <w:r>
              <w:rPr>
                <w:sz w:val="18"/>
                <w:szCs w:val="18"/>
              </w:rPr>
              <w:t>2,013</w:t>
            </w:r>
          </w:p>
        </w:tc>
      </w:tr>
      <w:tr w:rsidR="00000000" w14:paraId="4EFC525B" w14:textId="77777777">
        <w:trPr>
          <w:divId w:val="2073698176"/>
        </w:trPr>
        <w:tc>
          <w:tcPr>
            <w:tcW w:w="3572" w:type="pct"/>
            <w:tcMar>
              <w:top w:w="0" w:type="dxa"/>
              <w:left w:w="0" w:type="dxa"/>
              <w:bottom w:w="0" w:type="dxa"/>
              <w:right w:w="0" w:type="dxa"/>
            </w:tcMar>
            <w:hideMark/>
          </w:tcPr>
          <w:p w14:paraId="224051C3" w14:textId="77777777" w:rsidR="00000000" w:rsidRDefault="001F1B20">
            <w:pPr>
              <w:pStyle w:val="a3"/>
              <w:spacing w:before="0" w:beforeAutospacing="0" w:after="0" w:afterAutospacing="0"/>
              <w:ind w:left="360"/>
              <w:rPr>
                <w:sz w:val="18"/>
                <w:szCs w:val="18"/>
              </w:rPr>
            </w:pPr>
            <w:r>
              <w:rPr>
                <w:sz w:val="18"/>
                <w:szCs w:val="18"/>
              </w:rPr>
              <w:t xml:space="preserve">Total current liabilities </w:t>
            </w:r>
          </w:p>
        </w:tc>
        <w:tc>
          <w:tcPr>
            <w:tcW w:w="127" w:type="pct"/>
            <w:noWrap/>
            <w:tcMar>
              <w:top w:w="0" w:type="dxa"/>
              <w:left w:w="0" w:type="dxa"/>
              <w:bottom w:w="0" w:type="dxa"/>
              <w:right w:w="0" w:type="dxa"/>
            </w:tcMar>
            <w:vAlign w:val="bottom"/>
            <w:hideMark/>
          </w:tcPr>
          <w:p w14:paraId="188D7CAF"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06F50D0F"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0202B6DE" w14:textId="77777777" w:rsidR="00000000" w:rsidRDefault="001F1B20">
            <w:pPr>
              <w:pStyle w:val="a3"/>
              <w:spacing w:before="0" w:beforeAutospacing="0" w:after="0" w:afterAutospacing="0"/>
              <w:ind w:right="60"/>
              <w:jc w:val="right"/>
              <w:rPr>
                <w:sz w:val="18"/>
                <w:szCs w:val="18"/>
              </w:rPr>
            </w:pPr>
            <w:r>
              <w:rPr>
                <w:sz w:val="18"/>
                <w:szCs w:val="18"/>
              </w:rPr>
              <w:t>66,082</w:t>
            </w:r>
          </w:p>
        </w:tc>
        <w:tc>
          <w:tcPr>
            <w:tcW w:w="127" w:type="pct"/>
            <w:noWrap/>
            <w:tcMar>
              <w:top w:w="0" w:type="dxa"/>
              <w:left w:w="0" w:type="dxa"/>
              <w:bottom w:w="0" w:type="dxa"/>
              <w:right w:w="0" w:type="dxa"/>
            </w:tcMar>
            <w:vAlign w:val="bottom"/>
            <w:hideMark/>
          </w:tcPr>
          <w:p w14:paraId="3D2E21E3"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2DD6E6FF"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286893D6" w14:textId="77777777" w:rsidR="00000000" w:rsidRDefault="001F1B20">
            <w:pPr>
              <w:pStyle w:val="a3"/>
              <w:spacing w:before="0" w:beforeAutospacing="0" w:after="0" w:afterAutospacing="0"/>
              <w:ind w:right="60"/>
              <w:jc w:val="right"/>
              <w:rPr>
                <w:sz w:val="18"/>
                <w:szCs w:val="18"/>
              </w:rPr>
            </w:pPr>
            <w:r>
              <w:rPr>
                <w:sz w:val="18"/>
                <w:szCs w:val="18"/>
              </w:rPr>
              <w:t>123,571</w:t>
            </w:r>
          </w:p>
        </w:tc>
      </w:tr>
      <w:tr w:rsidR="00000000" w14:paraId="781EBABC" w14:textId="77777777">
        <w:trPr>
          <w:divId w:val="2073698176"/>
        </w:trPr>
        <w:tc>
          <w:tcPr>
            <w:tcW w:w="3572" w:type="pct"/>
            <w:shd w:val="clear" w:color="auto" w:fill="CCEEFF"/>
            <w:tcMar>
              <w:top w:w="0" w:type="dxa"/>
              <w:left w:w="0" w:type="dxa"/>
              <w:bottom w:w="0" w:type="dxa"/>
              <w:right w:w="0" w:type="dxa"/>
            </w:tcMar>
            <w:vAlign w:val="bottom"/>
            <w:hideMark/>
          </w:tcPr>
          <w:p w14:paraId="40F05030" w14:textId="77777777" w:rsidR="00000000" w:rsidRDefault="001F1B20">
            <w:pPr>
              <w:pStyle w:val="a3"/>
              <w:spacing w:before="0" w:beforeAutospacing="0" w:after="0" w:afterAutospacing="0"/>
              <w:rPr>
                <w:sz w:val="18"/>
                <w:szCs w:val="18"/>
              </w:rPr>
            </w:pPr>
            <w:r>
              <w:rPr>
                <w:sz w:val="18"/>
                <w:szCs w:val="18"/>
              </w:rPr>
              <w:t>Convertible senior notes due 2023, net</w:t>
            </w:r>
          </w:p>
        </w:tc>
        <w:tc>
          <w:tcPr>
            <w:tcW w:w="127" w:type="pct"/>
            <w:shd w:val="clear" w:color="auto" w:fill="CCEEFF"/>
            <w:noWrap/>
            <w:tcMar>
              <w:top w:w="0" w:type="dxa"/>
              <w:left w:w="0" w:type="dxa"/>
              <w:bottom w:w="0" w:type="dxa"/>
              <w:right w:w="0" w:type="dxa"/>
            </w:tcMar>
            <w:vAlign w:val="bottom"/>
            <w:hideMark/>
          </w:tcPr>
          <w:p w14:paraId="5E412730"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04894FE8"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22CB273D" w14:textId="77777777" w:rsidR="00000000" w:rsidRDefault="001F1B20">
            <w:pPr>
              <w:pStyle w:val="a3"/>
              <w:spacing w:before="0" w:beforeAutospacing="0" w:after="0" w:afterAutospacing="0"/>
              <w:ind w:right="60"/>
              <w:jc w:val="right"/>
              <w:rPr>
                <w:sz w:val="18"/>
                <w:szCs w:val="18"/>
              </w:rPr>
            </w:pPr>
            <w:r>
              <w:rPr>
                <w:sz w:val="18"/>
                <w:szCs w:val="18"/>
              </w:rPr>
              <w:t>227,767</w:t>
            </w:r>
          </w:p>
        </w:tc>
        <w:tc>
          <w:tcPr>
            <w:tcW w:w="127" w:type="pct"/>
            <w:shd w:val="clear" w:color="auto" w:fill="CCEEFF"/>
            <w:noWrap/>
            <w:tcMar>
              <w:top w:w="0" w:type="dxa"/>
              <w:left w:w="0" w:type="dxa"/>
              <w:bottom w:w="0" w:type="dxa"/>
              <w:right w:w="0" w:type="dxa"/>
            </w:tcMar>
            <w:vAlign w:val="bottom"/>
            <w:hideMark/>
          </w:tcPr>
          <w:p w14:paraId="66AD0C3A"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17BAE856"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786FE7DB" w14:textId="77777777" w:rsidR="00000000" w:rsidRDefault="001F1B20">
            <w:pPr>
              <w:pStyle w:val="a3"/>
              <w:spacing w:before="0" w:beforeAutospacing="0" w:after="0" w:afterAutospacing="0"/>
              <w:ind w:right="60"/>
              <w:jc w:val="right"/>
              <w:rPr>
                <w:sz w:val="18"/>
                <w:szCs w:val="18"/>
              </w:rPr>
            </w:pPr>
            <w:r>
              <w:rPr>
                <w:sz w:val="18"/>
                <w:szCs w:val="18"/>
              </w:rPr>
              <w:t>226,963</w:t>
            </w:r>
          </w:p>
        </w:tc>
      </w:tr>
      <w:tr w:rsidR="00000000" w14:paraId="0EB786AD" w14:textId="77777777">
        <w:trPr>
          <w:divId w:val="2073698176"/>
        </w:trPr>
        <w:tc>
          <w:tcPr>
            <w:tcW w:w="3572" w:type="pct"/>
            <w:tcMar>
              <w:top w:w="0" w:type="dxa"/>
              <w:left w:w="0" w:type="dxa"/>
              <w:bottom w:w="0" w:type="dxa"/>
              <w:right w:w="0" w:type="dxa"/>
            </w:tcMar>
            <w:vAlign w:val="bottom"/>
            <w:hideMark/>
          </w:tcPr>
          <w:p w14:paraId="4DEEBA01" w14:textId="77777777" w:rsidR="00000000" w:rsidRDefault="001F1B20">
            <w:pPr>
              <w:pStyle w:val="a3"/>
              <w:spacing w:before="0" w:beforeAutospacing="0" w:after="0" w:afterAutospacing="0"/>
              <w:rPr>
                <w:sz w:val="18"/>
                <w:szCs w:val="18"/>
              </w:rPr>
            </w:pPr>
            <w:r>
              <w:rPr>
                <w:sz w:val="18"/>
                <w:szCs w:val="18"/>
              </w:rPr>
              <w:t>Non-recourse notes due 2035, net</w:t>
            </w:r>
          </w:p>
        </w:tc>
        <w:tc>
          <w:tcPr>
            <w:tcW w:w="127" w:type="pct"/>
            <w:noWrap/>
            <w:tcMar>
              <w:top w:w="0" w:type="dxa"/>
              <w:left w:w="0" w:type="dxa"/>
              <w:bottom w:w="0" w:type="dxa"/>
              <w:right w:w="0" w:type="dxa"/>
            </w:tcMar>
            <w:vAlign w:val="bottom"/>
            <w:hideMark/>
          </w:tcPr>
          <w:p w14:paraId="5A628E01"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11EEADCF"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0C8E91D4" w14:textId="77777777" w:rsidR="00000000" w:rsidRDefault="001F1B20">
            <w:pPr>
              <w:pStyle w:val="a3"/>
              <w:spacing w:before="0" w:beforeAutospacing="0" w:after="0" w:afterAutospacing="0"/>
              <w:ind w:right="60"/>
              <w:jc w:val="right"/>
              <w:rPr>
                <w:sz w:val="18"/>
                <w:szCs w:val="18"/>
              </w:rPr>
            </w:pPr>
            <w:r>
              <w:rPr>
                <w:sz w:val="18"/>
                <w:szCs w:val="18"/>
              </w:rPr>
              <w:t>375,570</w:t>
            </w:r>
          </w:p>
        </w:tc>
        <w:tc>
          <w:tcPr>
            <w:tcW w:w="127" w:type="pct"/>
            <w:noWrap/>
            <w:tcMar>
              <w:top w:w="0" w:type="dxa"/>
              <w:left w:w="0" w:type="dxa"/>
              <w:bottom w:w="0" w:type="dxa"/>
              <w:right w:w="0" w:type="dxa"/>
            </w:tcMar>
            <w:vAlign w:val="bottom"/>
            <w:hideMark/>
          </w:tcPr>
          <w:p w14:paraId="547D2B43"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60F17A7C"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2AF4DC63" w14:textId="77777777" w:rsidR="00000000" w:rsidRDefault="001F1B20">
            <w:pPr>
              <w:pStyle w:val="a3"/>
              <w:spacing w:before="0" w:beforeAutospacing="0" w:after="0" w:afterAutospacing="0"/>
              <w:ind w:right="60"/>
              <w:jc w:val="right"/>
              <w:rPr>
                <w:sz w:val="18"/>
                <w:szCs w:val="18"/>
              </w:rPr>
            </w:pPr>
            <w:r>
              <w:rPr>
                <w:sz w:val="18"/>
                <w:szCs w:val="18"/>
              </w:rPr>
              <w:t>372,873</w:t>
            </w:r>
          </w:p>
        </w:tc>
      </w:tr>
      <w:tr w:rsidR="00000000" w14:paraId="1FB36A6D" w14:textId="77777777">
        <w:trPr>
          <w:divId w:val="2073698176"/>
        </w:trPr>
        <w:tc>
          <w:tcPr>
            <w:tcW w:w="3572" w:type="pct"/>
            <w:shd w:val="clear" w:color="auto" w:fill="CCEEFF"/>
            <w:tcMar>
              <w:top w:w="0" w:type="dxa"/>
              <w:left w:w="0" w:type="dxa"/>
              <w:bottom w:w="0" w:type="dxa"/>
              <w:right w:w="0" w:type="dxa"/>
            </w:tcMar>
            <w:hideMark/>
          </w:tcPr>
          <w:p w14:paraId="31B663FB" w14:textId="77777777" w:rsidR="00000000" w:rsidRDefault="001F1B20">
            <w:pPr>
              <w:pStyle w:val="a3"/>
              <w:spacing w:before="0" w:beforeAutospacing="0" w:after="0" w:afterAutospacing="0"/>
              <w:rPr>
                <w:sz w:val="18"/>
                <w:szCs w:val="18"/>
              </w:rPr>
            </w:pPr>
            <w:r>
              <w:rPr>
                <w:sz w:val="18"/>
                <w:szCs w:val="18"/>
              </w:rPr>
              <w:t>Long-term operating lease liabilities</w:t>
            </w:r>
          </w:p>
        </w:tc>
        <w:tc>
          <w:tcPr>
            <w:tcW w:w="127" w:type="pct"/>
            <w:shd w:val="clear" w:color="auto" w:fill="CCEEFF"/>
            <w:noWrap/>
            <w:tcMar>
              <w:top w:w="0" w:type="dxa"/>
              <w:left w:w="0" w:type="dxa"/>
              <w:bottom w:w="0" w:type="dxa"/>
              <w:right w:w="0" w:type="dxa"/>
            </w:tcMar>
            <w:vAlign w:val="bottom"/>
            <w:hideMark/>
          </w:tcPr>
          <w:p w14:paraId="3D265273"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0235DD73"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677D25D2" w14:textId="77777777" w:rsidR="00000000" w:rsidRDefault="001F1B20">
            <w:pPr>
              <w:pStyle w:val="a3"/>
              <w:spacing w:before="0" w:beforeAutospacing="0" w:after="0" w:afterAutospacing="0"/>
              <w:ind w:right="60"/>
              <w:jc w:val="right"/>
              <w:rPr>
                <w:sz w:val="18"/>
                <w:szCs w:val="18"/>
              </w:rPr>
            </w:pPr>
            <w:r>
              <w:rPr>
                <w:sz w:val="18"/>
                <w:szCs w:val="18"/>
              </w:rPr>
              <w:t>54,353</w:t>
            </w:r>
          </w:p>
        </w:tc>
        <w:tc>
          <w:tcPr>
            <w:tcW w:w="127" w:type="pct"/>
            <w:shd w:val="clear" w:color="auto" w:fill="CCEEFF"/>
            <w:noWrap/>
            <w:tcMar>
              <w:top w:w="0" w:type="dxa"/>
              <w:left w:w="0" w:type="dxa"/>
              <w:bottom w:w="0" w:type="dxa"/>
              <w:right w:w="0" w:type="dxa"/>
            </w:tcMar>
            <w:vAlign w:val="bottom"/>
            <w:hideMark/>
          </w:tcPr>
          <w:p w14:paraId="4720C71A"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4F830ACF"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71428349" w14:textId="77777777" w:rsidR="00000000" w:rsidRDefault="001F1B20">
            <w:pPr>
              <w:pStyle w:val="a3"/>
              <w:spacing w:before="0" w:beforeAutospacing="0" w:after="0" w:afterAutospacing="0"/>
              <w:ind w:right="60"/>
              <w:jc w:val="right"/>
              <w:rPr>
                <w:sz w:val="18"/>
                <w:szCs w:val="18"/>
              </w:rPr>
            </w:pPr>
            <w:r>
              <w:rPr>
                <w:sz w:val="18"/>
                <w:szCs w:val="18"/>
              </w:rPr>
              <w:t>47,220</w:t>
            </w:r>
          </w:p>
        </w:tc>
      </w:tr>
      <w:tr w:rsidR="00000000" w14:paraId="38E53CD2" w14:textId="77777777">
        <w:trPr>
          <w:divId w:val="2073698176"/>
        </w:trPr>
        <w:tc>
          <w:tcPr>
            <w:tcW w:w="3572" w:type="pct"/>
            <w:tcMar>
              <w:top w:w="0" w:type="dxa"/>
              <w:left w:w="0" w:type="dxa"/>
              <w:bottom w:w="0" w:type="dxa"/>
              <w:right w:w="0" w:type="dxa"/>
            </w:tcMar>
            <w:hideMark/>
          </w:tcPr>
          <w:p w14:paraId="4106A872" w14:textId="77777777" w:rsidR="00000000" w:rsidRDefault="001F1B20">
            <w:pPr>
              <w:pStyle w:val="a3"/>
              <w:spacing w:before="0" w:beforeAutospacing="0" w:after="0" w:afterAutospacing="0"/>
              <w:rPr>
                <w:sz w:val="18"/>
                <w:szCs w:val="18"/>
              </w:rPr>
            </w:pPr>
            <w:r>
              <w:rPr>
                <w:sz w:val="18"/>
                <w:szCs w:val="18"/>
              </w:rPr>
              <w:t>Long-term deferred revenue</w:t>
            </w:r>
          </w:p>
        </w:tc>
        <w:tc>
          <w:tcPr>
            <w:tcW w:w="127" w:type="pct"/>
            <w:noWrap/>
            <w:tcMar>
              <w:top w:w="0" w:type="dxa"/>
              <w:left w:w="0" w:type="dxa"/>
              <w:bottom w:w="0" w:type="dxa"/>
              <w:right w:w="0" w:type="dxa"/>
            </w:tcMar>
            <w:vAlign w:val="bottom"/>
            <w:hideMark/>
          </w:tcPr>
          <w:p w14:paraId="3778F6E1"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36A3EAEF"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49789A75" w14:textId="77777777" w:rsidR="00000000" w:rsidRDefault="001F1B20">
            <w:pPr>
              <w:pStyle w:val="a3"/>
              <w:spacing w:before="0" w:beforeAutospacing="0" w:after="0" w:afterAutospacing="0"/>
              <w:ind w:right="60"/>
              <w:jc w:val="right"/>
              <w:rPr>
                <w:sz w:val="18"/>
                <w:szCs w:val="18"/>
              </w:rPr>
            </w:pPr>
            <w:r>
              <w:rPr>
                <w:sz w:val="18"/>
                <w:szCs w:val="18"/>
              </w:rPr>
              <w:t>320</w:t>
            </w:r>
          </w:p>
        </w:tc>
        <w:tc>
          <w:tcPr>
            <w:tcW w:w="127" w:type="pct"/>
            <w:noWrap/>
            <w:tcMar>
              <w:top w:w="0" w:type="dxa"/>
              <w:left w:w="0" w:type="dxa"/>
              <w:bottom w:w="0" w:type="dxa"/>
              <w:right w:w="0" w:type="dxa"/>
            </w:tcMar>
            <w:vAlign w:val="bottom"/>
            <w:hideMark/>
          </w:tcPr>
          <w:p w14:paraId="32CA46DB"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150D1CEC"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331B49A6" w14:textId="77777777" w:rsidR="00000000" w:rsidRDefault="001F1B20">
            <w:pPr>
              <w:pStyle w:val="a3"/>
              <w:spacing w:before="0" w:beforeAutospacing="0" w:after="0" w:afterAutospacing="0"/>
              <w:ind w:right="60"/>
              <w:jc w:val="right"/>
              <w:rPr>
                <w:sz w:val="18"/>
                <w:szCs w:val="18"/>
              </w:rPr>
            </w:pPr>
            <w:r>
              <w:rPr>
                <w:sz w:val="18"/>
                <w:szCs w:val="18"/>
              </w:rPr>
              <w:t>348</w:t>
            </w:r>
          </w:p>
        </w:tc>
      </w:tr>
      <w:tr w:rsidR="00000000" w14:paraId="0D6528BA" w14:textId="77777777">
        <w:trPr>
          <w:divId w:val="2073698176"/>
        </w:trPr>
        <w:tc>
          <w:tcPr>
            <w:tcW w:w="3572" w:type="pct"/>
            <w:shd w:val="clear" w:color="auto" w:fill="CCEEFF"/>
            <w:tcMar>
              <w:top w:w="0" w:type="dxa"/>
              <w:left w:w="0" w:type="dxa"/>
              <w:bottom w:w="0" w:type="dxa"/>
              <w:right w:w="0" w:type="dxa"/>
            </w:tcMar>
            <w:hideMark/>
          </w:tcPr>
          <w:p w14:paraId="4D5B241F" w14:textId="77777777" w:rsidR="00000000" w:rsidRDefault="001F1B20">
            <w:pPr>
              <w:pStyle w:val="a3"/>
              <w:spacing w:before="0" w:beforeAutospacing="0" w:after="0" w:afterAutospacing="0"/>
              <w:rPr>
                <w:sz w:val="18"/>
                <w:szCs w:val="18"/>
              </w:rPr>
            </w:pPr>
            <w:r>
              <w:rPr>
                <w:sz w:val="18"/>
                <w:szCs w:val="18"/>
              </w:rPr>
              <w:t>Other long-term liabilities</w:t>
            </w:r>
          </w:p>
        </w:tc>
        <w:tc>
          <w:tcPr>
            <w:tcW w:w="127" w:type="pct"/>
            <w:shd w:val="clear" w:color="auto" w:fill="CCEEFF"/>
            <w:noWrap/>
            <w:tcMar>
              <w:top w:w="0" w:type="dxa"/>
              <w:left w:w="0" w:type="dxa"/>
              <w:bottom w:w="0" w:type="dxa"/>
              <w:right w:w="0" w:type="dxa"/>
            </w:tcMar>
            <w:vAlign w:val="bottom"/>
            <w:hideMark/>
          </w:tcPr>
          <w:p w14:paraId="3C859F51"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6D3DA909"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718AAA77" w14:textId="77777777" w:rsidR="00000000" w:rsidRDefault="001F1B20">
            <w:pPr>
              <w:pStyle w:val="a3"/>
              <w:spacing w:before="0" w:beforeAutospacing="0" w:after="0" w:afterAutospacing="0"/>
              <w:ind w:right="60"/>
              <w:jc w:val="right"/>
              <w:rPr>
                <w:sz w:val="18"/>
                <w:szCs w:val="18"/>
              </w:rPr>
            </w:pPr>
            <w:r>
              <w:rPr>
                <w:sz w:val="18"/>
                <w:szCs w:val="18"/>
              </w:rPr>
              <w:t>2,609</w:t>
            </w:r>
          </w:p>
        </w:tc>
        <w:tc>
          <w:tcPr>
            <w:tcW w:w="127" w:type="pct"/>
            <w:shd w:val="clear" w:color="auto" w:fill="CCEEFF"/>
            <w:noWrap/>
            <w:tcMar>
              <w:top w:w="0" w:type="dxa"/>
              <w:left w:w="0" w:type="dxa"/>
              <w:bottom w:w="0" w:type="dxa"/>
              <w:right w:w="0" w:type="dxa"/>
            </w:tcMar>
            <w:vAlign w:val="bottom"/>
            <w:hideMark/>
          </w:tcPr>
          <w:p w14:paraId="6FBA7C28"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6039FE25"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2BD7B5C6" w14:textId="77777777" w:rsidR="00000000" w:rsidRDefault="001F1B20">
            <w:pPr>
              <w:pStyle w:val="a3"/>
              <w:spacing w:before="0" w:beforeAutospacing="0" w:after="0" w:afterAutospacing="0"/>
              <w:ind w:right="60"/>
              <w:jc w:val="right"/>
              <w:rPr>
                <w:sz w:val="18"/>
                <w:szCs w:val="18"/>
              </w:rPr>
            </w:pPr>
            <w:r>
              <w:rPr>
                <w:sz w:val="18"/>
                <w:szCs w:val="18"/>
              </w:rPr>
              <w:t>1,833</w:t>
            </w:r>
          </w:p>
        </w:tc>
      </w:tr>
      <w:tr w:rsidR="00000000" w14:paraId="1A6B8964" w14:textId="77777777">
        <w:trPr>
          <w:divId w:val="2073698176"/>
        </w:trPr>
        <w:tc>
          <w:tcPr>
            <w:tcW w:w="3572" w:type="pct"/>
            <w:tcMar>
              <w:top w:w="0" w:type="dxa"/>
              <w:left w:w="0" w:type="dxa"/>
              <w:bottom w:w="0" w:type="dxa"/>
              <w:right w:w="0" w:type="dxa"/>
            </w:tcMar>
            <w:hideMark/>
          </w:tcPr>
          <w:p w14:paraId="7CD81918" w14:textId="77777777" w:rsidR="00000000" w:rsidRDefault="001F1B20">
            <w:pPr>
              <w:pStyle w:val="a3"/>
              <w:spacing w:before="0" w:beforeAutospacing="0" w:after="0" w:afterAutospacing="0"/>
              <w:rPr>
                <w:sz w:val="18"/>
                <w:szCs w:val="18"/>
              </w:rPr>
            </w:pPr>
            <w:r>
              <w:rPr>
                <w:sz w:val="18"/>
                <w:szCs w:val="18"/>
              </w:rPr>
              <w:t>Commitments and contingencies</w:t>
            </w:r>
          </w:p>
        </w:tc>
        <w:tc>
          <w:tcPr>
            <w:tcW w:w="127" w:type="pct"/>
            <w:noWrap/>
            <w:tcMar>
              <w:top w:w="0" w:type="dxa"/>
              <w:left w:w="0" w:type="dxa"/>
              <w:bottom w:w="0" w:type="dxa"/>
              <w:right w:w="0" w:type="dxa"/>
            </w:tcMar>
            <w:vAlign w:val="bottom"/>
            <w:hideMark/>
          </w:tcPr>
          <w:p w14:paraId="0947B066"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1E46E424"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20AAFD91" w14:textId="77777777" w:rsidR="00000000" w:rsidRDefault="001F1B20">
            <w:pPr>
              <w:pStyle w:val="a3"/>
              <w:spacing w:before="0" w:beforeAutospacing="0" w:after="0" w:afterAutospacing="0"/>
              <w:jc w:val="right"/>
              <w:rPr>
                <w:sz w:val="20"/>
                <w:szCs w:val="20"/>
              </w:rPr>
            </w:pPr>
            <w:r>
              <w:rPr>
                <w:sz w:val="18"/>
                <w:szCs w:val="18"/>
              </w:rPr>
              <w:t>​</w:t>
            </w:r>
          </w:p>
        </w:tc>
        <w:tc>
          <w:tcPr>
            <w:tcW w:w="127" w:type="pct"/>
            <w:noWrap/>
            <w:tcMar>
              <w:top w:w="0" w:type="dxa"/>
              <w:left w:w="0" w:type="dxa"/>
              <w:bottom w:w="0" w:type="dxa"/>
              <w:right w:w="0" w:type="dxa"/>
            </w:tcMar>
            <w:vAlign w:val="bottom"/>
            <w:hideMark/>
          </w:tcPr>
          <w:p w14:paraId="5ACE57E6"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390F038C"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1007E868" w14:textId="77777777" w:rsidR="00000000" w:rsidRDefault="001F1B20">
            <w:pPr>
              <w:pStyle w:val="a3"/>
              <w:spacing w:before="0" w:beforeAutospacing="0" w:after="0" w:afterAutospacing="0"/>
              <w:jc w:val="right"/>
              <w:rPr>
                <w:sz w:val="20"/>
                <w:szCs w:val="20"/>
              </w:rPr>
            </w:pPr>
            <w:r>
              <w:rPr>
                <w:sz w:val="18"/>
                <w:szCs w:val="18"/>
              </w:rPr>
              <w:t>​</w:t>
            </w:r>
          </w:p>
        </w:tc>
      </w:tr>
      <w:tr w:rsidR="00000000" w14:paraId="54B96587" w14:textId="77777777">
        <w:trPr>
          <w:divId w:val="2073698176"/>
        </w:trPr>
        <w:tc>
          <w:tcPr>
            <w:tcW w:w="3572" w:type="pct"/>
            <w:shd w:val="clear" w:color="auto" w:fill="CCEEFF"/>
            <w:tcMar>
              <w:top w:w="0" w:type="dxa"/>
              <w:left w:w="0" w:type="dxa"/>
              <w:bottom w:w="0" w:type="dxa"/>
              <w:right w:w="0" w:type="dxa"/>
            </w:tcMar>
            <w:hideMark/>
          </w:tcPr>
          <w:p w14:paraId="2A82903B" w14:textId="77777777" w:rsidR="00000000" w:rsidRDefault="001F1B20">
            <w:pPr>
              <w:pStyle w:val="a3"/>
              <w:spacing w:before="0" w:beforeAutospacing="0" w:after="0" w:afterAutospacing="0"/>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14:paraId="6DE3E52C"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5ADBBC99"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3ADF1DE9" w14:textId="77777777" w:rsidR="00000000" w:rsidRDefault="001F1B20">
            <w:pPr>
              <w:pStyle w:val="a3"/>
              <w:spacing w:before="0" w:beforeAutospacing="0" w:after="0" w:afterAutospacing="0"/>
              <w:jc w:val="right"/>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14:paraId="1C8B55CE"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2867715E"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2374D919" w14:textId="77777777" w:rsidR="00000000" w:rsidRDefault="001F1B20">
            <w:pPr>
              <w:pStyle w:val="a3"/>
              <w:spacing w:before="0" w:beforeAutospacing="0" w:after="0" w:afterAutospacing="0"/>
              <w:jc w:val="right"/>
              <w:rPr>
                <w:sz w:val="20"/>
                <w:szCs w:val="20"/>
              </w:rPr>
            </w:pPr>
            <w:r>
              <w:rPr>
                <w:sz w:val="18"/>
                <w:szCs w:val="18"/>
              </w:rPr>
              <w:t>​</w:t>
            </w:r>
          </w:p>
        </w:tc>
      </w:tr>
      <w:tr w:rsidR="00000000" w14:paraId="4DD25C6F" w14:textId="77777777">
        <w:trPr>
          <w:divId w:val="2073698176"/>
        </w:trPr>
        <w:tc>
          <w:tcPr>
            <w:tcW w:w="3572" w:type="pct"/>
            <w:tcMar>
              <w:top w:w="0" w:type="dxa"/>
              <w:left w:w="0" w:type="dxa"/>
              <w:bottom w:w="0" w:type="dxa"/>
              <w:right w:w="0" w:type="dxa"/>
            </w:tcMar>
            <w:hideMark/>
          </w:tcPr>
          <w:p w14:paraId="6778D6E3" w14:textId="77777777" w:rsidR="00000000" w:rsidRDefault="001F1B20">
            <w:pPr>
              <w:pStyle w:val="a3"/>
              <w:spacing w:before="0" w:beforeAutospacing="0" w:after="0" w:afterAutospacing="0"/>
              <w:rPr>
                <w:sz w:val="18"/>
                <w:szCs w:val="18"/>
              </w:rPr>
            </w:pPr>
            <w:r>
              <w:rPr>
                <w:b/>
                <w:bCs/>
                <w:sz w:val="18"/>
                <w:szCs w:val="18"/>
              </w:rPr>
              <w:t>Shareholders’ Deficit</w:t>
            </w:r>
          </w:p>
        </w:tc>
        <w:tc>
          <w:tcPr>
            <w:tcW w:w="127" w:type="pct"/>
            <w:noWrap/>
            <w:tcMar>
              <w:top w:w="0" w:type="dxa"/>
              <w:left w:w="0" w:type="dxa"/>
              <w:bottom w:w="0" w:type="dxa"/>
              <w:right w:w="0" w:type="dxa"/>
            </w:tcMar>
            <w:vAlign w:val="bottom"/>
            <w:hideMark/>
          </w:tcPr>
          <w:p w14:paraId="21D8C36B"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13CDAA81"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5412C70B" w14:textId="77777777" w:rsidR="00000000" w:rsidRDefault="001F1B20">
            <w:pPr>
              <w:pStyle w:val="a3"/>
              <w:spacing w:before="0" w:beforeAutospacing="0" w:after="0" w:afterAutospacing="0"/>
              <w:jc w:val="right"/>
              <w:rPr>
                <w:sz w:val="20"/>
                <w:szCs w:val="20"/>
              </w:rPr>
            </w:pPr>
            <w:r>
              <w:rPr>
                <w:sz w:val="18"/>
                <w:szCs w:val="18"/>
              </w:rPr>
              <w:t>​</w:t>
            </w:r>
          </w:p>
        </w:tc>
        <w:tc>
          <w:tcPr>
            <w:tcW w:w="127" w:type="pct"/>
            <w:noWrap/>
            <w:tcMar>
              <w:top w:w="0" w:type="dxa"/>
              <w:left w:w="0" w:type="dxa"/>
              <w:bottom w:w="0" w:type="dxa"/>
              <w:right w:w="0" w:type="dxa"/>
            </w:tcMar>
            <w:vAlign w:val="bottom"/>
            <w:hideMark/>
          </w:tcPr>
          <w:p w14:paraId="6F6AC2F7"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6DC672FE"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71365E73" w14:textId="77777777" w:rsidR="00000000" w:rsidRDefault="001F1B20">
            <w:pPr>
              <w:pStyle w:val="a3"/>
              <w:spacing w:before="0" w:beforeAutospacing="0" w:after="0" w:afterAutospacing="0"/>
              <w:jc w:val="right"/>
              <w:rPr>
                <w:sz w:val="20"/>
                <w:szCs w:val="20"/>
              </w:rPr>
            </w:pPr>
            <w:r>
              <w:rPr>
                <w:sz w:val="18"/>
                <w:szCs w:val="18"/>
              </w:rPr>
              <w:t>​</w:t>
            </w:r>
          </w:p>
        </w:tc>
      </w:tr>
      <w:tr w:rsidR="00000000" w14:paraId="177E6B2B" w14:textId="77777777">
        <w:trPr>
          <w:divId w:val="2073698176"/>
        </w:trPr>
        <w:tc>
          <w:tcPr>
            <w:tcW w:w="3572" w:type="pct"/>
            <w:shd w:val="clear" w:color="auto" w:fill="CCEEFF"/>
            <w:tcMar>
              <w:top w:w="0" w:type="dxa"/>
              <w:left w:w="0" w:type="dxa"/>
              <w:bottom w:w="0" w:type="dxa"/>
              <w:right w:w="0" w:type="dxa"/>
            </w:tcMar>
            <w:hideMark/>
          </w:tcPr>
          <w:p w14:paraId="1A30F581" w14:textId="77777777" w:rsidR="00000000" w:rsidRDefault="001F1B20">
            <w:pPr>
              <w:pStyle w:val="a3"/>
              <w:spacing w:before="0" w:beforeAutospacing="0" w:after="0" w:afterAutospacing="0"/>
              <w:rPr>
                <w:sz w:val="18"/>
                <w:szCs w:val="18"/>
              </w:rPr>
            </w:pPr>
            <w:r>
              <w:rPr>
                <w:sz w:val="18"/>
                <w:szCs w:val="18"/>
              </w:rPr>
              <w:t xml:space="preserve">Preferred shares, $0.00001 par value: 230 </w:t>
            </w:r>
            <w:r>
              <w:rPr>
                <w:sz w:val="18"/>
                <w:szCs w:val="18"/>
              </w:rPr>
              <w:t>shares authorized, no shares issued or outstanding</w:t>
            </w:r>
          </w:p>
        </w:tc>
        <w:tc>
          <w:tcPr>
            <w:tcW w:w="127" w:type="pct"/>
            <w:shd w:val="clear" w:color="auto" w:fill="CCEEFF"/>
            <w:noWrap/>
            <w:tcMar>
              <w:top w:w="0" w:type="dxa"/>
              <w:left w:w="0" w:type="dxa"/>
              <w:bottom w:w="0" w:type="dxa"/>
              <w:right w:w="0" w:type="dxa"/>
            </w:tcMar>
            <w:vAlign w:val="bottom"/>
            <w:hideMark/>
          </w:tcPr>
          <w:p w14:paraId="63470DE8"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37ED7864" w14:textId="77777777" w:rsidR="00000000" w:rsidRDefault="001F1B2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14:paraId="2C305884" w14:textId="77777777" w:rsidR="00000000" w:rsidRDefault="001F1B20">
            <w:pPr>
              <w:pStyle w:val="a3"/>
              <w:spacing w:before="0" w:beforeAutospacing="0" w:after="0" w:afterAutospacing="0"/>
              <w:ind w:right="60"/>
              <w:jc w:val="right"/>
              <w:rPr>
                <w:sz w:val="20"/>
                <w:szCs w:val="20"/>
              </w:rPr>
            </w:pPr>
            <w:r>
              <w:rPr>
                <w:sz w:val="18"/>
                <w:szCs w:val="18"/>
              </w:rPr>
              <w:t>—</w:t>
            </w:r>
          </w:p>
        </w:tc>
        <w:tc>
          <w:tcPr>
            <w:tcW w:w="127" w:type="pct"/>
            <w:shd w:val="clear" w:color="auto" w:fill="CCEEFF"/>
            <w:noWrap/>
            <w:tcMar>
              <w:top w:w="0" w:type="dxa"/>
              <w:left w:w="0" w:type="dxa"/>
              <w:bottom w:w="0" w:type="dxa"/>
              <w:right w:w="0" w:type="dxa"/>
            </w:tcMar>
            <w:vAlign w:val="bottom"/>
            <w:hideMark/>
          </w:tcPr>
          <w:p w14:paraId="55C07EAB"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54C8413C"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217B6FD8" w14:textId="77777777" w:rsidR="00000000" w:rsidRDefault="001F1B20">
            <w:pPr>
              <w:pStyle w:val="a3"/>
              <w:spacing w:before="0" w:beforeAutospacing="0" w:after="0" w:afterAutospacing="0"/>
              <w:ind w:right="60"/>
              <w:jc w:val="right"/>
              <w:rPr>
                <w:sz w:val="20"/>
                <w:szCs w:val="20"/>
              </w:rPr>
            </w:pPr>
            <w:r>
              <w:rPr>
                <w:sz w:val="18"/>
                <w:szCs w:val="18"/>
              </w:rPr>
              <w:t>—</w:t>
            </w:r>
          </w:p>
        </w:tc>
      </w:tr>
      <w:tr w:rsidR="00000000" w14:paraId="25F4F1D7" w14:textId="77777777">
        <w:trPr>
          <w:divId w:val="2073698176"/>
        </w:trPr>
        <w:tc>
          <w:tcPr>
            <w:tcW w:w="3572" w:type="pct"/>
            <w:tcMar>
              <w:top w:w="0" w:type="dxa"/>
              <w:left w:w="0" w:type="dxa"/>
              <w:bottom w:w="0" w:type="dxa"/>
              <w:right w:w="0" w:type="dxa"/>
            </w:tcMar>
            <w:hideMark/>
          </w:tcPr>
          <w:p w14:paraId="67E1FEDA" w14:textId="77777777" w:rsidR="00000000" w:rsidRDefault="001F1B20">
            <w:pPr>
              <w:pStyle w:val="a3"/>
              <w:spacing w:before="0" w:beforeAutospacing="0" w:after="0" w:afterAutospacing="0"/>
              <w:ind w:hanging="180"/>
              <w:rPr>
                <w:sz w:val="20"/>
                <w:szCs w:val="20"/>
              </w:rPr>
            </w:pPr>
            <w:r>
              <w:rPr>
                <w:sz w:val="18"/>
                <w:szCs w:val="18"/>
              </w:rPr>
              <w:t>Ordinary shares, $0.00001 par value: 200,000 shares authorized; 73,698 and</w:t>
            </w:r>
            <w:r>
              <w:rPr>
                <w:sz w:val="18"/>
                <w:szCs w:val="18"/>
              </w:rPr>
              <w:t xml:space="preserve"> </w:t>
            </w:r>
            <w:r>
              <w:rPr>
                <w:sz w:val="18"/>
                <w:szCs w:val="18"/>
              </w:rPr>
              <w:t>64,32</w:t>
            </w:r>
            <w:r>
              <w:rPr>
                <w:sz w:val="18"/>
                <w:szCs w:val="18"/>
              </w:rPr>
              <w:t>8</w:t>
            </w:r>
            <w:r>
              <w:rPr>
                <w:sz w:val="18"/>
                <w:szCs w:val="18"/>
              </w:rPr>
              <w:t xml:space="preserve">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at September </w:t>
            </w:r>
            <w:r>
              <w:rPr>
                <w:sz w:val="18"/>
                <w:szCs w:val="18"/>
              </w:rPr>
              <w:t>30, 2021 and December 31, 2020, respectively</w:t>
            </w:r>
          </w:p>
        </w:tc>
        <w:tc>
          <w:tcPr>
            <w:tcW w:w="127" w:type="pct"/>
            <w:noWrap/>
            <w:tcMar>
              <w:top w:w="0" w:type="dxa"/>
              <w:left w:w="0" w:type="dxa"/>
              <w:bottom w:w="0" w:type="dxa"/>
              <w:right w:w="0" w:type="dxa"/>
            </w:tcMar>
            <w:vAlign w:val="bottom"/>
            <w:hideMark/>
          </w:tcPr>
          <w:p w14:paraId="63FACDCE"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27B64528"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1687E9E6" w14:textId="77777777" w:rsidR="00000000" w:rsidRDefault="001F1B20">
            <w:pPr>
              <w:pStyle w:val="a3"/>
              <w:spacing w:before="0" w:beforeAutospacing="0" w:after="0" w:afterAutospacing="0"/>
              <w:ind w:right="60"/>
              <w:jc w:val="right"/>
              <w:rPr>
                <w:sz w:val="18"/>
                <w:szCs w:val="18"/>
              </w:rPr>
            </w:pPr>
            <w:r>
              <w:rPr>
                <w:sz w:val="18"/>
                <w:szCs w:val="18"/>
              </w:rPr>
              <w:t>1</w:t>
            </w:r>
          </w:p>
        </w:tc>
        <w:tc>
          <w:tcPr>
            <w:tcW w:w="127" w:type="pct"/>
            <w:noWrap/>
            <w:tcMar>
              <w:top w:w="0" w:type="dxa"/>
              <w:left w:w="0" w:type="dxa"/>
              <w:bottom w:w="0" w:type="dxa"/>
              <w:right w:w="0" w:type="dxa"/>
            </w:tcMar>
            <w:vAlign w:val="bottom"/>
            <w:hideMark/>
          </w:tcPr>
          <w:p w14:paraId="7724D246"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5AA3D0B2" w14:textId="77777777" w:rsidR="00000000" w:rsidRDefault="001F1B20">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14:paraId="598A33E0" w14:textId="77777777" w:rsidR="00000000" w:rsidRDefault="001F1B20">
            <w:pPr>
              <w:pStyle w:val="a3"/>
              <w:spacing w:before="0" w:beforeAutospacing="0" w:after="0" w:afterAutospacing="0"/>
              <w:ind w:right="60"/>
              <w:jc w:val="right"/>
              <w:rPr>
                <w:sz w:val="18"/>
                <w:szCs w:val="18"/>
              </w:rPr>
            </w:pPr>
            <w:r>
              <w:rPr>
                <w:sz w:val="18"/>
                <w:szCs w:val="18"/>
              </w:rPr>
              <w:t>1</w:t>
            </w:r>
          </w:p>
        </w:tc>
      </w:tr>
      <w:tr w:rsidR="00000000" w14:paraId="5DC40406" w14:textId="77777777">
        <w:trPr>
          <w:divId w:val="2073698176"/>
        </w:trPr>
        <w:tc>
          <w:tcPr>
            <w:tcW w:w="3572" w:type="pct"/>
            <w:shd w:val="clear" w:color="auto" w:fill="CCEEFF"/>
            <w:tcMar>
              <w:top w:w="0" w:type="dxa"/>
              <w:left w:w="0" w:type="dxa"/>
              <w:bottom w:w="0" w:type="dxa"/>
              <w:right w:w="0" w:type="dxa"/>
            </w:tcMar>
            <w:hideMark/>
          </w:tcPr>
          <w:p w14:paraId="40EE9A4D" w14:textId="77777777" w:rsidR="00000000" w:rsidRDefault="001F1B20">
            <w:pPr>
              <w:pStyle w:val="a3"/>
              <w:spacing w:before="0" w:beforeAutospacing="0" w:after="0" w:afterAutospacing="0"/>
              <w:rPr>
                <w:sz w:val="18"/>
                <w:szCs w:val="18"/>
              </w:rPr>
            </w:pPr>
            <w:r>
              <w:rPr>
                <w:sz w:val="18"/>
                <w:szCs w:val="18"/>
              </w:rPr>
              <w:t>Additional paid-in capital</w:t>
            </w:r>
          </w:p>
        </w:tc>
        <w:tc>
          <w:tcPr>
            <w:tcW w:w="127" w:type="pct"/>
            <w:shd w:val="clear" w:color="auto" w:fill="CCEEFF"/>
            <w:noWrap/>
            <w:tcMar>
              <w:top w:w="0" w:type="dxa"/>
              <w:left w:w="0" w:type="dxa"/>
              <w:bottom w:w="0" w:type="dxa"/>
              <w:right w:w="0" w:type="dxa"/>
            </w:tcMar>
            <w:vAlign w:val="bottom"/>
            <w:hideMark/>
          </w:tcPr>
          <w:p w14:paraId="1CA2439B"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18085DAA" w14:textId="77777777" w:rsidR="00000000" w:rsidRDefault="001F1B20">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14:paraId="13FDF9C2" w14:textId="77777777" w:rsidR="00000000" w:rsidRDefault="001F1B20">
            <w:pPr>
              <w:pStyle w:val="a3"/>
              <w:spacing w:before="0" w:beforeAutospacing="0" w:after="0" w:afterAutospacing="0"/>
              <w:ind w:right="60"/>
              <w:jc w:val="right"/>
              <w:rPr>
                <w:sz w:val="18"/>
                <w:szCs w:val="18"/>
              </w:rPr>
            </w:pPr>
            <w:r>
              <w:rPr>
                <w:sz w:val="18"/>
                <w:szCs w:val="18"/>
              </w:rPr>
              <w:t>1,370,402</w:t>
            </w:r>
          </w:p>
        </w:tc>
        <w:tc>
          <w:tcPr>
            <w:tcW w:w="127" w:type="pct"/>
            <w:shd w:val="clear" w:color="auto" w:fill="CCEEFF"/>
            <w:noWrap/>
            <w:tcMar>
              <w:top w:w="0" w:type="dxa"/>
              <w:left w:w="0" w:type="dxa"/>
              <w:bottom w:w="0" w:type="dxa"/>
              <w:right w:w="0" w:type="dxa"/>
            </w:tcMar>
            <w:vAlign w:val="bottom"/>
            <w:hideMark/>
          </w:tcPr>
          <w:p w14:paraId="11634765" w14:textId="77777777" w:rsidR="00000000" w:rsidRDefault="001F1B20">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14:paraId="28B69ED9" w14:textId="77777777" w:rsidR="00000000" w:rsidRDefault="001F1B20">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14:paraId="00F8A44E" w14:textId="77777777" w:rsidR="00000000" w:rsidRDefault="001F1B20">
            <w:pPr>
              <w:pStyle w:val="a3"/>
              <w:spacing w:before="0" w:beforeAutospacing="0" w:after="0" w:afterAutospacing="0"/>
              <w:ind w:right="60"/>
              <w:jc w:val="right"/>
              <w:rPr>
                <w:sz w:val="18"/>
                <w:szCs w:val="18"/>
              </w:rPr>
            </w:pPr>
            <w:r>
              <w:rPr>
                <w:sz w:val="18"/>
                <w:szCs w:val="18"/>
              </w:rPr>
              <w:t>1,222,818</w:t>
            </w:r>
          </w:p>
        </w:tc>
      </w:tr>
      <w:tr w:rsidR="00000000" w14:paraId="293E46EB" w14:textId="77777777">
        <w:trPr>
          <w:divId w:val="2073698176"/>
        </w:trPr>
        <w:tc>
          <w:tcPr>
            <w:tcW w:w="3572" w:type="pct"/>
            <w:tcMar>
              <w:top w:w="0" w:type="dxa"/>
              <w:left w:w="0" w:type="dxa"/>
              <w:bottom w:w="0" w:type="dxa"/>
              <w:right w:w="0" w:type="dxa"/>
            </w:tcMar>
            <w:hideMark/>
          </w:tcPr>
          <w:p w14:paraId="43DB4328" w14:textId="77777777" w:rsidR="00000000" w:rsidRDefault="001F1B20">
            <w:pPr>
              <w:pStyle w:val="a3"/>
              <w:spacing w:before="0" w:beforeAutospacing="0" w:after="0" w:afterAutospacing="0"/>
              <w:rPr>
                <w:sz w:val="18"/>
                <w:szCs w:val="18"/>
              </w:rPr>
            </w:pPr>
            <w:r>
              <w:rPr>
                <w:sz w:val="18"/>
                <w:szCs w:val="18"/>
              </w:rPr>
              <w:t>Accumulated other comprehensive income</w:t>
            </w:r>
          </w:p>
        </w:tc>
        <w:tc>
          <w:tcPr>
            <w:tcW w:w="127" w:type="pct"/>
            <w:noWrap/>
            <w:tcMar>
              <w:top w:w="0" w:type="dxa"/>
              <w:left w:w="0" w:type="dxa"/>
              <w:bottom w:w="0" w:type="dxa"/>
              <w:right w:w="0" w:type="dxa"/>
            </w:tcMar>
            <w:vAlign w:val="bottom"/>
            <w:hideMark/>
          </w:tcPr>
          <w:p w14:paraId="4DAC26D4"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605A6FED"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0884B9EF" w14:textId="77777777" w:rsidR="00000000" w:rsidRDefault="001F1B20">
            <w:pPr>
              <w:pStyle w:val="a3"/>
              <w:spacing w:before="0" w:beforeAutospacing="0" w:after="0" w:afterAutospacing="0"/>
              <w:ind w:right="60"/>
              <w:jc w:val="right"/>
              <w:rPr>
                <w:sz w:val="18"/>
                <w:szCs w:val="18"/>
              </w:rPr>
            </w:pPr>
            <w:r>
              <w:rPr>
                <w:sz w:val="18"/>
                <w:szCs w:val="18"/>
              </w:rPr>
              <w:t>14</w:t>
            </w:r>
          </w:p>
        </w:tc>
        <w:tc>
          <w:tcPr>
            <w:tcW w:w="127" w:type="pct"/>
            <w:noWrap/>
            <w:tcMar>
              <w:top w:w="0" w:type="dxa"/>
              <w:left w:w="0" w:type="dxa"/>
              <w:bottom w:w="0" w:type="dxa"/>
              <w:right w:w="0" w:type="dxa"/>
            </w:tcMar>
            <w:vAlign w:val="bottom"/>
            <w:hideMark/>
          </w:tcPr>
          <w:p w14:paraId="66DDA957" w14:textId="77777777" w:rsidR="00000000" w:rsidRDefault="001F1B20">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14:paraId="60B64C30" w14:textId="77777777" w:rsidR="00000000" w:rsidRDefault="001F1B20">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14:paraId="4C95C89F" w14:textId="77777777" w:rsidR="00000000" w:rsidRDefault="001F1B20">
            <w:pPr>
              <w:pStyle w:val="a3"/>
              <w:spacing w:before="0" w:beforeAutospacing="0" w:after="0" w:afterAutospacing="0"/>
              <w:ind w:right="60"/>
              <w:jc w:val="right"/>
              <w:rPr>
                <w:sz w:val="18"/>
                <w:szCs w:val="18"/>
              </w:rPr>
            </w:pPr>
            <w:r>
              <w:rPr>
                <w:sz w:val="18"/>
                <w:szCs w:val="18"/>
              </w:rPr>
              <w:t>47</w:t>
            </w:r>
          </w:p>
        </w:tc>
      </w:tr>
      <w:tr w:rsidR="00000000" w14:paraId="37E299E7" w14:textId="77777777">
        <w:trPr>
          <w:divId w:val="2073698176"/>
        </w:trPr>
        <w:tc>
          <w:tcPr>
            <w:tcW w:w="3572" w:type="pct"/>
            <w:shd w:val="clear" w:color="auto" w:fill="CCEEFF"/>
            <w:tcMar>
              <w:top w:w="0" w:type="dxa"/>
              <w:left w:w="0" w:type="dxa"/>
              <w:bottom w:w="0" w:type="dxa"/>
              <w:right w:w="0" w:type="dxa"/>
            </w:tcMar>
            <w:hideMark/>
          </w:tcPr>
          <w:p w14:paraId="55335FF7" w14:textId="77777777" w:rsidR="00000000" w:rsidRDefault="001F1B20">
            <w:pPr>
              <w:pStyle w:val="a3"/>
              <w:spacing w:before="0" w:beforeAutospacing="0" w:after="0" w:afterAutospacing="0"/>
              <w:rPr>
                <w:sz w:val="18"/>
                <w:szCs w:val="18"/>
              </w:rPr>
            </w:pPr>
            <w:r>
              <w:rPr>
                <w:sz w:val="18"/>
                <w:szCs w:val="18"/>
              </w:rPr>
              <w:t xml:space="preserve">Accumulated deficit </w:t>
            </w:r>
          </w:p>
        </w:tc>
        <w:tc>
          <w:tcPr>
            <w:tcW w:w="127" w:type="pct"/>
            <w:shd w:val="clear" w:color="auto" w:fill="CCEEFF"/>
            <w:noWrap/>
            <w:tcMar>
              <w:top w:w="0" w:type="dxa"/>
              <w:left w:w="0" w:type="dxa"/>
              <w:bottom w:w="0" w:type="dxa"/>
              <w:right w:w="0" w:type="dxa"/>
            </w:tcMar>
            <w:vAlign w:val="bottom"/>
            <w:hideMark/>
          </w:tcPr>
          <w:p w14:paraId="2EF56238"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14:paraId="16C5CFDE" w14:textId="77777777" w:rsidR="00000000" w:rsidRDefault="001F1B20">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14:paraId="3DC4431A" w14:textId="77777777" w:rsidR="00000000" w:rsidRDefault="001F1B20">
            <w:pPr>
              <w:pStyle w:val="a3"/>
              <w:spacing w:before="0" w:beforeAutospacing="0" w:after="0" w:afterAutospacing="0"/>
              <w:jc w:val="right"/>
              <w:rPr>
                <w:sz w:val="18"/>
                <w:szCs w:val="18"/>
              </w:rPr>
            </w:pPr>
            <w:r>
              <w:rPr>
                <w:sz w:val="18"/>
                <w:szCs w:val="18"/>
              </w:rPr>
              <w:t>(1,694,009)</w:t>
            </w:r>
          </w:p>
        </w:tc>
        <w:tc>
          <w:tcPr>
            <w:tcW w:w="127" w:type="pct"/>
            <w:shd w:val="clear" w:color="auto" w:fill="CCEEFF"/>
            <w:noWrap/>
            <w:tcMar>
              <w:top w:w="0" w:type="dxa"/>
              <w:left w:w="0" w:type="dxa"/>
              <w:bottom w:w="0" w:type="dxa"/>
              <w:right w:w="0" w:type="dxa"/>
            </w:tcMar>
            <w:vAlign w:val="bottom"/>
            <w:hideMark/>
          </w:tcPr>
          <w:p w14:paraId="2D4F12EA"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14:paraId="4D956603" w14:textId="77777777" w:rsidR="00000000" w:rsidRDefault="001F1B20">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14:paraId="7777541B" w14:textId="77777777" w:rsidR="00000000" w:rsidRDefault="001F1B20">
            <w:pPr>
              <w:pStyle w:val="a3"/>
              <w:spacing w:before="0" w:beforeAutospacing="0" w:after="0" w:afterAutospacing="0"/>
              <w:jc w:val="right"/>
              <w:rPr>
                <w:sz w:val="18"/>
                <w:szCs w:val="18"/>
              </w:rPr>
            </w:pPr>
            <w:r>
              <w:rPr>
                <w:sz w:val="18"/>
                <w:szCs w:val="18"/>
              </w:rPr>
              <w:t>(1,526,617)</w:t>
            </w:r>
          </w:p>
        </w:tc>
      </w:tr>
      <w:tr w:rsidR="00000000" w14:paraId="0610C84B" w14:textId="77777777">
        <w:trPr>
          <w:divId w:val="2073698176"/>
        </w:trPr>
        <w:tc>
          <w:tcPr>
            <w:tcW w:w="3572" w:type="pct"/>
            <w:tcMar>
              <w:top w:w="0" w:type="dxa"/>
              <w:left w:w="0" w:type="dxa"/>
              <w:bottom w:w="0" w:type="dxa"/>
              <w:right w:w="0" w:type="dxa"/>
            </w:tcMar>
            <w:hideMark/>
          </w:tcPr>
          <w:p w14:paraId="0B3703C5" w14:textId="77777777" w:rsidR="00000000" w:rsidRDefault="001F1B20">
            <w:pPr>
              <w:pStyle w:val="a3"/>
              <w:spacing w:before="0" w:beforeAutospacing="0" w:after="0" w:afterAutospacing="0"/>
              <w:ind w:left="360"/>
              <w:rPr>
                <w:sz w:val="18"/>
                <w:szCs w:val="18"/>
              </w:rPr>
            </w:pPr>
            <w:r>
              <w:rPr>
                <w:sz w:val="18"/>
                <w:szCs w:val="18"/>
              </w:rPr>
              <w:t>Total shareholders’ deficit</w:t>
            </w:r>
          </w:p>
        </w:tc>
        <w:tc>
          <w:tcPr>
            <w:tcW w:w="127" w:type="pct"/>
            <w:noWrap/>
            <w:tcMar>
              <w:top w:w="0" w:type="dxa"/>
              <w:left w:w="0" w:type="dxa"/>
              <w:bottom w:w="0" w:type="dxa"/>
              <w:right w:w="0" w:type="dxa"/>
            </w:tcMar>
            <w:vAlign w:val="bottom"/>
            <w:hideMark/>
          </w:tcPr>
          <w:p w14:paraId="58984FAB"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14:paraId="66352850" w14:textId="77777777" w:rsidR="00000000" w:rsidRDefault="001F1B20">
            <w:pPr>
              <w:pStyle w:val="a3"/>
              <w:spacing w:before="0" w:beforeAutospacing="0" w:after="0" w:afterAutospacing="0"/>
              <w:rPr>
                <w:sz w:val="18"/>
                <w:szCs w:val="18"/>
              </w:rPr>
            </w:pPr>
            <w:r>
              <w:rPr>
                <w:sz w:val="18"/>
                <w:szCs w:val="18"/>
              </w:rPr>
              <w:t> </w:t>
            </w:r>
          </w:p>
        </w:tc>
        <w:tc>
          <w:tcPr>
            <w:tcW w:w="504" w:type="pct"/>
            <w:tcBorders>
              <w:bottom w:val="single" w:sz="6" w:space="0" w:color="000000"/>
            </w:tcBorders>
            <w:noWrap/>
            <w:tcMar>
              <w:top w:w="0" w:type="dxa"/>
              <w:left w:w="0" w:type="dxa"/>
              <w:bottom w:w="0" w:type="dxa"/>
              <w:right w:w="0" w:type="dxa"/>
            </w:tcMar>
            <w:vAlign w:val="bottom"/>
            <w:hideMark/>
          </w:tcPr>
          <w:p w14:paraId="2058730F" w14:textId="77777777" w:rsidR="00000000" w:rsidRDefault="001F1B20">
            <w:pPr>
              <w:pStyle w:val="a3"/>
              <w:spacing w:before="0" w:beforeAutospacing="0" w:after="0" w:afterAutospacing="0"/>
              <w:jc w:val="right"/>
              <w:rPr>
                <w:sz w:val="18"/>
                <w:szCs w:val="18"/>
              </w:rPr>
            </w:pPr>
            <w:r>
              <w:rPr>
                <w:sz w:val="18"/>
                <w:szCs w:val="18"/>
              </w:rPr>
              <w:t>(323,592)</w:t>
            </w:r>
          </w:p>
        </w:tc>
        <w:tc>
          <w:tcPr>
            <w:tcW w:w="127" w:type="pct"/>
            <w:noWrap/>
            <w:tcMar>
              <w:top w:w="0" w:type="dxa"/>
              <w:left w:w="0" w:type="dxa"/>
              <w:bottom w:w="0" w:type="dxa"/>
              <w:right w:w="0" w:type="dxa"/>
            </w:tcMar>
            <w:vAlign w:val="bottom"/>
            <w:hideMark/>
          </w:tcPr>
          <w:p w14:paraId="7C42D2CC"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14:paraId="2A9DDFD6" w14:textId="77777777" w:rsidR="00000000" w:rsidRDefault="001F1B20">
            <w:pPr>
              <w:pStyle w:val="a3"/>
              <w:spacing w:before="0" w:beforeAutospacing="0" w:after="0" w:afterAutospacing="0"/>
              <w:rPr>
                <w:sz w:val="18"/>
                <w:szCs w:val="18"/>
              </w:rPr>
            </w:pPr>
            <w:r>
              <w:rPr>
                <w:sz w:val="18"/>
                <w:szCs w:val="18"/>
              </w:rPr>
              <w:t> </w:t>
            </w:r>
          </w:p>
        </w:tc>
        <w:tc>
          <w:tcPr>
            <w:tcW w:w="504" w:type="pct"/>
            <w:tcBorders>
              <w:bottom w:val="single" w:sz="6" w:space="0" w:color="000000"/>
            </w:tcBorders>
            <w:noWrap/>
            <w:tcMar>
              <w:top w:w="0" w:type="dxa"/>
              <w:left w:w="0" w:type="dxa"/>
              <w:bottom w:w="0" w:type="dxa"/>
              <w:right w:w="0" w:type="dxa"/>
            </w:tcMar>
            <w:vAlign w:val="bottom"/>
            <w:hideMark/>
          </w:tcPr>
          <w:p w14:paraId="05A0D4CF" w14:textId="77777777" w:rsidR="00000000" w:rsidRDefault="001F1B20">
            <w:pPr>
              <w:pStyle w:val="a3"/>
              <w:spacing w:before="0" w:beforeAutospacing="0" w:after="0" w:afterAutospacing="0"/>
              <w:jc w:val="right"/>
              <w:rPr>
                <w:sz w:val="18"/>
                <w:szCs w:val="18"/>
              </w:rPr>
            </w:pPr>
            <w:r>
              <w:rPr>
                <w:sz w:val="18"/>
                <w:szCs w:val="18"/>
              </w:rPr>
              <w:t>(303,751)</w:t>
            </w:r>
          </w:p>
        </w:tc>
      </w:tr>
      <w:tr w:rsidR="00000000" w14:paraId="176DF1C8" w14:textId="77777777">
        <w:trPr>
          <w:divId w:val="2073698176"/>
        </w:trPr>
        <w:tc>
          <w:tcPr>
            <w:tcW w:w="3572" w:type="pct"/>
            <w:shd w:val="clear" w:color="auto" w:fill="CCEEFF"/>
            <w:tcMar>
              <w:top w:w="0" w:type="dxa"/>
              <w:left w:w="0" w:type="dxa"/>
              <w:bottom w:w="0" w:type="dxa"/>
              <w:right w:w="0" w:type="dxa"/>
            </w:tcMar>
            <w:hideMark/>
          </w:tcPr>
          <w:p w14:paraId="4CE09679" w14:textId="77777777" w:rsidR="00000000" w:rsidRDefault="001F1B20">
            <w:pPr>
              <w:pStyle w:val="a3"/>
              <w:spacing w:before="0" w:beforeAutospacing="0" w:after="0" w:afterAutospacing="0"/>
              <w:ind w:left="360"/>
              <w:rPr>
                <w:sz w:val="18"/>
                <w:szCs w:val="18"/>
              </w:rPr>
            </w:pPr>
            <w:r>
              <w:rPr>
                <w:sz w:val="18"/>
                <w:szCs w:val="18"/>
              </w:rPr>
              <w:t>Total liabilities and shareholders’ deficit</w:t>
            </w:r>
          </w:p>
        </w:tc>
        <w:tc>
          <w:tcPr>
            <w:tcW w:w="127" w:type="pct"/>
            <w:shd w:val="clear" w:color="auto" w:fill="CCEEFF"/>
            <w:noWrap/>
            <w:tcMar>
              <w:top w:w="0" w:type="dxa"/>
              <w:left w:w="0" w:type="dxa"/>
              <w:bottom w:w="0" w:type="dxa"/>
              <w:right w:w="0" w:type="dxa"/>
            </w:tcMar>
            <w:vAlign w:val="bottom"/>
            <w:hideMark/>
          </w:tcPr>
          <w:p w14:paraId="5EF986C2"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14:paraId="25B3A269" w14:textId="77777777" w:rsidR="00000000" w:rsidRDefault="001F1B20">
            <w:pPr>
              <w:pStyle w:val="a3"/>
              <w:spacing w:before="0" w:beforeAutospacing="0" w:after="0" w:afterAutospacing="0"/>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14:paraId="776A5921" w14:textId="77777777" w:rsidR="00000000" w:rsidRDefault="001F1B20">
            <w:pPr>
              <w:pStyle w:val="a3"/>
              <w:spacing w:before="0" w:beforeAutospacing="0" w:after="0" w:afterAutospacing="0"/>
              <w:ind w:right="60"/>
              <w:jc w:val="right"/>
              <w:rPr>
                <w:sz w:val="18"/>
                <w:szCs w:val="18"/>
              </w:rPr>
            </w:pPr>
            <w:r>
              <w:rPr>
                <w:sz w:val="18"/>
                <w:szCs w:val="18"/>
              </w:rPr>
              <w:t>403,109</w:t>
            </w:r>
          </w:p>
        </w:tc>
        <w:tc>
          <w:tcPr>
            <w:tcW w:w="127" w:type="pct"/>
            <w:shd w:val="clear" w:color="auto" w:fill="CCEEFF"/>
            <w:noWrap/>
            <w:tcMar>
              <w:top w:w="0" w:type="dxa"/>
              <w:left w:w="0" w:type="dxa"/>
              <w:bottom w:w="0" w:type="dxa"/>
              <w:right w:w="0" w:type="dxa"/>
            </w:tcMar>
            <w:vAlign w:val="bottom"/>
            <w:hideMark/>
          </w:tcPr>
          <w:p w14:paraId="45EA2FAA" w14:textId="77777777" w:rsidR="00000000" w:rsidRDefault="001F1B20">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14:paraId="44335D28" w14:textId="77777777" w:rsidR="00000000" w:rsidRDefault="001F1B20">
            <w:pPr>
              <w:pStyle w:val="a3"/>
              <w:spacing w:before="0" w:beforeAutospacing="0" w:after="0" w:afterAutospacing="0"/>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14:paraId="01899D8E" w14:textId="77777777" w:rsidR="00000000" w:rsidRDefault="001F1B20">
            <w:pPr>
              <w:pStyle w:val="a3"/>
              <w:spacing w:before="0" w:beforeAutospacing="0" w:after="0" w:afterAutospacing="0"/>
              <w:ind w:right="60"/>
              <w:jc w:val="right"/>
              <w:rPr>
                <w:sz w:val="18"/>
                <w:szCs w:val="18"/>
              </w:rPr>
            </w:pPr>
            <w:r>
              <w:rPr>
                <w:sz w:val="18"/>
                <w:szCs w:val="18"/>
              </w:rPr>
              <w:t>469,057</w:t>
            </w:r>
          </w:p>
        </w:tc>
      </w:tr>
    </w:tbl>
    <w:p w14:paraId="6FE14B0A" w14:textId="77777777" w:rsidR="00000000" w:rsidRDefault="001F1B20">
      <w:pPr>
        <w:pStyle w:val="a3"/>
        <w:spacing w:before="240" w:beforeAutospacing="0" w:after="0" w:afterAutospacing="0"/>
        <w:jc w:val="center"/>
        <w:divId w:val="2073698176"/>
        <w:rPr>
          <w:sz w:val="20"/>
          <w:szCs w:val="20"/>
        </w:rPr>
      </w:pPr>
      <w:r>
        <w:rPr>
          <w:i/>
          <w:iCs/>
          <w:sz w:val="20"/>
          <w:szCs w:val="20"/>
        </w:rPr>
        <w:t>See accompanying notes to condensed consolidated financial statements.</w:t>
      </w:r>
    </w:p>
    <w:p w14:paraId="3108AB9E" w14:textId="77777777" w:rsidR="00000000" w:rsidRDefault="001F1B20">
      <w:pPr>
        <w:pStyle w:val="a3"/>
        <w:spacing w:before="360" w:beforeAutospacing="0" w:after="0" w:afterAutospacing="0"/>
        <w:jc w:val="center"/>
        <w:divId w:val="335152359"/>
        <w:rPr>
          <w:sz w:val="20"/>
          <w:szCs w:val="20"/>
        </w:rPr>
      </w:pPr>
      <w:r>
        <w:rPr>
          <w:sz w:val="20"/>
          <w:szCs w:val="20"/>
        </w:rPr>
        <w:lastRenderedPageBreak/>
        <w:t>3</w:t>
      </w:r>
    </w:p>
    <w:p w14:paraId="34AC9AB3" w14:textId="77777777" w:rsidR="00000000" w:rsidRDefault="001F1B20">
      <w:pPr>
        <w:pStyle w:val="a3"/>
        <w:spacing w:before="0" w:beforeAutospacing="0" w:after="600" w:afterAutospacing="0"/>
        <w:divId w:val="184056733"/>
        <w:rPr>
          <w:sz w:val="20"/>
          <w:szCs w:val="20"/>
        </w:rPr>
      </w:pPr>
      <w:hyperlink w:anchor="TOC" w:history="1">
        <w:r>
          <w:rPr>
            <w:rStyle w:val="a4"/>
            <w:sz w:val="20"/>
            <w:szCs w:val="20"/>
          </w:rPr>
          <w:t>Table of Contents</w:t>
        </w:r>
      </w:hyperlink>
    </w:p>
    <w:p w14:paraId="5CB797BF" w14:textId="77777777" w:rsidR="00000000" w:rsidRDefault="001F1B20">
      <w:pPr>
        <w:pStyle w:val="a3"/>
        <w:spacing w:before="0" w:beforeAutospacing="0" w:after="0" w:afterAutospacing="0"/>
        <w:jc w:val="center"/>
        <w:divId w:val="950480115"/>
        <w:rPr>
          <w:sz w:val="20"/>
          <w:szCs w:val="20"/>
        </w:rPr>
      </w:pPr>
      <w:r>
        <w:rPr>
          <w:b/>
          <w:bCs/>
          <w:sz w:val="20"/>
          <w:szCs w:val="20"/>
        </w:rPr>
        <w:t>THERAVANCE BIOPHARMA, INC.</w:t>
      </w:r>
    </w:p>
    <w:p w14:paraId="0A45689C" w14:textId="77777777" w:rsidR="00000000" w:rsidRDefault="001F1B20">
      <w:pPr>
        <w:pStyle w:val="a3"/>
        <w:spacing w:before="0" w:beforeAutospacing="0" w:after="0" w:afterAutospacing="0"/>
        <w:jc w:val="center"/>
        <w:divId w:val="950480115"/>
        <w:rPr>
          <w:sz w:val="20"/>
          <w:szCs w:val="20"/>
        </w:rPr>
      </w:pPr>
      <w:r>
        <w:rPr>
          <w:b/>
          <w:bCs/>
          <w:sz w:val="20"/>
          <w:szCs w:val="20"/>
        </w:rPr>
        <w:t>CONDENSED CONSOLIDATED STATEMENTS OF OPERATIONS AND COMPREHENSIVE LOSS</w:t>
      </w:r>
    </w:p>
    <w:p w14:paraId="23CAE391" w14:textId="77777777" w:rsidR="00000000" w:rsidRDefault="001F1B20">
      <w:pPr>
        <w:pStyle w:val="a3"/>
        <w:spacing w:before="0" w:beforeAutospacing="0" w:after="0" w:afterAutospacing="0"/>
        <w:jc w:val="center"/>
        <w:divId w:val="950480115"/>
        <w:rPr>
          <w:sz w:val="20"/>
          <w:szCs w:val="20"/>
        </w:rPr>
      </w:pPr>
      <w:r>
        <w:rPr>
          <w:b/>
          <w:bCs/>
          <w:sz w:val="20"/>
          <w:szCs w:val="20"/>
        </w:rPr>
        <w:t>(Unaudited)</w:t>
      </w:r>
    </w:p>
    <w:p w14:paraId="398902AD" w14:textId="77777777" w:rsidR="00000000" w:rsidRDefault="001F1B20">
      <w:pPr>
        <w:pStyle w:val="a3"/>
        <w:spacing w:before="0" w:beforeAutospacing="0" w:after="0" w:afterAutospacing="0"/>
        <w:jc w:val="center"/>
        <w:divId w:val="950480115"/>
        <w:rPr>
          <w:sz w:val="20"/>
          <w:szCs w:val="20"/>
        </w:rPr>
      </w:pPr>
      <w:r>
        <w:rPr>
          <w:b/>
          <w:bCs/>
          <w:sz w:val="20"/>
          <w:szCs w:val="20"/>
        </w:rPr>
        <w:t>(In thousands, except per share data)</w:t>
      </w:r>
    </w:p>
    <w:p w14:paraId="583867E2" w14:textId="77777777" w:rsidR="00000000" w:rsidRDefault="001F1B20">
      <w:pPr>
        <w:pStyle w:val="a3"/>
        <w:spacing w:before="0" w:beforeAutospacing="0" w:after="0" w:afterAutospacing="0"/>
        <w:jc w:val="center"/>
        <w:divId w:val="95048011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01"/>
        <w:gridCol w:w="160"/>
        <w:gridCol w:w="91"/>
        <w:gridCol w:w="644"/>
        <w:gridCol w:w="160"/>
        <w:gridCol w:w="91"/>
        <w:gridCol w:w="647"/>
        <w:gridCol w:w="160"/>
        <w:gridCol w:w="91"/>
        <w:gridCol w:w="705"/>
        <w:gridCol w:w="160"/>
        <w:gridCol w:w="91"/>
        <w:gridCol w:w="705"/>
      </w:tblGrid>
      <w:tr w:rsidR="00000000" w14:paraId="2138EF04" w14:textId="77777777">
        <w:trPr>
          <w:divId w:val="950480115"/>
          <w:trHeight w:val="20"/>
        </w:trPr>
        <w:tc>
          <w:tcPr>
            <w:tcW w:w="2774" w:type="pct"/>
            <w:tcMar>
              <w:top w:w="0" w:type="dxa"/>
              <w:left w:w="0" w:type="dxa"/>
              <w:bottom w:w="0" w:type="dxa"/>
              <w:right w:w="0" w:type="dxa"/>
            </w:tcMar>
            <w:vAlign w:val="bottom"/>
            <w:hideMark/>
          </w:tcPr>
          <w:p w14:paraId="06F63C6C" w14:textId="77777777" w:rsidR="00000000" w:rsidRDefault="001F1B20">
            <w:pPr>
              <w:pStyle w:val="a3"/>
              <w:spacing w:before="0" w:beforeAutospacing="0" w:after="0" w:afterAutospacing="0"/>
              <w:divId w:val="1400055235"/>
              <w:rPr>
                <w:sz w:val="20"/>
                <w:szCs w:val="20"/>
              </w:rPr>
            </w:pPr>
            <w:r>
              <w:rPr>
                <w:sz w:val="2"/>
                <w:szCs w:val="2"/>
              </w:rPr>
              <w:t>​</w:t>
            </w:r>
          </w:p>
        </w:tc>
        <w:tc>
          <w:tcPr>
            <w:tcW w:w="100" w:type="pct"/>
            <w:noWrap/>
            <w:tcMar>
              <w:top w:w="0" w:type="dxa"/>
              <w:left w:w="0" w:type="dxa"/>
              <w:bottom w:w="0" w:type="dxa"/>
              <w:right w:w="0" w:type="dxa"/>
            </w:tcMar>
            <w:vAlign w:val="bottom"/>
            <w:hideMark/>
          </w:tcPr>
          <w:p w14:paraId="2F789D41" w14:textId="77777777" w:rsidR="00000000" w:rsidRDefault="001F1B20">
            <w:pPr>
              <w:pStyle w:val="a3"/>
              <w:spacing w:before="0" w:beforeAutospacing="0" w:after="0" w:afterAutospacing="0"/>
              <w:divId w:val="193545116"/>
              <w:rPr>
                <w:sz w:val="20"/>
                <w:szCs w:val="20"/>
              </w:rPr>
            </w:pPr>
            <w:r>
              <w:rPr>
                <w:sz w:val="2"/>
                <w:szCs w:val="2"/>
              </w:rPr>
              <w:t>​</w:t>
            </w:r>
          </w:p>
        </w:tc>
        <w:tc>
          <w:tcPr>
            <w:tcW w:w="62" w:type="pct"/>
            <w:noWrap/>
            <w:tcMar>
              <w:top w:w="0" w:type="dxa"/>
              <w:left w:w="0" w:type="dxa"/>
              <w:bottom w:w="0" w:type="dxa"/>
              <w:right w:w="0" w:type="dxa"/>
            </w:tcMar>
            <w:vAlign w:val="bottom"/>
            <w:hideMark/>
          </w:tcPr>
          <w:p w14:paraId="41358BEC" w14:textId="77777777" w:rsidR="00000000" w:rsidRDefault="001F1B20">
            <w:pPr>
              <w:pStyle w:val="a3"/>
              <w:spacing w:before="0" w:beforeAutospacing="0" w:after="0" w:afterAutospacing="0"/>
              <w:divId w:val="1750466971"/>
              <w:rPr>
                <w:sz w:val="20"/>
                <w:szCs w:val="20"/>
              </w:rPr>
            </w:pPr>
            <w:r>
              <w:rPr>
                <w:sz w:val="2"/>
                <w:szCs w:val="2"/>
              </w:rPr>
              <w:t>​</w:t>
            </w:r>
          </w:p>
        </w:tc>
        <w:tc>
          <w:tcPr>
            <w:tcW w:w="392" w:type="pct"/>
            <w:noWrap/>
            <w:tcMar>
              <w:top w:w="0" w:type="dxa"/>
              <w:left w:w="0" w:type="dxa"/>
              <w:bottom w:w="0" w:type="dxa"/>
              <w:right w:w="0" w:type="dxa"/>
            </w:tcMar>
            <w:vAlign w:val="bottom"/>
            <w:hideMark/>
          </w:tcPr>
          <w:p w14:paraId="3E45B740" w14:textId="77777777" w:rsidR="00000000" w:rsidRDefault="001F1B20">
            <w:pPr>
              <w:pStyle w:val="a3"/>
              <w:spacing w:before="0" w:beforeAutospacing="0" w:after="0" w:afterAutospacing="0"/>
              <w:divId w:val="813907241"/>
              <w:rPr>
                <w:sz w:val="20"/>
                <w:szCs w:val="20"/>
              </w:rPr>
            </w:pPr>
            <w:r>
              <w:rPr>
                <w:sz w:val="2"/>
                <w:szCs w:val="2"/>
              </w:rPr>
              <w:t>​</w:t>
            </w:r>
          </w:p>
        </w:tc>
        <w:tc>
          <w:tcPr>
            <w:tcW w:w="100" w:type="pct"/>
            <w:noWrap/>
            <w:tcMar>
              <w:top w:w="0" w:type="dxa"/>
              <w:left w:w="0" w:type="dxa"/>
              <w:bottom w:w="0" w:type="dxa"/>
              <w:right w:w="0" w:type="dxa"/>
            </w:tcMar>
            <w:vAlign w:val="bottom"/>
            <w:hideMark/>
          </w:tcPr>
          <w:p w14:paraId="1393D5EA" w14:textId="77777777" w:rsidR="00000000" w:rsidRDefault="001F1B20">
            <w:pPr>
              <w:pStyle w:val="a3"/>
              <w:spacing w:before="0" w:beforeAutospacing="0" w:after="0" w:afterAutospacing="0"/>
              <w:divId w:val="2088451232"/>
              <w:rPr>
                <w:sz w:val="20"/>
                <w:szCs w:val="20"/>
              </w:rPr>
            </w:pPr>
            <w:r>
              <w:rPr>
                <w:sz w:val="2"/>
                <w:szCs w:val="2"/>
              </w:rPr>
              <w:t>​</w:t>
            </w:r>
          </w:p>
        </w:tc>
        <w:tc>
          <w:tcPr>
            <w:tcW w:w="62" w:type="pct"/>
            <w:noWrap/>
            <w:tcMar>
              <w:top w:w="0" w:type="dxa"/>
              <w:left w:w="0" w:type="dxa"/>
              <w:bottom w:w="0" w:type="dxa"/>
              <w:right w:w="0" w:type="dxa"/>
            </w:tcMar>
            <w:vAlign w:val="bottom"/>
            <w:hideMark/>
          </w:tcPr>
          <w:p w14:paraId="2982264F" w14:textId="77777777" w:rsidR="00000000" w:rsidRDefault="001F1B20">
            <w:pPr>
              <w:pStyle w:val="a3"/>
              <w:spacing w:before="0" w:beforeAutospacing="0" w:after="0" w:afterAutospacing="0"/>
              <w:divId w:val="2038190656"/>
              <w:rPr>
                <w:sz w:val="20"/>
                <w:szCs w:val="20"/>
              </w:rPr>
            </w:pPr>
            <w:r>
              <w:rPr>
                <w:sz w:val="2"/>
                <w:szCs w:val="2"/>
              </w:rPr>
              <w:t>​</w:t>
            </w:r>
          </w:p>
        </w:tc>
        <w:tc>
          <w:tcPr>
            <w:tcW w:w="393" w:type="pct"/>
            <w:noWrap/>
            <w:tcMar>
              <w:top w:w="0" w:type="dxa"/>
              <w:left w:w="0" w:type="dxa"/>
              <w:bottom w:w="0" w:type="dxa"/>
              <w:right w:w="0" w:type="dxa"/>
            </w:tcMar>
            <w:vAlign w:val="bottom"/>
            <w:hideMark/>
          </w:tcPr>
          <w:p w14:paraId="0104764D" w14:textId="77777777" w:rsidR="00000000" w:rsidRDefault="001F1B20">
            <w:pPr>
              <w:pStyle w:val="a3"/>
              <w:spacing w:before="0" w:beforeAutospacing="0" w:after="0" w:afterAutospacing="0"/>
              <w:divId w:val="500391467"/>
              <w:rPr>
                <w:sz w:val="20"/>
                <w:szCs w:val="20"/>
              </w:rPr>
            </w:pPr>
            <w:r>
              <w:rPr>
                <w:sz w:val="2"/>
                <w:szCs w:val="2"/>
              </w:rPr>
              <w:t>​</w:t>
            </w:r>
          </w:p>
        </w:tc>
        <w:tc>
          <w:tcPr>
            <w:tcW w:w="100" w:type="pct"/>
            <w:noWrap/>
            <w:tcMar>
              <w:top w:w="0" w:type="dxa"/>
              <w:left w:w="0" w:type="dxa"/>
              <w:bottom w:w="0" w:type="dxa"/>
              <w:right w:w="0" w:type="dxa"/>
            </w:tcMar>
            <w:vAlign w:val="bottom"/>
            <w:hideMark/>
          </w:tcPr>
          <w:p w14:paraId="233B1408" w14:textId="77777777" w:rsidR="00000000" w:rsidRDefault="001F1B20">
            <w:pPr>
              <w:pStyle w:val="a3"/>
              <w:spacing w:before="0" w:beforeAutospacing="0" w:after="0" w:afterAutospacing="0"/>
              <w:divId w:val="1297294255"/>
              <w:rPr>
                <w:sz w:val="20"/>
                <w:szCs w:val="20"/>
              </w:rPr>
            </w:pPr>
            <w:r>
              <w:rPr>
                <w:sz w:val="2"/>
                <w:szCs w:val="2"/>
              </w:rPr>
              <w:t>​</w:t>
            </w:r>
          </w:p>
        </w:tc>
        <w:tc>
          <w:tcPr>
            <w:tcW w:w="62" w:type="pct"/>
            <w:noWrap/>
            <w:tcMar>
              <w:top w:w="0" w:type="dxa"/>
              <w:left w:w="0" w:type="dxa"/>
              <w:bottom w:w="0" w:type="dxa"/>
              <w:right w:w="0" w:type="dxa"/>
            </w:tcMar>
            <w:vAlign w:val="bottom"/>
            <w:hideMark/>
          </w:tcPr>
          <w:p w14:paraId="2C7C4941" w14:textId="77777777" w:rsidR="00000000" w:rsidRDefault="001F1B20">
            <w:pPr>
              <w:pStyle w:val="a3"/>
              <w:spacing w:before="0" w:beforeAutospacing="0" w:after="0" w:afterAutospacing="0"/>
              <w:divId w:val="213154327"/>
              <w:rPr>
                <w:sz w:val="20"/>
                <w:szCs w:val="20"/>
              </w:rPr>
            </w:pPr>
            <w:r>
              <w:rPr>
                <w:sz w:val="2"/>
                <w:szCs w:val="2"/>
              </w:rPr>
              <w:t>​</w:t>
            </w:r>
          </w:p>
        </w:tc>
        <w:tc>
          <w:tcPr>
            <w:tcW w:w="392" w:type="pct"/>
            <w:noWrap/>
            <w:tcMar>
              <w:top w:w="0" w:type="dxa"/>
              <w:left w:w="0" w:type="dxa"/>
              <w:bottom w:w="0" w:type="dxa"/>
              <w:right w:w="0" w:type="dxa"/>
            </w:tcMar>
            <w:vAlign w:val="bottom"/>
            <w:hideMark/>
          </w:tcPr>
          <w:p w14:paraId="3713197E" w14:textId="77777777" w:rsidR="00000000" w:rsidRDefault="001F1B20">
            <w:pPr>
              <w:pStyle w:val="a3"/>
              <w:spacing w:before="0" w:beforeAutospacing="0" w:after="0" w:afterAutospacing="0"/>
              <w:divId w:val="1892307756"/>
              <w:rPr>
                <w:sz w:val="20"/>
                <w:szCs w:val="20"/>
              </w:rPr>
            </w:pPr>
            <w:r>
              <w:rPr>
                <w:sz w:val="2"/>
                <w:szCs w:val="2"/>
              </w:rPr>
              <w:t>​</w:t>
            </w:r>
          </w:p>
        </w:tc>
        <w:tc>
          <w:tcPr>
            <w:tcW w:w="100" w:type="pct"/>
            <w:noWrap/>
            <w:tcMar>
              <w:top w:w="0" w:type="dxa"/>
              <w:left w:w="0" w:type="dxa"/>
              <w:bottom w:w="0" w:type="dxa"/>
              <w:right w:w="0" w:type="dxa"/>
            </w:tcMar>
            <w:vAlign w:val="bottom"/>
            <w:hideMark/>
          </w:tcPr>
          <w:p w14:paraId="72C5D4EB" w14:textId="77777777" w:rsidR="00000000" w:rsidRDefault="001F1B20">
            <w:pPr>
              <w:pStyle w:val="a3"/>
              <w:spacing w:before="0" w:beforeAutospacing="0" w:after="0" w:afterAutospacing="0"/>
              <w:divId w:val="571156617"/>
              <w:rPr>
                <w:sz w:val="20"/>
                <w:szCs w:val="20"/>
              </w:rPr>
            </w:pPr>
            <w:r>
              <w:rPr>
                <w:sz w:val="2"/>
                <w:szCs w:val="2"/>
              </w:rPr>
              <w:t>​</w:t>
            </w:r>
          </w:p>
        </w:tc>
        <w:tc>
          <w:tcPr>
            <w:tcW w:w="62" w:type="pct"/>
            <w:noWrap/>
            <w:tcMar>
              <w:top w:w="0" w:type="dxa"/>
              <w:left w:w="0" w:type="dxa"/>
              <w:bottom w:w="0" w:type="dxa"/>
              <w:right w:w="0" w:type="dxa"/>
            </w:tcMar>
            <w:vAlign w:val="bottom"/>
            <w:hideMark/>
          </w:tcPr>
          <w:p w14:paraId="2A86314F" w14:textId="77777777" w:rsidR="00000000" w:rsidRDefault="001F1B20">
            <w:pPr>
              <w:pStyle w:val="a3"/>
              <w:spacing w:before="0" w:beforeAutospacing="0" w:after="0" w:afterAutospacing="0"/>
              <w:divId w:val="1241794239"/>
              <w:rPr>
                <w:sz w:val="20"/>
                <w:szCs w:val="20"/>
              </w:rPr>
            </w:pPr>
            <w:r>
              <w:rPr>
                <w:sz w:val="2"/>
                <w:szCs w:val="2"/>
              </w:rPr>
              <w:t>​</w:t>
            </w:r>
          </w:p>
        </w:tc>
        <w:tc>
          <w:tcPr>
            <w:tcW w:w="392" w:type="pct"/>
            <w:noWrap/>
            <w:tcMar>
              <w:top w:w="0" w:type="dxa"/>
              <w:left w:w="0" w:type="dxa"/>
              <w:bottom w:w="0" w:type="dxa"/>
              <w:right w:w="0" w:type="dxa"/>
            </w:tcMar>
            <w:vAlign w:val="bottom"/>
            <w:hideMark/>
          </w:tcPr>
          <w:p w14:paraId="791E79F0" w14:textId="77777777" w:rsidR="00000000" w:rsidRDefault="001F1B20">
            <w:pPr>
              <w:pStyle w:val="a3"/>
              <w:spacing w:before="0" w:beforeAutospacing="0" w:after="0" w:afterAutospacing="0"/>
              <w:divId w:val="1791627432"/>
              <w:rPr>
                <w:sz w:val="20"/>
                <w:szCs w:val="20"/>
              </w:rPr>
            </w:pPr>
            <w:r>
              <w:rPr>
                <w:sz w:val="2"/>
                <w:szCs w:val="2"/>
              </w:rPr>
              <w:t>​</w:t>
            </w:r>
          </w:p>
        </w:tc>
      </w:tr>
      <w:tr w:rsidR="00000000" w14:paraId="0F0A293C" w14:textId="77777777">
        <w:trPr>
          <w:divId w:val="950480115"/>
        </w:trPr>
        <w:tc>
          <w:tcPr>
            <w:tcW w:w="2774" w:type="pct"/>
            <w:tcMar>
              <w:top w:w="0" w:type="dxa"/>
              <w:left w:w="0" w:type="dxa"/>
              <w:bottom w:w="0" w:type="dxa"/>
              <w:right w:w="0" w:type="dxa"/>
            </w:tcMar>
            <w:vAlign w:val="bottom"/>
            <w:hideMark/>
          </w:tcPr>
          <w:p w14:paraId="203625A0" w14:textId="77777777" w:rsidR="00000000" w:rsidRDefault="001F1B20">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14:paraId="584E354E" w14:textId="77777777" w:rsidR="00000000" w:rsidRDefault="001F1B20">
            <w:pPr>
              <w:pStyle w:val="a3"/>
              <w:spacing w:before="0" w:beforeAutospacing="0" w:after="0" w:afterAutospacing="0"/>
              <w:rPr>
                <w:sz w:val="20"/>
                <w:szCs w:val="20"/>
              </w:rPr>
            </w:pPr>
            <w:r>
              <w:rPr>
                <w:b/>
                <w:bCs/>
                <w:sz w:val="16"/>
                <w:szCs w:val="16"/>
              </w:rPr>
              <w:t>​</w:t>
            </w:r>
          </w:p>
        </w:tc>
        <w:tc>
          <w:tcPr>
            <w:tcW w:w="1012" w:type="pct"/>
            <w:gridSpan w:val="5"/>
            <w:tcMar>
              <w:top w:w="0" w:type="dxa"/>
              <w:left w:w="0" w:type="dxa"/>
              <w:bottom w:w="0" w:type="dxa"/>
              <w:right w:w="0" w:type="dxa"/>
            </w:tcMar>
            <w:vAlign w:val="bottom"/>
            <w:hideMark/>
          </w:tcPr>
          <w:p w14:paraId="4B5FC46E"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100" w:type="pct"/>
            <w:noWrap/>
            <w:tcMar>
              <w:top w:w="0" w:type="dxa"/>
              <w:left w:w="0" w:type="dxa"/>
              <w:bottom w:w="0" w:type="dxa"/>
              <w:right w:w="0" w:type="dxa"/>
            </w:tcMar>
            <w:vAlign w:val="bottom"/>
            <w:hideMark/>
          </w:tcPr>
          <w:p w14:paraId="33FF9AA9" w14:textId="77777777" w:rsidR="00000000" w:rsidRDefault="001F1B20">
            <w:pPr>
              <w:pStyle w:val="a3"/>
              <w:spacing w:before="0" w:beforeAutospacing="0" w:after="0" w:afterAutospacing="0"/>
              <w:rPr>
                <w:sz w:val="20"/>
                <w:szCs w:val="20"/>
              </w:rPr>
            </w:pPr>
            <w:r>
              <w:rPr>
                <w:b/>
                <w:bCs/>
                <w:sz w:val="16"/>
                <w:szCs w:val="16"/>
              </w:rPr>
              <w:t>​</w:t>
            </w:r>
          </w:p>
        </w:tc>
        <w:tc>
          <w:tcPr>
            <w:tcW w:w="1011" w:type="pct"/>
            <w:gridSpan w:val="5"/>
            <w:tcMar>
              <w:top w:w="0" w:type="dxa"/>
              <w:left w:w="0" w:type="dxa"/>
              <w:bottom w:w="0" w:type="dxa"/>
              <w:right w:w="0" w:type="dxa"/>
            </w:tcMar>
            <w:vAlign w:val="bottom"/>
            <w:hideMark/>
          </w:tcPr>
          <w:p w14:paraId="6FDD120B"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r>
      <w:tr w:rsidR="00000000" w14:paraId="73BCE4AC" w14:textId="77777777">
        <w:trPr>
          <w:divId w:val="950480115"/>
        </w:trPr>
        <w:tc>
          <w:tcPr>
            <w:tcW w:w="2774" w:type="pct"/>
            <w:tcMar>
              <w:top w:w="0" w:type="dxa"/>
              <w:left w:w="0" w:type="dxa"/>
              <w:bottom w:w="0" w:type="dxa"/>
              <w:right w:w="0" w:type="dxa"/>
            </w:tcMar>
            <w:vAlign w:val="bottom"/>
            <w:hideMark/>
          </w:tcPr>
          <w:p w14:paraId="13DC9261" w14:textId="77777777" w:rsidR="00000000" w:rsidRDefault="001F1B20">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14:paraId="0FE853D4" w14:textId="77777777" w:rsidR="00000000" w:rsidRDefault="001F1B20">
            <w:pPr>
              <w:pStyle w:val="a3"/>
              <w:spacing w:before="0" w:beforeAutospacing="0" w:after="0" w:afterAutospacing="0"/>
              <w:rPr>
                <w:sz w:val="20"/>
                <w:szCs w:val="20"/>
              </w:rPr>
            </w:pPr>
            <w:r>
              <w:rPr>
                <w:b/>
                <w:bCs/>
                <w:sz w:val="16"/>
                <w:szCs w:val="16"/>
              </w:rPr>
              <w:t>​</w:t>
            </w:r>
          </w:p>
        </w:tc>
        <w:tc>
          <w:tcPr>
            <w:tcW w:w="1012" w:type="pct"/>
            <w:gridSpan w:val="5"/>
            <w:tcBorders>
              <w:bottom w:val="single" w:sz="6" w:space="0" w:color="000000"/>
            </w:tcBorders>
            <w:tcMar>
              <w:top w:w="0" w:type="dxa"/>
              <w:left w:w="0" w:type="dxa"/>
              <w:bottom w:w="0" w:type="dxa"/>
              <w:right w:w="0" w:type="dxa"/>
            </w:tcMar>
            <w:vAlign w:val="bottom"/>
            <w:hideMark/>
          </w:tcPr>
          <w:p w14:paraId="5EE4B585"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100" w:type="pct"/>
            <w:noWrap/>
            <w:tcMar>
              <w:top w:w="0" w:type="dxa"/>
              <w:left w:w="0" w:type="dxa"/>
              <w:bottom w:w="0" w:type="dxa"/>
              <w:right w:w="0" w:type="dxa"/>
            </w:tcMar>
            <w:vAlign w:val="bottom"/>
            <w:hideMark/>
          </w:tcPr>
          <w:p w14:paraId="0714906D" w14:textId="77777777" w:rsidR="00000000" w:rsidRDefault="001F1B20">
            <w:pPr>
              <w:pStyle w:val="a3"/>
              <w:spacing w:before="0" w:beforeAutospacing="0" w:after="0" w:afterAutospacing="0"/>
              <w:rPr>
                <w:sz w:val="20"/>
                <w:szCs w:val="20"/>
              </w:rPr>
            </w:pPr>
            <w:r>
              <w:rPr>
                <w:b/>
                <w:bCs/>
                <w:sz w:val="16"/>
                <w:szCs w:val="16"/>
              </w:rPr>
              <w:t>​</w:t>
            </w:r>
          </w:p>
        </w:tc>
        <w:tc>
          <w:tcPr>
            <w:tcW w:w="1011" w:type="pct"/>
            <w:gridSpan w:val="5"/>
            <w:tcBorders>
              <w:bottom w:val="single" w:sz="6" w:space="0" w:color="000000"/>
            </w:tcBorders>
            <w:tcMar>
              <w:top w:w="0" w:type="dxa"/>
              <w:left w:w="0" w:type="dxa"/>
              <w:bottom w:w="0" w:type="dxa"/>
              <w:right w:w="0" w:type="dxa"/>
            </w:tcMar>
            <w:vAlign w:val="bottom"/>
            <w:hideMark/>
          </w:tcPr>
          <w:p w14:paraId="3AF568A9" w14:textId="77777777" w:rsidR="00000000" w:rsidRDefault="001F1B20">
            <w:pPr>
              <w:pStyle w:val="a3"/>
              <w:spacing w:before="0" w:beforeAutospacing="0" w:after="0" w:afterAutospacing="0"/>
              <w:jc w:val="center"/>
              <w:rPr>
                <w:sz w:val="16"/>
                <w:szCs w:val="16"/>
              </w:rPr>
            </w:pPr>
            <w:r>
              <w:rPr>
                <w:b/>
                <w:bCs/>
                <w:sz w:val="16"/>
                <w:szCs w:val="16"/>
              </w:rPr>
              <w:t>September 30, </w:t>
            </w:r>
          </w:p>
        </w:tc>
      </w:tr>
      <w:tr w:rsidR="00000000" w14:paraId="7294E3E2" w14:textId="77777777">
        <w:trPr>
          <w:divId w:val="950480115"/>
        </w:trPr>
        <w:tc>
          <w:tcPr>
            <w:tcW w:w="2774" w:type="pct"/>
            <w:tcMar>
              <w:top w:w="0" w:type="dxa"/>
              <w:left w:w="0" w:type="dxa"/>
              <w:bottom w:w="0" w:type="dxa"/>
              <w:right w:w="0" w:type="dxa"/>
            </w:tcMar>
            <w:vAlign w:val="bottom"/>
            <w:hideMark/>
          </w:tcPr>
          <w:p w14:paraId="309D8D0D" w14:textId="77777777" w:rsidR="00000000" w:rsidRDefault="001F1B20">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14:paraId="2738FB39" w14:textId="77777777" w:rsidR="00000000" w:rsidRDefault="001F1B20">
            <w:pPr>
              <w:pStyle w:val="a3"/>
              <w:spacing w:before="0" w:beforeAutospacing="0" w:after="0" w:afterAutospacing="0"/>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14:paraId="500A88D5" w14:textId="77777777" w:rsidR="00000000" w:rsidRDefault="001F1B20">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14:paraId="3F302606" w14:textId="77777777" w:rsidR="00000000" w:rsidRDefault="001F1B20">
            <w:pPr>
              <w:pStyle w:val="a3"/>
              <w:spacing w:before="0" w:beforeAutospacing="0" w:after="0" w:afterAutospacing="0"/>
              <w:rPr>
                <w:sz w:val="16"/>
                <w:szCs w:val="16"/>
              </w:rPr>
            </w:pPr>
            <w:r>
              <w:rPr>
                <w:b/>
                <w:bCs/>
                <w:sz w:val="16"/>
                <w:szCs w:val="16"/>
              </w:rPr>
              <w:t>    </w:t>
            </w:r>
          </w:p>
        </w:tc>
        <w:tc>
          <w:tcPr>
            <w:tcW w:w="456" w:type="pct"/>
            <w:gridSpan w:val="2"/>
            <w:tcBorders>
              <w:bottom w:val="single" w:sz="6" w:space="0" w:color="000000"/>
            </w:tcBorders>
            <w:noWrap/>
            <w:tcMar>
              <w:top w:w="0" w:type="dxa"/>
              <w:left w:w="0" w:type="dxa"/>
              <w:bottom w:w="0" w:type="dxa"/>
              <w:right w:w="0" w:type="dxa"/>
            </w:tcMar>
            <w:vAlign w:val="bottom"/>
            <w:hideMark/>
          </w:tcPr>
          <w:p w14:paraId="352F9B6F" w14:textId="77777777" w:rsidR="00000000" w:rsidRDefault="001F1B20">
            <w:pPr>
              <w:pStyle w:val="a3"/>
              <w:spacing w:before="0" w:beforeAutospacing="0" w:after="0" w:afterAutospacing="0"/>
              <w:jc w:val="center"/>
              <w:rPr>
                <w:sz w:val="16"/>
                <w:szCs w:val="16"/>
              </w:rPr>
            </w:pPr>
            <w:r>
              <w:rPr>
                <w:b/>
                <w:bCs/>
                <w:sz w:val="16"/>
                <w:szCs w:val="16"/>
              </w:rPr>
              <w:t>2020</w:t>
            </w:r>
          </w:p>
        </w:tc>
        <w:tc>
          <w:tcPr>
            <w:tcW w:w="100" w:type="pct"/>
            <w:noWrap/>
            <w:tcMar>
              <w:top w:w="0" w:type="dxa"/>
              <w:left w:w="0" w:type="dxa"/>
              <w:bottom w:w="0" w:type="dxa"/>
              <w:right w:w="0" w:type="dxa"/>
            </w:tcMar>
            <w:vAlign w:val="bottom"/>
            <w:hideMark/>
          </w:tcPr>
          <w:p w14:paraId="7E6AB056" w14:textId="77777777" w:rsidR="00000000" w:rsidRDefault="001F1B20">
            <w:pPr>
              <w:pStyle w:val="a3"/>
              <w:spacing w:before="0" w:beforeAutospacing="0" w:after="0" w:afterAutospacing="0"/>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14:paraId="5DFBCA3A" w14:textId="77777777" w:rsidR="00000000" w:rsidRDefault="001F1B20">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14:paraId="1F89FDFF" w14:textId="77777777" w:rsidR="00000000" w:rsidRDefault="001F1B20">
            <w:pPr>
              <w:pStyle w:val="a3"/>
              <w:spacing w:before="0" w:beforeAutospacing="0" w:after="0" w:afterAutospacing="0"/>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14:paraId="0BE1DAD5" w14:textId="77777777" w:rsidR="00000000" w:rsidRDefault="001F1B20">
            <w:pPr>
              <w:pStyle w:val="a3"/>
              <w:spacing w:before="0" w:beforeAutospacing="0" w:after="0" w:afterAutospacing="0"/>
              <w:jc w:val="center"/>
              <w:rPr>
                <w:sz w:val="16"/>
                <w:szCs w:val="16"/>
              </w:rPr>
            </w:pPr>
            <w:r>
              <w:rPr>
                <w:b/>
                <w:bCs/>
                <w:sz w:val="16"/>
                <w:szCs w:val="16"/>
              </w:rPr>
              <w:t>2020</w:t>
            </w:r>
          </w:p>
        </w:tc>
      </w:tr>
      <w:tr w:rsidR="00000000" w14:paraId="6BB7CE1E" w14:textId="77777777">
        <w:trPr>
          <w:divId w:val="950480115"/>
        </w:trPr>
        <w:tc>
          <w:tcPr>
            <w:tcW w:w="2774" w:type="pct"/>
            <w:noWrap/>
            <w:tcMar>
              <w:top w:w="0" w:type="dxa"/>
              <w:left w:w="0" w:type="dxa"/>
              <w:bottom w:w="0" w:type="dxa"/>
              <w:right w:w="0" w:type="dxa"/>
            </w:tcMar>
            <w:vAlign w:val="bottom"/>
            <w:hideMark/>
          </w:tcPr>
          <w:p w14:paraId="54F75261" w14:textId="77777777" w:rsidR="00000000" w:rsidRDefault="001F1B20">
            <w:pPr>
              <w:pStyle w:val="a3"/>
              <w:spacing w:before="0" w:beforeAutospacing="0" w:after="0" w:afterAutospacing="0"/>
              <w:rPr>
                <w:sz w:val="20"/>
                <w:szCs w:val="20"/>
              </w:rPr>
            </w:pPr>
            <w:r>
              <w:rPr>
                <w:sz w:val="18"/>
                <w:szCs w:val="18"/>
              </w:rPr>
              <w:t>​</w:t>
            </w:r>
          </w:p>
        </w:tc>
        <w:tc>
          <w:tcPr>
            <w:tcW w:w="100" w:type="pct"/>
            <w:noWrap/>
            <w:tcMar>
              <w:top w:w="0" w:type="dxa"/>
              <w:left w:w="0" w:type="dxa"/>
              <w:bottom w:w="0" w:type="dxa"/>
              <w:right w:w="0" w:type="dxa"/>
            </w:tcMar>
            <w:vAlign w:val="bottom"/>
            <w:hideMark/>
          </w:tcPr>
          <w:p w14:paraId="2F20480E" w14:textId="77777777" w:rsidR="00000000" w:rsidRDefault="001F1B20">
            <w:pPr>
              <w:pStyle w:val="a3"/>
              <w:spacing w:before="0" w:beforeAutospacing="0" w:after="0" w:afterAutospacing="0"/>
              <w:rPr>
                <w:sz w:val="20"/>
                <w:szCs w:val="20"/>
              </w:rPr>
            </w:pPr>
            <w:r>
              <w:rPr>
                <w:b/>
                <w:bCs/>
                <w:sz w:val="18"/>
                <w:szCs w:val="18"/>
              </w:rPr>
              <w:t>​</w:t>
            </w:r>
          </w:p>
        </w:tc>
        <w:tc>
          <w:tcPr>
            <w:tcW w:w="62" w:type="pct"/>
            <w:noWrap/>
            <w:tcMar>
              <w:top w:w="0" w:type="dxa"/>
              <w:left w:w="0" w:type="dxa"/>
              <w:bottom w:w="0" w:type="dxa"/>
              <w:right w:w="0" w:type="dxa"/>
            </w:tcMar>
            <w:vAlign w:val="bottom"/>
            <w:hideMark/>
          </w:tcPr>
          <w:p w14:paraId="0478FB62" w14:textId="77777777" w:rsidR="00000000" w:rsidRDefault="001F1B20">
            <w:pPr>
              <w:pStyle w:val="a3"/>
              <w:spacing w:before="0" w:beforeAutospacing="0" w:after="0" w:afterAutospacing="0"/>
              <w:jc w:val="center"/>
              <w:rPr>
                <w:sz w:val="20"/>
                <w:szCs w:val="20"/>
              </w:rPr>
            </w:pPr>
            <w:r>
              <w:rPr>
                <w:b/>
                <w:bCs/>
                <w:sz w:val="18"/>
                <w:szCs w:val="18"/>
              </w:rPr>
              <w:t>​</w:t>
            </w:r>
          </w:p>
        </w:tc>
        <w:tc>
          <w:tcPr>
            <w:tcW w:w="392" w:type="pct"/>
            <w:noWrap/>
            <w:tcMar>
              <w:top w:w="0" w:type="dxa"/>
              <w:left w:w="0" w:type="dxa"/>
              <w:bottom w:w="0" w:type="dxa"/>
              <w:right w:w="0" w:type="dxa"/>
            </w:tcMar>
            <w:vAlign w:val="bottom"/>
            <w:hideMark/>
          </w:tcPr>
          <w:p w14:paraId="30509E38" w14:textId="77777777" w:rsidR="00000000" w:rsidRDefault="001F1B20">
            <w:pPr>
              <w:pStyle w:val="a3"/>
              <w:spacing w:before="0" w:beforeAutospacing="0" w:after="0" w:afterAutospacing="0"/>
              <w:jc w:val="right"/>
              <w:rPr>
                <w:sz w:val="20"/>
                <w:szCs w:val="20"/>
              </w:rPr>
            </w:pPr>
            <w:r>
              <w:rPr>
                <w:b/>
                <w:bCs/>
                <w:sz w:val="18"/>
                <w:szCs w:val="18"/>
              </w:rPr>
              <w:t>​</w:t>
            </w:r>
          </w:p>
        </w:tc>
        <w:tc>
          <w:tcPr>
            <w:tcW w:w="100" w:type="pct"/>
            <w:noWrap/>
            <w:tcMar>
              <w:top w:w="0" w:type="dxa"/>
              <w:left w:w="0" w:type="dxa"/>
              <w:bottom w:w="0" w:type="dxa"/>
              <w:right w:w="0" w:type="dxa"/>
            </w:tcMar>
            <w:vAlign w:val="bottom"/>
            <w:hideMark/>
          </w:tcPr>
          <w:p w14:paraId="1FD285FD" w14:textId="77777777" w:rsidR="00000000" w:rsidRDefault="001F1B20">
            <w:pPr>
              <w:pStyle w:val="a3"/>
              <w:spacing w:before="0" w:beforeAutospacing="0" w:after="0" w:afterAutospacing="0"/>
              <w:rPr>
                <w:sz w:val="20"/>
                <w:szCs w:val="20"/>
              </w:rPr>
            </w:pPr>
            <w:r>
              <w:rPr>
                <w:b/>
                <w:bCs/>
                <w:sz w:val="18"/>
                <w:szCs w:val="18"/>
              </w:rPr>
              <w:t>​</w:t>
            </w:r>
          </w:p>
        </w:tc>
        <w:tc>
          <w:tcPr>
            <w:tcW w:w="456" w:type="pct"/>
            <w:gridSpan w:val="2"/>
            <w:noWrap/>
            <w:tcMar>
              <w:top w:w="0" w:type="dxa"/>
              <w:left w:w="0" w:type="dxa"/>
              <w:bottom w:w="0" w:type="dxa"/>
              <w:right w:w="0" w:type="dxa"/>
            </w:tcMar>
            <w:vAlign w:val="bottom"/>
            <w:hideMark/>
          </w:tcPr>
          <w:p w14:paraId="6A6B04DD" w14:textId="77777777" w:rsidR="00000000" w:rsidRDefault="001F1B20">
            <w:pPr>
              <w:pStyle w:val="a3"/>
              <w:spacing w:before="0" w:beforeAutospacing="0" w:after="0" w:afterAutospacing="0"/>
              <w:jc w:val="center"/>
              <w:rPr>
                <w:sz w:val="20"/>
                <w:szCs w:val="20"/>
              </w:rPr>
            </w:pPr>
            <w:r>
              <w:rPr>
                <w:b/>
                <w:bCs/>
                <w:sz w:val="18"/>
                <w:szCs w:val="18"/>
              </w:rPr>
              <w:t>​</w:t>
            </w:r>
          </w:p>
        </w:tc>
        <w:tc>
          <w:tcPr>
            <w:tcW w:w="100" w:type="pct"/>
            <w:noWrap/>
            <w:tcMar>
              <w:top w:w="0" w:type="dxa"/>
              <w:left w:w="0" w:type="dxa"/>
              <w:bottom w:w="0" w:type="dxa"/>
              <w:right w:w="0" w:type="dxa"/>
            </w:tcMar>
            <w:vAlign w:val="bottom"/>
            <w:hideMark/>
          </w:tcPr>
          <w:p w14:paraId="26A676D7" w14:textId="77777777" w:rsidR="00000000" w:rsidRDefault="001F1B20">
            <w:pPr>
              <w:pStyle w:val="a3"/>
              <w:spacing w:before="0" w:beforeAutospacing="0" w:after="0" w:afterAutospacing="0"/>
              <w:rPr>
                <w:sz w:val="20"/>
                <w:szCs w:val="20"/>
              </w:rPr>
            </w:pPr>
            <w:r>
              <w:rPr>
                <w:b/>
                <w:bCs/>
                <w:sz w:val="20"/>
                <w:szCs w:val="20"/>
              </w:rPr>
              <w:t>​</w:t>
            </w:r>
          </w:p>
        </w:tc>
        <w:tc>
          <w:tcPr>
            <w:tcW w:w="62" w:type="pct"/>
            <w:noWrap/>
            <w:tcMar>
              <w:top w:w="0" w:type="dxa"/>
              <w:left w:w="0" w:type="dxa"/>
              <w:bottom w:w="0" w:type="dxa"/>
              <w:right w:w="0" w:type="dxa"/>
            </w:tcMar>
            <w:vAlign w:val="bottom"/>
            <w:hideMark/>
          </w:tcPr>
          <w:p w14:paraId="5B29E6CD" w14:textId="77777777" w:rsidR="00000000" w:rsidRDefault="001F1B20">
            <w:pPr>
              <w:pStyle w:val="a3"/>
              <w:spacing w:before="0" w:beforeAutospacing="0" w:after="0" w:afterAutospacing="0"/>
              <w:jc w:val="center"/>
              <w:rPr>
                <w:sz w:val="20"/>
                <w:szCs w:val="20"/>
              </w:rPr>
            </w:pPr>
            <w:r>
              <w:rPr>
                <w:b/>
                <w:bCs/>
                <w:sz w:val="20"/>
                <w:szCs w:val="20"/>
              </w:rPr>
              <w:t>​</w:t>
            </w:r>
          </w:p>
        </w:tc>
        <w:tc>
          <w:tcPr>
            <w:tcW w:w="392" w:type="pct"/>
            <w:noWrap/>
            <w:tcMar>
              <w:top w:w="0" w:type="dxa"/>
              <w:left w:w="0" w:type="dxa"/>
              <w:bottom w:w="0" w:type="dxa"/>
              <w:right w:w="0" w:type="dxa"/>
            </w:tcMar>
            <w:vAlign w:val="bottom"/>
            <w:hideMark/>
          </w:tcPr>
          <w:p w14:paraId="7188385C" w14:textId="77777777" w:rsidR="00000000" w:rsidRDefault="001F1B20">
            <w:pPr>
              <w:pStyle w:val="a3"/>
              <w:spacing w:before="0" w:beforeAutospacing="0" w:after="0" w:afterAutospacing="0"/>
              <w:jc w:val="right"/>
              <w:rPr>
                <w:sz w:val="20"/>
                <w:szCs w:val="20"/>
              </w:rPr>
            </w:pPr>
            <w:r>
              <w:rPr>
                <w:b/>
                <w:bCs/>
                <w:sz w:val="20"/>
                <w:szCs w:val="20"/>
              </w:rPr>
              <w:t>​</w:t>
            </w:r>
          </w:p>
        </w:tc>
        <w:tc>
          <w:tcPr>
            <w:tcW w:w="100" w:type="pct"/>
            <w:noWrap/>
            <w:tcMar>
              <w:top w:w="0" w:type="dxa"/>
              <w:left w:w="0" w:type="dxa"/>
              <w:bottom w:w="0" w:type="dxa"/>
              <w:right w:w="0" w:type="dxa"/>
            </w:tcMar>
            <w:vAlign w:val="bottom"/>
            <w:hideMark/>
          </w:tcPr>
          <w:p w14:paraId="11E72539" w14:textId="77777777" w:rsidR="00000000" w:rsidRDefault="001F1B20">
            <w:pPr>
              <w:pStyle w:val="a3"/>
              <w:spacing w:before="0" w:beforeAutospacing="0" w:after="0" w:afterAutospacing="0"/>
              <w:rPr>
                <w:sz w:val="20"/>
                <w:szCs w:val="20"/>
              </w:rPr>
            </w:pPr>
            <w:r>
              <w:rPr>
                <w:b/>
                <w:bCs/>
                <w:sz w:val="20"/>
                <w:szCs w:val="20"/>
              </w:rPr>
              <w:t>​</w:t>
            </w:r>
          </w:p>
        </w:tc>
        <w:tc>
          <w:tcPr>
            <w:tcW w:w="455" w:type="pct"/>
            <w:gridSpan w:val="2"/>
            <w:noWrap/>
            <w:tcMar>
              <w:top w:w="0" w:type="dxa"/>
              <w:left w:w="0" w:type="dxa"/>
              <w:bottom w:w="0" w:type="dxa"/>
              <w:right w:w="0" w:type="dxa"/>
            </w:tcMar>
            <w:vAlign w:val="bottom"/>
            <w:hideMark/>
          </w:tcPr>
          <w:p w14:paraId="6B8BC2A9" w14:textId="77777777" w:rsidR="00000000" w:rsidRDefault="001F1B20">
            <w:pPr>
              <w:pStyle w:val="a3"/>
              <w:spacing w:before="0" w:beforeAutospacing="0" w:after="0" w:afterAutospacing="0"/>
              <w:jc w:val="center"/>
              <w:rPr>
                <w:sz w:val="20"/>
                <w:szCs w:val="20"/>
              </w:rPr>
            </w:pPr>
            <w:r>
              <w:rPr>
                <w:b/>
                <w:bCs/>
                <w:sz w:val="20"/>
                <w:szCs w:val="20"/>
              </w:rPr>
              <w:t>​</w:t>
            </w:r>
          </w:p>
        </w:tc>
      </w:tr>
      <w:tr w:rsidR="00000000" w14:paraId="2FA37D2F" w14:textId="77777777">
        <w:trPr>
          <w:divId w:val="950480115"/>
        </w:trPr>
        <w:tc>
          <w:tcPr>
            <w:tcW w:w="2774" w:type="pct"/>
            <w:shd w:val="clear" w:color="auto" w:fill="CCEEFF"/>
            <w:tcMar>
              <w:top w:w="0" w:type="dxa"/>
              <w:left w:w="0" w:type="dxa"/>
              <w:bottom w:w="0" w:type="dxa"/>
              <w:right w:w="0" w:type="dxa"/>
            </w:tcMar>
            <w:vAlign w:val="bottom"/>
            <w:hideMark/>
          </w:tcPr>
          <w:p w14:paraId="056B5781" w14:textId="77777777" w:rsidR="00000000" w:rsidRDefault="001F1B20">
            <w:pPr>
              <w:pStyle w:val="a3"/>
              <w:spacing w:before="0" w:beforeAutospacing="0" w:after="0" w:afterAutospacing="0"/>
              <w:rPr>
                <w:sz w:val="18"/>
                <w:szCs w:val="18"/>
              </w:rPr>
            </w:pPr>
            <w:r>
              <w:rPr>
                <w:sz w:val="18"/>
                <w:szCs w:val="18"/>
              </w:rPr>
              <w:t>Revenue:</w:t>
            </w:r>
          </w:p>
        </w:tc>
        <w:tc>
          <w:tcPr>
            <w:tcW w:w="100" w:type="pct"/>
            <w:shd w:val="clear" w:color="auto" w:fill="CCEEFF"/>
            <w:noWrap/>
            <w:tcMar>
              <w:top w:w="0" w:type="dxa"/>
              <w:left w:w="0" w:type="dxa"/>
              <w:bottom w:w="0" w:type="dxa"/>
              <w:right w:w="0" w:type="dxa"/>
            </w:tcMar>
            <w:vAlign w:val="bottom"/>
            <w:hideMark/>
          </w:tcPr>
          <w:p w14:paraId="0208940F" w14:textId="77777777" w:rsidR="00000000" w:rsidRDefault="001F1B20">
            <w:pPr>
              <w:pStyle w:val="a3"/>
              <w:spacing w:before="0" w:beforeAutospacing="0" w:after="0" w:afterAutospacing="0"/>
              <w:rPr>
                <w:sz w:val="20"/>
                <w:szCs w:val="20"/>
              </w:rPr>
            </w:pPr>
            <w:r>
              <w:rPr>
                <w:b/>
                <w:bCs/>
                <w:sz w:val="18"/>
                <w:szCs w:val="18"/>
              </w:rPr>
              <w:t>​</w:t>
            </w:r>
          </w:p>
        </w:tc>
        <w:tc>
          <w:tcPr>
            <w:tcW w:w="62" w:type="pct"/>
            <w:shd w:val="clear" w:color="auto" w:fill="CCEEFF"/>
            <w:noWrap/>
            <w:tcMar>
              <w:top w:w="0" w:type="dxa"/>
              <w:left w:w="0" w:type="dxa"/>
              <w:bottom w:w="0" w:type="dxa"/>
              <w:right w:w="0" w:type="dxa"/>
            </w:tcMar>
            <w:vAlign w:val="bottom"/>
            <w:hideMark/>
          </w:tcPr>
          <w:p w14:paraId="1E24ACAA" w14:textId="77777777" w:rsidR="00000000" w:rsidRDefault="001F1B20">
            <w:pPr>
              <w:pStyle w:val="a3"/>
              <w:spacing w:before="0" w:beforeAutospacing="0" w:after="0" w:afterAutospacing="0"/>
              <w:jc w:val="center"/>
              <w:rPr>
                <w:sz w:val="20"/>
                <w:szCs w:val="20"/>
              </w:rPr>
            </w:pPr>
            <w:r>
              <w:rPr>
                <w:b/>
                <w:bCs/>
                <w:sz w:val="18"/>
                <w:szCs w:val="18"/>
              </w:rPr>
              <w:t>​</w:t>
            </w:r>
          </w:p>
        </w:tc>
        <w:tc>
          <w:tcPr>
            <w:tcW w:w="392" w:type="pct"/>
            <w:shd w:val="clear" w:color="auto" w:fill="CCEEFF"/>
            <w:noWrap/>
            <w:tcMar>
              <w:top w:w="0" w:type="dxa"/>
              <w:left w:w="0" w:type="dxa"/>
              <w:bottom w:w="0" w:type="dxa"/>
              <w:right w:w="0" w:type="dxa"/>
            </w:tcMar>
            <w:vAlign w:val="bottom"/>
            <w:hideMark/>
          </w:tcPr>
          <w:p w14:paraId="0000A57E" w14:textId="77777777" w:rsidR="00000000" w:rsidRDefault="001F1B20">
            <w:pPr>
              <w:pStyle w:val="a3"/>
              <w:spacing w:before="0" w:beforeAutospacing="0" w:after="0" w:afterAutospacing="0"/>
              <w:jc w:val="right"/>
              <w:rPr>
                <w:sz w:val="20"/>
                <w:szCs w:val="20"/>
              </w:rPr>
            </w:pPr>
            <w:r>
              <w:rPr>
                <w:b/>
                <w:bCs/>
                <w:sz w:val="18"/>
                <w:szCs w:val="18"/>
              </w:rPr>
              <w:t>​</w:t>
            </w:r>
          </w:p>
        </w:tc>
        <w:tc>
          <w:tcPr>
            <w:tcW w:w="100" w:type="pct"/>
            <w:shd w:val="clear" w:color="auto" w:fill="CCEEFF"/>
            <w:noWrap/>
            <w:tcMar>
              <w:top w:w="0" w:type="dxa"/>
              <w:left w:w="0" w:type="dxa"/>
              <w:bottom w:w="0" w:type="dxa"/>
              <w:right w:w="0" w:type="dxa"/>
            </w:tcMar>
            <w:vAlign w:val="bottom"/>
            <w:hideMark/>
          </w:tcPr>
          <w:p w14:paraId="33D991F0" w14:textId="77777777" w:rsidR="00000000" w:rsidRDefault="001F1B20">
            <w:pPr>
              <w:pStyle w:val="a3"/>
              <w:spacing w:before="0" w:beforeAutospacing="0" w:after="0" w:afterAutospacing="0"/>
              <w:rPr>
                <w:sz w:val="20"/>
                <w:szCs w:val="20"/>
              </w:rPr>
            </w:pPr>
            <w:r>
              <w:rPr>
                <w:b/>
                <w:bCs/>
                <w:sz w:val="18"/>
                <w:szCs w:val="18"/>
              </w:rPr>
              <w:t>​</w:t>
            </w:r>
          </w:p>
        </w:tc>
        <w:tc>
          <w:tcPr>
            <w:tcW w:w="62" w:type="pct"/>
            <w:shd w:val="clear" w:color="auto" w:fill="CCEEFF"/>
            <w:noWrap/>
            <w:tcMar>
              <w:top w:w="0" w:type="dxa"/>
              <w:left w:w="0" w:type="dxa"/>
              <w:bottom w:w="0" w:type="dxa"/>
              <w:right w:w="0" w:type="dxa"/>
            </w:tcMar>
            <w:vAlign w:val="bottom"/>
            <w:hideMark/>
          </w:tcPr>
          <w:p w14:paraId="3CC082C0" w14:textId="77777777" w:rsidR="00000000" w:rsidRDefault="001F1B20">
            <w:pPr>
              <w:pStyle w:val="a3"/>
              <w:spacing w:before="0" w:beforeAutospacing="0" w:after="0" w:afterAutospacing="0"/>
              <w:jc w:val="center"/>
              <w:rPr>
                <w:sz w:val="20"/>
                <w:szCs w:val="20"/>
              </w:rPr>
            </w:pPr>
            <w:r>
              <w:rPr>
                <w:b/>
                <w:bCs/>
                <w:sz w:val="18"/>
                <w:szCs w:val="18"/>
              </w:rPr>
              <w:t>​</w:t>
            </w:r>
          </w:p>
        </w:tc>
        <w:tc>
          <w:tcPr>
            <w:tcW w:w="393" w:type="pct"/>
            <w:shd w:val="clear" w:color="auto" w:fill="CCEEFF"/>
            <w:noWrap/>
            <w:tcMar>
              <w:top w:w="0" w:type="dxa"/>
              <w:left w:w="0" w:type="dxa"/>
              <w:bottom w:w="0" w:type="dxa"/>
              <w:right w:w="0" w:type="dxa"/>
            </w:tcMar>
            <w:vAlign w:val="bottom"/>
            <w:hideMark/>
          </w:tcPr>
          <w:p w14:paraId="4064C9DB" w14:textId="77777777" w:rsidR="00000000" w:rsidRDefault="001F1B20">
            <w:pPr>
              <w:pStyle w:val="a3"/>
              <w:spacing w:before="0" w:beforeAutospacing="0" w:after="0" w:afterAutospacing="0"/>
              <w:jc w:val="center"/>
              <w:rPr>
                <w:sz w:val="20"/>
                <w:szCs w:val="20"/>
              </w:rPr>
            </w:pPr>
            <w:r>
              <w:rPr>
                <w:b/>
                <w:bCs/>
                <w:sz w:val="18"/>
                <w:szCs w:val="18"/>
              </w:rPr>
              <w:t>​</w:t>
            </w:r>
          </w:p>
        </w:tc>
        <w:tc>
          <w:tcPr>
            <w:tcW w:w="100" w:type="pct"/>
            <w:shd w:val="clear" w:color="auto" w:fill="CCEEFF"/>
            <w:noWrap/>
            <w:tcMar>
              <w:top w:w="0" w:type="dxa"/>
              <w:left w:w="0" w:type="dxa"/>
              <w:bottom w:w="0" w:type="dxa"/>
              <w:right w:w="0" w:type="dxa"/>
            </w:tcMar>
            <w:vAlign w:val="bottom"/>
            <w:hideMark/>
          </w:tcPr>
          <w:p w14:paraId="75A0A2AF" w14:textId="77777777" w:rsidR="00000000" w:rsidRDefault="001F1B20">
            <w:pPr>
              <w:pStyle w:val="a3"/>
              <w:spacing w:before="0" w:beforeAutospacing="0" w:after="0" w:afterAutospacing="0"/>
              <w:rPr>
                <w:sz w:val="20"/>
                <w:szCs w:val="20"/>
              </w:rPr>
            </w:pPr>
            <w:r>
              <w:rPr>
                <w:b/>
                <w:bCs/>
                <w:sz w:val="20"/>
                <w:szCs w:val="20"/>
              </w:rPr>
              <w:t>​</w:t>
            </w:r>
          </w:p>
        </w:tc>
        <w:tc>
          <w:tcPr>
            <w:tcW w:w="62" w:type="pct"/>
            <w:shd w:val="clear" w:color="auto" w:fill="CCEEFF"/>
            <w:noWrap/>
            <w:tcMar>
              <w:top w:w="0" w:type="dxa"/>
              <w:left w:w="0" w:type="dxa"/>
              <w:bottom w:w="0" w:type="dxa"/>
              <w:right w:w="0" w:type="dxa"/>
            </w:tcMar>
            <w:vAlign w:val="bottom"/>
            <w:hideMark/>
          </w:tcPr>
          <w:p w14:paraId="2E8E0265" w14:textId="77777777" w:rsidR="00000000" w:rsidRDefault="001F1B20">
            <w:pPr>
              <w:pStyle w:val="a3"/>
              <w:spacing w:before="0" w:beforeAutospacing="0" w:after="0" w:afterAutospacing="0"/>
              <w:jc w:val="center"/>
              <w:rPr>
                <w:sz w:val="20"/>
                <w:szCs w:val="20"/>
              </w:rPr>
            </w:pPr>
            <w:r>
              <w:rPr>
                <w:b/>
                <w:bCs/>
                <w:sz w:val="20"/>
                <w:szCs w:val="20"/>
              </w:rPr>
              <w:t>​</w:t>
            </w:r>
          </w:p>
        </w:tc>
        <w:tc>
          <w:tcPr>
            <w:tcW w:w="392" w:type="pct"/>
            <w:shd w:val="clear" w:color="auto" w:fill="CCEEFF"/>
            <w:noWrap/>
            <w:tcMar>
              <w:top w:w="0" w:type="dxa"/>
              <w:left w:w="0" w:type="dxa"/>
              <w:bottom w:w="0" w:type="dxa"/>
              <w:right w:w="0" w:type="dxa"/>
            </w:tcMar>
            <w:vAlign w:val="bottom"/>
            <w:hideMark/>
          </w:tcPr>
          <w:p w14:paraId="18FEA90C" w14:textId="77777777" w:rsidR="00000000" w:rsidRDefault="001F1B20">
            <w:pPr>
              <w:pStyle w:val="a3"/>
              <w:spacing w:before="0" w:beforeAutospacing="0" w:after="0" w:afterAutospacing="0"/>
              <w:jc w:val="right"/>
              <w:rPr>
                <w:sz w:val="20"/>
                <w:szCs w:val="20"/>
              </w:rPr>
            </w:pPr>
            <w:r>
              <w:rPr>
                <w:b/>
                <w:bCs/>
                <w:sz w:val="20"/>
                <w:szCs w:val="20"/>
              </w:rPr>
              <w:t>​</w:t>
            </w:r>
          </w:p>
        </w:tc>
        <w:tc>
          <w:tcPr>
            <w:tcW w:w="100" w:type="pct"/>
            <w:shd w:val="clear" w:color="auto" w:fill="CCEEFF"/>
            <w:noWrap/>
            <w:tcMar>
              <w:top w:w="0" w:type="dxa"/>
              <w:left w:w="0" w:type="dxa"/>
              <w:bottom w:w="0" w:type="dxa"/>
              <w:right w:w="0" w:type="dxa"/>
            </w:tcMar>
            <w:vAlign w:val="bottom"/>
            <w:hideMark/>
          </w:tcPr>
          <w:p w14:paraId="7CA7E85A" w14:textId="77777777" w:rsidR="00000000" w:rsidRDefault="001F1B20">
            <w:pPr>
              <w:pStyle w:val="a3"/>
              <w:spacing w:before="0" w:beforeAutospacing="0" w:after="0" w:afterAutospacing="0"/>
              <w:rPr>
                <w:sz w:val="20"/>
                <w:szCs w:val="20"/>
              </w:rPr>
            </w:pPr>
            <w:r>
              <w:rPr>
                <w:b/>
                <w:bCs/>
                <w:sz w:val="20"/>
                <w:szCs w:val="20"/>
              </w:rPr>
              <w:t>​</w:t>
            </w:r>
          </w:p>
        </w:tc>
        <w:tc>
          <w:tcPr>
            <w:tcW w:w="62" w:type="pct"/>
            <w:shd w:val="clear" w:color="auto" w:fill="CCEEFF"/>
            <w:noWrap/>
            <w:tcMar>
              <w:top w:w="0" w:type="dxa"/>
              <w:left w:w="0" w:type="dxa"/>
              <w:bottom w:w="0" w:type="dxa"/>
              <w:right w:w="0" w:type="dxa"/>
            </w:tcMar>
            <w:vAlign w:val="bottom"/>
            <w:hideMark/>
          </w:tcPr>
          <w:p w14:paraId="5089D156" w14:textId="77777777" w:rsidR="00000000" w:rsidRDefault="001F1B20">
            <w:pPr>
              <w:pStyle w:val="a3"/>
              <w:spacing w:before="0" w:beforeAutospacing="0" w:after="0" w:afterAutospacing="0"/>
              <w:jc w:val="center"/>
              <w:rPr>
                <w:sz w:val="20"/>
                <w:szCs w:val="20"/>
              </w:rPr>
            </w:pPr>
            <w:r>
              <w:rPr>
                <w:b/>
                <w:bCs/>
                <w:sz w:val="20"/>
                <w:szCs w:val="20"/>
              </w:rPr>
              <w:t>​</w:t>
            </w:r>
          </w:p>
        </w:tc>
        <w:tc>
          <w:tcPr>
            <w:tcW w:w="392" w:type="pct"/>
            <w:shd w:val="clear" w:color="auto" w:fill="CCEEFF"/>
            <w:noWrap/>
            <w:tcMar>
              <w:top w:w="0" w:type="dxa"/>
              <w:left w:w="0" w:type="dxa"/>
              <w:bottom w:w="0" w:type="dxa"/>
              <w:right w:w="0" w:type="dxa"/>
            </w:tcMar>
            <w:vAlign w:val="bottom"/>
            <w:hideMark/>
          </w:tcPr>
          <w:p w14:paraId="5230A7D5" w14:textId="77777777" w:rsidR="00000000" w:rsidRDefault="001F1B20">
            <w:pPr>
              <w:pStyle w:val="a3"/>
              <w:spacing w:before="0" w:beforeAutospacing="0" w:after="0" w:afterAutospacing="0"/>
              <w:jc w:val="center"/>
              <w:rPr>
                <w:sz w:val="20"/>
                <w:szCs w:val="20"/>
              </w:rPr>
            </w:pPr>
            <w:r>
              <w:rPr>
                <w:b/>
                <w:bCs/>
                <w:sz w:val="20"/>
                <w:szCs w:val="20"/>
              </w:rPr>
              <w:t>​</w:t>
            </w:r>
          </w:p>
        </w:tc>
      </w:tr>
      <w:tr w:rsidR="00000000" w14:paraId="1F0BBADC" w14:textId="77777777">
        <w:trPr>
          <w:divId w:val="950480115"/>
        </w:trPr>
        <w:tc>
          <w:tcPr>
            <w:tcW w:w="2774" w:type="pct"/>
            <w:tcMar>
              <w:top w:w="0" w:type="dxa"/>
              <w:left w:w="0" w:type="dxa"/>
              <w:bottom w:w="0" w:type="dxa"/>
              <w:right w:w="0" w:type="dxa"/>
            </w:tcMar>
            <w:vAlign w:val="bottom"/>
            <w:hideMark/>
          </w:tcPr>
          <w:p w14:paraId="2E062FA5" w14:textId="77777777" w:rsidR="00000000" w:rsidRDefault="001F1B20">
            <w:pPr>
              <w:pStyle w:val="a3"/>
              <w:spacing w:before="0" w:beforeAutospacing="0" w:after="0" w:afterAutospacing="0"/>
              <w:ind w:left="240"/>
              <w:rPr>
                <w:sz w:val="18"/>
                <w:szCs w:val="18"/>
              </w:rPr>
            </w:pPr>
            <w:r>
              <w:rPr>
                <w:sz w:val="18"/>
                <w:szCs w:val="18"/>
              </w:rPr>
              <w:t>Collaboration revenue</w:t>
            </w:r>
          </w:p>
        </w:tc>
        <w:tc>
          <w:tcPr>
            <w:tcW w:w="100" w:type="pct"/>
            <w:noWrap/>
            <w:tcMar>
              <w:top w:w="0" w:type="dxa"/>
              <w:left w:w="0" w:type="dxa"/>
              <w:bottom w:w="0" w:type="dxa"/>
              <w:right w:w="0" w:type="dxa"/>
            </w:tcMar>
            <w:vAlign w:val="bottom"/>
            <w:hideMark/>
          </w:tcPr>
          <w:p w14:paraId="3E5E8FED"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4CC45FC6" w14:textId="77777777" w:rsidR="00000000" w:rsidRDefault="001F1B20">
            <w:pPr>
              <w:pStyle w:val="a3"/>
              <w:spacing w:before="0" w:beforeAutospacing="0" w:after="0" w:afterAutospacing="0"/>
              <w:rPr>
                <w:sz w:val="18"/>
                <w:szCs w:val="18"/>
              </w:rPr>
            </w:pPr>
            <w:r>
              <w:rPr>
                <w:sz w:val="18"/>
                <w:szCs w:val="18"/>
              </w:rPr>
              <w:t>$</w:t>
            </w:r>
          </w:p>
        </w:tc>
        <w:tc>
          <w:tcPr>
            <w:tcW w:w="392" w:type="pct"/>
            <w:noWrap/>
            <w:tcMar>
              <w:top w:w="0" w:type="dxa"/>
              <w:left w:w="0" w:type="dxa"/>
              <w:bottom w:w="0" w:type="dxa"/>
              <w:right w:w="0" w:type="dxa"/>
            </w:tcMar>
            <w:vAlign w:val="bottom"/>
            <w:hideMark/>
          </w:tcPr>
          <w:p w14:paraId="249AFF41" w14:textId="77777777" w:rsidR="00000000" w:rsidRDefault="001F1B20">
            <w:pPr>
              <w:pStyle w:val="a3"/>
              <w:spacing w:before="0" w:beforeAutospacing="0" w:after="0" w:afterAutospacing="0"/>
              <w:ind w:right="60"/>
              <w:jc w:val="right"/>
              <w:rPr>
                <w:sz w:val="18"/>
                <w:szCs w:val="18"/>
              </w:rPr>
            </w:pPr>
            <w:r>
              <w:rPr>
                <w:sz w:val="18"/>
                <w:szCs w:val="18"/>
              </w:rPr>
              <w:t>2,797</w:t>
            </w:r>
          </w:p>
        </w:tc>
        <w:tc>
          <w:tcPr>
            <w:tcW w:w="100" w:type="pct"/>
            <w:noWrap/>
            <w:tcMar>
              <w:top w:w="0" w:type="dxa"/>
              <w:left w:w="0" w:type="dxa"/>
              <w:bottom w:w="0" w:type="dxa"/>
              <w:right w:w="0" w:type="dxa"/>
            </w:tcMar>
            <w:vAlign w:val="bottom"/>
            <w:hideMark/>
          </w:tcPr>
          <w:p w14:paraId="693F2FA9"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38145870" w14:textId="77777777" w:rsidR="00000000" w:rsidRDefault="001F1B20">
            <w:pPr>
              <w:pStyle w:val="a3"/>
              <w:spacing w:before="0" w:beforeAutospacing="0" w:after="0" w:afterAutospacing="0"/>
              <w:rPr>
                <w:sz w:val="18"/>
                <w:szCs w:val="18"/>
              </w:rPr>
            </w:pPr>
            <w:r>
              <w:rPr>
                <w:sz w:val="18"/>
                <w:szCs w:val="18"/>
              </w:rPr>
              <w:t>$</w:t>
            </w:r>
          </w:p>
        </w:tc>
        <w:tc>
          <w:tcPr>
            <w:tcW w:w="393" w:type="pct"/>
            <w:noWrap/>
            <w:tcMar>
              <w:top w:w="0" w:type="dxa"/>
              <w:left w:w="0" w:type="dxa"/>
              <w:bottom w:w="0" w:type="dxa"/>
              <w:right w:w="0" w:type="dxa"/>
            </w:tcMar>
            <w:vAlign w:val="bottom"/>
            <w:hideMark/>
          </w:tcPr>
          <w:p w14:paraId="7F9185B1" w14:textId="77777777" w:rsidR="00000000" w:rsidRDefault="001F1B20">
            <w:pPr>
              <w:pStyle w:val="a3"/>
              <w:spacing w:before="0" w:beforeAutospacing="0" w:after="0" w:afterAutospacing="0"/>
              <w:ind w:right="60"/>
              <w:jc w:val="right"/>
              <w:rPr>
                <w:sz w:val="18"/>
                <w:szCs w:val="18"/>
              </w:rPr>
            </w:pPr>
            <w:r>
              <w:rPr>
                <w:sz w:val="18"/>
                <w:szCs w:val="18"/>
              </w:rPr>
              <w:t>7,261</w:t>
            </w:r>
          </w:p>
        </w:tc>
        <w:tc>
          <w:tcPr>
            <w:tcW w:w="100" w:type="pct"/>
            <w:noWrap/>
            <w:tcMar>
              <w:top w:w="0" w:type="dxa"/>
              <w:left w:w="0" w:type="dxa"/>
              <w:bottom w:w="0" w:type="dxa"/>
              <w:right w:w="0" w:type="dxa"/>
            </w:tcMar>
            <w:vAlign w:val="bottom"/>
            <w:hideMark/>
          </w:tcPr>
          <w:p w14:paraId="0CC2E2AC" w14:textId="77777777" w:rsidR="00000000" w:rsidRDefault="001F1B2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2B7E8E44" w14:textId="77777777" w:rsidR="00000000" w:rsidRDefault="001F1B2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14:paraId="31249FDE" w14:textId="77777777" w:rsidR="00000000" w:rsidRDefault="001F1B20">
            <w:pPr>
              <w:pStyle w:val="a3"/>
              <w:spacing w:before="0" w:beforeAutospacing="0" w:after="0" w:afterAutospacing="0"/>
              <w:ind w:right="60"/>
              <w:jc w:val="right"/>
              <w:rPr>
                <w:sz w:val="18"/>
                <w:szCs w:val="18"/>
              </w:rPr>
            </w:pPr>
            <w:r>
              <w:rPr>
                <w:sz w:val="18"/>
                <w:szCs w:val="18"/>
              </w:rPr>
              <w:t>8,649</w:t>
            </w:r>
          </w:p>
        </w:tc>
        <w:tc>
          <w:tcPr>
            <w:tcW w:w="100" w:type="pct"/>
            <w:noWrap/>
            <w:tcMar>
              <w:top w:w="0" w:type="dxa"/>
              <w:left w:w="0" w:type="dxa"/>
              <w:bottom w:w="0" w:type="dxa"/>
              <w:right w:w="0" w:type="dxa"/>
            </w:tcMar>
            <w:vAlign w:val="bottom"/>
            <w:hideMark/>
          </w:tcPr>
          <w:p w14:paraId="6515E754"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14587FFF" w14:textId="77777777" w:rsidR="00000000" w:rsidRDefault="001F1B20">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14:paraId="2233247E" w14:textId="77777777" w:rsidR="00000000" w:rsidRDefault="001F1B20">
            <w:pPr>
              <w:pStyle w:val="a3"/>
              <w:spacing w:before="0" w:beforeAutospacing="0" w:after="0" w:afterAutospacing="0"/>
              <w:ind w:right="60"/>
              <w:jc w:val="right"/>
              <w:rPr>
                <w:sz w:val="18"/>
                <w:szCs w:val="18"/>
              </w:rPr>
            </w:pPr>
            <w:r>
              <w:rPr>
                <w:sz w:val="18"/>
                <w:szCs w:val="18"/>
              </w:rPr>
              <w:t>19,381</w:t>
            </w:r>
          </w:p>
        </w:tc>
      </w:tr>
      <w:tr w:rsidR="00000000" w14:paraId="0C1CFFB7" w14:textId="77777777">
        <w:trPr>
          <w:divId w:val="950480115"/>
        </w:trPr>
        <w:tc>
          <w:tcPr>
            <w:tcW w:w="2774" w:type="pct"/>
            <w:shd w:val="clear" w:color="auto" w:fill="CCEEFF"/>
            <w:tcMar>
              <w:top w:w="0" w:type="dxa"/>
              <w:left w:w="0" w:type="dxa"/>
              <w:bottom w:w="0" w:type="dxa"/>
              <w:right w:w="0" w:type="dxa"/>
            </w:tcMar>
            <w:vAlign w:val="bottom"/>
            <w:hideMark/>
          </w:tcPr>
          <w:p w14:paraId="200C4F88" w14:textId="77777777" w:rsidR="00000000" w:rsidRDefault="001F1B20">
            <w:pPr>
              <w:pStyle w:val="a3"/>
              <w:spacing w:before="0" w:beforeAutospacing="0" w:after="0" w:afterAutospacing="0"/>
              <w:ind w:left="240"/>
              <w:rPr>
                <w:sz w:val="18"/>
                <w:szCs w:val="18"/>
              </w:rPr>
            </w:pPr>
            <w:r>
              <w:rPr>
                <w:sz w:val="18"/>
                <w:szCs w:val="18"/>
              </w:rPr>
              <w:t>Licensing revenue</w:t>
            </w:r>
          </w:p>
        </w:tc>
        <w:tc>
          <w:tcPr>
            <w:tcW w:w="100" w:type="pct"/>
            <w:shd w:val="clear" w:color="auto" w:fill="CCEEFF"/>
            <w:noWrap/>
            <w:tcMar>
              <w:top w:w="0" w:type="dxa"/>
              <w:left w:w="0" w:type="dxa"/>
              <w:bottom w:w="0" w:type="dxa"/>
              <w:right w:w="0" w:type="dxa"/>
            </w:tcMar>
            <w:vAlign w:val="bottom"/>
            <w:hideMark/>
          </w:tcPr>
          <w:p w14:paraId="1353E46F"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146F2981"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0797EFAA" w14:textId="77777777" w:rsidR="00000000" w:rsidRDefault="001F1B20">
            <w:pPr>
              <w:pStyle w:val="a3"/>
              <w:spacing w:before="0" w:beforeAutospacing="0" w:after="0"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14:paraId="6AD21044"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17C6F3CC" w14:textId="77777777" w:rsidR="00000000" w:rsidRDefault="001F1B20">
            <w:pPr>
              <w:pStyle w:val="a3"/>
              <w:spacing w:before="0" w:beforeAutospacing="0" w:after="0" w:afterAutospacing="0"/>
              <w:rPr>
                <w:sz w:val="20"/>
                <w:szCs w:val="20"/>
              </w:rPr>
            </w:pPr>
            <w:r>
              <w:rPr>
                <w:sz w:val="18"/>
                <w:szCs w:val="18"/>
              </w:rPr>
              <w:t>​</w:t>
            </w:r>
          </w:p>
        </w:tc>
        <w:tc>
          <w:tcPr>
            <w:tcW w:w="393" w:type="pct"/>
            <w:shd w:val="clear" w:color="auto" w:fill="CCEEFF"/>
            <w:noWrap/>
            <w:tcMar>
              <w:top w:w="0" w:type="dxa"/>
              <w:left w:w="0" w:type="dxa"/>
              <w:bottom w:w="0" w:type="dxa"/>
              <w:right w:w="0" w:type="dxa"/>
            </w:tcMar>
            <w:vAlign w:val="bottom"/>
            <w:hideMark/>
          </w:tcPr>
          <w:p w14:paraId="46838C96" w14:textId="77777777" w:rsidR="00000000" w:rsidRDefault="001F1B20">
            <w:pPr>
              <w:pStyle w:val="a3"/>
              <w:spacing w:before="0" w:beforeAutospacing="0" w:after="0"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14:paraId="3FB5282A" w14:textId="77777777" w:rsidR="00000000" w:rsidRDefault="001F1B2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23D2ACA6"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64362A87" w14:textId="77777777" w:rsidR="00000000" w:rsidRDefault="001F1B20">
            <w:pPr>
              <w:pStyle w:val="a3"/>
              <w:spacing w:before="0" w:beforeAutospacing="0" w:after="0"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14:paraId="0D0A6F2A"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645743DF"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02D3A2E6" w14:textId="77777777" w:rsidR="00000000" w:rsidRDefault="001F1B20">
            <w:pPr>
              <w:pStyle w:val="a3"/>
              <w:spacing w:before="0" w:beforeAutospacing="0" w:after="0" w:afterAutospacing="0"/>
              <w:ind w:right="60"/>
              <w:jc w:val="right"/>
              <w:rPr>
                <w:sz w:val="18"/>
                <w:szCs w:val="18"/>
              </w:rPr>
            </w:pPr>
            <w:r>
              <w:rPr>
                <w:sz w:val="18"/>
                <w:szCs w:val="18"/>
              </w:rPr>
              <w:t>1,500</w:t>
            </w:r>
          </w:p>
        </w:tc>
      </w:tr>
      <w:tr w:rsidR="00000000" w14:paraId="0D05B5C4" w14:textId="77777777">
        <w:trPr>
          <w:divId w:val="950480115"/>
        </w:trPr>
        <w:tc>
          <w:tcPr>
            <w:tcW w:w="2774" w:type="pct"/>
            <w:tcMar>
              <w:top w:w="0" w:type="dxa"/>
              <w:left w:w="0" w:type="dxa"/>
              <w:bottom w:w="0" w:type="dxa"/>
              <w:right w:w="0" w:type="dxa"/>
            </w:tcMar>
            <w:vAlign w:val="bottom"/>
            <w:hideMark/>
          </w:tcPr>
          <w:p w14:paraId="4F8ABEC3" w14:textId="77777777" w:rsidR="00000000" w:rsidRDefault="001F1B20">
            <w:pPr>
              <w:pStyle w:val="a3"/>
              <w:spacing w:before="0" w:beforeAutospacing="0" w:after="0" w:afterAutospacing="0"/>
              <w:ind w:left="240"/>
              <w:rPr>
                <w:sz w:val="18"/>
                <w:szCs w:val="18"/>
              </w:rPr>
            </w:pPr>
            <w:r>
              <w:rPr>
                <w:sz w:val="18"/>
                <w:szCs w:val="18"/>
              </w:rPr>
              <w:t>Viatris collaboration agreement</w:t>
            </w:r>
          </w:p>
        </w:tc>
        <w:tc>
          <w:tcPr>
            <w:tcW w:w="100" w:type="pct"/>
            <w:noWrap/>
            <w:tcMar>
              <w:top w:w="0" w:type="dxa"/>
              <w:left w:w="0" w:type="dxa"/>
              <w:bottom w:w="0" w:type="dxa"/>
              <w:right w:w="0" w:type="dxa"/>
            </w:tcMar>
            <w:vAlign w:val="bottom"/>
            <w:hideMark/>
          </w:tcPr>
          <w:p w14:paraId="18C520EA"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14:paraId="5D8C72A5" w14:textId="77777777" w:rsidR="00000000" w:rsidRDefault="001F1B20">
            <w:pPr>
              <w:pStyle w:val="a3"/>
              <w:spacing w:before="0" w:beforeAutospacing="0" w:after="0" w:afterAutospacing="0"/>
              <w:rPr>
                <w:sz w:val="18"/>
                <w:szCs w:val="18"/>
              </w:rPr>
            </w:pPr>
            <w:r>
              <w:rPr>
                <w:sz w:val="18"/>
                <w:szCs w:val="18"/>
              </w:rPr>
              <w:t> </w:t>
            </w:r>
          </w:p>
        </w:tc>
        <w:tc>
          <w:tcPr>
            <w:tcW w:w="392" w:type="pct"/>
            <w:tcBorders>
              <w:bottom w:val="single" w:sz="6" w:space="0" w:color="000000"/>
            </w:tcBorders>
            <w:noWrap/>
            <w:tcMar>
              <w:top w:w="0" w:type="dxa"/>
              <w:left w:w="0" w:type="dxa"/>
              <w:bottom w:w="0" w:type="dxa"/>
              <w:right w:w="0" w:type="dxa"/>
            </w:tcMar>
            <w:vAlign w:val="bottom"/>
            <w:hideMark/>
          </w:tcPr>
          <w:p w14:paraId="70170246" w14:textId="77777777" w:rsidR="00000000" w:rsidRDefault="001F1B20">
            <w:pPr>
              <w:pStyle w:val="a3"/>
              <w:spacing w:before="0" w:beforeAutospacing="0" w:after="0" w:afterAutospacing="0"/>
              <w:ind w:right="60"/>
              <w:jc w:val="right"/>
              <w:rPr>
                <w:sz w:val="18"/>
                <w:szCs w:val="18"/>
              </w:rPr>
            </w:pPr>
            <w:r>
              <w:rPr>
                <w:sz w:val="18"/>
                <w:szCs w:val="18"/>
              </w:rPr>
              <w:t>10,397</w:t>
            </w:r>
          </w:p>
        </w:tc>
        <w:tc>
          <w:tcPr>
            <w:tcW w:w="100" w:type="pct"/>
            <w:noWrap/>
            <w:tcMar>
              <w:top w:w="0" w:type="dxa"/>
              <w:left w:w="0" w:type="dxa"/>
              <w:bottom w:w="0" w:type="dxa"/>
              <w:right w:w="0" w:type="dxa"/>
            </w:tcMar>
            <w:vAlign w:val="bottom"/>
            <w:hideMark/>
          </w:tcPr>
          <w:p w14:paraId="3DBF2B92"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14:paraId="69F7487E" w14:textId="77777777" w:rsidR="00000000" w:rsidRDefault="001F1B20">
            <w:pPr>
              <w:pStyle w:val="a3"/>
              <w:spacing w:before="0" w:beforeAutospacing="0" w:after="0" w:afterAutospacing="0"/>
              <w:rPr>
                <w:sz w:val="18"/>
                <w:szCs w:val="18"/>
              </w:rPr>
            </w:pPr>
            <w:r>
              <w:rPr>
                <w:sz w:val="18"/>
                <w:szCs w:val="18"/>
              </w:rPr>
              <w:t> </w:t>
            </w:r>
          </w:p>
        </w:tc>
        <w:tc>
          <w:tcPr>
            <w:tcW w:w="393" w:type="pct"/>
            <w:tcBorders>
              <w:bottom w:val="single" w:sz="6" w:space="0" w:color="000000"/>
            </w:tcBorders>
            <w:noWrap/>
            <w:tcMar>
              <w:top w:w="0" w:type="dxa"/>
              <w:left w:w="0" w:type="dxa"/>
              <w:bottom w:w="0" w:type="dxa"/>
              <w:right w:w="0" w:type="dxa"/>
            </w:tcMar>
            <w:vAlign w:val="bottom"/>
            <w:hideMark/>
          </w:tcPr>
          <w:p w14:paraId="4EA4FC6A" w14:textId="77777777" w:rsidR="00000000" w:rsidRDefault="001F1B20">
            <w:pPr>
              <w:pStyle w:val="a3"/>
              <w:spacing w:before="0" w:beforeAutospacing="0" w:after="0" w:afterAutospacing="0"/>
              <w:ind w:right="60"/>
              <w:jc w:val="right"/>
              <w:rPr>
                <w:sz w:val="18"/>
                <w:szCs w:val="18"/>
              </w:rPr>
            </w:pPr>
            <w:r>
              <w:rPr>
                <w:sz w:val="18"/>
                <w:szCs w:val="18"/>
              </w:rPr>
              <w:t>10,996</w:t>
            </w:r>
          </w:p>
        </w:tc>
        <w:tc>
          <w:tcPr>
            <w:tcW w:w="100" w:type="pct"/>
            <w:noWrap/>
            <w:tcMar>
              <w:top w:w="0" w:type="dxa"/>
              <w:left w:w="0" w:type="dxa"/>
              <w:bottom w:w="0" w:type="dxa"/>
              <w:right w:w="0" w:type="dxa"/>
            </w:tcMar>
            <w:vAlign w:val="bottom"/>
            <w:hideMark/>
          </w:tcPr>
          <w:p w14:paraId="2A7444E7" w14:textId="77777777" w:rsidR="00000000" w:rsidRDefault="001F1B2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498415F4" w14:textId="77777777" w:rsidR="00000000" w:rsidRDefault="001F1B20">
            <w:pPr>
              <w:pStyle w:val="a3"/>
              <w:spacing w:before="0" w:beforeAutospacing="0" w:after="0" w:afterAutospacing="0"/>
              <w:rPr>
                <w:sz w:val="18"/>
                <w:szCs w:val="18"/>
              </w:rPr>
            </w:pPr>
            <w:r>
              <w:rPr>
                <w:sz w:val="18"/>
                <w:szCs w:val="18"/>
              </w:rPr>
              <w:t> </w:t>
            </w:r>
          </w:p>
        </w:tc>
        <w:tc>
          <w:tcPr>
            <w:tcW w:w="392" w:type="pct"/>
            <w:tcBorders>
              <w:bottom w:val="single" w:sz="6" w:space="0" w:color="000000"/>
            </w:tcBorders>
            <w:noWrap/>
            <w:tcMar>
              <w:top w:w="0" w:type="dxa"/>
              <w:left w:w="0" w:type="dxa"/>
              <w:bottom w:w="0" w:type="dxa"/>
              <w:right w:w="0" w:type="dxa"/>
            </w:tcMar>
            <w:vAlign w:val="bottom"/>
            <w:hideMark/>
          </w:tcPr>
          <w:p w14:paraId="6B4B08C8" w14:textId="77777777" w:rsidR="00000000" w:rsidRDefault="001F1B20">
            <w:pPr>
              <w:pStyle w:val="a3"/>
              <w:spacing w:before="0" w:beforeAutospacing="0" w:after="0" w:afterAutospacing="0"/>
              <w:ind w:right="60"/>
              <w:jc w:val="right"/>
              <w:rPr>
                <w:sz w:val="18"/>
                <w:szCs w:val="18"/>
              </w:rPr>
            </w:pPr>
            <w:r>
              <w:rPr>
                <w:sz w:val="18"/>
                <w:szCs w:val="18"/>
              </w:rPr>
              <w:t>31,716</w:t>
            </w:r>
          </w:p>
        </w:tc>
        <w:tc>
          <w:tcPr>
            <w:tcW w:w="100" w:type="pct"/>
            <w:noWrap/>
            <w:tcMar>
              <w:top w:w="0" w:type="dxa"/>
              <w:left w:w="0" w:type="dxa"/>
              <w:bottom w:w="0" w:type="dxa"/>
              <w:right w:w="0" w:type="dxa"/>
            </w:tcMar>
            <w:vAlign w:val="bottom"/>
            <w:hideMark/>
          </w:tcPr>
          <w:p w14:paraId="389CC403"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14:paraId="71187B88" w14:textId="77777777" w:rsidR="00000000" w:rsidRDefault="001F1B20">
            <w:pPr>
              <w:pStyle w:val="a3"/>
              <w:spacing w:before="0" w:beforeAutospacing="0" w:after="0" w:afterAutospacing="0"/>
              <w:rPr>
                <w:sz w:val="18"/>
                <w:szCs w:val="18"/>
              </w:rPr>
            </w:pPr>
            <w:r>
              <w:rPr>
                <w:sz w:val="18"/>
                <w:szCs w:val="18"/>
              </w:rPr>
              <w:t> </w:t>
            </w:r>
          </w:p>
        </w:tc>
        <w:tc>
          <w:tcPr>
            <w:tcW w:w="392" w:type="pct"/>
            <w:tcBorders>
              <w:bottom w:val="single" w:sz="6" w:space="0" w:color="000000"/>
            </w:tcBorders>
            <w:noWrap/>
            <w:tcMar>
              <w:top w:w="0" w:type="dxa"/>
              <w:left w:w="0" w:type="dxa"/>
              <w:bottom w:w="0" w:type="dxa"/>
              <w:right w:w="0" w:type="dxa"/>
            </w:tcMar>
            <w:vAlign w:val="bottom"/>
            <w:hideMark/>
          </w:tcPr>
          <w:p w14:paraId="53480572" w14:textId="77777777" w:rsidR="00000000" w:rsidRDefault="001F1B20">
            <w:pPr>
              <w:pStyle w:val="a3"/>
              <w:spacing w:before="0" w:beforeAutospacing="0" w:after="0" w:afterAutospacing="0"/>
              <w:ind w:right="60"/>
              <w:jc w:val="right"/>
              <w:rPr>
                <w:sz w:val="18"/>
                <w:szCs w:val="18"/>
              </w:rPr>
            </w:pPr>
            <w:r>
              <w:rPr>
                <w:sz w:val="18"/>
                <w:szCs w:val="18"/>
              </w:rPr>
              <w:t>32,246</w:t>
            </w:r>
          </w:p>
        </w:tc>
      </w:tr>
      <w:tr w:rsidR="00000000" w14:paraId="6675FD52" w14:textId="77777777">
        <w:trPr>
          <w:divId w:val="950480115"/>
        </w:trPr>
        <w:tc>
          <w:tcPr>
            <w:tcW w:w="2774" w:type="pct"/>
            <w:shd w:val="clear" w:color="auto" w:fill="CCEEFF"/>
            <w:tcMar>
              <w:top w:w="0" w:type="dxa"/>
              <w:left w:w="0" w:type="dxa"/>
              <w:bottom w:w="0" w:type="dxa"/>
              <w:right w:w="0" w:type="dxa"/>
            </w:tcMar>
            <w:vAlign w:val="bottom"/>
            <w:hideMark/>
          </w:tcPr>
          <w:p w14:paraId="2F1AE164" w14:textId="77777777" w:rsidR="00000000" w:rsidRDefault="001F1B20">
            <w:pPr>
              <w:pStyle w:val="a3"/>
              <w:spacing w:before="0" w:beforeAutospacing="0" w:after="0" w:afterAutospacing="0"/>
              <w:ind w:left="360"/>
              <w:rPr>
                <w:sz w:val="18"/>
                <w:szCs w:val="18"/>
              </w:rPr>
            </w:pPr>
            <w:r>
              <w:rPr>
                <w:sz w:val="18"/>
                <w:szCs w:val="18"/>
              </w:rPr>
              <w:t>Total revenue</w:t>
            </w:r>
          </w:p>
        </w:tc>
        <w:tc>
          <w:tcPr>
            <w:tcW w:w="100" w:type="pct"/>
            <w:shd w:val="clear" w:color="auto" w:fill="CCEEFF"/>
            <w:noWrap/>
            <w:tcMar>
              <w:top w:w="0" w:type="dxa"/>
              <w:left w:w="0" w:type="dxa"/>
              <w:bottom w:w="0" w:type="dxa"/>
              <w:right w:w="0" w:type="dxa"/>
            </w:tcMar>
            <w:vAlign w:val="bottom"/>
            <w:hideMark/>
          </w:tcPr>
          <w:p w14:paraId="35459438"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4953E87B" w14:textId="77777777" w:rsidR="00000000" w:rsidRDefault="001F1B20">
            <w:pPr>
              <w:pStyle w:val="a3"/>
              <w:spacing w:before="0" w:beforeAutospacing="0" w:after="0" w:afterAutospacing="0"/>
              <w:rPr>
                <w:sz w:val="18"/>
                <w:szCs w:val="18"/>
              </w:rPr>
            </w:pPr>
            <w:r>
              <w:rPr>
                <w:sz w:val="18"/>
                <w:szCs w:val="18"/>
              </w:rPr>
              <w:t> </w:t>
            </w:r>
          </w:p>
        </w:tc>
        <w:tc>
          <w:tcPr>
            <w:tcW w:w="392" w:type="pct"/>
            <w:shd w:val="clear" w:color="auto" w:fill="CCEEFF"/>
            <w:noWrap/>
            <w:tcMar>
              <w:top w:w="0" w:type="dxa"/>
              <w:left w:w="0" w:type="dxa"/>
              <w:bottom w:w="0" w:type="dxa"/>
              <w:right w:w="0" w:type="dxa"/>
            </w:tcMar>
            <w:vAlign w:val="bottom"/>
            <w:hideMark/>
          </w:tcPr>
          <w:p w14:paraId="330AA31B" w14:textId="77777777" w:rsidR="00000000" w:rsidRDefault="001F1B20">
            <w:pPr>
              <w:pStyle w:val="a3"/>
              <w:spacing w:before="0" w:beforeAutospacing="0" w:after="0" w:afterAutospacing="0"/>
              <w:ind w:right="60"/>
              <w:jc w:val="right"/>
              <w:rPr>
                <w:sz w:val="18"/>
                <w:szCs w:val="18"/>
              </w:rPr>
            </w:pPr>
            <w:r>
              <w:rPr>
                <w:sz w:val="18"/>
                <w:szCs w:val="18"/>
              </w:rPr>
              <w:t>13,194</w:t>
            </w:r>
          </w:p>
        </w:tc>
        <w:tc>
          <w:tcPr>
            <w:tcW w:w="100" w:type="pct"/>
            <w:shd w:val="clear" w:color="auto" w:fill="CCEEFF"/>
            <w:noWrap/>
            <w:tcMar>
              <w:top w:w="0" w:type="dxa"/>
              <w:left w:w="0" w:type="dxa"/>
              <w:bottom w:w="0" w:type="dxa"/>
              <w:right w:w="0" w:type="dxa"/>
            </w:tcMar>
            <w:vAlign w:val="bottom"/>
            <w:hideMark/>
          </w:tcPr>
          <w:p w14:paraId="3A201648"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7C0388F7" w14:textId="77777777" w:rsidR="00000000" w:rsidRDefault="001F1B20">
            <w:pPr>
              <w:pStyle w:val="a3"/>
              <w:spacing w:before="0" w:beforeAutospacing="0" w:after="0" w:afterAutospacing="0"/>
              <w:rPr>
                <w:sz w:val="18"/>
                <w:szCs w:val="18"/>
              </w:rPr>
            </w:pPr>
            <w:r>
              <w:rPr>
                <w:sz w:val="18"/>
                <w:szCs w:val="18"/>
              </w:rPr>
              <w:t> </w:t>
            </w:r>
          </w:p>
        </w:tc>
        <w:tc>
          <w:tcPr>
            <w:tcW w:w="393" w:type="pct"/>
            <w:shd w:val="clear" w:color="auto" w:fill="CCEEFF"/>
            <w:noWrap/>
            <w:tcMar>
              <w:top w:w="0" w:type="dxa"/>
              <w:left w:w="0" w:type="dxa"/>
              <w:bottom w:w="0" w:type="dxa"/>
              <w:right w:w="0" w:type="dxa"/>
            </w:tcMar>
            <w:vAlign w:val="bottom"/>
            <w:hideMark/>
          </w:tcPr>
          <w:p w14:paraId="2EAA7081" w14:textId="77777777" w:rsidR="00000000" w:rsidRDefault="001F1B20">
            <w:pPr>
              <w:pStyle w:val="a3"/>
              <w:spacing w:before="0" w:beforeAutospacing="0" w:after="0" w:afterAutospacing="0"/>
              <w:ind w:right="60"/>
              <w:jc w:val="right"/>
              <w:rPr>
                <w:sz w:val="18"/>
                <w:szCs w:val="18"/>
              </w:rPr>
            </w:pPr>
            <w:r>
              <w:rPr>
                <w:sz w:val="18"/>
                <w:szCs w:val="18"/>
              </w:rPr>
              <w:t>18,257</w:t>
            </w:r>
          </w:p>
        </w:tc>
        <w:tc>
          <w:tcPr>
            <w:tcW w:w="100" w:type="pct"/>
            <w:shd w:val="clear" w:color="auto" w:fill="CCEEFF"/>
            <w:noWrap/>
            <w:tcMar>
              <w:top w:w="0" w:type="dxa"/>
              <w:left w:w="0" w:type="dxa"/>
              <w:bottom w:w="0" w:type="dxa"/>
              <w:right w:w="0" w:type="dxa"/>
            </w:tcMar>
            <w:vAlign w:val="bottom"/>
            <w:hideMark/>
          </w:tcPr>
          <w:p w14:paraId="5BAAD99B" w14:textId="77777777" w:rsidR="00000000" w:rsidRDefault="001F1B2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446AF9DB" w14:textId="77777777" w:rsidR="00000000" w:rsidRDefault="001F1B20">
            <w:pPr>
              <w:pStyle w:val="a3"/>
              <w:spacing w:before="0" w:beforeAutospacing="0" w:after="0" w:afterAutospacing="0"/>
              <w:rPr>
                <w:sz w:val="18"/>
                <w:szCs w:val="18"/>
              </w:rPr>
            </w:pPr>
            <w:r>
              <w:rPr>
                <w:sz w:val="18"/>
                <w:szCs w:val="18"/>
              </w:rPr>
              <w:t> </w:t>
            </w:r>
          </w:p>
        </w:tc>
        <w:tc>
          <w:tcPr>
            <w:tcW w:w="392" w:type="pct"/>
            <w:shd w:val="clear" w:color="auto" w:fill="CCEEFF"/>
            <w:noWrap/>
            <w:tcMar>
              <w:top w:w="0" w:type="dxa"/>
              <w:left w:w="0" w:type="dxa"/>
              <w:bottom w:w="0" w:type="dxa"/>
              <w:right w:w="0" w:type="dxa"/>
            </w:tcMar>
            <w:vAlign w:val="bottom"/>
            <w:hideMark/>
          </w:tcPr>
          <w:p w14:paraId="57002BA3" w14:textId="77777777" w:rsidR="00000000" w:rsidRDefault="001F1B20">
            <w:pPr>
              <w:pStyle w:val="a3"/>
              <w:spacing w:before="0" w:beforeAutospacing="0" w:after="0" w:afterAutospacing="0"/>
              <w:ind w:right="60"/>
              <w:jc w:val="right"/>
              <w:rPr>
                <w:sz w:val="18"/>
                <w:szCs w:val="18"/>
              </w:rPr>
            </w:pPr>
            <w:r>
              <w:rPr>
                <w:sz w:val="18"/>
                <w:szCs w:val="18"/>
              </w:rPr>
              <w:t>40,365</w:t>
            </w:r>
          </w:p>
        </w:tc>
        <w:tc>
          <w:tcPr>
            <w:tcW w:w="100" w:type="pct"/>
            <w:shd w:val="clear" w:color="auto" w:fill="CCEEFF"/>
            <w:noWrap/>
            <w:tcMar>
              <w:top w:w="0" w:type="dxa"/>
              <w:left w:w="0" w:type="dxa"/>
              <w:bottom w:w="0" w:type="dxa"/>
              <w:right w:w="0" w:type="dxa"/>
            </w:tcMar>
            <w:vAlign w:val="bottom"/>
            <w:hideMark/>
          </w:tcPr>
          <w:p w14:paraId="3C96E754"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04355690" w14:textId="77777777" w:rsidR="00000000" w:rsidRDefault="001F1B20">
            <w:pPr>
              <w:pStyle w:val="a3"/>
              <w:spacing w:before="0" w:beforeAutospacing="0" w:after="0" w:afterAutospacing="0"/>
              <w:rPr>
                <w:sz w:val="18"/>
                <w:szCs w:val="18"/>
              </w:rPr>
            </w:pPr>
            <w:r>
              <w:rPr>
                <w:sz w:val="18"/>
                <w:szCs w:val="18"/>
              </w:rPr>
              <w:t> </w:t>
            </w:r>
          </w:p>
        </w:tc>
        <w:tc>
          <w:tcPr>
            <w:tcW w:w="392" w:type="pct"/>
            <w:shd w:val="clear" w:color="auto" w:fill="CCEEFF"/>
            <w:noWrap/>
            <w:tcMar>
              <w:top w:w="0" w:type="dxa"/>
              <w:left w:w="0" w:type="dxa"/>
              <w:bottom w:w="0" w:type="dxa"/>
              <w:right w:w="0" w:type="dxa"/>
            </w:tcMar>
            <w:vAlign w:val="bottom"/>
            <w:hideMark/>
          </w:tcPr>
          <w:p w14:paraId="0D468C03" w14:textId="77777777" w:rsidR="00000000" w:rsidRDefault="001F1B20">
            <w:pPr>
              <w:pStyle w:val="a3"/>
              <w:spacing w:before="0" w:beforeAutospacing="0" w:after="0" w:afterAutospacing="0"/>
              <w:ind w:right="60"/>
              <w:jc w:val="right"/>
              <w:rPr>
                <w:sz w:val="18"/>
                <w:szCs w:val="18"/>
              </w:rPr>
            </w:pPr>
            <w:r>
              <w:rPr>
                <w:sz w:val="18"/>
                <w:szCs w:val="18"/>
              </w:rPr>
              <w:t>53,127</w:t>
            </w:r>
          </w:p>
        </w:tc>
      </w:tr>
      <w:tr w:rsidR="00000000" w14:paraId="3D1E06E9" w14:textId="77777777">
        <w:trPr>
          <w:divId w:val="950480115"/>
        </w:trPr>
        <w:tc>
          <w:tcPr>
            <w:tcW w:w="2774" w:type="pct"/>
            <w:tcMar>
              <w:top w:w="0" w:type="dxa"/>
              <w:left w:w="0" w:type="dxa"/>
              <w:bottom w:w="0" w:type="dxa"/>
              <w:right w:w="0" w:type="dxa"/>
            </w:tcMar>
            <w:vAlign w:val="bottom"/>
            <w:hideMark/>
          </w:tcPr>
          <w:p w14:paraId="57840F66" w14:textId="77777777" w:rsidR="00000000" w:rsidRDefault="001F1B20">
            <w:pPr>
              <w:pStyle w:val="a3"/>
              <w:spacing w:before="0" w:beforeAutospacing="0" w:after="0" w:afterAutospacing="0"/>
              <w:rPr>
                <w:sz w:val="20"/>
                <w:szCs w:val="20"/>
              </w:rPr>
            </w:pPr>
            <w:r>
              <w:rPr>
                <w:sz w:val="18"/>
                <w:szCs w:val="18"/>
              </w:rPr>
              <w:t>​</w:t>
            </w:r>
          </w:p>
        </w:tc>
        <w:tc>
          <w:tcPr>
            <w:tcW w:w="100" w:type="pct"/>
            <w:noWrap/>
            <w:tcMar>
              <w:top w:w="0" w:type="dxa"/>
              <w:left w:w="0" w:type="dxa"/>
              <w:bottom w:w="0" w:type="dxa"/>
              <w:right w:w="0" w:type="dxa"/>
            </w:tcMar>
            <w:vAlign w:val="bottom"/>
            <w:hideMark/>
          </w:tcPr>
          <w:p w14:paraId="004FA961"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0B21A23E"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2459DA40" w14:textId="77777777" w:rsidR="00000000" w:rsidRDefault="001F1B20">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14:paraId="2616942C"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4B3F18CA" w14:textId="77777777" w:rsidR="00000000" w:rsidRDefault="001F1B20">
            <w:pPr>
              <w:pStyle w:val="a3"/>
              <w:spacing w:before="0" w:beforeAutospacing="0" w:after="0" w:afterAutospacing="0"/>
              <w:rPr>
                <w:sz w:val="20"/>
                <w:szCs w:val="20"/>
              </w:rPr>
            </w:pPr>
            <w:r>
              <w:rPr>
                <w:sz w:val="18"/>
                <w:szCs w:val="18"/>
              </w:rPr>
              <w:t>​</w:t>
            </w:r>
          </w:p>
        </w:tc>
        <w:tc>
          <w:tcPr>
            <w:tcW w:w="393" w:type="pct"/>
            <w:noWrap/>
            <w:tcMar>
              <w:top w:w="0" w:type="dxa"/>
              <w:left w:w="0" w:type="dxa"/>
              <w:bottom w:w="0" w:type="dxa"/>
              <w:right w:w="0" w:type="dxa"/>
            </w:tcMar>
            <w:vAlign w:val="bottom"/>
            <w:hideMark/>
          </w:tcPr>
          <w:p w14:paraId="4EA6D370" w14:textId="77777777" w:rsidR="00000000" w:rsidRDefault="001F1B20">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14:paraId="710A4DF2" w14:textId="77777777" w:rsidR="00000000" w:rsidRDefault="001F1B2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335D2A16"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18245A7F" w14:textId="77777777" w:rsidR="00000000" w:rsidRDefault="001F1B20">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14:paraId="45B07F12"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1F07B394"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0580E6AC" w14:textId="77777777" w:rsidR="00000000" w:rsidRDefault="001F1B20">
            <w:pPr>
              <w:pStyle w:val="a3"/>
              <w:spacing w:before="0" w:beforeAutospacing="0" w:after="0" w:afterAutospacing="0"/>
              <w:jc w:val="right"/>
              <w:rPr>
                <w:sz w:val="20"/>
                <w:szCs w:val="20"/>
              </w:rPr>
            </w:pPr>
            <w:r>
              <w:rPr>
                <w:sz w:val="18"/>
                <w:szCs w:val="18"/>
              </w:rPr>
              <w:t>​</w:t>
            </w:r>
          </w:p>
        </w:tc>
      </w:tr>
      <w:tr w:rsidR="00000000" w14:paraId="7F0255F7" w14:textId="77777777">
        <w:trPr>
          <w:divId w:val="950480115"/>
        </w:trPr>
        <w:tc>
          <w:tcPr>
            <w:tcW w:w="2774" w:type="pct"/>
            <w:shd w:val="clear" w:color="auto" w:fill="CCEEFF"/>
            <w:tcMar>
              <w:top w:w="0" w:type="dxa"/>
              <w:left w:w="0" w:type="dxa"/>
              <w:bottom w:w="0" w:type="dxa"/>
              <w:right w:w="0" w:type="dxa"/>
            </w:tcMar>
            <w:vAlign w:val="bottom"/>
            <w:hideMark/>
          </w:tcPr>
          <w:p w14:paraId="43FBFBDA" w14:textId="77777777" w:rsidR="00000000" w:rsidRDefault="001F1B20">
            <w:pPr>
              <w:pStyle w:val="a3"/>
              <w:spacing w:before="0" w:beforeAutospacing="0" w:after="0" w:afterAutospacing="0"/>
              <w:rPr>
                <w:sz w:val="18"/>
                <w:szCs w:val="18"/>
              </w:rPr>
            </w:pPr>
            <w:r>
              <w:rPr>
                <w:sz w:val="18"/>
                <w:szCs w:val="18"/>
              </w:rPr>
              <w:t>Expenses:</w:t>
            </w:r>
          </w:p>
        </w:tc>
        <w:tc>
          <w:tcPr>
            <w:tcW w:w="100" w:type="pct"/>
            <w:shd w:val="clear" w:color="auto" w:fill="CCEEFF"/>
            <w:noWrap/>
            <w:tcMar>
              <w:top w:w="0" w:type="dxa"/>
              <w:left w:w="0" w:type="dxa"/>
              <w:bottom w:w="0" w:type="dxa"/>
              <w:right w:w="0" w:type="dxa"/>
            </w:tcMar>
            <w:vAlign w:val="bottom"/>
            <w:hideMark/>
          </w:tcPr>
          <w:p w14:paraId="34F9A08E"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67913090"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4801015E" w14:textId="77777777" w:rsidR="00000000" w:rsidRDefault="001F1B20">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14:paraId="699E530E"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79E52D1A" w14:textId="77777777" w:rsidR="00000000" w:rsidRDefault="001F1B20">
            <w:pPr>
              <w:pStyle w:val="a3"/>
              <w:spacing w:before="0" w:beforeAutospacing="0" w:after="0" w:afterAutospacing="0"/>
              <w:rPr>
                <w:sz w:val="20"/>
                <w:szCs w:val="20"/>
              </w:rPr>
            </w:pPr>
            <w:r>
              <w:rPr>
                <w:sz w:val="18"/>
                <w:szCs w:val="18"/>
              </w:rPr>
              <w:t>​</w:t>
            </w:r>
          </w:p>
        </w:tc>
        <w:tc>
          <w:tcPr>
            <w:tcW w:w="393" w:type="pct"/>
            <w:shd w:val="clear" w:color="auto" w:fill="CCEEFF"/>
            <w:noWrap/>
            <w:tcMar>
              <w:top w:w="0" w:type="dxa"/>
              <w:left w:w="0" w:type="dxa"/>
              <w:bottom w:w="0" w:type="dxa"/>
              <w:right w:w="0" w:type="dxa"/>
            </w:tcMar>
            <w:vAlign w:val="bottom"/>
            <w:hideMark/>
          </w:tcPr>
          <w:p w14:paraId="680049A9" w14:textId="77777777" w:rsidR="00000000" w:rsidRDefault="001F1B20">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14:paraId="6E16C51D" w14:textId="77777777" w:rsidR="00000000" w:rsidRDefault="001F1B2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7A94D8E0"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3B510695" w14:textId="77777777" w:rsidR="00000000" w:rsidRDefault="001F1B20">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14:paraId="2E7649B0"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0AF5AA53"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0D93ED46" w14:textId="77777777" w:rsidR="00000000" w:rsidRDefault="001F1B20">
            <w:pPr>
              <w:pStyle w:val="a3"/>
              <w:spacing w:before="0" w:beforeAutospacing="0" w:after="0" w:afterAutospacing="0"/>
              <w:jc w:val="right"/>
              <w:rPr>
                <w:sz w:val="20"/>
                <w:szCs w:val="20"/>
              </w:rPr>
            </w:pPr>
            <w:r>
              <w:rPr>
                <w:sz w:val="18"/>
                <w:szCs w:val="18"/>
              </w:rPr>
              <w:t>​</w:t>
            </w:r>
          </w:p>
        </w:tc>
      </w:tr>
      <w:tr w:rsidR="00000000" w14:paraId="5039E54B" w14:textId="77777777">
        <w:trPr>
          <w:divId w:val="950480115"/>
        </w:trPr>
        <w:tc>
          <w:tcPr>
            <w:tcW w:w="2774" w:type="pct"/>
            <w:tcMar>
              <w:top w:w="0" w:type="dxa"/>
              <w:left w:w="0" w:type="dxa"/>
              <w:bottom w:w="0" w:type="dxa"/>
              <w:right w:w="0" w:type="dxa"/>
            </w:tcMar>
            <w:vAlign w:val="bottom"/>
            <w:hideMark/>
          </w:tcPr>
          <w:p w14:paraId="17A8E622" w14:textId="77777777" w:rsidR="00000000" w:rsidRDefault="001F1B20">
            <w:pPr>
              <w:pStyle w:val="a3"/>
              <w:spacing w:before="0" w:beforeAutospacing="0" w:after="0" w:afterAutospacing="0"/>
              <w:ind w:left="240"/>
              <w:rPr>
                <w:sz w:val="18"/>
                <w:szCs w:val="18"/>
              </w:rPr>
            </w:pPr>
            <w:r>
              <w:rPr>
                <w:sz w:val="18"/>
                <w:szCs w:val="18"/>
              </w:rPr>
              <w:t>Research and development (1)</w:t>
            </w:r>
          </w:p>
        </w:tc>
        <w:tc>
          <w:tcPr>
            <w:tcW w:w="100" w:type="pct"/>
            <w:noWrap/>
            <w:tcMar>
              <w:top w:w="0" w:type="dxa"/>
              <w:left w:w="0" w:type="dxa"/>
              <w:bottom w:w="0" w:type="dxa"/>
              <w:right w:w="0" w:type="dxa"/>
            </w:tcMar>
            <w:vAlign w:val="bottom"/>
            <w:hideMark/>
          </w:tcPr>
          <w:p w14:paraId="45917480"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782F3DA5" w14:textId="77777777" w:rsidR="00000000" w:rsidRDefault="001F1B20">
            <w:pPr>
              <w:pStyle w:val="a3"/>
              <w:spacing w:before="0" w:beforeAutospacing="0" w:after="0" w:afterAutospacing="0"/>
              <w:rPr>
                <w:sz w:val="18"/>
                <w:szCs w:val="18"/>
              </w:rPr>
            </w:pPr>
            <w:r>
              <w:rPr>
                <w:sz w:val="18"/>
                <w:szCs w:val="18"/>
              </w:rPr>
              <w:t> </w:t>
            </w:r>
          </w:p>
        </w:tc>
        <w:tc>
          <w:tcPr>
            <w:tcW w:w="392" w:type="pct"/>
            <w:noWrap/>
            <w:tcMar>
              <w:top w:w="0" w:type="dxa"/>
              <w:left w:w="0" w:type="dxa"/>
              <w:bottom w:w="0" w:type="dxa"/>
              <w:right w:w="0" w:type="dxa"/>
            </w:tcMar>
            <w:vAlign w:val="bottom"/>
            <w:hideMark/>
          </w:tcPr>
          <w:p w14:paraId="475CD967" w14:textId="77777777" w:rsidR="00000000" w:rsidRDefault="001F1B20">
            <w:pPr>
              <w:pStyle w:val="a3"/>
              <w:spacing w:before="0" w:beforeAutospacing="0" w:after="0" w:afterAutospacing="0"/>
              <w:ind w:right="60"/>
              <w:jc w:val="right"/>
              <w:rPr>
                <w:sz w:val="18"/>
                <w:szCs w:val="18"/>
              </w:rPr>
            </w:pPr>
            <w:r>
              <w:rPr>
                <w:sz w:val="18"/>
                <w:szCs w:val="18"/>
              </w:rPr>
              <w:t>43,739</w:t>
            </w:r>
          </w:p>
        </w:tc>
        <w:tc>
          <w:tcPr>
            <w:tcW w:w="100" w:type="pct"/>
            <w:noWrap/>
            <w:tcMar>
              <w:top w:w="0" w:type="dxa"/>
              <w:left w:w="0" w:type="dxa"/>
              <w:bottom w:w="0" w:type="dxa"/>
              <w:right w:w="0" w:type="dxa"/>
            </w:tcMar>
            <w:vAlign w:val="bottom"/>
            <w:hideMark/>
          </w:tcPr>
          <w:p w14:paraId="500D2500"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23515003" w14:textId="77777777" w:rsidR="00000000" w:rsidRDefault="001F1B20">
            <w:pPr>
              <w:pStyle w:val="a3"/>
              <w:spacing w:before="0" w:beforeAutospacing="0" w:after="0" w:afterAutospacing="0"/>
              <w:rPr>
                <w:sz w:val="18"/>
                <w:szCs w:val="18"/>
              </w:rPr>
            </w:pPr>
            <w:r>
              <w:rPr>
                <w:sz w:val="18"/>
                <w:szCs w:val="18"/>
              </w:rPr>
              <w:t> </w:t>
            </w:r>
          </w:p>
        </w:tc>
        <w:tc>
          <w:tcPr>
            <w:tcW w:w="393" w:type="pct"/>
            <w:noWrap/>
            <w:tcMar>
              <w:top w:w="0" w:type="dxa"/>
              <w:left w:w="0" w:type="dxa"/>
              <w:bottom w:w="0" w:type="dxa"/>
              <w:right w:w="0" w:type="dxa"/>
            </w:tcMar>
            <w:vAlign w:val="bottom"/>
            <w:hideMark/>
          </w:tcPr>
          <w:p w14:paraId="017742DC" w14:textId="77777777" w:rsidR="00000000" w:rsidRDefault="001F1B20">
            <w:pPr>
              <w:pStyle w:val="a3"/>
              <w:spacing w:before="0" w:beforeAutospacing="0" w:after="0" w:afterAutospacing="0"/>
              <w:ind w:right="60"/>
              <w:jc w:val="right"/>
              <w:rPr>
                <w:sz w:val="18"/>
                <w:szCs w:val="18"/>
              </w:rPr>
            </w:pPr>
            <w:r>
              <w:rPr>
                <w:sz w:val="18"/>
                <w:szCs w:val="18"/>
              </w:rPr>
              <w:t>67,371</w:t>
            </w:r>
          </w:p>
        </w:tc>
        <w:tc>
          <w:tcPr>
            <w:tcW w:w="100" w:type="pct"/>
            <w:noWrap/>
            <w:tcMar>
              <w:top w:w="0" w:type="dxa"/>
              <w:left w:w="0" w:type="dxa"/>
              <w:bottom w:w="0" w:type="dxa"/>
              <w:right w:w="0" w:type="dxa"/>
            </w:tcMar>
            <w:vAlign w:val="bottom"/>
            <w:hideMark/>
          </w:tcPr>
          <w:p w14:paraId="574C9523" w14:textId="77777777" w:rsidR="00000000" w:rsidRDefault="001F1B2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300247CB"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62890126" w14:textId="77777777" w:rsidR="00000000" w:rsidRDefault="001F1B20">
            <w:pPr>
              <w:pStyle w:val="a3"/>
              <w:spacing w:before="0" w:beforeAutospacing="0" w:after="0" w:afterAutospacing="0"/>
              <w:ind w:right="60"/>
              <w:jc w:val="right"/>
              <w:rPr>
                <w:sz w:val="18"/>
                <w:szCs w:val="18"/>
              </w:rPr>
            </w:pPr>
            <w:r>
              <w:rPr>
                <w:sz w:val="18"/>
                <w:szCs w:val="18"/>
              </w:rPr>
              <w:t>162,431</w:t>
            </w:r>
          </w:p>
        </w:tc>
        <w:tc>
          <w:tcPr>
            <w:tcW w:w="100" w:type="pct"/>
            <w:noWrap/>
            <w:tcMar>
              <w:top w:w="0" w:type="dxa"/>
              <w:left w:w="0" w:type="dxa"/>
              <w:bottom w:w="0" w:type="dxa"/>
              <w:right w:w="0" w:type="dxa"/>
            </w:tcMar>
            <w:vAlign w:val="bottom"/>
            <w:hideMark/>
          </w:tcPr>
          <w:p w14:paraId="3CFDF6CE"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75F21B2B"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640934C2" w14:textId="77777777" w:rsidR="00000000" w:rsidRDefault="001F1B20">
            <w:pPr>
              <w:pStyle w:val="a3"/>
              <w:spacing w:before="0" w:beforeAutospacing="0" w:after="0" w:afterAutospacing="0"/>
              <w:ind w:right="60"/>
              <w:jc w:val="right"/>
              <w:rPr>
                <w:sz w:val="18"/>
                <w:szCs w:val="18"/>
              </w:rPr>
            </w:pPr>
            <w:r>
              <w:rPr>
                <w:sz w:val="18"/>
                <w:szCs w:val="18"/>
              </w:rPr>
              <w:t>195,788</w:t>
            </w:r>
          </w:p>
        </w:tc>
      </w:tr>
      <w:tr w:rsidR="00000000" w14:paraId="30C0882F" w14:textId="77777777">
        <w:trPr>
          <w:divId w:val="950480115"/>
        </w:trPr>
        <w:tc>
          <w:tcPr>
            <w:tcW w:w="2774" w:type="pct"/>
            <w:shd w:val="clear" w:color="auto" w:fill="CCEEFF"/>
            <w:tcMar>
              <w:top w:w="0" w:type="dxa"/>
              <w:left w:w="0" w:type="dxa"/>
              <w:bottom w:w="0" w:type="dxa"/>
              <w:right w:w="0" w:type="dxa"/>
            </w:tcMar>
            <w:vAlign w:val="bottom"/>
            <w:hideMark/>
          </w:tcPr>
          <w:p w14:paraId="581E60E3" w14:textId="77777777" w:rsidR="00000000" w:rsidRDefault="001F1B20">
            <w:pPr>
              <w:pStyle w:val="a3"/>
              <w:spacing w:before="0" w:beforeAutospacing="0" w:after="0" w:afterAutospacing="0"/>
              <w:ind w:left="240"/>
              <w:rPr>
                <w:sz w:val="18"/>
                <w:szCs w:val="18"/>
              </w:rPr>
            </w:pPr>
            <w:r>
              <w:rPr>
                <w:sz w:val="18"/>
                <w:szCs w:val="18"/>
              </w:rPr>
              <w:t>Selling, general and administrative (1)</w:t>
            </w:r>
          </w:p>
        </w:tc>
        <w:tc>
          <w:tcPr>
            <w:tcW w:w="100" w:type="pct"/>
            <w:shd w:val="clear" w:color="auto" w:fill="CCEEFF"/>
            <w:noWrap/>
            <w:tcMar>
              <w:top w:w="0" w:type="dxa"/>
              <w:left w:w="0" w:type="dxa"/>
              <w:bottom w:w="0" w:type="dxa"/>
              <w:right w:w="0" w:type="dxa"/>
            </w:tcMar>
            <w:vAlign w:val="bottom"/>
            <w:hideMark/>
          </w:tcPr>
          <w:p w14:paraId="2077BADC"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2C484DF5"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6CE38725" w14:textId="77777777" w:rsidR="00000000" w:rsidRDefault="001F1B20">
            <w:pPr>
              <w:pStyle w:val="a3"/>
              <w:spacing w:before="0" w:beforeAutospacing="0" w:after="0" w:afterAutospacing="0"/>
              <w:ind w:right="60"/>
              <w:jc w:val="right"/>
              <w:rPr>
                <w:sz w:val="18"/>
                <w:szCs w:val="18"/>
              </w:rPr>
            </w:pPr>
            <w:r>
              <w:rPr>
                <w:sz w:val="18"/>
                <w:szCs w:val="18"/>
              </w:rPr>
              <w:t>21,299</w:t>
            </w:r>
          </w:p>
        </w:tc>
        <w:tc>
          <w:tcPr>
            <w:tcW w:w="100" w:type="pct"/>
            <w:shd w:val="clear" w:color="auto" w:fill="CCEEFF"/>
            <w:noWrap/>
            <w:tcMar>
              <w:top w:w="0" w:type="dxa"/>
              <w:left w:w="0" w:type="dxa"/>
              <w:bottom w:w="0" w:type="dxa"/>
              <w:right w:w="0" w:type="dxa"/>
            </w:tcMar>
            <w:vAlign w:val="bottom"/>
            <w:hideMark/>
          </w:tcPr>
          <w:p w14:paraId="6FC479CB"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5F815B8D" w14:textId="77777777" w:rsidR="00000000" w:rsidRDefault="001F1B20">
            <w:pPr>
              <w:pStyle w:val="a3"/>
              <w:spacing w:before="0" w:beforeAutospacing="0" w:after="0" w:afterAutospacing="0"/>
              <w:rPr>
                <w:sz w:val="18"/>
                <w:szCs w:val="18"/>
              </w:rPr>
            </w:pPr>
            <w:r>
              <w:rPr>
                <w:sz w:val="18"/>
                <w:szCs w:val="18"/>
              </w:rPr>
              <w:t> </w:t>
            </w:r>
          </w:p>
        </w:tc>
        <w:tc>
          <w:tcPr>
            <w:tcW w:w="393" w:type="pct"/>
            <w:shd w:val="clear" w:color="auto" w:fill="CCEEFF"/>
            <w:noWrap/>
            <w:tcMar>
              <w:top w:w="0" w:type="dxa"/>
              <w:left w:w="0" w:type="dxa"/>
              <w:bottom w:w="0" w:type="dxa"/>
              <w:right w:w="0" w:type="dxa"/>
            </w:tcMar>
            <w:vAlign w:val="bottom"/>
            <w:hideMark/>
          </w:tcPr>
          <w:p w14:paraId="00A22557" w14:textId="77777777" w:rsidR="00000000" w:rsidRDefault="001F1B20">
            <w:pPr>
              <w:pStyle w:val="a3"/>
              <w:spacing w:before="0" w:beforeAutospacing="0" w:after="0" w:afterAutospacing="0"/>
              <w:ind w:right="60"/>
              <w:jc w:val="right"/>
              <w:rPr>
                <w:sz w:val="18"/>
                <w:szCs w:val="18"/>
              </w:rPr>
            </w:pPr>
            <w:r>
              <w:rPr>
                <w:sz w:val="18"/>
                <w:szCs w:val="18"/>
              </w:rPr>
              <w:t>27,501</w:t>
            </w:r>
          </w:p>
        </w:tc>
        <w:tc>
          <w:tcPr>
            <w:tcW w:w="100" w:type="pct"/>
            <w:shd w:val="clear" w:color="auto" w:fill="CCEEFF"/>
            <w:noWrap/>
            <w:tcMar>
              <w:top w:w="0" w:type="dxa"/>
              <w:left w:w="0" w:type="dxa"/>
              <w:bottom w:w="0" w:type="dxa"/>
              <w:right w:w="0" w:type="dxa"/>
            </w:tcMar>
            <w:vAlign w:val="bottom"/>
            <w:hideMark/>
          </w:tcPr>
          <w:p w14:paraId="677F2A68" w14:textId="77777777" w:rsidR="00000000" w:rsidRDefault="001F1B2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148AD3A4"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2CE6032F" w14:textId="77777777" w:rsidR="00000000" w:rsidRDefault="001F1B20">
            <w:pPr>
              <w:pStyle w:val="a3"/>
              <w:spacing w:before="0" w:beforeAutospacing="0" w:after="0" w:afterAutospacing="0"/>
              <w:ind w:right="60"/>
              <w:jc w:val="right"/>
              <w:rPr>
                <w:sz w:val="18"/>
                <w:szCs w:val="18"/>
              </w:rPr>
            </w:pPr>
            <w:r>
              <w:rPr>
                <w:sz w:val="18"/>
                <w:szCs w:val="18"/>
              </w:rPr>
              <w:t>77,780</w:t>
            </w:r>
          </w:p>
        </w:tc>
        <w:tc>
          <w:tcPr>
            <w:tcW w:w="100" w:type="pct"/>
            <w:shd w:val="clear" w:color="auto" w:fill="CCEEFF"/>
            <w:noWrap/>
            <w:tcMar>
              <w:top w:w="0" w:type="dxa"/>
              <w:left w:w="0" w:type="dxa"/>
              <w:bottom w:w="0" w:type="dxa"/>
              <w:right w:w="0" w:type="dxa"/>
            </w:tcMar>
            <w:vAlign w:val="bottom"/>
            <w:hideMark/>
          </w:tcPr>
          <w:p w14:paraId="0F14FC4B"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331F7109"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58402B0D" w14:textId="77777777" w:rsidR="00000000" w:rsidRDefault="001F1B20">
            <w:pPr>
              <w:pStyle w:val="a3"/>
              <w:spacing w:before="0" w:beforeAutospacing="0" w:after="0" w:afterAutospacing="0"/>
              <w:ind w:right="60"/>
              <w:jc w:val="right"/>
              <w:rPr>
                <w:sz w:val="18"/>
                <w:szCs w:val="18"/>
              </w:rPr>
            </w:pPr>
            <w:r>
              <w:rPr>
                <w:sz w:val="18"/>
                <w:szCs w:val="18"/>
              </w:rPr>
              <w:t>78,606</w:t>
            </w:r>
          </w:p>
        </w:tc>
      </w:tr>
      <w:tr w:rsidR="00000000" w14:paraId="52FA78DC" w14:textId="77777777">
        <w:trPr>
          <w:divId w:val="950480115"/>
        </w:trPr>
        <w:tc>
          <w:tcPr>
            <w:tcW w:w="2774" w:type="pct"/>
            <w:tcMar>
              <w:top w:w="0" w:type="dxa"/>
              <w:left w:w="0" w:type="dxa"/>
              <w:bottom w:w="0" w:type="dxa"/>
              <w:right w:w="0" w:type="dxa"/>
            </w:tcMar>
            <w:vAlign w:val="bottom"/>
            <w:hideMark/>
          </w:tcPr>
          <w:p w14:paraId="65355394" w14:textId="77777777" w:rsidR="00000000" w:rsidRDefault="001F1B20">
            <w:pPr>
              <w:pStyle w:val="a3"/>
              <w:spacing w:before="0" w:beforeAutospacing="0" w:after="0" w:afterAutospacing="0"/>
              <w:ind w:left="240"/>
              <w:rPr>
                <w:sz w:val="18"/>
                <w:szCs w:val="18"/>
              </w:rPr>
            </w:pPr>
            <w:r>
              <w:rPr>
                <w:sz w:val="18"/>
                <w:szCs w:val="18"/>
              </w:rPr>
              <w:t>Restructuring and related expenses</w:t>
            </w:r>
          </w:p>
        </w:tc>
        <w:tc>
          <w:tcPr>
            <w:tcW w:w="100" w:type="pct"/>
            <w:noWrap/>
            <w:tcMar>
              <w:top w:w="0" w:type="dxa"/>
              <w:left w:w="0" w:type="dxa"/>
              <w:bottom w:w="0" w:type="dxa"/>
              <w:right w:w="0" w:type="dxa"/>
            </w:tcMar>
            <w:vAlign w:val="bottom"/>
            <w:hideMark/>
          </w:tcPr>
          <w:p w14:paraId="49D4532B"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14:paraId="718782DE" w14:textId="77777777" w:rsidR="00000000" w:rsidRDefault="001F1B20">
            <w:pPr>
              <w:pStyle w:val="a3"/>
              <w:spacing w:before="0" w:beforeAutospacing="0" w:after="0" w:afterAutospacing="0"/>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14:paraId="76B46E37" w14:textId="77777777" w:rsidR="00000000" w:rsidRDefault="001F1B20">
            <w:pPr>
              <w:pStyle w:val="a3"/>
              <w:spacing w:before="0" w:beforeAutospacing="0" w:after="0" w:afterAutospacing="0"/>
              <w:ind w:right="60"/>
              <w:jc w:val="right"/>
              <w:rPr>
                <w:sz w:val="18"/>
                <w:szCs w:val="18"/>
              </w:rPr>
            </w:pPr>
            <w:r>
              <w:rPr>
                <w:sz w:val="18"/>
                <w:szCs w:val="18"/>
              </w:rPr>
              <w:t>1,771</w:t>
            </w:r>
          </w:p>
        </w:tc>
        <w:tc>
          <w:tcPr>
            <w:tcW w:w="100" w:type="pct"/>
            <w:noWrap/>
            <w:tcMar>
              <w:top w:w="0" w:type="dxa"/>
              <w:left w:w="0" w:type="dxa"/>
              <w:bottom w:w="0" w:type="dxa"/>
              <w:right w:w="0" w:type="dxa"/>
            </w:tcMar>
            <w:vAlign w:val="bottom"/>
            <w:hideMark/>
          </w:tcPr>
          <w:p w14:paraId="02F51FA8"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14:paraId="10CC2442" w14:textId="77777777" w:rsidR="00000000" w:rsidRDefault="001F1B20">
            <w:pPr>
              <w:pStyle w:val="a3"/>
              <w:spacing w:before="0" w:beforeAutospacing="0" w:after="0" w:afterAutospacing="0"/>
              <w:rPr>
                <w:sz w:val="20"/>
                <w:szCs w:val="20"/>
              </w:rPr>
            </w:pPr>
            <w:r>
              <w:rPr>
                <w:sz w:val="18"/>
                <w:szCs w:val="18"/>
              </w:rPr>
              <w:t>​</w:t>
            </w:r>
          </w:p>
        </w:tc>
        <w:tc>
          <w:tcPr>
            <w:tcW w:w="393" w:type="pct"/>
            <w:tcBorders>
              <w:bottom w:val="single" w:sz="6" w:space="0" w:color="000000"/>
            </w:tcBorders>
            <w:noWrap/>
            <w:tcMar>
              <w:top w:w="0" w:type="dxa"/>
              <w:left w:w="0" w:type="dxa"/>
              <w:bottom w:w="0" w:type="dxa"/>
              <w:right w:w="0" w:type="dxa"/>
            </w:tcMar>
            <w:vAlign w:val="bottom"/>
            <w:hideMark/>
          </w:tcPr>
          <w:p w14:paraId="0297C29D" w14:textId="77777777" w:rsidR="00000000" w:rsidRDefault="001F1B20">
            <w:pPr>
              <w:pStyle w:val="a3"/>
              <w:spacing w:before="0" w:beforeAutospacing="0" w:after="0" w:afterAutospacing="0"/>
              <w:ind w:right="60"/>
              <w:jc w:val="right"/>
              <w:rPr>
                <w:sz w:val="18"/>
                <w:szCs w:val="18"/>
              </w:rPr>
            </w:pPr>
            <w:r>
              <w:rPr>
                <w:sz w:val="18"/>
                <w:szCs w:val="18"/>
              </w:rPr>
              <w:t>—</w:t>
            </w:r>
          </w:p>
        </w:tc>
        <w:tc>
          <w:tcPr>
            <w:tcW w:w="100" w:type="pct"/>
            <w:noWrap/>
            <w:tcMar>
              <w:top w:w="0" w:type="dxa"/>
              <w:left w:w="0" w:type="dxa"/>
              <w:bottom w:w="0" w:type="dxa"/>
              <w:right w:w="0" w:type="dxa"/>
            </w:tcMar>
            <w:vAlign w:val="bottom"/>
            <w:hideMark/>
          </w:tcPr>
          <w:p w14:paraId="1311A1DB" w14:textId="77777777" w:rsidR="00000000" w:rsidRDefault="001F1B2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267B1778" w14:textId="77777777" w:rsidR="00000000" w:rsidRDefault="001F1B20">
            <w:pPr>
              <w:pStyle w:val="a3"/>
              <w:spacing w:before="0" w:beforeAutospacing="0" w:after="0" w:afterAutospacing="0"/>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14:paraId="5B4016F5" w14:textId="77777777" w:rsidR="00000000" w:rsidRDefault="001F1B20">
            <w:pPr>
              <w:pStyle w:val="a3"/>
              <w:spacing w:before="0" w:beforeAutospacing="0" w:after="0" w:afterAutospacing="0"/>
              <w:ind w:right="60"/>
              <w:jc w:val="right"/>
              <w:rPr>
                <w:sz w:val="18"/>
                <w:szCs w:val="18"/>
              </w:rPr>
            </w:pPr>
            <w:r>
              <w:rPr>
                <w:sz w:val="18"/>
                <w:szCs w:val="18"/>
              </w:rPr>
              <w:t>1,771</w:t>
            </w:r>
          </w:p>
        </w:tc>
        <w:tc>
          <w:tcPr>
            <w:tcW w:w="100" w:type="pct"/>
            <w:noWrap/>
            <w:tcMar>
              <w:top w:w="0" w:type="dxa"/>
              <w:left w:w="0" w:type="dxa"/>
              <w:bottom w:w="0" w:type="dxa"/>
              <w:right w:w="0" w:type="dxa"/>
            </w:tcMar>
            <w:vAlign w:val="bottom"/>
            <w:hideMark/>
          </w:tcPr>
          <w:p w14:paraId="44BD8FF8"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14:paraId="3748E434" w14:textId="77777777" w:rsidR="00000000" w:rsidRDefault="001F1B20">
            <w:pPr>
              <w:pStyle w:val="a3"/>
              <w:spacing w:before="0" w:beforeAutospacing="0" w:after="0" w:afterAutospacing="0"/>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14:paraId="026760D5" w14:textId="77777777" w:rsidR="00000000" w:rsidRDefault="001F1B20">
            <w:pPr>
              <w:pStyle w:val="a3"/>
              <w:spacing w:before="0" w:beforeAutospacing="0" w:after="0" w:afterAutospacing="0"/>
              <w:ind w:right="60"/>
              <w:jc w:val="right"/>
              <w:rPr>
                <w:sz w:val="18"/>
                <w:szCs w:val="18"/>
              </w:rPr>
            </w:pPr>
            <w:r>
              <w:rPr>
                <w:sz w:val="18"/>
                <w:szCs w:val="18"/>
              </w:rPr>
              <w:t>—</w:t>
            </w:r>
          </w:p>
        </w:tc>
      </w:tr>
      <w:tr w:rsidR="00000000" w14:paraId="7A70A13A" w14:textId="77777777">
        <w:trPr>
          <w:divId w:val="950480115"/>
        </w:trPr>
        <w:tc>
          <w:tcPr>
            <w:tcW w:w="2774" w:type="pct"/>
            <w:shd w:val="clear" w:color="auto" w:fill="CCEEFF"/>
            <w:tcMar>
              <w:top w:w="0" w:type="dxa"/>
              <w:left w:w="0" w:type="dxa"/>
              <w:bottom w:w="0" w:type="dxa"/>
              <w:right w:w="0" w:type="dxa"/>
            </w:tcMar>
            <w:vAlign w:val="bottom"/>
            <w:hideMark/>
          </w:tcPr>
          <w:p w14:paraId="6DFB7394" w14:textId="77777777" w:rsidR="00000000" w:rsidRDefault="001F1B20">
            <w:pPr>
              <w:pStyle w:val="a3"/>
              <w:spacing w:before="0" w:beforeAutospacing="0" w:after="0" w:afterAutospacing="0"/>
              <w:ind w:left="360"/>
              <w:rPr>
                <w:sz w:val="18"/>
                <w:szCs w:val="18"/>
              </w:rPr>
            </w:pPr>
            <w:r>
              <w:rPr>
                <w:sz w:val="18"/>
                <w:szCs w:val="18"/>
              </w:rPr>
              <w:t xml:space="preserve">Total expenses </w:t>
            </w:r>
          </w:p>
        </w:tc>
        <w:tc>
          <w:tcPr>
            <w:tcW w:w="100" w:type="pct"/>
            <w:shd w:val="clear" w:color="auto" w:fill="CCEEFF"/>
            <w:noWrap/>
            <w:tcMar>
              <w:top w:w="0" w:type="dxa"/>
              <w:left w:w="0" w:type="dxa"/>
              <w:bottom w:w="0" w:type="dxa"/>
              <w:right w:w="0" w:type="dxa"/>
            </w:tcMar>
            <w:vAlign w:val="bottom"/>
            <w:hideMark/>
          </w:tcPr>
          <w:p w14:paraId="628DD592"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764735F3" w14:textId="77777777" w:rsidR="00000000" w:rsidRDefault="001F1B20">
            <w:pPr>
              <w:pStyle w:val="a3"/>
              <w:spacing w:before="0" w:beforeAutospacing="0" w:after="0" w:afterAutospacing="0"/>
              <w:rPr>
                <w:sz w:val="18"/>
                <w:szCs w:val="18"/>
              </w:rPr>
            </w:pPr>
            <w:r>
              <w:rPr>
                <w:sz w:val="18"/>
                <w:szCs w:val="18"/>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14:paraId="24EDAB68" w14:textId="77777777" w:rsidR="00000000" w:rsidRDefault="001F1B20">
            <w:pPr>
              <w:pStyle w:val="a3"/>
              <w:spacing w:before="0" w:beforeAutospacing="0" w:after="0" w:afterAutospacing="0"/>
              <w:ind w:right="60"/>
              <w:jc w:val="right"/>
              <w:rPr>
                <w:sz w:val="18"/>
                <w:szCs w:val="18"/>
              </w:rPr>
            </w:pPr>
            <w:r>
              <w:rPr>
                <w:sz w:val="18"/>
                <w:szCs w:val="18"/>
              </w:rPr>
              <w:t>66,809</w:t>
            </w:r>
          </w:p>
        </w:tc>
        <w:tc>
          <w:tcPr>
            <w:tcW w:w="100" w:type="pct"/>
            <w:shd w:val="clear" w:color="auto" w:fill="CCEEFF"/>
            <w:noWrap/>
            <w:tcMar>
              <w:top w:w="0" w:type="dxa"/>
              <w:left w:w="0" w:type="dxa"/>
              <w:bottom w:w="0" w:type="dxa"/>
              <w:right w:w="0" w:type="dxa"/>
            </w:tcMar>
            <w:vAlign w:val="bottom"/>
            <w:hideMark/>
          </w:tcPr>
          <w:p w14:paraId="4CD57FA2"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358E554D" w14:textId="77777777" w:rsidR="00000000" w:rsidRDefault="001F1B20">
            <w:pPr>
              <w:pStyle w:val="a3"/>
              <w:spacing w:before="0" w:beforeAutospacing="0" w:after="0" w:afterAutospacing="0"/>
              <w:rPr>
                <w:sz w:val="18"/>
                <w:szCs w:val="18"/>
              </w:rPr>
            </w:pPr>
            <w:r>
              <w:rPr>
                <w:sz w:val="18"/>
                <w:szCs w:val="18"/>
              </w:rPr>
              <w:t> </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14:paraId="306B3095" w14:textId="77777777" w:rsidR="00000000" w:rsidRDefault="001F1B20">
            <w:pPr>
              <w:pStyle w:val="a3"/>
              <w:spacing w:before="0" w:beforeAutospacing="0" w:after="0" w:afterAutospacing="0"/>
              <w:ind w:right="60"/>
              <w:jc w:val="right"/>
              <w:rPr>
                <w:sz w:val="18"/>
                <w:szCs w:val="18"/>
              </w:rPr>
            </w:pPr>
            <w:r>
              <w:rPr>
                <w:sz w:val="18"/>
                <w:szCs w:val="18"/>
              </w:rPr>
              <w:t>94,872</w:t>
            </w:r>
          </w:p>
        </w:tc>
        <w:tc>
          <w:tcPr>
            <w:tcW w:w="100" w:type="pct"/>
            <w:shd w:val="clear" w:color="auto" w:fill="CCEEFF"/>
            <w:noWrap/>
            <w:tcMar>
              <w:top w:w="0" w:type="dxa"/>
              <w:left w:w="0" w:type="dxa"/>
              <w:bottom w:w="0" w:type="dxa"/>
              <w:right w:w="0" w:type="dxa"/>
            </w:tcMar>
            <w:vAlign w:val="bottom"/>
            <w:hideMark/>
          </w:tcPr>
          <w:p w14:paraId="1B339428" w14:textId="77777777" w:rsidR="00000000" w:rsidRDefault="001F1B2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24C775B6" w14:textId="77777777" w:rsidR="00000000" w:rsidRDefault="001F1B20">
            <w:pPr>
              <w:pStyle w:val="a3"/>
              <w:spacing w:before="0" w:beforeAutospacing="0" w:after="0" w:afterAutospacing="0"/>
              <w:rPr>
                <w:sz w:val="18"/>
                <w:szCs w:val="18"/>
              </w:rPr>
            </w:pPr>
            <w:r>
              <w:rPr>
                <w:sz w:val="18"/>
                <w:szCs w:val="18"/>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14:paraId="12FB7CEB" w14:textId="77777777" w:rsidR="00000000" w:rsidRDefault="001F1B20">
            <w:pPr>
              <w:pStyle w:val="a3"/>
              <w:spacing w:before="0" w:beforeAutospacing="0" w:after="0" w:afterAutospacing="0"/>
              <w:ind w:right="60"/>
              <w:jc w:val="right"/>
              <w:rPr>
                <w:sz w:val="18"/>
                <w:szCs w:val="18"/>
              </w:rPr>
            </w:pPr>
            <w:r>
              <w:rPr>
                <w:sz w:val="18"/>
                <w:szCs w:val="18"/>
              </w:rPr>
              <w:t>241,982</w:t>
            </w:r>
          </w:p>
        </w:tc>
        <w:tc>
          <w:tcPr>
            <w:tcW w:w="100" w:type="pct"/>
            <w:shd w:val="clear" w:color="auto" w:fill="CCEEFF"/>
            <w:noWrap/>
            <w:tcMar>
              <w:top w:w="0" w:type="dxa"/>
              <w:left w:w="0" w:type="dxa"/>
              <w:bottom w:w="0" w:type="dxa"/>
              <w:right w:w="0" w:type="dxa"/>
            </w:tcMar>
            <w:vAlign w:val="bottom"/>
            <w:hideMark/>
          </w:tcPr>
          <w:p w14:paraId="54F406E1"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30B8D8D4" w14:textId="77777777" w:rsidR="00000000" w:rsidRDefault="001F1B20">
            <w:pPr>
              <w:pStyle w:val="a3"/>
              <w:spacing w:before="0" w:beforeAutospacing="0" w:after="0" w:afterAutospacing="0"/>
              <w:rPr>
                <w:sz w:val="18"/>
                <w:szCs w:val="18"/>
              </w:rPr>
            </w:pPr>
            <w:r>
              <w:rPr>
                <w:sz w:val="18"/>
                <w:szCs w:val="18"/>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14:paraId="3E6316DB" w14:textId="77777777" w:rsidR="00000000" w:rsidRDefault="001F1B20">
            <w:pPr>
              <w:pStyle w:val="a3"/>
              <w:spacing w:before="0" w:beforeAutospacing="0" w:after="0" w:afterAutospacing="0"/>
              <w:ind w:right="60"/>
              <w:jc w:val="right"/>
              <w:rPr>
                <w:sz w:val="18"/>
                <w:szCs w:val="18"/>
              </w:rPr>
            </w:pPr>
            <w:r>
              <w:rPr>
                <w:sz w:val="18"/>
                <w:szCs w:val="18"/>
              </w:rPr>
              <w:t>274,394</w:t>
            </w:r>
          </w:p>
        </w:tc>
      </w:tr>
      <w:tr w:rsidR="00000000" w14:paraId="777135D3" w14:textId="77777777">
        <w:trPr>
          <w:divId w:val="950480115"/>
        </w:trPr>
        <w:tc>
          <w:tcPr>
            <w:tcW w:w="2774" w:type="pct"/>
            <w:tcMar>
              <w:top w:w="0" w:type="dxa"/>
              <w:left w:w="0" w:type="dxa"/>
              <w:bottom w:w="0" w:type="dxa"/>
              <w:right w:w="0" w:type="dxa"/>
            </w:tcMar>
            <w:vAlign w:val="bottom"/>
            <w:hideMark/>
          </w:tcPr>
          <w:p w14:paraId="4DE62DD3" w14:textId="77777777" w:rsidR="00000000" w:rsidRDefault="001F1B20">
            <w:pPr>
              <w:pStyle w:val="a3"/>
              <w:spacing w:before="0" w:beforeAutospacing="0" w:after="0" w:afterAutospacing="0"/>
              <w:rPr>
                <w:sz w:val="20"/>
                <w:szCs w:val="20"/>
              </w:rPr>
            </w:pPr>
            <w:r>
              <w:rPr>
                <w:sz w:val="18"/>
                <w:szCs w:val="18"/>
              </w:rPr>
              <w:t>​</w:t>
            </w:r>
          </w:p>
        </w:tc>
        <w:tc>
          <w:tcPr>
            <w:tcW w:w="100" w:type="pct"/>
            <w:noWrap/>
            <w:tcMar>
              <w:top w:w="0" w:type="dxa"/>
              <w:left w:w="0" w:type="dxa"/>
              <w:bottom w:w="0" w:type="dxa"/>
              <w:right w:w="0" w:type="dxa"/>
            </w:tcMar>
            <w:vAlign w:val="bottom"/>
            <w:hideMark/>
          </w:tcPr>
          <w:p w14:paraId="1278C5F5"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3E4EF45D"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76015BA3" w14:textId="77777777" w:rsidR="00000000" w:rsidRDefault="001F1B20">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14:paraId="2D2583D6"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133F79E5" w14:textId="77777777" w:rsidR="00000000" w:rsidRDefault="001F1B20">
            <w:pPr>
              <w:pStyle w:val="a3"/>
              <w:spacing w:before="0" w:beforeAutospacing="0" w:after="0" w:afterAutospacing="0"/>
              <w:rPr>
                <w:sz w:val="20"/>
                <w:szCs w:val="20"/>
              </w:rPr>
            </w:pPr>
            <w:r>
              <w:rPr>
                <w:sz w:val="18"/>
                <w:szCs w:val="18"/>
              </w:rPr>
              <w:t>​</w:t>
            </w:r>
          </w:p>
        </w:tc>
        <w:tc>
          <w:tcPr>
            <w:tcW w:w="393" w:type="pct"/>
            <w:noWrap/>
            <w:tcMar>
              <w:top w:w="0" w:type="dxa"/>
              <w:left w:w="0" w:type="dxa"/>
              <w:bottom w:w="0" w:type="dxa"/>
              <w:right w:w="0" w:type="dxa"/>
            </w:tcMar>
            <w:vAlign w:val="bottom"/>
            <w:hideMark/>
          </w:tcPr>
          <w:p w14:paraId="0533EECE" w14:textId="77777777" w:rsidR="00000000" w:rsidRDefault="001F1B20">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14:paraId="345D198C" w14:textId="77777777" w:rsidR="00000000" w:rsidRDefault="001F1B2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72A9D8FD"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78F64689" w14:textId="77777777" w:rsidR="00000000" w:rsidRDefault="001F1B20">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14:paraId="1AFCF3E0"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7524A6D2"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1A20CD50" w14:textId="77777777" w:rsidR="00000000" w:rsidRDefault="001F1B20">
            <w:pPr>
              <w:pStyle w:val="a3"/>
              <w:spacing w:before="0" w:beforeAutospacing="0" w:after="0" w:afterAutospacing="0"/>
              <w:jc w:val="right"/>
              <w:rPr>
                <w:sz w:val="20"/>
                <w:szCs w:val="20"/>
              </w:rPr>
            </w:pPr>
            <w:r>
              <w:rPr>
                <w:sz w:val="18"/>
                <w:szCs w:val="18"/>
              </w:rPr>
              <w:t>​</w:t>
            </w:r>
          </w:p>
        </w:tc>
      </w:tr>
      <w:tr w:rsidR="00000000" w14:paraId="09F7BB14" w14:textId="77777777">
        <w:trPr>
          <w:divId w:val="950480115"/>
        </w:trPr>
        <w:tc>
          <w:tcPr>
            <w:tcW w:w="2774" w:type="pct"/>
            <w:shd w:val="clear" w:color="auto" w:fill="CCEEFF"/>
            <w:tcMar>
              <w:top w:w="0" w:type="dxa"/>
              <w:left w:w="0" w:type="dxa"/>
              <w:bottom w:w="0" w:type="dxa"/>
              <w:right w:w="0" w:type="dxa"/>
            </w:tcMar>
            <w:vAlign w:val="bottom"/>
            <w:hideMark/>
          </w:tcPr>
          <w:p w14:paraId="4D2ACF98" w14:textId="77777777" w:rsidR="00000000" w:rsidRDefault="001F1B20">
            <w:pPr>
              <w:pStyle w:val="a3"/>
              <w:spacing w:before="0" w:beforeAutospacing="0" w:after="0" w:afterAutospacing="0"/>
              <w:rPr>
                <w:sz w:val="18"/>
                <w:szCs w:val="18"/>
              </w:rPr>
            </w:pPr>
            <w:r>
              <w:rPr>
                <w:sz w:val="18"/>
                <w:szCs w:val="18"/>
              </w:rPr>
              <w:t xml:space="preserve">Loss from operations </w:t>
            </w:r>
          </w:p>
        </w:tc>
        <w:tc>
          <w:tcPr>
            <w:tcW w:w="100" w:type="pct"/>
            <w:shd w:val="clear" w:color="auto" w:fill="CCEEFF"/>
            <w:noWrap/>
            <w:tcMar>
              <w:top w:w="0" w:type="dxa"/>
              <w:left w:w="0" w:type="dxa"/>
              <w:bottom w:w="0" w:type="dxa"/>
              <w:right w:w="0" w:type="dxa"/>
            </w:tcMar>
            <w:vAlign w:val="bottom"/>
            <w:hideMark/>
          </w:tcPr>
          <w:p w14:paraId="7E6AE271"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657DFC4A" w14:textId="77777777" w:rsidR="00000000" w:rsidRDefault="001F1B20">
            <w:pPr>
              <w:pStyle w:val="a3"/>
              <w:spacing w:before="0" w:beforeAutospacing="0" w:after="0" w:afterAutospacing="0"/>
              <w:rPr>
                <w:sz w:val="18"/>
                <w:szCs w:val="18"/>
              </w:rPr>
            </w:pPr>
            <w:r>
              <w:rPr>
                <w:sz w:val="18"/>
                <w:szCs w:val="18"/>
              </w:rPr>
              <w:t> </w:t>
            </w:r>
          </w:p>
        </w:tc>
        <w:tc>
          <w:tcPr>
            <w:tcW w:w="392" w:type="pct"/>
            <w:shd w:val="clear" w:color="auto" w:fill="CCEEFF"/>
            <w:noWrap/>
            <w:tcMar>
              <w:top w:w="0" w:type="dxa"/>
              <w:left w:w="0" w:type="dxa"/>
              <w:bottom w:w="0" w:type="dxa"/>
              <w:right w:w="0" w:type="dxa"/>
            </w:tcMar>
            <w:vAlign w:val="bottom"/>
            <w:hideMark/>
          </w:tcPr>
          <w:p w14:paraId="2D448ACF" w14:textId="77777777" w:rsidR="00000000" w:rsidRDefault="001F1B20">
            <w:pPr>
              <w:pStyle w:val="a3"/>
              <w:spacing w:before="0" w:beforeAutospacing="0" w:after="0" w:afterAutospacing="0"/>
              <w:jc w:val="right"/>
              <w:rPr>
                <w:sz w:val="18"/>
                <w:szCs w:val="18"/>
              </w:rPr>
            </w:pPr>
            <w:r>
              <w:rPr>
                <w:sz w:val="18"/>
                <w:szCs w:val="18"/>
              </w:rPr>
              <w:t>(53,615)</w:t>
            </w:r>
          </w:p>
        </w:tc>
        <w:tc>
          <w:tcPr>
            <w:tcW w:w="100" w:type="pct"/>
            <w:shd w:val="clear" w:color="auto" w:fill="CCEEFF"/>
            <w:noWrap/>
            <w:tcMar>
              <w:top w:w="0" w:type="dxa"/>
              <w:left w:w="0" w:type="dxa"/>
              <w:bottom w:w="0" w:type="dxa"/>
              <w:right w:w="0" w:type="dxa"/>
            </w:tcMar>
            <w:vAlign w:val="bottom"/>
            <w:hideMark/>
          </w:tcPr>
          <w:p w14:paraId="398DFE91"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176BD293" w14:textId="77777777" w:rsidR="00000000" w:rsidRDefault="001F1B20">
            <w:pPr>
              <w:pStyle w:val="a3"/>
              <w:spacing w:before="0" w:beforeAutospacing="0" w:after="0" w:afterAutospacing="0"/>
              <w:rPr>
                <w:sz w:val="18"/>
                <w:szCs w:val="18"/>
              </w:rPr>
            </w:pPr>
            <w:r>
              <w:rPr>
                <w:sz w:val="18"/>
                <w:szCs w:val="18"/>
              </w:rPr>
              <w:t> </w:t>
            </w:r>
          </w:p>
        </w:tc>
        <w:tc>
          <w:tcPr>
            <w:tcW w:w="393" w:type="pct"/>
            <w:shd w:val="clear" w:color="auto" w:fill="CCEEFF"/>
            <w:noWrap/>
            <w:tcMar>
              <w:top w:w="0" w:type="dxa"/>
              <w:left w:w="0" w:type="dxa"/>
              <w:bottom w:w="0" w:type="dxa"/>
              <w:right w:w="0" w:type="dxa"/>
            </w:tcMar>
            <w:vAlign w:val="bottom"/>
            <w:hideMark/>
          </w:tcPr>
          <w:p w14:paraId="1E7A1956" w14:textId="77777777" w:rsidR="00000000" w:rsidRDefault="001F1B20">
            <w:pPr>
              <w:pStyle w:val="a3"/>
              <w:spacing w:before="0" w:beforeAutospacing="0" w:after="0" w:afterAutospacing="0"/>
              <w:jc w:val="right"/>
              <w:rPr>
                <w:sz w:val="18"/>
                <w:szCs w:val="18"/>
              </w:rPr>
            </w:pPr>
            <w:r>
              <w:rPr>
                <w:sz w:val="18"/>
                <w:szCs w:val="18"/>
              </w:rPr>
              <w:t>(76,615)</w:t>
            </w:r>
          </w:p>
        </w:tc>
        <w:tc>
          <w:tcPr>
            <w:tcW w:w="100" w:type="pct"/>
            <w:shd w:val="clear" w:color="auto" w:fill="CCEEFF"/>
            <w:noWrap/>
            <w:tcMar>
              <w:top w:w="0" w:type="dxa"/>
              <w:left w:w="0" w:type="dxa"/>
              <w:bottom w:w="0" w:type="dxa"/>
              <w:right w:w="0" w:type="dxa"/>
            </w:tcMar>
            <w:vAlign w:val="bottom"/>
            <w:hideMark/>
          </w:tcPr>
          <w:p w14:paraId="4D2ABA1B" w14:textId="77777777" w:rsidR="00000000" w:rsidRDefault="001F1B2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7B326AAF" w14:textId="77777777" w:rsidR="00000000" w:rsidRDefault="001F1B20">
            <w:pPr>
              <w:pStyle w:val="a3"/>
              <w:spacing w:before="0" w:beforeAutospacing="0" w:after="0" w:afterAutospacing="0"/>
              <w:rPr>
                <w:sz w:val="18"/>
                <w:szCs w:val="18"/>
              </w:rPr>
            </w:pPr>
            <w:r>
              <w:rPr>
                <w:sz w:val="18"/>
                <w:szCs w:val="18"/>
              </w:rPr>
              <w:t> </w:t>
            </w:r>
          </w:p>
        </w:tc>
        <w:tc>
          <w:tcPr>
            <w:tcW w:w="392" w:type="pct"/>
            <w:shd w:val="clear" w:color="auto" w:fill="CCEEFF"/>
            <w:noWrap/>
            <w:tcMar>
              <w:top w:w="0" w:type="dxa"/>
              <w:left w:w="0" w:type="dxa"/>
              <w:bottom w:w="0" w:type="dxa"/>
              <w:right w:w="0" w:type="dxa"/>
            </w:tcMar>
            <w:vAlign w:val="bottom"/>
            <w:hideMark/>
          </w:tcPr>
          <w:p w14:paraId="5833A359" w14:textId="77777777" w:rsidR="00000000" w:rsidRDefault="001F1B20">
            <w:pPr>
              <w:pStyle w:val="a3"/>
              <w:spacing w:before="0" w:beforeAutospacing="0" w:after="0" w:afterAutospacing="0"/>
              <w:jc w:val="right"/>
              <w:rPr>
                <w:sz w:val="18"/>
                <w:szCs w:val="18"/>
              </w:rPr>
            </w:pPr>
            <w:r>
              <w:rPr>
                <w:sz w:val="18"/>
                <w:szCs w:val="18"/>
              </w:rPr>
              <w:t>(201,617)</w:t>
            </w:r>
          </w:p>
        </w:tc>
        <w:tc>
          <w:tcPr>
            <w:tcW w:w="100" w:type="pct"/>
            <w:shd w:val="clear" w:color="auto" w:fill="CCEEFF"/>
            <w:noWrap/>
            <w:tcMar>
              <w:top w:w="0" w:type="dxa"/>
              <w:left w:w="0" w:type="dxa"/>
              <w:bottom w:w="0" w:type="dxa"/>
              <w:right w:w="0" w:type="dxa"/>
            </w:tcMar>
            <w:vAlign w:val="bottom"/>
            <w:hideMark/>
          </w:tcPr>
          <w:p w14:paraId="500E7D33"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56E5EEA2" w14:textId="77777777" w:rsidR="00000000" w:rsidRDefault="001F1B20">
            <w:pPr>
              <w:pStyle w:val="a3"/>
              <w:spacing w:before="0" w:beforeAutospacing="0" w:after="0" w:afterAutospacing="0"/>
              <w:rPr>
                <w:sz w:val="18"/>
                <w:szCs w:val="18"/>
              </w:rPr>
            </w:pPr>
            <w:r>
              <w:rPr>
                <w:sz w:val="18"/>
                <w:szCs w:val="18"/>
              </w:rPr>
              <w:t> </w:t>
            </w:r>
          </w:p>
        </w:tc>
        <w:tc>
          <w:tcPr>
            <w:tcW w:w="392" w:type="pct"/>
            <w:shd w:val="clear" w:color="auto" w:fill="CCEEFF"/>
            <w:noWrap/>
            <w:tcMar>
              <w:top w:w="0" w:type="dxa"/>
              <w:left w:w="0" w:type="dxa"/>
              <w:bottom w:w="0" w:type="dxa"/>
              <w:right w:w="0" w:type="dxa"/>
            </w:tcMar>
            <w:vAlign w:val="bottom"/>
            <w:hideMark/>
          </w:tcPr>
          <w:p w14:paraId="4E00A646" w14:textId="77777777" w:rsidR="00000000" w:rsidRDefault="001F1B20">
            <w:pPr>
              <w:pStyle w:val="a3"/>
              <w:spacing w:before="0" w:beforeAutospacing="0" w:after="0" w:afterAutospacing="0"/>
              <w:jc w:val="right"/>
              <w:rPr>
                <w:sz w:val="18"/>
                <w:szCs w:val="18"/>
              </w:rPr>
            </w:pPr>
            <w:r>
              <w:rPr>
                <w:sz w:val="18"/>
                <w:szCs w:val="18"/>
              </w:rPr>
              <w:t>(221,267)</w:t>
            </w:r>
          </w:p>
        </w:tc>
      </w:tr>
      <w:tr w:rsidR="00000000" w14:paraId="6043780A" w14:textId="77777777">
        <w:trPr>
          <w:divId w:val="950480115"/>
        </w:trPr>
        <w:tc>
          <w:tcPr>
            <w:tcW w:w="2774" w:type="pct"/>
            <w:tcMar>
              <w:top w:w="0" w:type="dxa"/>
              <w:left w:w="0" w:type="dxa"/>
              <w:bottom w:w="0" w:type="dxa"/>
              <w:right w:w="0" w:type="dxa"/>
            </w:tcMar>
            <w:vAlign w:val="bottom"/>
            <w:hideMark/>
          </w:tcPr>
          <w:p w14:paraId="7FD0941A" w14:textId="77777777" w:rsidR="00000000" w:rsidRDefault="001F1B20">
            <w:pPr>
              <w:pStyle w:val="a3"/>
              <w:spacing w:before="0" w:beforeAutospacing="0" w:after="0" w:afterAutospacing="0"/>
              <w:rPr>
                <w:sz w:val="18"/>
                <w:szCs w:val="18"/>
              </w:rPr>
            </w:pPr>
            <w:r>
              <w:rPr>
                <w:sz w:val="18"/>
                <w:szCs w:val="18"/>
              </w:rPr>
              <w:t>Income from investment in TRC, LLC</w:t>
            </w:r>
          </w:p>
        </w:tc>
        <w:tc>
          <w:tcPr>
            <w:tcW w:w="100" w:type="pct"/>
            <w:noWrap/>
            <w:tcMar>
              <w:top w:w="0" w:type="dxa"/>
              <w:left w:w="0" w:type="dxa"/>
              <w:bottom w:w="0" w:type="dxa"/>
              <w:right w:w="0" w:type="dxa"/>
            </w:tcMar>
            <w:vAlign w:val="bottom"/>
            <w:hideMark/>
          </w:tcPr>
          <w:p w14:paraId="7FCE9F3B"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34BF88F4"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32F5CF7C" w14:textId="77777777" w:rsidR="00000000" w:rsidRDefault="001F1B20">
            <w:pPr>
              <w:pStyle w:val="a3"/>
              <w:spacing w:before="0" w:beforeAutospacing="0" w:after="0" w:afterAutospacing="0"/>
              <w:ind w:right="60"/>
              <w:jc w:val="right"/>
              <w:rPr>
                <w:sz w:val="18"/>
                <w:szCs w:val="18"/>
              </w:rPr>
            </w:pPr>
            <w:r>
              <w:rPr>
                <w:sz w:val="18"/>
                <w:szCs w:val="18"/>
              </w:rPr>
              <w:t>30,208</w:t>
            </w:r>
          </w:p>
        </w:tc>
        <w:tc>
          <w:tcPr>
            <w:tcW w:w="100" w:type="pct"/>
            <w:noWrap/>
            <w:tcMar>
              <w:top w:w="0" w:type="dxa"/>
              <w:left w:w="0" w:type="dxa"/>
              <w:bottom w:w="0" w:type="dxa"/>
              <w:right w:w="0" w:type="dxa"/>
            </w:tcMar>
            <w:vAlign w:val="bottom"/>
            <w:hideMark/>
          </w:tcPr>
          <w:p w14:paraId="1B258F88"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0B0012D3" w14:textId="77777777" w:rsidR="00000000" w:rsidRDefault="001F1B20">
            <w:pPr>
              <w:pStyle w:val="a3"/>
              <w:spacing w:before="0" w:beforeAutospacing="0" w:after="0" w:afterAutospacing="0"/>
              <w:rPr>
                <w:sz w:val="20"/>
                <w:szCs w:val="20"/>
              </w:rPr>
            </w:pPr>
            <w:r>
              <w:rPr>
                <w:sz w:val="18"/>
                <w:szCs w:val="18"/>
              </w:rPr>
              <w:t>​</w:t>
            </w:r>
          </w:p>
        </w:tc>
        <w:tc>
          <w:tcPr>
            <w:tcW w:w="393" w:type="pct"/>
            <w:noWrap/>
            <w:tcMar>
              <w:top w:w="0" w:type="dxa"/>
              <w:left w:w="0" w:type="dxa"/>
              <w:bottom w:w="0" w:type="dxa"/>
              <w:right w:w="0" w:type="dxa"/>
            </w:tcMar>
            <w:vAlign w:val="bottom"/>
            <w:hideMark/>
          </w:tcPr>
          <w:p w14:paraId="1CDEE7E5" w14:textId="77777777" w:rsidR="00000000" w:rsidRDefault="001F1B20">
            <w:pPr>
              <w:pStyle w:val="a3"/>
              <w:spacing w:before="0" w:beforeAutospacing="0" w:after="0" w:afterAutospacing="0"/>
              <w:ind w:right="60"/>
              <w:jc w:val="right"/>
              <w:rPr>
                <w:sz w:val="18"/>
                <w:szCs w:val="18"/>
              </w:rPr>
            </w:pPr>
            <w:r>
              <w:rPr>
                <w:sz w:val="18"/>
                <w:szCs w:val="18"/>
              </w:rPr>
              <w:t>13,403</w:t>
            </w:r>
          </w:p>
        </w:tc>
        <w:tc>
          <w:tcPr>
            <w:tcW w:w="100" w:type="pct"/>
            <w:noWrap/>
            <w:tcMar>
              <w:top w:w="0" w:type="dxa"/>
              <w:left w:w="0" w:type="dxa"/>
              <w:bottom w:w="0" w:type="dxa"/>
              <w:right w:w="0" w:type="dxa"/>
            </w:tcMar>
            <w:vAlign w:val="bottom"/>
            <w:hideMark/>
          </w:tcPr>
          <w:p w14:paraId="2E72FB5B" w14:textId="77777777" w:rsidR="00000000" w:rsidRDefault="001F1B2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0C21B09F"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03818015" w14:textId="77777777" w:rsidR="00000000" w:rsidRDefault="001F1B20">
            <w:pPr>
              <w:pStyle w:val="a3"/>
              <w:spacing w:before="0" w:beforeAutospacing="0" w:after="0" w:afterAutospacing="0"/>
              <w:ind w:right="60"/>
              <w:jc w:val="right"/>
              <w:rPr>
                <w:sz w:val="18"/>
                <w:szCs w:val="18"/>
              </w:rPr>
            </w:pPr>
            <w:r>
              <w:rPr>
                <w:sz w:val="18"/>
                <w:szCs w:val="18"/>
              </w:rPr>
              <w:t>68,681</w:t>
            </w:r>
          </w:p>
        </w:tc>
        <w:tc>
          <w:tcPr>
            <w:tcW w:w="100" w:type="pct"/>
            <w:noWrap/>
            <w:tcMar>
              <w:top w:w="0" w:type="dxa"/>
              <w:left w:w="0" w:type="dxa"/>
              <w:bottom w:w="0" w:type="dxa"/>
              <w:right w:w="0" w:type="dxa"/>
            </w:tcMar>
            <w:vAlign w:val="bottom"/>
            <w:hideMark/>
          </w:tcPr>
          <w:p w14:paraId="1A1B6193"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277B03DE"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35502FB8" w14:textId="77777777" w:rsidR="00000000" w:rsidRDefault="001F1B20">
            <w:pPr>
              <w:pStyle w:val="a3"/>
              <w:spacing w:before="0" w:beforeAutospacing="0" w:after="0" w:afterAutospacing="0"/>
              <w:ind w:right="60"/>
              <w:jc w:val="right"/>
              <w:rPr>
                <w:sz w:val="18"/>
                <w:szCs w:val="18"/>
              </w:rPr>
            </w:pPr>
            <w:r>
              <w:rPr>
                <w:sz w:val="18"/>
                <w:szCs w:val="18"/>
              </w:rPr>
              <w:t>48,299</w:t>
            </w:r>
          </w:p>
        </w:tc>
      </w:tr>
      <w:tr w:rsidR="00000000" w14:paraId="3A5B50F8" w14:textId="77777777">
        <w:trPr>
          <w:divId w:val="950480115"/>
        </w:trPr>
        <w:tc>
          <w:tcPr>
            <w:tcW w:w="2774" w:type="pct"/>
            <w:shd w:val="clear" w:color="auto" w:fill="CCEEFF"/>
            <w:noWrap/>
            <w:tcMar>
              <w:top w:w="0" w:type="dxa"/>
              <w:left w:w="0" w:type="dxa"/>
              <w:bottom w:w="0" w:type="dxa"/>
              <w:right w:w="0" w:type="dxa"/>
            </w:tcMar>
            <w:vAlign w:val="bottom"/>
            <w:hideMark/>
          </w:tcPr>
          <w:p w14:paraId="1760FB71" w14:textId="77777777" w:rsidR="00000000" w:rsidRDefault="001F1B20">
            <w:pPr>
              <w:pStyle w:val="a3"/>
              <w:spacing w:before="0" w:beforeAutospacing="0" w:after="0" w:afterAutospacing="0"/>
              <w:rPr>
                <w:sz w:val="18"/>
                <w:szCs w:val="18"/>
              </w:rPr>
            </w:pPr>
            <w:r>
              <w:rPr>
                <w:sz w:val="18"/>
                <w:szCs w:val="18"/>
              </w:rPr>
              <w:t>Interest expense</w:t>
            </w:r>
          </w:p>
        </w:tc>
        <w:tc>
          <w:tcPr>
            <w:tcW w:w="100" w:type="pct"/>
            <w:shd w:val="clear" w:color="auto" w:fill="CCEEFF"/>
            <w:noWrap/>
            <w:tcMar>
              <w:top w:w="0" w:type="dxa"/>
              <w:left w:w="0" w:type="dxa"/>
              <w:bottom w:w="0" w:type="dxa"/>
              <w:right w:w="0" w:type="dxa"/>
            </w:tcMar>
            <w:vAlign w:val="bottom"/>
            <w:hideMark/>
          </w:tcPr>
          <w:p w14:paraId="7E9ACF6D"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14147D57"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71192614" w14:textId="77777777" w:rsidR="00000000" w:rsidRDefault="001F1B20">
            <w:pPr>
              <w:pStyle w:val="a3"/>
              <w:spacing w:before="0" w:beforeAutospacing="0" w:after="0" w:afterAutospacing="0"/>
              <w:jc w:val="right"/>
              <w:rPr>
                <w:sz w:val="18"/>
                <w:szCs w:val="18"/>
              </w:rPr>
            </w:pPr>
            <w:r>
              <w:rPr>
                <w:sz w:val="18"/>
                <w:szCs w:val="18"/>
              </w:rPr>
              <w:t>(11,742)</w:t>
            </w:r>
          </w:p>
        </w:tc>
        <w:tc>
          <w:tcPr>
            <w:tcW w:w="100" w:type="pct"/>
            <w:shd w:val="clear" w:color="auto" w:fill="CCEEFF"/>
            <w:noWrap/>
            <w:tcMar>
              <w:top w:w="0" w:type="dxa"/>
              <w:left w:w="0" w:type="dxa"/>
              <w:bottom w:w="0" w:type="dxa"/>
              <w:right w:w="0" w:type="dxa"/>
            </w:tcMar>
            <w:vAlign w:val="bottom"/>
            <w:hideMark/>
          </w:tcPr>
          <w:p w14:paraId="6CD6C54C"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065BF484" w14:textId="77777777" w:rsidR="00000000" w:rsidRDefault="001F1B20">
            <w:pPr>
              <w:pStyle w:val="a3"/>
              <w:spacing w:before="0" w:beforeAutospacing="0" w:after="0" w:afterAutospacing="0"/>
              <w:rPr>
                <w:sz w:val="20"/>
                <w:szCs w:val="20"/>
              </w:rPr>
            </w:pPr>
            <w:r>
              <w:rPr>
                <w:sz w:val="18"/>
                <w:szCs w:val="18"/>
              </w:rPr>
              <w:t>​</w:t>
            </w:r>
          </w:p>
        </w:tc>
        <w:tc>
          <w:tcPr>
            <w:tcW w:w="393" w:type="pct"/>
            <w:shd w:val="clear" w:color="auto" w:fill="CCEEFF"/>
            <w:noWrap/>
            <w:tcMar>
              <w:top w:w="0" w:type="dxa"/>
              <w:left w:w="0" w:type="dxa"/>
              <w:bottom w:w="0" w:type="dxa"/>
              <w:right w:w="0" w:type="dxa"/>
            </w:tcMar>
            <w:vAlign w:val="bottom"/>
            <w:hideMark/>
          </w:tcPr>
          <w:p w14:paraId="10C021D4" w14:textId="77777777" w:rsidR="00000000" w:rsidRDefault="001F1B20">
            <w:pPr>
              <w:pStyle w:val="a3"/>
              <w:spacing w:before="0" w:beforeAutospacing="0" w:after="0" w:afterAutospacing="0"/>
              <w:jc w:val="right"/>
              <w:rPr>
                <w:sz w:val="18"/>
                <w:szCs w:val="18"/>
              </w:rPr>
            </w:pPr>
            <w:r>
              <w:rPr>
                <w:sz w:val="18"/>
                <w:szCs w:val="18"/>
              </w:rPr>
              <w:t>(11,573)</w:t>
            </w:r>
          </w:p>
        </w:tc>
        <w:tc>
          <w:tcPr>
            <w:tcW w:w="100" w:type="pct"/>
            <w:shd w:val="clear" w:color="auto" w:fill="CCEEFF"/>
            <w:noWrap/>
            <w:tcMar>
              <w:top w:w="0" w:type="dxa"/>
              <w:left w:w="0" w:type="dxa"/>
              <w:bottom w:w="0" w:type="dxa"/>
              <w:right w:w="0" w:type="dxa"/>
            </w:tcMar>
            <w:vAlign w:val="bottom"/>
            <w:hideMark/>
          </w:tcPr>
          <w:p w14:paraId="35DE8C7F" w14:textId="77777777" w:rsidR="00000000" w:rsidRDefault="001F1B2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35C0ACBE"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3BAFCF3D" w14:textId="77777777" w:rsidR="00000000" w:rsidRDefault="001F1B20">
            <w:pPr>
              <w:pStyle w:val="a3"/>
              <w:spacing w:before="0" w:beforeAutospacing="0" w:after="0" w:afterAutospacing="0"/>
              <w:jc w:val="right"/>
              <w:rPr>
                <w:sz w:val="18"/>
                <w:szCs w:val="18"/>
              </w:rPr>
            </w:pPr>
            <w:r>
              <w:rPr>
                <w:sz w:val="18"/>
                <w:szCs w:val="18"/>
              </w:rPr>
              <w:t>(35,227)</w:t>
            </w:r>
          </w:p>
        </w:tc>
        <w:tc>
          <w:tcPr>
            <w:tcW w:w="100" w:type="pct"/>
            <w:shd w:val="clear" w:color="auto" w:fill="CCEEFF"/>
            <w:noWrap/>
            <w:tcMar>
              <w:top w:w="0" w:type="dxa"/>
              <w:left w:w="0" w:type="dxa"/>
              <w:bottom w:w="0" w:type="dxa"/>
              <w:right w:w="0" w:type="dxa"/>
            </w:tcMar>
            <w:vAlign w:val="bottom"/>
            <w:hideMark/>
          </w:tcPr>
          <w:p w14:paraId="62AE254F"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4DDA32D9"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46DD7EEE" w14:textId="77777777" w:rsidR="00000000" w:rsidRDefault="001F1B20">
            <w:pPr>
              <w:pStyle w:val="a3"/>
              <w:spacing w:before="0" w:beforeAutospacing="0" w:after="0" w:afterAutospacing="0"/>
              <w:jc w:val="right"/>
              <w:rPr>
                <w:sz w:val="18"/>
                <w:szCs w:val="18"/>
              </w:rPr>
            </w:pPr>
            <w:r>
              <w:rPr>
                <w:sz w:val="18"/>
                <w:szCs w:val="18"/>
              </w:rPr>
              <w:t>(32,905)</w:t>
            </w:r>
          </w:p>
        </w:tc>
      </w:tr>
      <w:tr w:rsidR="00000000" w14:paraId="503C8A0B" w14:textId="77777777">
        <w:trPr>
          <w:divId w:val="950480115"/>
        </w:trPr>
        <w:tc>
          <w:tcPr>
            <w:tcW w:w="2774" w:type="pct"/>
            <w:noWrap/>
            <w:tcMar>
              <w:top w:w="0" w:type="dxa"/>
              <w:left w:w="0" w:type="dxa"/>
              <w:bottom w:w="0" w:type="dxa"/>
              <w:right w:w="0" w:type="dxa"/>
            </w:tcMar>
            <w:vAlign w:val="bottom"/>
            <w:hideMark/>
          </w:tcPr>
          <w:p w14:paraId="5C3E1222" w14:textId="77777777" w:rsidR="00000000" w:rsidRDefault="001F1B20">
            <w:pPr>
              <w:pStyle w:val="a3"/>
              <w:spacing w:before="0" w:beforeAutospacing="0" w:after="0" w:afterAutospacing="0"/>
              <w:rPr>
                <w:sz w:val="18"/>
                <w:szCs w:val="18"/>
              </w:rPr>
            </w:pPr>
            <w:r>
              <w:rPr>
                <w:sz w:val="18"/>
                <w:szCs w:val="18"/>
              </w:rPr>
              <w:t>Loss on extinguishment of debt</w:t>
            </w:r>
          </w:p>
        </w:tc>
        <w:tc>
          <w:tcPr>
            <w:tcW w:w="100" w:type="pct"/>
            <w:noWrap/>
            <w:tcMar>
              <w:top w:w="0" w:type="dxa"/>
              <w:left w:w="0" w:type="dxa"/>
              <w:bottom w:w="0" w:type="dxa"/>
              <w:right w:w="0" w:type="dxa"/>
            </w:tcMar>
            <w:vAlign w:val="bottom"/>
            <w:hideMark/>
          </w:tcPr>
          <w:p w14:paraId="544A8C99"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4B00B926"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75CBD266" w14:textId="77777777" w:rsidR="00000000" w:rsidRDefault="001F1B20">
            <w:pPr>
              <w:pStyle w:val="a3"/>
              <w:spacing w:before="0" w:beforeAutospacing="0" w:after="0" w:afterAutospacing="0"/>
              <w:ind w:right="60"/>
              <w:jc w:val="right"/>
              <w:rPr>
                <w:sz w:val="18"/>
                <w:szCs w:val="18"/>
              </w:rPr>
            </w:pPr>
            <w:r>
              <w:rPr>
                <w:sz w:val="18"/>
                <w:szCs w:val="18"/>
              </w:rPr>
              <w:t>—</w:t>
            </w:r>
          </w:p>
        </w:tc>
        <w:tc>
          <w:tcPr>
            <w:tcW w:w="100" w:type="pct"/>
            <w:noWrap/>
            <w:tcMar>
              <w:top w:w="0" w:type="dxa"/>
              <w:left w:w="0" w:type="dxa"/>
              <w:bottom w:w="0" w:type="dxa"/>
              <w:right w:w="0" w:type="dxa"/>
            </w:tcMar>
            <w:vAlign w:val="bottom"/>
            <w:hideMark/>
          </w:tcPr>
          <w:p w14:paraId="27538CF7"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4B53A796" w14:textId="77777777" w:rsidR="00000000" w:rsidRDefault="001F1B20">
            <w:pPr>
              <w:pStyle w:val="a3"/>
              <w:spacing w:before="0" w:beforeAutospacing="0" w:after="0" w:afterAutospacing="0"/>
              <w:rPr>
                <w:sz w:val="20"/>
                <w:szCs w:val="20"/>
              </w:rPr>
            </w:pPr>
            <w:r>
              <w:rPr>
                <w:sz w:val="18"/>
                <w:szCs w:val="18"/>
              </w:rPr>
              <w:t>​</w:t>
            </w:r>
          </w:p>
        </w:tc>
        <w:tc>
          <w:tcPr>
            <w:tcW w:w="393" w:type="pct"/>
            <w:noWrap/>
            <w:tcMar>
              <w:top w:w="0" w:type="dxa"/>
              <w:left w:w="0" w:type="dxa"/>
              <w:bottom w:w="0" w:type="dxa"/>
              <w:right w:w="0" w:type="dxa"/>
            </w:tcMar>
            <w:vAlign w:val="bottom"/>
            <w:hideMark/>
          </w:tcPr>
          <w:p w14:paraId="635106BF" w14:textId="77777777" w:rsidR="00000000" w:rsidRDefault="001F1B20">
            <w:pPr>
              <w:pStyle w:val="a3"/>
              <w:spacing w:before="0" w:beforeAutospacing="0" w:after="0" w:afterAutospacing="0"/>
              <w:ind w:right="60"/>
              <w:jc w:val="right"/>
              <w:rPr>
                <w:sz w:val="18"/>
                <w:szCs w:val="18"/>
              </w:rPr>
            </w:pPr>
            <w:r>
              <w:rPr>
                <w:sz w:val="18"/>
                <w:szCs w:val="18"/>
              </w:rPr>
              <w:t>—</w:t>
            </w:r>
          </w:p>
        </w:tc>
        <w:tc>
          <w:tcPr>
            <w:tcW w:w="100" w:type="pct"/>
            <w:noWrap/>
            <w:tcMar>
              <w:top w:w="0" w:type="dxa"/>
              <w:left w:w="0" w:type="dxa"/>
              <w:bottom w:w="0" w:type="dxa"/>
              <w:right w:w="0" w:type="dxa"/>
            </w:tcMar>
            <w:vAlign w:val="bottom"/>
            <w:hideMark/>
          </w:tcPr>
          <w:p w14:paraId="367CC4C0" w14:textId="77777777" w:rsidR="00000000" w:rsidRDefault="001F1B2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6B94BAC9"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43CEA456" w14:textId="77777777" w:rsidR="00000000" w:rsidRDefault="001F1B20">
            <w:pPr>
              <w:pStyle w:val="a3"/>
              <w:spacing w:before="0" w:beforeAutospacing="0" w:after="0" w:afterAutospacing="0"/>
              <w:ind w:right="60"/>
              <w:jc w:val="right"/>
              <w:rPr>
                <w:sz w:val="18"/>
                <w:szCs w:val="18"/>
              </w:rPr>
            </w:pPr>
            <w:r>
              <w:rPr>
                <w:sz w:val="18"/>
                <w:szCs w:val="18"/>
              </w:rPr>
              <w:t>—</w:t>
            </w:r>
          </w:p>
        </w:tc>
        <w:tc>
          <w:tcPr>
            <w:tcW w:w="100" w:type="pct"/>
            <w:noWrap/>
            <w:tcMar>
              <w:top w:w="0" w:type="dxa"/>
              <w:left w:w="0" w:type="dxa"/>
              <w:bottom w:w="0" w:type="dxa"/>
              <w:right w:w="0" w:type="dxa"/>
            </w:tcMar>
            <w:vAlign w:val="bottom"/>
            <w:hideMark/>
          </w:tcPr>
          <w:p w14:paraId="69833FB2"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6B2F824D"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18A6C0BB" w14:textId="77777777" w:rsidR="00000000" w:rsidRDefault="001F1B20">
            <w:pPr>
              <w:pStyle w:val="a3"/>
              <w:spacing w:before="0" w:beforeAutospacing="0" w:after="0" w:afterAutospacing="0"/>
              <w:jc w:val="right"/>
              <w:rPr>
                <w:sz w:val="18"/>
                <w:szCs w:val="18"/>
              </w:rPr>
            </w:pPr>
            <w:r>
              <w:rPr>
                <w:sz w:val="18"/>
                <w:szCs w:val="18"/>
              </w:rPr>
              <w:t>(15,464)</w:t>
            </w:r>
          </w:p>
        </w:tc>
      </w:tr>
      <w:tr w:rsidR="00000000" w14:paraId="7CD37FA9" w14:textId="77777777">
        <w:trPr>
          <w:divId w:val="950480115"/>
        </w:trPr>
        <w:tc>
          <w:tcPr>
            <w:tcW w:w="2774" w:type="pct"/>
            <w:shd w:val="clear" w:color="auto" w:fill="CCEEFF"/>
            <w:tcMar>
              <w:top w:w="0" w:type="dxa"/>
              <w:left w:w="0" w:type="dxa"/>
              <w:bottom w:w="0" w:type="dxa"/>
              <w:right w:w="0" w:type="dxa"/>
            </w:tcMar>
            <w:vAlign w:val="bottom"/>
            <w:hideMark/>
          </w:tcPr>
          <w:p w14:paraId="3D88A61B" w14:textId="77777777" w:rsidR="00000000" w:rsidRDefault="001F1B20">
            <w:pPr>
              <w:pStyle w:val="a3"/>
              <w:spacing w:before="0" w:beforeAutospacing="0" w:after="0" w:afterAutospacing="0"/>
              <w:rPr>
                <w:sz w:val="18"/>
                <w:szCs w:val="18"/>
              </w:rPr>
            </w:pPr>
            <w:r>
              <w:rPr>
                <w:sz w:val="18"/>
                <w:szCs w:val="18"/>
              </w:rPr>
              <w:t>Interest and other income (expense), net</w:t>
            </w:r>
          </w:p>
        </w:tc>
        <w:tc>
          <w:tcPr>
            <w:tcW w:w="100" w:type="pct"/>
            <w:shd w:val="clear" w:color="auto" w:fill="CCEEFF"/>
            <w:noWrap/>
            <w:tcMar>
              <w:top w:w="0" w:type="dxa"/>
              <w:left w:w="0" w:type="dxa"/>
              <w:bottom w:w="0" w:type="dxa"/>
              <w:right w:w="0" w:type="dxa"/>
            </w:tcMar>
            <w:vAlign w:val="bottom"/>
            <w:hideMark/>
          </w:tcPr>
          <w:p w14:paraId="3E59390B"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7FEE2FA9" w14:textId="77777777" w:rsidR="00000000" w:rsidRDefault="001F1B20">
            <w:pPr>
              <w:pStyle w:val="a3"/>
              <w:spacing w:before="0" w:beforeAutospacing="0" w:after="0" w:afterAutospacing="0"/>
              <w:rPr>
                <w:sz w:val="18"/>
                <w:szCs w:val="18"/>
              </w:rPr>
            </w:pPr>
            <w:r>
              <w:rPr>
                <w:sz w:val="18"/>
                <w:szCs w:val="18"/>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14:paraId="6FA77056" w14:textId="77777777" w:rsidR="00000000" w:rsidRDefault="001F1B20">
            <w:pPr>
              <w:pStyle w:val="a3"/>
              <w:spacing w:before="0" w:beforeAutospacing="0" w:after="0" w:afterAutospacing="0"/>
              <w:jc w:val="right"/>
              <w:rPr>
                <w:sz w:val="18"/>
                <w:szCs w:val="18"/>
              </w:rPr>
            </w:pPr>
            <w:r>
              <w:rPr>
                <w:sz w:val="18"/>
                <w:szCs w:val="18"/>
              </w:rPr>
              <w:t>(166)</w:t>
            </w:r>
          </w:p>
        </w:tc>
        <w:tc>
          <w:tcPr>
            <w:tcW w:w="100" w:type="pct"/>
            <w:shd w:val="clear" w:color="auto" w:fill="CCEEFF"/>
            <w:noWrap/>
            <w:tcMar>
              <w:top w:w="0" w:type="dxa"/>
              <w:left w:w="0" w:type="dxa"/>
              <w:bottom w:w="0" w:type="dxa"/>
              <w:right w:w="0" w:type="dxa"/>
            </w:tcMar>
            <w:vAlign w:val="bottom"/>
            <w:hideMark/>
          </w:tcPr>
          <w:p w14:paraId="058D7C85"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1FEEB5BD" w14:textId="77777777" w:rsidR="00000000" w:rsidRDefault="001F1B20">
            <w:pPr>
              <w:pStyle w:val="a3"/>
              <w:spacing w:before="0" w:beforeAutospacing="0" w:after="0" w:afterAutospacing="0"/>
              <w:rPr>
                <w:sz w:val="18"/>
                <w:szCs w:val="18"/>
              </w:rPr>
            </w:pPr>
            <w:r>
              <w:rPr>
                <w:sz w:val="18"/>
                <w:szCs w:val="18"/>
              </w:rPr>
              <w:t> </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14:paraId="23BEC8B6" w14:textId="77777777" w:rsidR="00000000" w:rsidRDefault="001F1B20">
            <w:pPr>
              <w:pStyle w:val="a3"/>
              <w:spacing w:before="0" w:beforeAutospacing="0" w:after="0" w:afterAutospacing="0"/>
              <w:ind w:right="60"/>
              <w:jc w:val="right"/>
              <w:rPr>
                <w:sz w:val="18"/>
                <w:szCs w:val="18"/>
              </w:rPr>
            </w:pPr>
            <w:r>
              <w:rPr>
                <w:sz w:val="18"/>
                <w:szCs w:val="18"/>
              </w:rPr>
              <w:t>1,235</w:t>
            </w:r>
          </w:p>
        </w:tc>
        <w:tc>
          <w:tcPr>
            <w:tcW w:w="100" w:type="pct"/>
            <w:shd w:val="clear" w:color="auto" w:fill="CCEEFF"/>
            <w:noWrap/>
            <w:tcMar>
              <w:top w:w="0" w:type="dxa"/>
              <w:left w:w="0" w:type="dxa"/>
              <w:bottom w:w="0" w:type="dxa"/>
              <w:right w:w="0" w:type="dxa"/>
            </w:tcMar>
            <w:vAlign w:val="bottom"/>
            <w:hideMark/>
          </w:tcPr>
          <w:p w14:paraId="6926B8AB" w14:textId="77777777" w:rsidR="00000000" w:rsidRDefault="001F1B2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0D876E10" w14:textId="77777777" w:rsidR="00000000" w:rsidRDefault="001F1B20">
            <w:pPr>
              <w:pStyle w:val="a3"/>
              <w:spacing w:before="0" w:beforeAutospacing="0" w:after="0" w:afterAutospacing="0"/>
              <w:rPr>
                <w:sz w:val="20"/>
                <w:szCs w:val="20"/>
              </w:rPr>
            </w:pPr>
            <w:r>
              <w:rPr>
                <w:sz w:val="18"/>
                <w:szCs w:val="18"/>
              </w:rPr>
              <w:t>​</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14:paraId="1F960B8B" w14:textId="77777777" w:rsidR="00000000" w:rsidRDefault="001F1B20">
            <w:pPr>
              <w:pStyle w:val="a3"/>
              <w:spacing w:before="0" w:beforeAutospacing="0" w:after="0" w:afterAutospacing="0"/>
              <w:ind w:right="60"/>
              <w:jc w:val="right"/>
              <w:rPr>
                <w:sz w:val="18"/>
                <w:szCs w:val="18"/>
              </w:rPr>
            </w:pPr>
            <w:r>
              <w:rPr>
                <w:sz w:val="18"/>
                <w:szCs w:val="18"/>
              </w:rPr>
              <w:t>771</w:t>
            </w:r>
          </w:p>
        </w:tc>
        <w:tc>
          <w:tcPr>
            <w:tcW w:w="100" w:type="pct"/>
            <w:shd w:val="clear" w:color="auto" w:fill="CCEEFF"/>
            <w:noWrap/>
            <w:tcMar>
              <w:top w:w="0" w:type="dxa"/>
              <w:left w:w="0" w:type="dxa"/>
              <w:bottom w:w="0" w:type="dxa"/>
              <w:right w:w="0" w:type="dxa"/>
            </w:tcMar>
            <w:vAlign w:val="bottom"/>
            <w:hideMark/>
          </w:tcPr>
          <w:p w14:paraId="5A45A205"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3C658171" w14:textId="77777777" w:rsidR="00000000" w:rsidRDefault="001F1B20">
            <w:pPr>
              <w:pStyle w:val="a3"/>
              <w:spacing w:before="0" w:beforeAutospacing="0" w:after="0" w:afterAutospacing="0"/>
              <w:rPr>
                <w:sz w:val="20"/>
                <w:szCs w:val="20"/>
              </w:rPr>
            </w:pPr>
            <w:r>
              <w:rPr>
                <w:sz w:val="18"/>
                <w:szCs w:val="18"/>
              </w:rPr>
              <w:t>​</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14:paraId="1D23ADE9" w14:textId="77777777" w:rsidR="00000000" w:rsidRDefault="001F1B20">
            <w:pPr>
              <w:pStyle w:val="a3"/>
              <w:spacing w:before="0" w:beforeAutospacing="0" w:after="0" w:afterAutospacing="0"/>
              <w:ind w:right="60"/>
              <w:jc w:val="right"/>
              <w:rPr>
                <w:sz w:val="18"/>
                <w:szCs w:val="18"/>
              </w:rPr>
            </w:pPr>
            <w:r>
              <w:rPr>
                <w:sz w:val="18"/>
                <w:szCs w:val="18"/>
              </w:rPr>
              <w:t>2,033</w:t>
            </w:r>
          </w:p>
        </w:tc>
      </w:tr>
      <w:tr w:rsidR="00000000" w14:paraId="3D8BD766" w14:textId="77777777">
        <w:trPr>
          <w:divId w:val="950480115"/>
        </w:trPr>
        <w:tc>
          <w:tcPr>
            <w:tcW w:w="2774" w:type="pct"/>
            <w:tcMar>
              <w:top w:w="0" w:type="dxa"/>
              <w:left w:w="0" w:type="dxa"/>
              <w:bottom w:w="0" w:type="dxa"/>
              <w:right w:w="0" w:type="dxa"/>
            </w:tcMar>
            <w:vAlign w:val="bottom"/>
            <w:hideMark/>
          </w:tcPr>
          <w:p w14:paraId="58D56330" w14:textId="77777777" w:rsidR="00000000" w:rsidRDefault="001F1B20">
            <w:pPr>
              <w:pStyle w:val="a3"/>
              <w:spacing w:before="0" w:beforeAutospacing="0" w:after="0" w:afterAutospacing="0"/>
              <w:rPr>
                <w:sz w:val="18"/>
                <w:szCs w:val="18"/>
              </w:rPr>
            </w:pPr>
            <w:r>
              <w:rPr>
                <w:sz w:val="18"/>
                <w:szCs w:val="18"/>
              </w:rPr>
              <w:t xml:space="preserve">Loss before income taxes </w:t>
            </w:r>
          </w:p>
        </w:tc>
        <w:tc>
          <w:tcPr>
            <w:tcW w:w="100" w:type="pct"/>
            <w:noWrap/>
            <w:tcMar>
              <w:top w:w="0" w:type="dxa"/>
              <w:left w:w="0" w:type="dxa"/>
              <w:bottom w:w="0" w:type="dxa"/>
              <w:right w:w="0" w:type="dxa"/>
            </w:tcMar>
            <w:vAlign w:val="bottom"/>
            <w:hideMark/>
          </w:tcPr>
          <w:p w14:paraId="0D4B1EC1"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15E77E53" w14:textId="77777777" w:rsidR="00000000" w:rsidRDefault="001F1B20">
            <w:pPr>
              <w:pStyle w:val="a3"/>
              <w:spacing w:before="0" w:beforeAutospacing="0" w:after="0" w:afterAutospacing="0"/>
              <w:rPr>
                <w:sz w:val="18"/>
                <w:szCs w:val="18"/>
              </w:rPr>
            </w:pPr>
            <w:r>
              <w:rPr>
                <w:sz w:val="18"/>
                <w:szCs w:val="18"/>
              </w:rPr>
              <w:t> </w:t>
            </w:r>
          </w:p>
        </w:tc>
        <w:tc>
          <w:tcPr>
            <w:tcW w:w="392" w:type="pct"/>
            <w:noWrap/>
            <w:tcMar>
              <w:top w:w="0" w:type="dxa"/>
              <w:left w:w="0" w:type="dxa"/>
              <w:bottom w:w="0" w:type="dxa"/>
              <w:right w:w="0" w:type="dxa"/>
            </w:tcMar>
            <w:vAlign w:val="bottom"/>
            <w:hideMark/>
          </w:tcPr>
          <w:p w14:paraId="6CE5F012" w14:textId="77777777" w:rsidR="00000000" w:rsidRDefault="001F1B20">
            <w:pPr>
              <w:pStyle w:val="a3"/>
              <w:spacing w:before="0" w:beforeAutospacing="0" w:after="0" w:afterAutospacing="0"/>
              <w:jc w:val="right"/>
              <w:rPr>
                <w:sz w:val="18"/>
                <w:szCs w:val="18"/>
              </w:rPr>
            </w:pPr>
            <w:r>
              <w:rPr>
                <w:sz w:val="18"/>
                <w:szCs w:val="18"/>
              </w:rPr>
              <w:t>(35,315)</w:t>
            </w:r>
          </w:p>
        </w:tc>
        <w:tc>
          <w:tcPr>
            <w:tcW w:w="100" w:type="pct"/>
            <w:noWrap/>
            <w:tcMar>
              <w:top w:w="0" w:type="dxa"/>
              <w:left w:w="0" w:type="dxa"/>
              <w:bottom w:w="0" w:type="dxa"/>
              <w:right w:w="0" w:type="dxa"/>
            </w:tcMar>
            <w:vAlign w:val="bottom"/>
            <w:hideMark/>
          </w:tcPr>
          <w:p w14:paraId="4C37CC0A"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139B6BE2" w14:textId="77777777" w:rsidR="00000000" w:rsidRDefault="001F1B20">
            <w:pPr>
              <w:pStyle w:val="a3"/>
              <w:spacing w:before="0" w:beforeAutospacing="0" w:after="0" w:afterAutospacing="0"/>
              <w:rPr>
                <w:sz w:val="18"/>
                <w:szCs w:val="18"/>
              </w:rPr>
            </w:pPr>
            <w:r>
              <w:rPr>
                <w:sz w:val="18"/>
                <w:szCs w:val="18"/>
              </w:rPr>
              <w:t> </w:t>
            </w:r>
          </w:p>
        </w:tc>
        <w:tc>
          <w:tcPr>
            <w:tcW w:w="393" w:type="pct"/>
            <w:noWrap/>
            <w:tcMar>
              <w:top w:w="0" w:type="dxa"/>
              <w:left w:w="0" w:type="dxa"/>
              <w:bottom w:w="0" w:type="dxa"/>
              <w:right w:w="0" w:type="dxa"/>
            </w:tcMar>
            <w:vAlign w:val="bottom"/>
            <w:hideMark/>
          </w:tcPr>
          <w:p w14:paraId="4C86852F" w14:textId="77777777" w:rsidR="00000000" w:rsidRDefault="001F1B20">
            <w:pPr>
              <w:pStyle w:val="a3"/>
              <w:spacing w:before="0" w:beforeAutospacing="0" w:after="0" w:afterAutospacing="0"/>
              <w:jc w:val="right"/>
              <w:rPr>
                <w:sz w:val="18"/>
                <w:szCs w:val="18"/>
              </w:rPr>
            </w:pPr>
            <w:r>
              <w:rPr>
                <w:sz w:val="18"/>
                <w:szCs w:val="18"/>
              </w:rPr>
              <w:t>(73,550)</w:t>
            </w:r>
          </w:p>
        </w:tc>
        <w:tc>
          <w:tcPr>
            <w:tcW w:w="100" w:type="pct"/>
            <w:noWrap/>
            <w:tcMar>
              <w:top w:w="0" w:type="dxa"/>
              <w:left w:w="0" w:type="dxa"/>
              <w:bottom w:w="0" w:type="dxa"/>
              <w:right w:w="0" w:type="dxa"/>
            </w:tcMar>
            <w:vAlign w:val="bottom"/>
            <w:hideMark/>
          </w:tcPr>
          <w:p w14:paraId="5FB02BDF" w14:textId="77777777" w:rsidR="00000000" w:rsidRDefault="001F1B2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048FF503" w14:textId="77777777" w:rsidR="00000000" w:rsidRDefault="001F1B20">
            <w:pPr>
              <w:pStyle w:val="a3"/>
              <w:spacing w:before="0" w:beforeAutospacing="0" w:after="0" w:afterAutospacing="0"/>
              <w:rPr>
                <w:sz w:val="18"/>
                <w:szCs w:val="18"/>
              </w:rPr>
            </w:pPr>
            <w:r>
              <w:rPr>
                <w:sz w:val="18"/>
                <w:szCs w:val="18"/>
              </w:rPr>
              <w:t> </w:t>
            </w:r>
          </w:p>
        </w:tc>
        <w:tc>
          <w:tcPr>
            <w:tcW w:w="392" w:type="pct"/>
            <w:noWrap/>
            <w:tcMar>
              <w:top w:w="0" w:type="dxa"/>
              <w:left w:w="0" w:type="dxa"/>
              <w:bottom w:w="0" w:type="dxa"/>
              <w:right w:w="0" w:type="dxa"/>
            </w:tcMar>
            <w:vAlign w:val="bottom"/>
            <w:hideMark/>
          </w:tcPr>
          <w:p w14:paraId="21B73641" w14:textId="77777777" w:rsidR="00000000" w:rsidRDefault="001F1B20">
            <w:pPr>
              <w:pStyle w:val="a3"/>
              <w:spacing w:before="0" w:beforeAutospacing="0" w:after="0" w:afterAutospacing="0"/>
              <w:jc w:val="right"/>
              <w:rPr>
                <w:sz w:val="18"/>
                <w:szCs w:val="18"/>
              </w:rPr>
            </w:pPr>
            <w:r>
              <w:rPr>
                <w:sz w:val="18"/>
                <w:szCs w:val="18"/>
              </w:rPr>
              <w:t>(167,392)</w:t>
            </w:r>
          </w:p>
        </w:tc>
        <w:tc>
          <w:tcPr>
            <w:tcW w:w="100" w:type="pct"/>
            <w:noWrap/>
            <w:tcMar>
              <w:top w:w="0" w:type="dxa"/>
              <w:left w:w="0" w:type="dxa"/>
              <w:bottom w:w="0" w:type="dxa"/>
              <w:right w:w="0" w:type="dxa"/>
            </w:tcMar>
            <w:vAlign w:val="bottom"/>
            <w:hideMark/>
          </w:tcPr>
          <w:p w14:paraId="0CA91E01"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4EF0BD4A" w14:textId="77777777" w:rsidR="00000000" w:rsidRDefault="001F1B20">
            <w:pPr>
              <w:pStyle w:val="a3"/>
              <w:spacing w:before="0" w:beforeAutospacing="0" w:after="0" w:afterAutospacing="0"/>
              <w:rPr>
                <w:sz w:val="18"/>
                <w:szCs w:val="18"/>
              </w:rPr>
            </w:pPr>
            <w:r>
              <w:rPr>
                <w:sz w:val="18"/>
                <w:szCs w:val="18"/>
              </w:rPr>
              <w:t> </w:t>
            </w:r>
          </w:p>
        </w:tc>
        <w:tc>
          <w:tcPr>
            <w:tcW w:w="392" w:type="pct"/>
            <w:noWrap/>
            <w:tcMar>
              <w:top w:w="0" w:type="dxa"/>
              <w:left w:w="0" w:type="dxa"/>
              <w:bottom w:w="0" w:type="dxa"/>
              <w:right w:w="0" w:type="dxa"/>
            </w:tcMar>
            <w:vAlign w:val="bottom"/>
            <w:hideMark/>
          </w:tcPr>
          <w:p w14:paraId="049AB12E" w14:textId="77777777" w:rsidR="00000000" w:rsidRDefault="001F1B20">
            <w:pPr>
              <w:pStyle w:val="a3"/>
              <w:spacing w:before="0" w:beforeAutospacing="0" w:after="0" w:afterAutospacing="0"/>
              <w:jc w:val="right"/>
              <w:rPr>
                <w:sz w:val="18"/>
                <w:szCs w:val="18"/>
              </w:rPr>
            </w:pPr>
            <w:r>
              <w:rPr>
                <w:sz w:val="18"/>
                <w:szCs w:val="18"/>
              </w:rPr>
              <w:t>(219,304)</w:t>
            </w:r>
          </w:p>
        </w:tc>
      </w:tr>
      <w:tr w:rsidR="00000000" w14:paraId="3D7F166A" w14:textId="77777777">
        <w:trPr>
          <w:divId w:val="950480115"/>
        </w:trPr>
        <w:tc>
          <w:tcPr>
            <w:tcW w:w="2774" w:type="pct"/>
            <w:shd w:val="clear" w:color="auto" w:fill="CCEEFF"/>
            <w:tcMar>
              <w:top w:w="0" w:type="dxa"/>
              <w:left w:w="0" w:type="dxa"/>
              <w:bottom w:w="0" w:type="dxa"/>
              <w:right w:w="0" w:type="dxa"/>
            </w:tcMar>
            <w:vAlign w:val="bottom"/>
            <w:hideMark/>
          </w:tcPr>
          <w:p w14:paraId="38D34BE8" w14:textId="77777777" w:rsidR="00000000" w:rsidRDefault="001F1B20">
            <w:pPr>
              <w:pStyle w:val="a3"/>
              <w:spacing w:before="0" w:beforeAutospacing="0" w:after="0" w:afterAutospacing="0"/>
              <w:rPr>
                <w:sz w:val="18"/>
                <w:szCs w:val="18"/>
              </w:rPr>
            </w:pPr>
            <w:r>
              <w:rPr>
                <w:sz w:val="18"/>
                <w:szCs w:val="18"/>
              </w:rPr>
              <w:t>Provision for income tax benefit (expense)</w:t>
            </w:r>
          </w:p>
        </w:tc>
        <w:tc>
          <w:tcPr>
            <w:tcW w:w="100" w:type="pct"/>
            <w:shd w:val="clear" w:color="auto" w:fill="CCEEFF"/>
            <w:noWrap/>
            <w:tcMar>
              <w:top w:w="0" w:type="dxa"/>
              <w:left w:w="0" w:type="dxa"/>
              <w:bottom w:w="0" w:type="dxa"/>
              <w:right w:w="0" w:type="dxa"/>
            </w:tcMar>
            <w:vAlign w:val="bottom"/>
            <w:hideMark/>
          </w:tcPr>
          <w:p w14:paraId="1D13D3AF"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1CAC903B" w14:textId="77777777" w:rsidR="00000000" w:rsidRDefault="001F1B20">
            <w:pPr>
              <w:pStyle w:val="a3"/>
              <w:spacing w:before="0" w:beforeAutospacing="0" w:after="0" w:afterAutospacing="0"/>
              <w:rPr>
                <w:sz w:val="18"/>
                <w:szCs w:val="18"/>
              </w:rPr>
            </w:pPr>
            <w:r>
              <w:rPr>
                <w:sz w:val="18"/>
                <w:szCs w:val="18"/>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14:paraId="2325EEFE" w14:textId="77777777" w:rsidR="00000000" w:rsidRDefault="001F1B20">
            <w:pPr>
              <w:pStyle w:val="a3"/>
              <w:spacing w:before="0" w:beforeAutospacing="0" w:after="0" w:afterAutospacing="0"/>
              <w:ind w:right="60"/>
              <w:jc w:val="right"/>
              <w:rPr>
                <w:sz w:val="18"/>
                <w:szCs w:val="18"/>
              </w:rPr>
            </w:pPr>
            <w:r>
              <w:rPr>
                <w:sz w:val="18"/>
                <w:szCs w:val="18"/>
              </w:rPr>
              <w:t>7</w:t>
            </w:r>
          </w:p>
        </w:tc>
        <w:tc>
          <w:tcPr>
            <w:tcW w:w="100" w:type="pct"/>
            <w:shd w:val="clear" w:color="auto" w:fill="CCEEFF"/>
            <w:noWrap/>
            <w:tcMar>
              <w:top w:w="0" w:type="dxa"/>
              <w:left w:w="0" w:type="dxa"/>
              <w:bottom w:w="0" w:type="dxa"/>
              <w:right w:w="0" w:type="dxa"/>
            </w:tcMar>
            <w:vAlign w:val="bottom"/>
            <w:hideMark/>
          </w:tcPr>
          <w:p w14:paraId="014E4BA9"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33B94D84" w14:textId="77777777" w:rsidR="00000000" w:rsidRDefault="001F1B20">
            <w:pPr>
              <w:pStyle w:val="a3"/>
              <w:spacing w:before="0" w:beforeAutospacing="0" w:after="0" w:afterAutospacing="0"/>
              <w:rPr>
                <w:sz w:val="18"/>
                <w:szCs w:val="18"/>
              </w:rPr>
            </w:pPr>
            <w:r>
              <w:rPr>
                <w:sz w:val="18"/>
                <w:szCs w:val="18"/>
              </w:rPr>
              <w:t> </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14:paraId="66DF807E" w14:textId="77777777" w:rsidR="00000000" w:rsidRDefault="001F1B20">
            <w:pPr>
              <w:pStyle w:val="a3"/>
              <w:spacing w:before="0" w:beforeAutospacing="0" w:after="0" w:afterAutospacing="0"/>
              <w:jc w:val="right"/>
              <w:rPr>
                <w:sz w:val="18"/>
                <w:szCs w:val="18"/>
              </w:rPr>
            </w:pPr>
            <w:r>
              <w:rPr>
                <w:sz w:val="18"/>
                <w:szCs w:val="18"/>
              </w:rPr>
              <w:t>(93)</w:t>
            </w:r>
          </w:p>
        </w:tc>
        <w:tc>
          <w:tcPr>
            <w:tcW w:w="100" w:type="pct"/>
            <w:shd w:val="clear" w:color="auto" w:fill="CCEEFF"/>
            <w:noWrap/>
            <w:tcMar>
              <w:top w:w="0" w:type="dxa"/>
              <w:left w:w="0" w:type="dxa"/>
              <w:bottom w:w="0" w:type="dxa"/>
              <w:right w:w="0" w:type="dxa"/>
            </w:tcMar>
            <w:vAlign w:val="bottom"/>
            <w:hideMark/>
          </w:tcPr>
          <w:p w14:paraId="27514851" w14:textId="77777777" w:rsidR="00000000" w:rsidRDefault="001F1B2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745001D2" w14:textId="77777777" w:rsidR="00000000" w:rsidRDefault="001F1B20">
            <w:pPr>
              <w:pStyle w:val="a3"/>
              <w:spacing w:before="0" w:beforeAutospacing="0" w:after="0" w:afterAutospacing="0"/>
              <w:rPr>
                <w:sz w:val="20"/>
                <w:szCs w:val="20"/>
              </w:rPr>
            </w:pPr>
            <w:r>
              <w:rPr>
                <w:sz w:val="18"/>
                <w:szCs w:val="18"/>
              </w:rPr>
              <w:t>​</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14:paraId="3C62D08C" w14:textId="77777777" w:rsidR="00000000" w:rsidRDefault="001F1B20">
            <w:pPr>
              <w:pStyle w:val="a3"/>
              <w:spacing w:before="0" w:beforeAutospacing="0" w:after="0"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14:paraId="35E75D0F"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07E9C5E5" w14:textId="77777777" w:rsidR="00000000" w:rsidRDefault="001F1B20">
            <w:pPr>
              <w:pStyle w:val="a3"/>
              <w:spacing w:before="0" w:beforeAutospacing="0" w:after="0" w:afterAutospacing="0"/>
              <w:rPr>
                <w:sz w:val="20"/>
                <w:szCs w:val="20"/>
              </w:rPr>
            </w:pPr>
            <w:r>
              <w:rPr>
                <w:sz w:val="18"/>
                <w:szCs w:val="18"/>
              </w:rPr>
              <w:t>​</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14:paraId="2E599392" w14:textId="77777777" w:rsidR="00000000" w:rsidRDefault="001F1B20">
            <w:pPr>
              <w:pStyle w:val="a3"/>
              <w:spacing w:before="0" w:beforeAutospacing="0" w:after="0" w:afterAutospacing="0"/>
              <w:jc w:val="right"/>
              <w:rPr>
                <w:sz w:val="18"/>
                <w:szCs w:val="18"/>
              </w:rPr>
            </w:pPr>
            <w:r>
              <w:rPr>
                <w:sz w:val="18"/>
                <w:szCs w:val="18"/>
              </w:rPr>
              <w:t>(279)</w:t>
            </w:r>
          </w:p>
        </w:tc>
      </w:tr>
      <w:tr w:rsidR="00000000" w14:paraId="6B69BB11" w14:textId="77777777">
        <w:trPr>
          <w:divId w:val="950480115"/>
        </w:trPr>
        <w:tc>
          <w:tcPr>
            <w:tcW w:w="2774" w:type="pct"/>
            <w:tcMar>
              <w:top w:w="0" w:type="dxa"/>
              <w:left w:w="0" w:type="dxa"/>
              <w:bottom w:w="0" w:type="dxa"/>
              <w:right w:w="0" w:type="dxa"/>
            </w:tcMar>
            <w:vAlign w:val="bottom"/>
            <w:hideMark/>
          </w:tcPr>
          <w:p w14:paraId="4F8BBA32" w14:textId="77777777" w:rsidR="00000000" w:rsidRDefault="001F1B20">
            <w:pPr>
              <w:pStyle w:val="a3"/>
              <w:spacing w:before="0" w:beforeAutospacing="0" w:after="0" w:afterAutospacing="0"/>
              <w:rPr>
                <w:sz w:val="18"/>
                <w:szCs w:val="18"/>
              </w:rPr>
            </w:pPr>
            <w:r>
              <w:rPr>
                <w:sz w:val="18"/>
                <w:szCs w:val="18"/>
              </w:rPr>
              <w:t>Net loss</w:t>
            </w:r>
            <w:r>
              <w:rPr>
                <w:sz w:val="18"/>
                <w:szCs w:val="18"/>
              </w:rPr>
              <w:t xml:space="preserve"> </w:t>
            </w:r>
          </w:p>
        </w:tc>
        <w:tc>
          <w:tcPr>
            <w:tcW w:w="100" w:type="pct"/>
            <w:noWrap/>
            <w:tcMar>
              <w:top w:w="0" w:type="dxa"/>
              <w:left w:w="0" w:type="dxa"/>
              <w:bottom w:w="0" w:type="dxa"/>
              <w:right w:w="0" w:type="dxa"/>
            </w:tcMar>
            <w:vAlign w:val="bottom"/>
            <w:hideMark/>
          </w:tcPr>
          <w:p w14:paraId="3E72FA43"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14:paraId="5BF7BDF8" w14:textId="77777777" w:rsidR="00000000" w:rsidRDefault="001F1B20">
            <w:pPr>
              <w:pStyle w:val="a3"/>
              <w:spacing w:before="0" w:beforeAutospacing="0" w:after="0" w:afterAutospacing="0"/>
              <w:rPr>
                <w:sz w:val="18"/>
                <w:szCs w:val="18"/>
              </w:rPr>
            </w:pPr>
            <w:r>
              <w:rPr>
                <w:sz w:val="18"/>
                <w:szCs w:val="18"/>
              </w:rPr>
              <w:t>$</w:t>
            </w:r>
          </w:p>
        </w:tc>
        <w:tc>
          <w:tcPr>
            <w:tcW w:w="392" w:type="pct"/>
            <w:tcBorders>
              <w:bottom w:val="double" w:sz="6" w:space="0" w:color="000000"/>
            </w:tcBorders>
            <w:noWrap/>
            <w:tcMar>
              <w:top w:w="0" w:type="dxa"/>
              <w:left w:w="0" w:type="dxa"/>
              <w:bottom w:w="0" w:type="dxa"/>
              <w:right w:w="0" w:type="dxa"/>
            </w:tcMar>
            <w:vAlign w:val="bottom"/>
            <w:hideMark/>
          </w:tcPr>
          <w:p w14:paraId="4A3FC6EF" w14:textId="77777777" w:rsidR="00000000" w:rsidRDefault="001F1B20">
            <w:pPr>
              <w:pStyle w:val="a3"/>
              <w:spacing w:before="0" w:beforeAutospacing="0" w:after="0" w:afterAutospacing="0"/>
              <w:jc w:val="right"/>
              <w:rPr>
                <w:sz w:val="18"/>
                <w:szCs w:val="18"/>
              </w:rPr>
            </w:pPr>
            <w:r>
              <w:rPr>
                <w:sz w:val="18"/>
                <w:szCs w:val="18"/>
              </w:rPr>
              <w:t>(35,308)</w:t>
            </w:r>
          </w:p>
        </w:tc>
        <w:tc>
          <w:tcPr>
            <w:tcW w:w="100" w:type="pct"/>
            <w:noWrap/>
            <w:tcMar>
              <w:top w:w="0" w:type="dxa"/>
              <w:left w:w="0" w:type="dxa"/>
              <w:bottom w:w="0" w:type="dxa"/>
              <w:right w:w="0" w:type="dxa"/>
            </w:tcMar>
            <w:vAlign w:val="bottom"/>
            <w:hideMark/>
          </w:tcPr>
          <w:p w14:paraId="0BBF91A0"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14:paraId="4F424F96" w14:textId="77777777" w:rsidR="00000000" w:rsidRDefault="001F1B20">
            <w:pPr>
              <w:pStyle w:val="a3"/>
              <w:spacing w:before="0" w:beforeAutospacing="0" w:after="0" w:afterAutospacing="0"/>
              <w:rPr>
                <w:sz w:val="18"/>
                <w:szCs w:val="18"/>
              </w:rPr>
            </w:pPr>
            <w:r>
              <w:rPr>
                <w:sz w:val="18"/>
                <w:szCs w:val="18"/>
              </w:rPr>
              <w:t>$</w:t>
            </w:r>
          </w:p>
        </w:tc>
        <w:tc>
          <w:tcPr>
            <w:tcW w:w="393" w:type="pct"/>
            <w:tcBorders>
              <w:bottom w:val="double" w:sz="6" w:space="0" w:color="000000"/>
            </w:tcBorders>
            <w:noWrap/>
            <w:tcMar>
              <w:top w:w="0" w:type="dxa"/>
              <w:left w:w="0" w:type="dxa"/>
              <w:bottom w:w="0" w:type="dxa"/>
              <w:right w:w="0" w:type="dxa"/>
            </w:tcMar>
            <w:vAlign w:val="bottom"/>
            <w:hideMark/>
          </w:tcPr>
          <w:p w14:paraId="3DF40AA1" w14:textId="77777777" w:rsidR="00000000" w:rsidRDefault="001F1B20">
            <w:pPr>
              <w:pStyle w:val="a3"/>
              <w:spacing w:before="0" w:beforeAutospacing="0" w:after="0" w:afterAutospacing="0"/>
              <w:jc w:val="right"/>
              <w:rPr>
                <w:sz w:val="18"/>
                <w:szCs w:val="18"/>
              </w:rPr>
            </w:pPr>
            <w:r>
              <w:rPr>
                <w:sz w:val="18"/>
                <w:szCs w:val="18"/>
              </w:rPr>
              <w:t>(73,643)</w:t>
            </w:r>
          </w:p>
        </w:tc>
        <w:tc>
          <w:tcPr>
            <w:tcW w:w="100" w:type="pct"/>
            <w:noWrap/>
            <w:tcMar>
              <w:top w:w="0" w:type="dxa"/>
              <w:left w:w="0" w:type="dxa"/>
              <w:bottom w:w="0" w:type="dxa"/>
              <w:right w:w="0" w:type="dxa"/>
            </w:tcMar>
            <w:vAlign w:val="bottom"/>
            <w:hideMark/>
          </w:tcPr>
          <w:p w14:paraId="564893DC" w14:textId="77777777" w:rsidR="00000000" w:rsidRDefault="001F1B20">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14:paraId="395D42CD" w14:textId="77777777" w:rsidR="00000000" w:rsidRDefault="001F1B20">
            <w:pPr>
              <w:pStyle w:val="a3"/>
              <w:spacing w:before="0" w:beforeAutospacing="0" w:after="0" w:afterAutospacing="0"/>
              <w:rPr>
                <w:sz w:val="18"/>
                <w:szCs w:val="18"/>
              </w:rPr>
            </w:pPr>
            <w:r>
              <w:rPr>
                <w:sz w:val="18"/>
                <w:szCs w:val="18"/>
              </w:rPr>
              <w:t>$</w:t>
            </w:r>
          </w:p>
        </w:tc>
        <w:tc>
          <w:tcPr>
            <w:tcW w:w="392" w:type="pct"/>
            <w:tcBorders>
              <w:bottom w:val="double" w:sz="6" w:space="0" w:color="000000"/>
            </w:tcBorders>
            <w:noWrap/>
            <w:tcMar>
              <w:top w:w="0" w:type="dxa"/>
              <w:left w:w="0" w:type="dxa"/>
              <w:bottom w:w="0" w:type="dxa"/>
              <w:right w:w="0" w:type="dxa"/>
            </w:tcMar>
            <w:vAlign w:val="bottom"/>
            <w:hideMark/>
          </w:tcPr>
          <w:p w14:paraId="49D8912F" w14:textId="77777777" w:rsidR="00000000" w:rsidRDefault="001F1B20">
            <w:pPr>
              <w:pStyle w:val="a3"/>
              <w:spacing w:before="0" w:beforeAutospacing="0" w:after="0" w:afterAutospacing="0"/>
              <w:jc w:val="right"/>
              <w:rPr>
                <w:sz w:val="18"/>
                <w:szCs w:val="18"/>
              </w:rPr>
            </w:pPr>
            <w:r>
              <w:rPr>
                <w:sz w:val="18"/>
                <w:szCs w:val="18"/>
              </w:rPr>
              <w:t>(167,392)</w:t>
            </w:r>
          </w:p>
        </w:tc>
        <w:tc>
          <w:tcPr>
            <w:tcW w:w="100" w:type="pct"/>
            <w:noWrap/>
            <w:tcMar>
              <w:top w:w="0" w:type="dxa"/>
              <w:left w:w="0" w:type="dxa"/>
              <w:bottom w:w="0" w:type="dxa"/>
              <w:right w:w="0" w:type="dxa"/>
            </w:tcMar>
            <w:vAlign w:val="bottom"/>
            <w:hideMark/>
          </w:tcPr>
          <w:p w14:paraId="14468255"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14:paraId="7002AA94" w14:textId="77777777" w:rsidR="00000000" w:rsidRDefault="001F1B20">
            <w:pPr>
              <w:pStyle w:val="a3"/>
              <w:spacing w:before="0" w:beforeAutospacing="0" w:after="0" w:afterAutospacing="0"/>
              <w:rPr>
                <w:sz w:val="18"/>
                <w:szCs w:val="18"/>
              </w:rPr>
            </w:pPr>
            <w:r>
              <w:rPr>
                <w:sz w:val="18"/>
                <w:szCs w:val="18"/>
              </w:rPr>
              <w:t>$</w:t>
            </w:r>
          </w:p>
        </w:tc>
        <w:tc>
          <w:tcPr>
            <w:tcW w:w="392" w:type="pct"/>
            <w:tcBorders>
              <w:bottom w:val="double" w:sz="6" w:space="0" w:color="000000"/>
            </w:tcBorders>
            <w:noWrap/>
            <w:tcMar>
              <w:top w:w="0" w:type="dxa"/>
              <w:left w:w="0" w:type="dxa"/>
              <w:bottom w:w="0" w:type="dxa"/>
              <w:right w:w="0" w:type="dxa"/>
            </w:tcMar>
            <w:vAlign w:val="bottom"/>
            <w:hideMark/>
          </w:tcPr>
          <w:p w14:paraId="3156D658" w14:textId="77777777" w:rsidR="00000000" w:rsidRDefault="001F1B20">
            <w:pPr>
              <w:pStyle w:val="a3"/>
              <w:spacing w:before="0" w:beforeAutospacing="0" w:after="0" w:afterAutospacing="0"/>
              <w:jc w:val="right"/>
              <w:rPr>
                <w:sz w:val="18"/>
                <w:szCs w:val="18"/>
              </w:rPr>
            </w:pPr>
            <w:r>
              <w:rPr>
                <w:sz w:val="18"/>
                <w:szCs w:val="18"/>
              </w:rPr>
              <w:t>(219,583)</w:t>
            </w:r>
          </w:p>
        </w:tc>
      </w:tr>
      <w:tr w:rsidR="00000000" w14:paraId="348C8613" w14:textId="77777777">
        <w:trPr>
          <w:divId w:val="950480115"/>
        </w:trPr>
        <w:tc>
          <w:tcPr>
            <w:tcW w:w="2774" w:type="pct"/>
            <w:shd w:val="clear" w:color="auto" w:fill="CCEEFF"/>
            <w:tcMar>
              <w:top w:w="0" w:type="dxa"/>
              <w:left w:w="0" w:type="dxa"/>
              <w:bottom w:w="0" w:type="dxa"/>
              <w:right w:w="0" w:type="dxa"/>
            </w:tcMar>
            <w:vAlign w:val="bottom"/>
            <w:hideMark/>
          </w:tcPr>
          <w:p w14:paraId="523A77DB" w14:textId="77777777" w:rsidR="00000000" w:rsidRDefault="001F1B20">
            <w:pPr>
              <w:pStyle w:val="a3"/>
              <w:spacing w:before="0" w:beforeAutospacing="0" w:after="0" w:afterAutospacing="0"/>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14:paraId="2814EFFD"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4647982C"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43A5B2F7" w14:textId="77777777" w:rsidR="00000000" w:rsidRDefault="001F1B20">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14:paraId="46CF858C"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22432134" w14:textId="77777777" w:rsidR="00000000" w:rsidRDefault="001F1B20">
            <w:pPr>
              <w:pStyle w:val="a3"/>
              <w:spacing w:before="0" w:beforeAutospacing="0" w:after="0" w:afterAutospacing="0"/>
              <w:rPr>
                <w:sz w:val="20"/>
                <w:szCs w:val="20"/>
              </w:rPr>
            </w:pPr>
            <w:r>
              <w:rPr>
                <w:sz w:val="18"/>
                <w:szCs w:val="18"/>
              </w:rPr>
              <w:t>​</w:t>
            </w:r>
          </w:p>
        </w:tc>
        <w:tc>
          <w:tcPr>
            <w:tcW w:w="393" w:type="pct"/>
            <w:shd w:val="clear" w:color="auto" w:fill="CCEEFF"/>
            <w:noWrap/>
            <w:tcMar>
              <w:top w:w="0" w:type="dxa"/>
              <w:left w:w="0" w:type="dxa"/>
              <w:bottom w:w="0" w:type="dxa"/>
              <w:right w:w="0" w:type="dxa"/>
            </w:tcMar>
            <w:vAlign w:val="bottom"/>
            <w:hideMark/>
          </w:tcPr>
          <w:p w14:paraId="045D9D76" w14:textId="77777777" w:rsidR="00000000" w:rsidRDefault="001F1B20">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14:paraId="166E7BFB" w14:textId="77777777" w:rsidR="00000000" w:rsidRDefault="001F1B2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279703EF"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677EA0B1" w14:textId="77777777" w:rsidR="00000000" w:rsidRDefault="001F1B20">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14:paraId="7FE7A154"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74251D75"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4EE7FAC7" w14:textId="77777777" w:rsidR="00000000" w:rsidRDefault="001F1B20">
            <w:pPr>
              <w:pStyle w:val="a3"/>
              <w:spacing w:before="0" w:beforeAutospacing="0" w:after="0" w:afterAutospacing="0"/>
              <w:jc w:val="right"/>
              <w:rPr>
                <w:sz w:val="20"/>
                <w:szCs w:val="20"/>
              </w:rPr>
            </w:pPr>
            <w:r>
              <w:rPr>
                <w:sz w:val="18"/>
                <w:szCs w:val="18"/>
              </w:rPr>
              <w:t>​</w:t>
            </w:r>
          </w:p>
        </w:tc>
      </w:tr>
      <w:tr w:rsidR="00000000" w14:paraId="73B8CB9F" w14:textId="77777777">
        <w:trPr>
          <w:divId w:val="950480115"/>
        </w:trPr>
        <w:tc>
          <w:tcPr>
            <w:tcW w:w="2774" w:type="pct"/>
            <w:tcMar>
              <w:top w:w="0" w:type="dxa"/>
              <w:left w:w="0" w:type="dxa"/>
              <w:bottom w:w="0" w:type="dxa"/>
              <w:right w:w="0" w:type="dxa"/>
            </w:tcMar>
            <w:vAlign w:val="bottom"/>
            <w:hideMark/>
          </w:tcPr>
          <w:p w14:paraId="0E006251" w14:textId="77777777" w:rsidR="00000000" w:rsidRDefault="001F1B20">
            <w:pPr>
              <w:pStyle w:val="a3"/>
              <w:spacing w:before="0" w:beforeAutospacing="0" w:after="0" w:afterAutospacing="0"/>
              <w:ind w:left="240"/>
              <w:rPr>
                <w:sz w:val="18"/>
                <w:szCs w:val="18"/>
              </w:rPr>
            </w:pPr>
            <w:r>
              <w:rPr>
                <w:sz w:val="18"/>
                <w:szCs w:val="18"/>
              </w:rPr>
              <w:t>Net unrealized gain (loss) on available-for-sale investments</w:t>
            </w:r>
          </w:p>
        </w:tc>
        <w:tc>
          <w:tcPr>
            <w:tcW w:w="100" w:type="pct"/>
            <w:noWrap/>
            <w:tcMar>
              <w:top w:w="0" w:type="dxa"/>
              <w:left w:w="0" w:type="dxa"/>
              <w:bottom w:w="0" w:type="dxa"/>
              <w:right w:w="0" w:type="dxa"/>
            </w:tcMar>
            <w:vAlign w:val="bottom"/>
            <w:hideMark/>
          </w:tcPr>
          <w:p w14:paraId="3FC887FB"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14:paraId="0B1577C3" w14:textId="77777777" w:rsidR="00000000" w:rsidRDefault="001F1B20">
            <w:pPr>
              <w:pStyle w:val="a3"/>
              <w:spacing w:before="0" w:beforeAutospacing="0" w:after="0" w:afterAutospacing="0"/>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14:paraId="51A02392" w14:textId="77777777" w:rsidR="00000000" w:rsidRDefault="001F1B20">
            <w:pPr>
              <w:pStyle w:val="a3"/>
              <w:spacing w:before="0" w:beforeAutospacing="0" w:after="0" w:afterAutospacing="0"/>
              <w:ind w:right="60"/>
              <w:jc w:val="right"/>
              <w:rPr>
                <w:sz w:val="18"/>
                <w:szCs w:val="18"/>
              </w:rPr>
            </w:pPr>
            <w:r>
              <w:rPr>
                <w:sz w:val="18"/>
                <w:szCs w:val="18"/>
              </w:rPr>
              <w:t>6</w:t>
            </w:r>
          </w:p>
        </w:tc>
        <w:tc>
          <w:tcPr>
            <w:tcW w:w="100" w:type="pct"/>
            <w:noWrap/>
            <w:tcMar>
              <w:top w:w="0" w:type="dxa"/>
              <w:left w:w="0" w:type="dxa"/>
              <w:bottom w:w="0" w:type="dxa"/>
              <w:right w:w="0" w:type="dxa"/>
            </w:tcMar>
            <w:vAlign w:val="bottom"/>
            <w:hideMark/>
          </w:tcPr>
          <w:p w14:paraId="07816691"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14:paraId="0A4889F1" w14:textId="77777777" w:rsidR="00000000" w:rsidRDefault="001F1B20">
            <w:pPr>
              <w:pStyle w:val="a3"/>
              <w:spacing w:before="0" w:beforeAutospacing="0" w:after="0" w:afterAutospacing="0"/>
              <w:rPr>
                <w:sz w:val="20"/>
                <w:szCs w:val="20"/>
              </w:rPr>
            </w:pPr>
            <w:r>
              <w:rPr>
                <w:sz w:val="18"/>
                <w:szCs w:val="18"/>
              </w:rPr>
              <w:t>​</w:t>
            </w:r>
          </w:p>
        </w:tc>
        <w:tc>
          <w:tcPr>
            <w:tcW w:w="393" w:type="pct"/>
            <w:tcBorders>
              <w:bottom w:val="single" w:sz="6" w:space="0" w:color="000000"/>
            </w:tcBorders>
            <w:noWrap/>
            <w:tcMar>
              <w:top w:w="0" w:type="dxa"/>
              <w:left w:w="0" w:type="dxa"/>
              <w:bottom w:w="0" w:type="dxa"/>
              <w:right w:w="0" w:type="dxa"/>
            </w:tcMar>
            <w:vAlign w:val="bottom"/>
            <w:hideMark/>
          </w:tcPr>
          <w:p w14:paraId="1BE09E0C" w14:textId="77777777" w:rsidR="00000000" w:rsidRDefault="001F1B20">
            <w:pPr>
              <w:pStyle w:val="a3"/>
              <w:spacing w:before="0" w:beforeAutospacing="0" w:after="0" w:afterAutospacing="0"/>
              <w:jc w:val="right"/>
              <w:rPr>
                <w:sz w:val="18"/>
                <w:szCs w:val="18"/>
              </w:rPr>
            </w:pPr>
            <w:r>
              <w:rPr>
                <w:sz w:val="18"/>
                <w:szCs w:val="18"/>
              </w:rPr>
              <w:t>(158)</w:t>
            </w:r>
          </w:p>
        </w:tc>
        <w:tc>
          <w:tcPr>
            <w:tcW w:w="100" w:type="pct"/>
            <w:noWrap/>
            <w:tcMar>
              <w:top w:w="0" w:type="dxa"/>
              <w:left w:w="0" w:type="dxa"/>
              <w:bottom w:w="0" w:type="dxa"/>
              <w:right w:w="0" w:type="dxa"/>
            </w:tcMar>
            <w:vAlign w:val="bottom"/>
            <w:hideMark/>
          </w:tcPr>
          <w:p w14:paraId="131BEE61" w14:textId="77777777" w:rsidR="00000000" w:rsidRDefault="001F1B2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14:paraId="3194C5AC" w14:textId="77777777" w:rsidR="00000000" w:rsidRDefault="001F1B20">
            <w:pPr>
              <w:pStyle w:val="a3"/>
              <w:spacing w:before="0" w:beforeAutospacing="0" w:after="0" w:afterAutospacing="0"/>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14:paraId="3370276F" w14:textId="77777777" w:rsidR="00000000" w:rsidRDefault="001F1B20">
            <w:pPr>
              <w:pStyle w:val="a3"/>
              <w:spacing w:before="0" w:beforeAutospacing="0" w:after="0" w:afterAutospacing="0"/>
              <w:jc w:val="right"/>
              <w:rPr>
                <w:sz w:val="18"/>
                <w:szCs w:val="18"/>
              </w:rPr>
            </w:pPr>
            <w:r>
              <w:rPr>
                <w:sz w:val="18"/>
                <w:szCs w:val="18"/>
              </w:rPr>
              <w:t>(33)</w:t>
            </w:r>
          </w:p>
        </w:tc>
        <w:tc>
          <w:tcPr>
            <w:tcW w:w="100" w:type="pct"/>
            <w:noWrap/>
            <w:tcMar>
              <w:top w:w="0" w:type="dxa"/>
              <w:left w:w="0" w:type="dxa"/>
              <w:bottom w:w="0" w:type="dxa"/>
              <w:right w:w="0" w:type="dxa"/>
            </w:tcMar>
            <w:vAlign w:val="bottom"/>
            <w:hideMark/>
          </w:tcPr>
          <w:p w14:paraId="70A59FE4"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14:paraId="1CF3F47A" w14:textId="77777777" w:rsidR="00000000" w:rsidRDefault="001F1B20">
            <w:pPr>
              <w:pStyle w:val="a3"/>
              <w:spacing w:before="0" w:beforeAutospacing="0" w:after="0" w:afterAutospacing="0"/>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14:paraId="55F6AF88" w14:textId="77777777" w:rsidR="00000000" w:rsidRDefault="001F1B20">
            <w:pPr>
              <w:pStyle w:val="a3"/>
              <w:spacing w:before="0" w:beforeAutospacing="0" w:after="0" w:afterAutospacing="0"/>
              <w:jc w:val="right"/>
              <w:rPr>
                <w:sz w:val="18"/>
                <w:szCs w:val="18"/>
              </w:rPr>
            </w:pPr>
            <w:r>
              <w:rPr>
                <w:sz w:val="18"/>
                <w:szCs w:val="18"/>
              </w:rPr>
              <w:t>(23)</w:t>
            </w:r>
          </w:p>
        </w:tc>
      </w:tr>
      <w:tr w:rsidR="00000000" w14:paraId="1BAFB0E9" w14:textId="77777777">
        <w:trPr>
          <w:divId w:val="950480115"/>
        </w:trPr>
        <w:tc>
          <w:tcPr>
            <w:tcW w:w="2774" w:type="pct"/>
            <w:shd w:val="clear" w:color="auto" w:fill="CCEEFF"/>
            <w:noWrap/>
            <w:tcMar>
              <w:top w:w="0" w:type="dxa"/>
              <w:left w:w="0" w:type="dxa"/>
              <w:bottom w:w="0" w:type="dxa"/>
              <w:right w:w="0" w:type="dxa"/>
            </w:tcMar>
            <w:vAlign w:val="bottom"/>
            <w:hideMark/>
          </w:tcPr>
          <w:p w14:paraId="13687D17" w14:textId="77777777" w:rsidR="00000000" w:rsidRDefault="001F1B20">
            <w:pPr>
              <w:pStyle w:val="a3"/>
              <w:spacing w:before="0" w:beforeAutospacing="0" w:after="0" w:afterAutospacing="0"/>
              <w:rPr>
                <w:sz w:val="18"/>
                <w:szCs w:val="18"/>
              </w:rPr>
            </w:pPr>
            <w:r>
              <w:rPr>
                <w:sz w:val="18"/>
                <w:szCs w:val="18"/>
              </w:rPr>
              <w:t>Total comprehensive loss</w:t>
            </w:r>
          </w:p>
        </w:tc>
        <w:tc>
          <w:tcPr>
            <w:tcW w:w="100" w:type="pct"/>
            <w:shd w:val="clear" w:color="auto" w:fill="CCEEFF"/>
            <w:noWrap/>
            <w:tcMar>
              <w:top w:w="0" w:type="dxa"/>
              <w:left w:w="0" w:type="dxa"/>
              <w:bottom w:w="0" w:type="dxa"/>
              <w:right w:w="0" w:type="dxa"/>
            </w:tcMar>
            <w:vAlign w:val="bottom"/>
            <w:hideMark/>
          </w:tcPr>
          <w:p w14:paraId="2A93853E"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14:paraId="786B639A" w14:textId="77777777" w:rsidR="00000000" w:rsidRDefault="001F1B20">
            <w:pPr>
              <w:pStyle w:val="a3"/>
              <w:spacing w:before="0" w:beforeAutospacing="0" w:after="0" w:afterAutospacing="0"/>
              <w:rPr>
                <w:sz w:val="18"/>
                <w:szCs w:val="18"/>
              </w:rPr>
            </w:pPr>
            <w:r>
              <w:rPr>
                <w:sz w:val="18"/>
                <w:szCs w:val="18"/>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14:paraId="4AD9011B" w14:textId="77777777" w:rsidR="00000000" w:rsidRDefault="001F1B20">
            <w:pPr>
              <w:pStyle w:val="a3"/>
              <w:spacing w:before="0" w:beforeAutospacing="0" w:after="0" w:afterAutospacing="0"/>
              <w:jc w:val="right"/>
              <w:rPr>
                <w:sz w:val="18"/>
                <w:szCs w:val="18"/>
              </w:rPr>
            </w:pPr>
            <w:r>
              <w:rPr>
                <w:sz w:val="18"/>
                <w:szCs w:val="18"/>
              </w:rPr>
              <w:t>(35,302)</w:t>
            </w:r>
          </w:p>
        </w:tc>
        <w:tc>
          <w:tcPr>
            <w:tcW w:w="100" w:type="pct"/>
            <w:shd w:val="clear" w:color="auto" w:fill="CCEEFF"/>
            <w:noWrap/>
            <w:tcMar>
              <w:top w:w="0" w:type="dxa"/>
              <w:left w:w="0" w:type="dxa"/>
              <w:bottom w:w="0" w:type="dxa"/>
              <w:right w:w="0" w:type="dxa"/>
            </w:tcMar>
            <w:vAlign w:val="bottom"/>
            <w:hideMark/>
          </w:tcPr>
          <w:p w14:paraId="020C53E3"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14:paraId="2DFACE3C" w14:textId="77777777" w:rsidR="00000000" w:rsidRDefault="001F1B20">
            <w:pPr>
              <w:pStyle w:val="a3"/>
              <w:spacing w:before="0" w:beforeAutospacing="0" w:after="0" w:afterAutospacing="0"/>
              <w:rPr>
                <w:sz w:val="18"/>
                <w:szCs w:val="18"/>
              </w:rPr>
            </w:pPr>
            <w:r>
              <w:rPr>
                <w:sz w:val="18"/>
                <w:szCs w:val="18"/>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14:paraId="09C69211" w14:textId="77777777" w:rsidR="00000000" w:rsidRDefault="001F1B20">
            <w:pPr>
              <w:pStyle w:val="a3"/>
              <w:spacing w:before="0" w:beforeAutospacing="0" w:after="0" w:afterAutospacing="0"/>
              <w:jc w:val="right"/>
              <w:rPr>
                <w:sz w:val="18"/>
                <w:szCs w:val="18"/>
              </w:rPr>
            </w:pPr>
            <w:r>
              <w:rPr>
                <w:sz w:val="18"/>
                <w:szCs w:val="18"/>
              </w:rPr>
              <w:t>(73,801)</w:t>
            </w:r>
          </w:p>
        </w:tc>
        <w:tc>
          <w:tcPr>
            <w:tcW w:w="100" w:type="pct"/>
            <w:shd w:val="clear" w:color="auto" w:fill="CCEEFF"/>
            <w:noWrap/>
            <w:tcMar>
              <w:top w:w="0" w:type="dxa"/>
              <w:left w:w="0" w:type="dxa"/>
              <w:bottom w:w="0" w:type="dxa"/>
              <w:right w:w="0" w:type="dxa"/>
            </w:tcMar>
            <w:vAlign w:val="bottom"/>
            <w:hideMark/>
          </w:tcPr>
          <w:p w14:paraId="21DE5E7C" w14:textId="77777777" w:rsidR="00000000" w:rsidRDefault="001F1B20">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14:paraId="6ADB7963" w14:textId="77777777" w:rsidR="00000000" w:rsidRDefault="001F1B20">
            <w:pPr>
              <w:pStyle w:val="a3"/>
              <w:spacing w:before="0" w:beforeAutospacing="0" w:after="0" w:afterAutospacing="0"/>
              <w:rPr>
                <w:sz w:val="18"/>
                <w:szCs w:val="18"/>
              </w:rPr>
            </w:pPr>
            <w:r>
              <w:rPr>
                <w:sz w:val="18"/>
                <w:szCs w:val="18"/>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14:paraId="00CCA99A" w14:textId="77777777" w:rsidR="00000000" w:rsidRDefault="001F1B20">
            <w:pPr>
              <w:pStyle w:val="a3"/>
              <w:spacing w:before="0" w:beforeAutospacing="0" w:after="0" w:afterAutospacing="0"/>
              <w:jc w:val="right"/>
              <w:rPr>
                <w:sz w:val="18"/>
                <w:szCs w:val="18"/>
              </w:rPr>
            </w:pPr>
            <w:r>
              <w:rPr>
                <w:sz w:val="18"/>
                <w:szCs w:val="18"/>
              </w:rPr>
              <w:t>(167,425)</w:t>
            </w:r>
          </w:p>
        </w:tc>
        <w:tc>
          <w:tcPr>
            <w:tcW w:w="100" w:type="pct"/>
            <w:shd w:val="clear" w:color="auto" w:fill="CCEEFF"/>
            <w:noWrap/>
            <w:tcMar>
              <w:top w:w="0" w:type="dxa"/>
              <w:left w:w="0" w:type="dxa"/>
              <w:bottom w:w="0" w:type="dxa"/>
              <w:right w:w="0" w:type="dxa"/>
            </w:tcMar>
            <w:vAlign w:val="bottom"/>
            <w:hideMark/>
          </w:tcPr>
          <w:p w14:paraId="46933C4E"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14:paraId="197D617E" w14:textId="77777777" w:rsidR="00000000" w:rsidRDefault="001F1B20">
            <w:pPr>
              <w:pStyle w:val="a3"/>
              <w:spacing w:before="0" w:beforeAutospacing="0" w:after="0" w:afterAutospacing="0"/>
              <w:rPr>
                <w:sz w:val="18"/>
                <w:szCs w:val="18"/>
              </w:rPr>
            </w:pPr>
            <w:r>
              <w:rPr>
                <w:sz w:val="18"/>
                <w:szCs w:val="18"/>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14:paraId="7A11E5F4" w14:textId="77777777" w:rsidR="00000000" w:rsidRDefault="001F1B20">
            <w:pPr>
              <w:pStyle w:val="a3"/>
              <w:spacing w:before="0" w:beforeAutospacing="0" w:after="0" w:afterAutospacing="0"/>
              <w:jc w:val="right"/>
              <w:rPr>
                <w:sz w:val="18"/>
                <w:szCs w:val="18"/>
              </w:rPr>
            </w:pPr>
            <w:r>
              <w:rPr>
                <w:sz w:val="18"/>
                <w:szCs w:val="18"/>
              </w:rPr>
              <w:t>(219,606)</w:t>
            </w:r>
          </w:p>
        </w:tc>
      </w:tr>
      <w:tr w:rsidR="00000000" w14:paraId="4CCEEF4C" w14:textId="77777777">
        <w:trPr>
          <w:divId w:val="950480115"/>
        </w:trPr>
        <w:tc>
          <w:tcPr>
            <w:tcW w:w="2774" w:type="pct"/>
            <w:tcMar>
              <w:top w:w="0" w:type="dxa"/>
              <w:left w:w="0" w:type="dxa"/>
              <w:bottom w:w="0" w:type="dxa"/>
              <w:right w:w="0" w:type="dxa"/>
            </w:tcMar>
            <w:vAlign w:val="bottom"/>
            <w:hideMark/>
          </w:tcPr>
          <w:p w14:paraId="3E22AA72" w14:textId="77777777" w:rsidR="00000000" w:rsidRDefault="001F1B20">
            <w:pPr>
              <w:pStyle w:val="a3"/>
              <w:spacing w:before="0" w:beforeAutospacing="0" w:after="0" w:afterAutospacing="0"/>
              <w:rPr>
                <w:sz w:val="20"/>
                <w:szCs w:val="20"/>
              </w:rPr>
            </w:pPr>
            <w:r>
              <w:rPr>
                <w:sz w:val="18"/>
                <w:szCs w:val="18"/>
              </w:rPr>
              <w:t>​</w:t>
            </w:r>
          </w:p>
        </w:tc>
        <w:tc>
          <w:tcPr>
            <w:tcW w:w="100" w:type="pct"/>
            <w:noWrap/>
            <w:tcMar>
              <w:top w:w="0" w:type="dxa"/>
              <w:left w:w="0" w:type="dxa"/>
              <w:bottom w:w="0" w:type="dxa"/>
              <w:right w:w="0" w:type="dxa"/>
            </w:tcMar>
            <w:vAlign w:val="bottom"/>
            <w:hideMark/>
          </w:tcPr>
          <w:p w14:paraId="52F19C0C"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19FC60E3"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021DA6DB" w14:textId="77777777" w:rsidR="00000000" w:rsidRDefault="001F1B20">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14:paraId="4696D07D"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22C91658" w14:textId="77777777" w:rsidR="00000000" w:rsidRDefault="001F1B20">
            <w:pPr>
              <w:pStyle w:val="a3"/>
              <w:spacing w:before="0" w:beforeAutospacing="0" w:after="0" w:afterAutospacing="0"/>
              <w:rPr>
                <w:sz w:val="20"/>
                <w:szCs w:val="20"/>
              </w:rPr>
            </w:pPr>
            <w:r>
              <w:rPr>
                <w:sz w:val="18"/>
                <w:szCs w:val="18"/>
              </w:rPr>
              <w:t>​</w:t>
            </w:r>
          </w:p>
        </w:tc>
        <w:tc>
          <w:tcPr>
            <w:tcW w:w="393" w:type="pct"/>
            <w:noWrap/>
            <w:tcMar>
              <w:top w:w="0" w:type="dxa"/>
              <w:left w:w="0" w:type="dxa"/>
              <w:bottom w:w="0" w:type="dxa"/>
              <w:right w:w="0" w:type="dxa"/>
            </w:tcMar>
            <w:vAlign w:val="bottom"/>
            <w:hideMark/>
          </w:tcPr>
          <w:p w14:paraId="176AEAAA" w14:textId="77777777" w:rsidR="00000000" w:rsidRDefault="001F1B20">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14:paraId="7BB9342D" w14:textId="77777777" w:rsidR="00000000" w:rsidRDefault="001F1B2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0B1399F0"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0A053BC5" w14:textId="77777777" w:rsidR="00000000" w:rsidRDefault="001F1B20">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14:paraId="05D2B529" w14:textId="77777777" w:rsidR="00000000" w:rsidRDefault="001F1B20">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14:paraId="7F7C8908" w14:textId="77777777" w:rsidR="00000000" w:rsidRDefault="001F1B20">
            <w:pPr>
              <w:pStyle w:val="a3"/>
              <w:spacing w:before="0" w:beforeAutospacing="0" w:after="0" w:afterAutospacing="0"/>
              <w:rPr>
                <w:sz w:val="20"/>
                <w:szCs w:val="20"/>
              </w:rPr>
            </w:pPr>
            <w:r>
              <w:rPr>
                <w:sz w:val="18"/>
                <w:szCs w:val="18"/>
              </w:rPr>
              <w:t>​</w:t>
            </w:r>
          </w:p>
        </w:tc>
        <w:tc>
          <w:tcPr>
            <w:tcW w:w="392" w:type="pct"/>
            <w:noWrap/>
            <w:tcMar>
              <w:top w:w="0" w:type="dxa"/>
              <w:left w:w="0" w:type="dxa"/>
              <w:bottom w:w="0" w:type="dxa"/>
              <w:right w:w="0" w:type="dxa"/>
            </w:tcMar>
            <w:vAlign w:val="bottom"/>
            <w:hideMark/>
          </w:tcPr>
          <w:p w14:paraId="67A1FF60" w14:textId="77777777" w:rsidR="00000000" w:rsidRDefault="001F1B20">
            <w:pPr>
              <w:pStyle w:val="a3"/>
              <w:spacing w:before="0" w:beforeAutospacing="0" w:after="0" w:afterAutospacing="0"/>
              <w:jc w:val="right"/>
              <w:rPr>
                <w:sz w:val="20"/>
                <w:szCs w:val="20"/>
              </w:rPr>
            </w:pPr>
            <w:r>
              <w:rPr>
                <w:sz w:val="18"/>
                <w:szCs w:val="18"/>
              </w:rPr>
              <w:t>​</w:t>
            </w:r>
          </w:p>
        </w:tc>
      </w:tr>
      <w:tr w:rsidR="00000000" w14:paraId="6F43D52D" w14:textId="77777777">
        <w:trPr>
          <w:divId w:val="950480115"/>
        </w:trPr>
        <w:tc>
          <w:tcPr>
            <w:tcW w:w="2774" w:type="pct"/>
            <w:shd w:val="clear" w:color="auto" w:fill="CCEEFF"/>
            <w:tcMar>
              <w:top w:w="0" w:type="dxa"/>
              <w:left w:w="0" w:type="dxa"/>
              <w:bottom w:w="0" w:type="dxa"/>
              <w:right w:w="0" w:type="dxa"/>
            </w:tcMar>
            <w:vAlign w:val="bottom"/>
            <w:hideMark/>
          </w:tcPr>
          <w:p w14:paraId="39BF2641" w14:textId="77777777" w:rsidR="00000000" w:rsidRDefault="001F1B20">
            <w:pPr>
              <w:pStyle w:val="a3"/>
              <w:spacing w:before="0" w:beforeAutospacing="0" w:after="0" w:afterAutospacing="0"/>
              <w:rPr>
                <w:sz w:val="18"/>
                <w:szCs w:val="18"/>
              </w:rPr>
            </w:pPr>
            <w:r>
              <w:rPr>
                <w:sz w:val="18"/>
                <w:szCs w:val="18"/>
              </w:rPr>
              <w:t>Net loss per share:</w:t>
            </w:r>
          </w:p>
        </w:tc>
        <w:tc>
          <w:tcPr>
            <w:tcW w:w="100" w:type="pct"/>
            <w:shd w:val="clear" w:color="auto" w:fill="CCEEFF"/>
            <w:noWrap/>
            <w:tcMar>
              <w:top w:w="0" w:type="dxa"/>
              <w:left w:w="0" w:type="dxa"/>
              <w:bottom w:w="0" w:type="dxa"/>
              <w:right w:w="0" w:type="dxa"/>
            </w:tcMar>
            <w:vAlign w:val="bottom"/>
            <w:hideMark/>
          </w:tcPr>
          <w:p w14:paraId="752B57D0"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1AD4BC5A"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6E4A90D9" w14:textId="77777777" w:rsidR="00000000" w:rsidRDefault="001F1B20">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14:paraId="3DA3D1F6"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50BAB165" w14:textId="77777777" w:rsidR="00000000" w:rsidRDefault="001F1B20">
            <w:pPr>
              <w:pStyle w:val="a3"/>
              <w:spacing w:before="0" w:beforeAutospacing="0" w:after="0" w:afterAutospacing="0"/>
              <w:rPr>
                <w:sz w:val="20"/>
                <w:szCs w:val="20"/>
              </w:rPr>
            </w:pPr>
            <w:r>
              <w:rPr>
                <w:sz w:val="18"/>
                <w:szCs w:val="18"/>
              </w:rPr>
              <w:t>​</w:t>
            </w:r>
          </w:p>
        </w:tc>
        <w:tc>
          <w:tcPr>
            <w:tcW w:w="393" w:type="pct"/>
            <w:shd w:val="clear" w:color="auto" w:fill="CCEEFF"/>
            <w:noWrap/>
            <w:tcMar>
              <w:top w:w="0" w:type="dxa"/>
              <w:left w:w="0" w:type="dxa"/>
              <w:bottom w:w="0" w:type="dxa"/>
              <w:right w:w="0" w:type="dxa"/>
            </w:tcMar>
            <w:vAlign w:val="bottom"/>
            <w:hideMark/>
          </w:tcPr>
          <w:p w14:paraId="2534402B" w14:textId="77777777" w:rsidR="00000000" w:rsidRDefault="001F1B20">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14:paraId="608E683E" w14:textId="77777777" w:rsidR="00000000" w:rsidRDefault="001F1B2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5241FC52"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4879C1E9" w14:textId="77777777" w:rsidR="00000000" w:rsidRDefault="001F1B20">
            <w:pPr>
              <w:pStyle w:val="a3"/>
              <w:spacing w:before="0" w:beforeAutospacing="0" w:after="0" w:afterAutospacing="0"/>
              <w:rPr>
                <w:sz w:val="20"/>
                <w:szCs w:val="20"/>
              </w:rPr>
            </w:pPr>
            <w:r>
              <w:rPr>
                <w:rFonts w:ascii="Arial" w:hAnsi="Arial" w:cs="Arial"/>
                <w:sz w:val="20"/>
                <w:szCs w:val="20"/>
              </w:rPr>
              <w:t>​</w:t>
            </w:r>
          </w:p>
        </w:tc>
        <w:tc>
          <w:tcPr>
            <w:tcW w:w="100" w:type="pct"/>
            <w:shd w:val="clear" w:color="auto" w:fill="CCEEFF"/>
            <w:noWrap/>
            <w:tcMar>
              <w:top w:w="0" w:type="dxa"/>
              <w:left w:w="0" w:type="dxa"/>
              <w:bottom w:w="0" w:type="dxa"/>
              <w:right w:w="0" w:type="dxa"/>
            </w:tcMar>
            <w:vAlign w:val="bottom"/>
            <w:hideMark/>
          </w:tcPr>
          <w:p w14:paraId="0210E59C" w14:textId="77777777" w:rsidR="00000000" w:rsidRDefault="001F1B20">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14:paraId="5D453C9B" w14:textId="77777777" w:rsidR="00000000" w:rsidRDefault="001F1B20">
            <w:pPr>
              <w:pStyle w:val="a3"/>
              <w:spacing w:before="0" w:beforeAutospacing="0" w:after="0" w:afterAutospacing="0"/>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14:paraId="4432E339" w14:textId="77777777" w:rsidR="00000000" w:rsidRDefault="001F1B20">
            <w:pPr>
              <w:pStyle w:val="a3"/>
              <w:spacing w:before="0" w:beforeAutospacing="0" w:after="0" w:afterAutospacing="0"/>
              <w:jc w:val="right"/>
              <w:rPr>
                <w:sz w:val="20"/>
                <w:szCs w:val="20"/>
              </w:rPr>
            </w:pPr>
            <w:r>
              <w:rPr>
                <w:sz w:val="18"/>
                <w:szCs w:val="18"/>
              </w:rPr>
              <w:t>​</w:t>
            </w:r>
          </w:p>
        </w:tc>
      </w:tr>
      <w:tr w:rsidR="00000000" w14:paraId="3129235F" w14:textId="77777777">
        <w:trPr>
          <w:divId w:val="950480115"/>
        </w:trPr>
        <w:tc>
          <w:tcPr>
            <w:tcW w:w="2774" w:type="pct"/>
            <w:tcMar>
              <w:top w:w="0" w:type="dxa"/>
              <w:left w:w="0" w:type="dxa"/>
              <w:bottom w:w="0" w:type="dxa"/>
              <w:right w:w="0" w:type="dxa"/>
            </w:tcMar>
            <w:vAlign w:val="bottom"/>
            <w:hideMark/>
          </w:tcPr>
          <w:p w14:paraId="18560687" w14:textId="77777777" w:rsidR="00000000" w:rsidRDefault="001F1B20">
            <w:pPr>
              <w:pStyle w:val="a3"/>
              <w:spacing w:before="0" w:beforeAutospacing="0" w:after="0" w:afterAutospacing="0"/>
              <w:ind w:left="240"/>
              <w:rPr>
                <w:sz w:val="18"/>
                <w:szCs w:val="18"/>
              </w:rPr>
            </w:pPr>
            <w:r>
              <w:rPr>
                <w:sz w:val="18"/>
                <w:szCs w:val="18"/>
              </w:rPr>
              <w:t>Basic and diluted net loss per share</w:t>
            </w:r>
          </w:p>
        </w:tc>
        <w:tc>
          <w:tcPr>
            <w:tcW w:w="100" w:type="pct"/>
            <w:noWrap/>
            <w:tcMar>
              <w:top w:w="0" w:type="dxa"/>
              <w:left w:w="0" w:type="dxa"/>
              <w:bottom w:w="0" w:type="dxa"/>
              <w:right w:w="0" w:type="dxa"/>
            </w:tcMar>
            <w:vAlign w:val="bottom"/>
            <w:hideMark/>
          </w:tcPr>
          <w:p w14:paraId="3745212A"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14:paraId="721623F8" w14:textId="77777777" w:rsidR="00000000" w:rsidRDefault="001F1B20">
            <w:pPr>
              <w:pStyle w:val="a3"/>
              <w:spacing w:before="0" w:beforeAutospacing="0" w:after="0" w:afterAutospacing="0"/>
              <w:rPr>
                <w:sz w:val="18"/>
                <w:szCs w:val="18"/>
              </w:rPr>
            </w:pPr>
            <w:r>
              <w:rPr>
                <w:sz w:val="18"/>
                <w:szCs w:val="18"/>
              </w:rPr>
              <w:t>$</w:t>
            </w:r>
          </w:p>
        </w:tc>
        <w:tc>
          <w:tcPr>
            <w:tcW w:w="392" w:type="pct"/>
            <w:tcBorders>
              <w:bottom w:val="double" w:sz="6" w:space="0" w:color="000000"/>
            </w:tcBorders>
            <w:noWrap/>
            <w:tcMar>
              <w:top w:w="0" w:type="dxa"/>
              <w:left w:w="0" w:type="dxa"/>
              <w:bottom w:w="0" w:type="dxa"/>
              <w:right w:w="0" w:type="dxa"/>
            </w:tcMar>
            <w:vAlign w:val="bottom"/>
            <w:hideMark/>
          </w:tcPr>
          <w:p w14:paraId="566EC785" w14:textId="77777777" w:rsidR="00000000" w:rsidRDefault="001F1B20">
            <w:pPr>
              <w:pStyle w:val="a3"/>
              <w:spacing w:before="0" w:beforeAutospacing="0" w:after="0" w:afterAutospacing="0"/>
              <w:jc w:val="right"/>
              <w:rPr>
                <w:sz w:val="18"/>
                <w:szCs w:val="18"/>
              </w:rPr>
            </w:pPr>
            <w:r>
              <w:rPr>
                <w:sz w:val="18"/>
                <w:szCs w:val="18"/>
              </w:rPr>
              <w:t>(0.48)</w:t>
            </w:r>
          </w:p>
        </w:tc>
        <w:tc>
          <w:tcPr>
            <w:tcW w:w="100" w:type="pct"/>
            <w:noWrap/>
            <w:tcMar>
              <w:top w:w="0" w:type="dxa"/>
              <w:left w:w="0" w:type="dxa"/>
              <w:bottom w:w="0" w:type="dxa"/>
              <w:right w:w="0" w:type="dxa"/>
            </w:tcMar>
            <w:vAlign w:val="bottom"/>
            <w:hideMark/>
          </w:tcPr>
          <w:p w14:paraId="72E91ED7"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14:paraId="74512307" w14:textId="77777777" w:rsidR="00000000" w:rsidRDefault="001F1B20">
            <w:pPr>
              <w:pStyle w:val="a3"/>
              <w:spacing w:before="0" w:beforeAutospacing="0" w:after="0" w:afterAutospacing="0"/>
              <w:rPr>
                <w:sz w:val="18"/>
                <w:szCs w:val="18"/>
              </w:rPr>
            </w:pPr>
            <w:r>
              <w:rPr>
                <w:sz w:val="18"/>
                <w:szCs w:val="18"/>
              </w:rPr>
              <w:t>$</w:t>
            </w:r>
          </w:p>
        </w:tc>
        <w:tc>
          <w:tcPr>
            <w:tcW w:w="393" w:type="pct"/>
            <w:tcBorders>
              <w:bottom w:val="double" w:sz="6" w:space="0" w:color="000000"/>
            </w:tcBorders>
            <w:noWrap/>
            <w:tcMar>
              <w:top w:w="0" w:type="dxa"/>
              <w:left w:w="0" w:type="dxa"/>
              <w:bottom w:w="0" w:type="dxa"/>
              <w:right w:w="0" w:type="dxa"/>
            </w:tcMar>
            <w:vAlign w:val="bottom"/>
            <w:hideMark/>
          </w:tcPr>
          <w:p w14:paraId="67B9A65F" w14:textId="77777777" w:rsidR="00000000" w:rsidRDefault="001F1B20">
            <w:pPr>
              <w:pStyle w:val="a3"/>
              <w:spacing w:before="0" w:beforeAutospacing="0" w:after="0" w:afterAutospacing="0"/>
              <w:jc w:val="right"/>
              <w:rPr>
                <w:sz w:val="18"/>
                <w:szCs w:val="18"/>
              </w:rPr>
            </w:pPr>
            <w:r>
              <w:rPr>
                <w:sz w:val="18"/>
                <w:szCs w:val="18"/>
              </w:rPr>
              <w:t>(1.16)</w:t>
            </w:r>
          </w:p>
        </w:tc>
        <w:tc>
          <w:tcPr>
            <w:tcW w:w="100" w:type="pct"/>
            <w:noWrap/>
            <w:tcMar>
              <w:top w:w="0" w:type="dxa"/>
              <w:left w:w="0" w:type="dxa"/>
              <w:bottom w:w="0" w:type="dxa"/>
              <w:right w:w="0" w:type="dxa"/>
            </w:tcMar>
            <w:vAlign w:val="bottom"/>
            <w:hideMark/>
          </w:tcPr>
          <w:p w14:paraId="58307AD4" w14:textId="77777777" w:rsidR="00000000" w:rsidRDefault="001F1B20">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14:paraId="56E4FB91" w14:textId="77777777" w:rsidR="00000000" w:rsidRDefault="001F1B20">
            <w:pPr>
              <w:pStyle w:val="a3"/>
              <w:spacing w:before="0" w:beforeAutospacing="0" w:after="0" w:afterAutospacing="0"/>
              <w:rPr>
                <w:sz w:val="18"/>
                <w:szCs w:val="18"/>
              </w:rPr>
            </w:pPr>
            <w:r>
              <w:rPr>
                <w:sz w:val="18"/>
                <w:szCs w:val="18"/>
              </w:rPr>
              <w:t>$</w:t>
            </w:r>
          </w:p>
        </w:tc>
        <w:tc>
          <w:tcPr>
            <w:tcW w:w="392" w:type="pct"/>
            <w:tcBorders>
              <w:bottom w:val="double" w:sz="6" w:space="0" w:color="000000"/>
            </w:tcBorders>
            <w:noWrap/>
            <w:tcMar>
              <w:top w:w="0" w:type="dxa"/>
              <w:left w:w="0" w:type="dxa"/>
              <w:bottom w:w="0" w:type="dxa"/>
              <w:right w:w="0" w:type="dxa"/>
            </w:tcMar>
            <w:vAlign w:val="bottom"/>
            <w:hideMark/>
          </w:tcPr>
          <w:p w14:paraId="2993E0BD" w14:textId="77777777" w:rsidR="00000000" w:rsidRDefault="001F1B20">
            <w:pPr>
              <w:pStyle w:val="a3"/>
              <w:spacing w:before="0" w:beforeAutospacing="0" w:after="0" w:afterAutospacing="0"/>
              <w:jc w:val="right"/>
              <w:rPr>
                <w:sz w:val="18"/>
                <w:szCs w:val="18"/>
              </w:rPr>
            </w:pPr>
            <w:r>
              <w:rPr>
                <w:sz w:val="18"/>
                <w:szCs w:val="18"/>
              </w:rPr>
              <w:t>(2.46)</w:t>
            </w:r>
          </w:p>
        </w:tc>
        <w:tc>
          <w:tcPr>
            <w:tcW w:w="100" w:type="pct"/>
            <w:noWrap/>
            <w:tcMar>
              <w:top w:w="0" w:type="dxa"/>
              <w:left w:w="0" w:type="dxa"/>
              <w:bottom w:w="0" w:type="dxa"/>
              <w:right w:w="0" w:type="dxa"/>
            </w:tcMar>
            <w:vAlign w:val="bottom"/>
            <w:hideMark/>
          </w:tcPr>
          <w:p w14:paraId="29217E31"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14:paraId="04F2D4E1" w14:textId="77777777" w:rsidR="00000000" w:rsidRDefault="001F1B20">
            <w:pPr>
              <w:pStyle w:val="a3"/>
              <w:spacing w:before="0" w:beforeAutospacing="0" w:after="0" w:afterAutospacing="0"/>
              <w:rPr>
                <w:sz w:val="18"/>
                <w:szCs w:val="18"/>
              </w:rPr>
            </w:pPr>
            <w:r>
              <w:rPr>
                <w:sz w:val="18"/>
                <w:szCs w:val="18"/>
              </w:rPr>
              <w:t>$</w:t>
            </w:r>
          </w:p>
        </w:tc>
        <w:tc>
          <w:tcPr>
            <w:tcW w:w="392" w:type="pct"/>
            <w:tcBorders>
              <w:bottom w:val="double" w:sz="6" w:space="0" w:color="000000"/>
            </w:tcBorders>
            <w:noWrap/>
            <w:tcMar>
              <w:top w:w="0" w:type="dxa"/>
              <w:left w:w="0" w:type="dxa"/>
              <w:bottom w:w="0" w:type="dxa"/>
              <w:right w:w="0" w:type="dxa"/>
            </w:tcMar>
            <w:vAlign w:val="bottom"/>
            <w:hideMark/>
          </w:tcPr>
          <w:p w14:paraId="72DD5C41" w14:textId="77777777" w:rsidR="00000000" w:rsidRDefault="001F1B20">
            <w:pPr>
              <w:pStyle w:val="a3"/>
              <w:spacing w:before="0" w:beforeAutospacing="0" w:after="0" w:afterAutospacing="0"/>
              <w:jc w:val="right"/>
              <w:rPr>
                <w:sz w:val="18"/>
                <w:szCs w:val="18"/>
              </w:rPr>
            </w:pPr>
            <w:r>
              <w:rPr>
                <w:sz w:val="18"/>
                <w:szCs w:val="18"/>
              </w:rPr>
              <w:t>(3.55)</w:t>
            </w:r>
          </w:p>
        </w:tc>
      </w:tr>
      <w:tr w:rsidR="00000000" w14:paraId="26E561A0" w14:textId="77777777">
        <w:trPr>
          <w:divId w:val="950480115"/>
        </w:trPr>
        <w:tc>
          <w:tcPr>
            <w:tcW w:w="2774" w:type="pct"/>
            <w:shd w:val="clear" w:color="auto" w:fill="CCEEFF"/>
            <w:tcMar>
              <w:top w:w="0" w:type="dxa"/>
              <w:left w:w="0" w:type="dxa"/>
              <w:bottom w:w="0" w:type="dxa"/>
              <w:right w:w="0" w:type="dxa"/>
            </w:tcMar>
            <w:vAlign w:val="bottom"/>
            <w:hideMark/>
          </w:tcPr>
          <w:p w14:paraId="123ED3CC" w14:textId="77777777" w:rsidR="00000000" w:rsidRDefault="001F1B20">
            <w:pPr>
              <w:pStyle w:val="a3"/>
              <w:spacing w:before="0" w:beforeAutospacing="0" w:after="0" w:afterAutospacing="0"/>
              <w:ind w:left="240"/>
              <w:rPr>
                <w:sz w:val="18"/>
                <w:szCs w:val="18"/>
              </w:rPr>
            </w:pPr>
            <w:r>
              <w:rPr>
                <w:sz w:val="18"/>
                <w:szCs w:val="18"/>
              </w:rPr>
              <w:t>Shares used to compute basic and diluted net loss per share</w:t>
            </w:r>
          </w:p>
        </w:tc>
        <w:tc>
          <w:tcPr>
            <w:tcW w:w="100" w:type="pct"/>
            <w:shd w:val="clear" w:color="auto" w:fill="CCEEFF"/>
            <w:noWrap/>
            <w:tcMar>
              <w:top w:w="0" w:type="dxa"/>
              <w:left w:w="0" w:type="dxa"/>
              <w:bottom w:w="0" w:type="dxa"/>
              <w:right w:w="0" w:type="dxa"/>
            </w:tcMar>
            <w:vAlign w:val="bottom"/>
            <w:hideMark/>
          </w:tcPr>
          <w:p w14:paraId="0F4FFC40"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14:paraId="0A8CCD23" w14:textId="77777777" w:rsidR="00000000" w:rsidRDefault="001F1B20">
            <w:pPr>
              <w:pStyle w:val="a3"/>
              <w:spacing w:before="0" w:beforeAutospacing="0" w:after="0" w:afterAutospacing="0"/>
              <w:rPr>
                <w:sz w:val="18"/>
                <w:szCs w:val="18"/>
              </w:rPr>
            </w:pPr>
            <w:r>
              <w:rPr>
                <w:sz w:val="18"/>
                <w:szCs w:val="18"/>
              </w:rPr>
              <w:t> </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14:paraId="56A67FCB" w14:textId="77777777" w:rsidR="00000000" w:rsidRDefault="001F1B20">
            <w:pPr>
              <w:pStyle w:val="a3"/>
              <w:spacing w:before="0" w:beforeAutospacing="0" w:after="0" w:afterAutospacing="0"/>
              <w:ind w:right="60"/>
              <w:jc w:val="right"/>
              <w:rPr>
                <w:sz w:val="18"/>
                <w:szCs w:val="18"/>
              </w:rPr>
            </w:pPr>
            <w:r>
              <w:rPr>
                <w:sz w:val="18"/>
                <w:szCs w:val="18"/>
              </w:rPr>
              <w:t>73,574</w:t>
            </w:r>
          </w:p>
        </w:tc>
        <w:tc>
          <w:tcPr>
            <w:tcW w:w="100" w:type="pct"/>
            <w:shd w:val="clear" w:color="auto" w:fill="CCEEFF"/>
            <w:noWrap/>
            <w:tcMar>
              <w:top w:w="0" w:type="dxa"/>
              <w:left w:w="0" w:type="dxa"/>
              <w:bottom w:w="0" w:type="dxa"/>
              <w:right w:w="0" w:type="dxa"/>
            </w:tcMar>
            <w:vAlign w:val="bottom"/>
            <w:hideMark/>
          </w:tcPr>
          <w:p w14:paraId="4C8184E8"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14:paraId="1FD4A348" w14:textId="77777777" w:rsidR="00000000" w:rsidRDefault="001F1B20">
            <w:pPr>
              <w:pStyle w:val="a3"/>
              <w:spacing w:before="0" w:beforeAutospacing="0" w:after="0" w:afterAutospacing="0"/>
              <w:rPr>
                <w:sz w:val="18"/>
                <w:szCs w:val="18"/>
              </w:rPr>
            </w:pPr>
            <w:r>
              <w:rPr>
                <w:sz w:val="18"/>
                <w:szCs w:val="18"/>
              </w:rPr>
              <w:t> </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14:paraId="3B88C352" w14:textId="77777777" w:rsidR="00000000" w:rsidRDefault="001F1B20">
            <w:pPr>
              <w:pStyle w:val="a3"/>
              <w:spacing w:before="0" w:beforeAutospacing="0" w:after="0" w:afterAutospacing="0"/>
              <w:ind w:right="60"/>
              <w:jc w:val="right"/>
              <w:rPr>
                <w:sz w:val="18"/>
                <w:szCs w:val="18"/>
              </w:rPr>
            </w:pPr>
            <w:r>
              <w:rPr>
                <w:sz w:val="18"/>
                <w:szCs w:val="18"/>
              </w:rPr>
              <w:t>63,303</w:t>
            </w:r>
          </w:p>
        </w:tc>
        <w:tc>
          <w:tcPr>
            <w:tcW w:w="100" w:type="pct"/>
            <w:shd w:val="clear" w:color="auto" w:fill="CCEEFF"/>
            <w:noWrap/>
            <w:tcMar>
              <w:top w:w="0" w:type="dxa"/>
              <w:left w:w="0" w:type="dxa"/>
              <w:bottom w:w="0" w:type="dxa"/>
              <w:right w:w="0" w:type="dxa"/>
            </w:tcMar>
            <w:vAlign w:val="bottom"/>
            <w:hideMark/>
          </w:tcPr>
          <w:p w14:paraId="08B9E32E" w14:textId="77777777" w:rsidR="00000000" w:rsidRDefault="001F1B20">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14:paraId="5E4D0CA3" w14:textId="77777777" w:rsidR="00000000" w:rsidRDefault="001F1B20">
            <w:pPr>
              <w:pStyle w:val="a3"/>
              <w:spacing w:before="0" w:beforeAutospacing="0" w:after="0" w:afterAutospacing="0"/>
              <w:rPr>
                <w:sz w:val="18"/>
                <w:szCs w:val="18"/>
              </w:rPr>
            </w:pPr>
            <w:r>
              <w:rPr>
                <w:sz w:val="18"/>
                <w:szCs w:val="18"/>
              </w:rPr>
              <w:t> </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14:paraId="4CEABA82" w14:textId="77777777" w:rsidR="00000000" w:rsidRDefault="001F1B20">
            <w:pPr>
              <w:pStyle w:val="a3"/>
              <w:spacing w:before="0" w:beforeAutospacing="0" w:after="0" w:afterAutospacing="0"/>
              <w:ind w:right="60"/>
              <w:jc w:val="right"/>
              <w:rPr>
                <w:sz w:val="18"/>
                <w:szCs w:val="18"/>
              </w:rPr>
            </w:pPr>
            <w:r>
              <w:rPr>
                <w:sz w:val="18"/>
                <w:szCs w:val="18"/>
              </w:rPr>
              <w:t>67,945</w:t>
            </w:r>
          </w:p>
        </w:tc>
        <w:tc>
          <w:tcPr>
            <w:tcW w:w="100" w:type="pct"/>
            <w:shd w:val="clear" w:color="auto" w:fill="CCEEFF"/>
            <w:noWrap/>
            <w:tcMar>
              <w:top w:w="0" w:type="dxa"/>
              <w:left w:w="0" w:type="dxa"/>
              <w:bottom w:w="0" w:type="dxa"/>
              <w:right w:w="0" w:type="dxa"/>
            </w:tcMar>
            <w:vAlign w:val="bottom"/>
            <w:hideMark/>
          </w:tcPr>
          <w:p w14:paraId="6401D947" w14:textId="77777777" w:rsidR="00000000" w:rsidRDefault="001F1B20">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14:paraId="35F960A5" w14:textId="77777777" w:rsidR="00000000" w:rsidRDefault="001F1B20">
            <w:pPr>
              <w:pStyle w:val="a3"/>
              <w:spacing w:before="0" w:beforeAutospacing="0" w:after="0" w:afterAutospacing="0"/>
              <w:rPr>
                <w:sz w:val="18"/>
                <w:szCs w:val="18"/>
              </w:rPr>
            </w:pPr>
            <w:r>
              <w:rPr>
                <w:sz w:val="18"/>
                <w:szCs w:val="18"/>
              </w:rPr>
              <w:t> </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14:paraId="3AFD6A57" w14:textId="77777777" w:rsidR="00000000" w:rsidRDefault="001F1B20">
            <w:pPr>
              <w:pStyle w:val="a3"/>
              <w:spacing w:before="0" w:beforeAutospacing="0" w:after="0" w:afterAutospacing="0"/>
              <w:ind w:right="60"/>
              <w:jc w:val="right"/>
              <w:rPr>
                <w:sz w:val="18"/>
                <w:szCs w:val="18"/>
              </w:rPr>
            </w:pPr>
            <w:r>
              <w:rPr>
                <w:sz w:val="18"/>
                <w:szCs w:val="18"/>
              </w:rPr>
              <w:t>61,881</w:t>
            </w:r>
          </w:p>
        </w:tc>
      </w:tr>
    </w:tbl>
    <w:p w14:paraId="48DEFEAE" w14:textId="77777777" w:rsidR="00000000" w:rsidRDefault="001F1B20">
      <w:pPr>
        <w:pStyle w:val="a3"/>
        <w:spacing w:before="0" w:beforeAutospacing="0" w:after="0" w:afterAutospacing="0"/>
        <w:jc w:val="center"/>
        <w:divId w:val="95048011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14:paraId="72A216F2" w14:textId="77777777">
        <w:trPr>
          <w:divId w:val="950480115"/>
        </w:trPr>
        <w:tc>
          <w:tcPr>
            <w:tcW w:w="360" w:type="dxa"/>
            <w:noWrap/>
            <w:tcMar>
              <w:top w:w="0" w:type="dxa"/>
              <w:left w:w="0" w:type="dxa"/>
              <w:bottom w:w="0" w:type="dxa"/>
              <w:right w:w="0" w:type="dxa"/>
            </w:tcMar>
            <w:hideMark/>
          </w:tcPr>
          <w:p w14:paraId="2DDD44F6" w14:textId="77777777" w:rsidR="00000000" w:rsidRDefault="001F1B20">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14:paraId="1CAB4C7D" w14:textId="77777777" w:rsidR="00000000" w:rsidRDefault="001F1B20">
            <w:pPr>
              <w:rPr>
                <w:rFonts w:eastAsia="Times New Roman"/>
                <w:sz w:val="20"/>
                <w:szCs w:val="20"/>
              </w:rPr>
            </w:pPr>
            <w:r>
              <w:rPr>
                <w:rFonts w:eastAsia="Times New Roman"/>
                <w:sz w:val="18"/>
                <w:szCs w:val="18"/>
              </w:rPr>
              <w:t>Amounts include share-based compensation expense as follows:</w:t>
            </w:r>
          </w:p>
        </w:tc>
      </w:tr>
    </w:tbl>
    <w:p w14:paraId="4F574351" w14:textId="77777777" w:rsidR="00000000" w:rsidRDefault="001F1B20">
      <w:pPr>
        <w:pStyle w:val="a3"/>
        <w:spacing w:before="0" w:beforeAutospacing="0" w:after="0" w:afterAutospacing="0"/>
        <w:divId w:val="950480115"/>
        <w:rPr>
          <w:sz w:val="20"/>
          <w:szCs w:val="20"/>
        </w:rPr>
      </w:pPr>
      <w:r>
        <w:rPr>
          <w:sz w:val="20"/>
          <w:szCs w:val="20"/>
        </w:rPr>
        <w:t>​</w:t>
      </w:r>
    </w:p>
    <w:tbl>
      <w:tblPr>
        <w:tblW w:w="5010" w:type="pct"/>
        <w:tblCellMar>
          <w:top w:w="15" w:type="dxa"/>
          <w:left w:w="0" w:type="dxa"/>
          <w:bottom w:w="15" w:type="dxa"/>
          <w:right w:w="0" w:type="dxa"/>
        </w:tblCellMar>
        <w:tblLook w:val="04A0" w:firstRow="1" w:lastRow="0" w:firstColumn="1" w:lastColumn="0" w:noHBand="0" w:noVBand="1"/>
      </w:tblPr>
      <w:tblGrid>
        <w:gridCol w:w="4740"/>
        <w:gridCol w:w="180"/>
        <w:gridCol w:w="141"/>
        <w:gridCol w:w="584"/>
        <w:gridCol w:w="180"/>
        <w:gridCol w:w="141"/>
        <w:gridCol w:w="585"/>
        <w:gridCol w:w="141"/>
        <w:gridCol w:w="142"/>
        <w:gridCol w:w="583"/>
        <w:gridCol w:w="180"/>
        <w:gridCol w:w="141"/>
        <w:gridCol w:w="585"/>
      </w:tblGrid>
      <w:tr w:rsidR="00000000" w14:paraId="237211AD" w14:textId="77777777">
        <w:trPr>
          <w:divId w:val="950480115"/>
          <w:trHeight w:val="20"/>
        </w:trPr>
        <w:tc>
          <w:tcPr>
            <w:tcW w:w="2851" w:type="pct"/>
            <w:tcMar>
              <w:top w:w="0" w:type="dxa"/>
              <w:left w:w="0" w:type="dxa"/>
              <w:bottom w:w="0" w:type="dxa"/>
              <w:right w:w="0" w:type="dxa"/>
            </w:tcMar>
            <w:vAlign w:val="bottom"/>
            <w:hideMark/>
          </w:tcPr>
          <w:p w14:paraId="61BE4893" w14:textId="77777777" w:rsidR="00000000" w:rsidRDefault="001F1B20">
            <w:pPr>
              <w:pStyle w:val="a3"/>
              <w:spacing w:before="0" w:beforeAutospacing="0" w:after="0" w:afterAutospacing="0"/>
              <w:divId w:val="1654483135"/>
              <w:rPr>
                <w:sz w:val="20"/>
                <w:szCs w:val="20"/>
              </w:rPr>
            </w:pPr>
            <w:r>
              <w:rPr>
                <w:sz w:val="18"/>
                <w:szCs w:val="18"/>
              </w:rPr>
              <w:t>​</w:t>
            </w:r>
          </w:p>
        </w:tc>
        <w:tc>
          <w:tcPr>
            <w:tcW w:w="90" w:type="pct"/>
            <w:noWrap/>
            <w:tcMar>
              <w:top w:w="0" w:type="dxa"/>
              <w:left w:w="0" w:type="dxa"/>
              <w:bottom w:w="0" w:type="dxa"/>
              <w:right w:w="0" w:type="dxa"/>
            </w:tcMar>
            <w:vAlign w:val="bottom"/>
            <w:hideMark/>
          </w:tcPr>
          <w:p w14:paraId="5BF31A8C" w14:textId="77777777" w:rsidR="00000000" w:rsidRDefault="001F1B20">
            <w:pPr>
              <w:pStyle w:val="a3"/>
              <w:spacing w:before="0" w:beforeAutospacing="0" w:after="0" w:afterAutospacing="0"/>
              <w:divId w:val="1463038900"/>
              <w:rPr>
                <w:sz w:val="20"/>
                <w:szCs w:val="20"/>
              </w:rPr>
            </w:pPr>
            <w:r>
              <w:rPr>
                <w:sz w:val="18"/>
                <w:szCs w:val="18"/>
              </w:rPr>
              <w:t>​</w:t>
            </w:r>
          </w:p>
        </w:tc>
        <w:tc>
          <w:tcPr>
            <w:tcW w:w="90" w:type="pct"/>
            <w:noWrap/>
            <w:tcMar>
              <w:top w:w="0" w:type="dxa"/>
              <w:left w:w="0" w:type="dxa"/>
              <w:bottom w:w="0" w:type="dxa"/>
              <w:right w:w="0" w:type="dxa"/>
            </w:tcMar>
            <w:vAlign w:val="bottom"/>
            <w:hideMark/>
          </w:tcPr>
          <w:p w14:paraId="184E6353" w14:textId="77777777" w:rsidR="00000000" w:rsidRDefault="001F1B20">
            <w:pPr>
              <w:pStyle w:val="a3"/>
              <w:spacing w:before="0" w:beforeAutospacing="0" w:after="0" w:afterAutospacing="0"/>
              <w:divId w:val="923299658"/>
              <w:rPr>
                <w:sz w:val="20"/>
                <w:szCs w:val="20"/>
              </w:rPr>
            </w:pPr>
            <w:r>
              <w:rPr>
                <w:sz w:val="18"/>
                <w:szCs w:val="18"/>
              </w:rPr>
              <w:t>​</w:t>
            </w:r>
          </w:p>
        </w:tc>
        <w:tc>
          <w:tcPr>
            <w:tcW w:w="356" w:type="pct"/>
            <w:noWrap/>
            <w:tcMar>
              <w:top w:w="0" w:type="dxa"/>
              <w:left w:w="0" w:type="dxa"/>
              <w:bottom w:w="0" w:type="dxa"/>
              <w:right w:w="0" w:type="dxa"/>
            </w:tcMar>
            <w:vAlign w:val="center"/>
            <w:hideMark/>
          </w:tcPr>
          <w:p w14:paraId="1245214D" w14:textId="77777777" w:rsidR="00000000" w:rsidRDefault="001F1B20">
            <w:pPr>
              <w:pStyle w:val="a3"/>
              <w:spacing w:before="0" w:beforeAutospacing="0" w:after="0" w:afterAutospacing="0"/>
              <w:divId w:val="608048265"/>
              <w:rPr>
                <w:sz w:val="20"/>
                <w:szCs w:val="20"/>
              </w:rPr>
            </w:pPr>
            <w:r>
              <w:rPr>
                <w:sz w:val="18"/>
                <w:szCs w:val="18"/>
              </w:rPr>
              <w:t>​</w:t>
            </w:r>
          </w:p>
        </w:tc>
        <w:tc>
          <w:tcPr>
            <w:tcW w:w="90" w:type="pct"/>
            <w:noWrap/>
            <w:tcMar>
              <w:top w:w="0" w:type="dxa"/>
              <w:left w:w="0" w:type="dxa"/>
              <w:bottom w:w="0" w:type="dxa"/>
              <w:right w:w="0" w:type="dxa"/>
            </w:tcMar>
            <w:vAlign w:val="bottom"/>
            <w:hideMark/>
          </w:tcPr>
          <w:p w14:paraId="011B38A7" w14:textId="77777777" w:rsidR="00000000" w:rsidRDefault="001F1B20">
            <w:pPr>
              <w:pStyle w:val="a3"/>
              <w:spacing w:before="0" w:beforeAutospacing="0" w:after="0" w:afterAutospacing="0"/>
              <w:divId w:val="1664699546"/>
              <w:rPr>
                <w:sz w:val="20"/>
                <w:szCs w:val="20"/>
              </w:rPr>
            </w:pPr>
            <w:r>
              <w:rPr>
                <w:sz w:val="18"/>
                <w:szCs w:val="18"/>
              </w:rPr>
              <w:t>​</w:t>
            </w:r>
          </w:p>
        </w:tc>
        <w:tc>
          <w:tcPr>
            <w:tcW w:w="90" w:type="pct"/>
            <w:noWrap/>
            <w:tcMar>
              <w:top w:w="0" w:type="dxa"/>
              <w:left w:w="0" w:type="dxa"/>
              <w:bottom w:w="0" w:type="dxa"/>
              <w:right w:w="0" w:type="dxa"/>
            </w:tcMar>
            <w:vAlign w:val="bottom"/>
            <w:hideMark/>
          </w:tcPr>
          <w:p w14:paraId="0C59228E" w14:textId="77777777" w:rsidR="00000000" w:rsidRDefault="001F1B20">
            <w:pPr>
              <w:pStyle w:val="a3"/>
              <w:spacing w:before="0" w:beforeAutospacing="0" w:after="0" w:afterAutospacing="0"/>
              <w:divId w:val="2114544645"/>
              <w:rPr>
                <w:sz w:val="20"/>
                <w:szCs w:val="20"/>
              </w:rPr>
            </w:pPr>
            <w:r>
              <w:rPr>
                <w:sz w:val="18"/>
                <w:szCs w:val="18"/>
              </w:rPr>
              <w:t>​</w:t>
            </w:r>
          </w:p>
        </w:tc>
        <w:tc>
          <w:tcPr>
            <w:tcW w:w="356" w:type="pct"/>
            <w:noWrap/>
            <w:tcMar>
              <w:top w:w="0" w:type="dxa"/>
              <w:left w:w="0" w:type="dxa"/>
              <w:bottom w:w="0" w:type="dxa"/>
              <w:right w:w="0" w:type="dxa"/>
            </w:tcMar>
            <w:vAlign w:val="center"/>
            <w:hideMark/>
          </w:tcPr>
          <w:p w14:paraId="528F6ACB" w14:textId="77777777" w:rsidR="00000000" w:rsidRDefault="001F1B20">
            <w:pPr>
              <w:pStyle w:val="a3"/>
              <w:spacing w:before="0" w:beforeAutospacing="0" w:after="0" w:afterAutospacing="0"/>
              <w:divId w:val="2040857958"/>
              <w:rPr>
                <w:sz w:val="20"/>
                <w:szCs w:val="20"/>
              </w:rPr>
            </w:pPr>
            <w:r>
              <w:rPr>
                <w:sz w:val="18"/>
                <w:szCs w:val="18"/>
              </w:rPr>
              <w:t>​</w:t>
            </w:r>
          </w:p>
        </w:tc>
        <w:tc>
          <w:tcPr>
            <w:tcW w:w="90" w:type="pct"/>
            <w:noWrap/>
            <w:tcMar>
              <w:top w:w="0" w:type="dxa"/>
              <w:left w:w="0" w:type="dxa"/>
              <w:bottom w:w="0" w:type="dxa"/>
              <w:right w:w="0" w:type="dxa"/>
            </w:tcMar>
            <w:vAlign w:val="bottom"/>
            <w:hideMark/>
          </w:tcPr>
          <w:p w14:paraId="6300BE7B" w14:textId="77777777" w:rsidR="00000000" w:rsidRDefault="001F1B20">
            <w:pPr>
              <w:pStyle w:val="a3"/>
              <w:spacing w:before="0" w:beforeAutospacing="0" w:after="0" w:afterAutospacing="0"/>
              <w:divId w:val="1305046876"/>
              <w:rPr>
                <w:sz w:val="20"/>
                <w:szCs w:val="20"/>
              </w:rPr>
            </w:pPr>
            <w:r>
              <w:rPr>
                <w:sz w:val="18"/>
                <w:szCs w:val="18"/>
              </w:rPr>
              <w:t>​</w:t>
            </w:r>
          </w:p>
        </w:tc>
        <w:tc>
          <w:tcPr>
            <w:tcW w:w="90" w:type="pct"/>
            <w:noWrap/>
            <w:tcMar>
              <w:top w:w="0" w:type="dxa"/>
              <w:left w:w="0" w:type="dxa"/>
              <w:bottom w:w="0" w:type="dxa"/>
              <w:right w:w="0" w:type="dxa"/>
            </w:tcMar>
            <w:vAlign w:val="bottom"/>
            <w:hideMark/>
          </w:tcPr>
          <w:p w14:paraId="2E9856D7" w14:textId="77777777" w:rsidR="00000000" w:rsidRDefault="001F1B20">
            <w:pPr>
              <w:pStyle w:val="a3"/>
              <w:spacing w:before="0" w:beforeAutospacing="0" w:after="0" w:afterAutospacing="0"/>
              <w:divId w:val="1073284633"/>
              <w:rPr>
                <w:sz w:val="20"/>
                <w:szCs w:val="20"/>
              </w:rPr>
            </w:pPr>
            <w:r>
              <w:rPr>
                <w:sz w:val="18"/>
                <w:szCs w:val="18"/>
              </w:rPr>
              <w:t>​</w:t>
            </w:r>
          </w:p>
        </w:tc>
        <w:tc>
          <w:tcPr>
            <w:tcW w:w="356" w:type="pct"/>
            <w:noWrap/>
            <w:tcMar>
              <w:top w:w="0" w:type="dxa"/>
              <w:left w:w="0" w:type="dxa"/>
              <w:bottom w:w="0" w:type="dxa"/>
              <w:right w:w="0" w:type="dxa"/>
            </w:tcMar>
            <w:vAlign w:val="center"/>
            <w:hideMark/>
          </w:tcPr>
          <w:p w14:paraId="25484E00" w14:textId="77777777" w:rsidR="00000000" w:rsidRDefault="001F1B20">
            <w:pPr>
              <w:pStyle w:val="a3"/>
              <w:spacing w:before="0" w:beforeAutospacing="0" w:after="0" w:afterAutospacing="0"/>
              <w:divId w:val="341711407"/>
              <w:rPr>
                <w:sz w:val="20"/>
                <w:szCs w:val="20"/>
              </w:rPr>
            </w:pPr>
            <w:r>
              <w:rPr>
                <w:sz w:val="18"/>
                <w:szCs w:val="18"/>
              </w:rPr>
              <w:t>​</w:t>
            </w:r>
          </w:p>
        </w:tc>
        <w:tc>
          <w:tcPr>
            <w:tcW w:w="90" w:type="pct"/>
            <w:noWrap/>
            <w:tcMar>
              <w:top w:w="0" w:type="dxa"/>
              <w:left w:w="0" w:type="dxa"/>
              <w:bottom w:w="0" w:type="dxa"/>
              <w:right w:w="0" w:type="dxa"/>
            </w:tcMar>
            <w:vAlign w:val="bottom"/>
            <w:hideMark/>
          </w:tcPr>
          <w:p w14:paraId="61E50BF2" w14:textId="77777777" w:rsidR="00000000" w:rsidRDefault="001F1B20">
            <w:pPr>
              <w:pStyle w:val="a3"/>
              <w:spacing w:before="0" w:beforeAutospacing="0" w:after="0" w:afterAutospacing="0"/>
              <w:divId w:val="188838173"/>
              <w:rPr>
                <w:sz w:val="20"/>
                <w:szCs w:val="20"/>
              </w:rPr>
            </w:pPr>
            <w:r>
              <w:rPr>
                <w:sz w:val="18"/>
                <w:szCs w:val="18"/>
              </w:rPr>
              <w:t>​</w:t>
            </w:r>
          </w:p>
        </w:tc>
        <w:tc>
          <w:tcPr>
            <w:tcW w:w="90" w:type="pct"/>
            <w:noWrap/>
            <w:tcMar>
              <w:top w:w="0" w:type="dxa"/>
              <w:left w:w="0" w:type="dxa"/>
              <w:bottom w:w="0" w:type="dxa"/>
              <w:right w:w="0" w:type="dxa"/>
            </w:tcMar>
            <w:vAlign w:val="bottom"/>
            <w:hideMark/>
          </w:tcPr>
          <w:p w14:paraId="2B083ABA" w14:textId="77777777" w:rsidR="00000000" w:rsidRDefault="001F1B20">
            <w:pPr>
              <w:pStyle w:val="a3"/>
              <w:spacing w:before="0" w:beforeAutospacing="0" w:after="0" w:afterAutospacing="0"/>
              <w:divId w:val="1909001544"/>
              <w:rPr>
                <w:sz w:val="20"/>
                <w:szCs w:val="20"/>
              </w:rPr>
            </w:pPr>
            <w:r>
              <w:rPr>
                <w:sz w:val="18"/>
                <w:szCs w:val="18"/>
              </w:rPr>
              <w:t>​</w:t>
            </w:r>
          </w:p>
        </w:tc>
        <w:tc>
          <w:tcPr>
            <w:tcW w:w="356" w:type="pct"/>
            <w:noWrap/>
            <w:tcMar>
              <w:top w:w="0" w:type="dxa"/>
              <w:left w:w="0" w:type="dxa"/>
              <w:bottom w:w="0" w:type="dxa"/>
              <w:right w:w="0" w:type="dxa"/>
            </w:tcMar>
            <w:vAlign w:val="center"/>
            <w:hideMark/>
          </w:tcPr>
          <w:p w14:paraId="75C1B60D" w14:textId="77777777" w:rsidR="00000000" w:rsidRDefault="001F1B20">
            <w:pPr>
              <w:pStyle w:val="a3"/>
              <w:spacing w:before="0" w:beforeAutospacing="0" w:after="0" w:afterAutospacing="0"/>
              <w:divId w:val="1619989528"/>
              <w:rPr>
                <w:sz w:val="20"/>
                <w:szCs w:val="20"/>
              </w:rPr>
            </w:pPr>
            <w:r>
              <w:rPr>
                <w:sz w:val="18"/>
                <w:szCs w:val="18"/>
              </w:rPr>
              <w:t>​</w:t>
            </w:r>
          </w:p>
        </w:tc>
      </w:tr>
      <w:tr w:rsidR="00000000" w14:paraId="7C546DBA" w14:textId="77777777">
        <w:trPr>
          <w:divId w:val="950480115"/>
        </w:trPr>
        <w:tc>
          <w:tcPr>
            <w:tcW w:w="2851" w:type="pct"/>
            <w:tcMar>
              <w:top w:w="0" w:type="dxa"/>
              <w:left w:w="0" w:type="dxa"/>
              <w:bottom w:w="0" w:type="dxa"/>
              <w:right w:w="0" w:type="dxa"/>
            </w:tcMar>
            <w:vAlign w:val="bottom"/>
            <w:hideMark/>
          </w:tcPr>
          <w:p w14:paraId="6A1CE48D" w14:textId="77777777" w:rsidR="00000000" w:rsidRDefault="001F1B20">
            <w:pPr>
              <w:pStyle w:val="a3"/>
              <w:spacing w:before="0" w:beforeAutospacing="0" w:after="0" w:afterAutospacing="0"/>
              <w:rPr>
                <w:sz w:val="20"/>
                <w:szCs w:val="20"/>
              </w:rPr>
            </w:pPr>
            <w:r>
              <w:rPr>
                <w:b/>
                <w:bCs/>
                <w:sz w:val="18"/>
                <w:szCs w:val="18"/>
              </w:rPr>
              <w:t>​</w:t>
            </w:r>
          </w:p>
        </w:tc>
        <w:tc>
          <w:tcPr>
            <w:tcW w:w="90" w:type="pct"/>
            <w:noWrap/>
            <w:tcMar>
              <w:top w:w="0" w:type="dxa"/>
              <w:left w:w="0" w:type="dxa"/>
              <w:bottom w:w="0" w:type="dxa"/>
              <w:right w:w="0" w:type="dxa"/>
            </w:tcMar>
            <w:vAlign w:val="bottom"/>
            <w:hideMark/>
          </w:tcPr>
          <w:p w14:paraId="7178D2BB" w14:textId="77777777" w:rsidR="00000000" w:rsidRDefault="001F1B20">
            <w:pPr>
              <w:pStyle w:val="a3"/>
              <w:spacing w:before="0" w:beforeAutospacing="0" w:after="0" w:afterAutospacing="0"/>
              <w:rPr>
                <w:sz w:val="20"/>
                <w:szCs w:val="20"/>
              </w:rPr>
            </w:pPr>
            <w:r>
              <w:rPr>
                <w:b/>
                <w:bCs/>
                <w:sz w:val="18"/>
                <w:szCs w:val="18"/>
              </w:rPr>
              <w:t>​</w:t>
            </w:r>
          </w:p>
        </w:tc>
        <w:tc>
          <w:tcPr>
            <w:tcW w:w="983" w:type="pct"/>
            <w:gridSpan w:val="5"/>
            <w:tcMar>
              <w:top w:w="0" w:type="dxa"/>
              <w:left w:w="0" w:type="dxa"/>
              <w:bottom w:w="0" w:type="dxa"/>
              <w:right w:w="0" w:type="dxa"/>
            </w:tcMar>
            <w:vAlign w:val="bottom"/>
            <w:hideMark/>
          </w:tcPr>
          <w:p w14:paraId="43394426" w14:textId="77777777" w:rsidR="00000000" w:rsidRDefault="001F1B20">
            <w:pPr>
              <w:pStyle w:val="a3"/>
              <w:spacing w:before="0" w:beforeAutospacing="0" w:after="0" w:afterAutospacing="0"/>
              <w:jc w:val="center"/>
              <w:rPr>
                <w:sz w:val="18"/>
                <w:szCs w:val="18"/>
              </w:rPr>
            </w:pPr>
            <w:r>
              <w:rPr>
                <w:b/>
                <w:bCs/>
                <w:sz w:val="18"/>
                <w:szCs w:val="18"/>
              </w:rPr>
              <w:t xml:space="preserve">Three Months Ended </w:t>
            </w:r>
          </w:p>
        </w:tc>
        <w:tc>
          <w:tcPr>
            <w:tcW w:w="90" w:type="pct"/>
            <w:noWrap/>
            <w:tcMar>
              <w:top w:w="0" w:type="dxa"/>
              <w:left w:w="0" w:type="dxa"/>
              <w:bottom w:w="0" w:type="dxa"/>
              <w:right w:w="0" w:type="dxa"/>
            </w:tcMar>
            <w:vAlign w:val="bottom"/>
            <w:hideMark/>
          </w:tcPr>
          <w:p w14:paraId="06F83528" w14:textId="77777777" w:rsidR="00000000" w:rsidRDefault="001F1B20">
            <w:pPr>
              <w:pStyle w:val="a3"/>
              <w:spacing w:before="0" w:beforeAutospacing="0" w:after="0" w:afterAutospacing="0"/>
              <w:rPr>
                <w:sz w:val="20"/>
                <w:szCs w:val="20"/>
              </w:rPr>
            </w:pPr>
            <w:r>
              <w:rPr>
                <w:b/>
                <w:bCs/>
                <w:sz w:val="18"/>
                <w:szCs w:val="18"/>
              </w:rPr>
              <w:t>​</w:t>
            </w:r>
          </w:p>
        </w:tc>
        <w:tc>
          <w:tcPr>
            <w:tcW w:w="983" w:type="pct"/>
            <w:gridSpan w:val="5"/>
            <w:noWrap/>
            <w:tcMar>
              <w:top w:w="0" w:type="dxa"/>
              <w:left w:w="0" w:type="dxa"/>
              <w:bottom w:w="0" w:type="dxa"/>
              <w:right w:w="0" w:type="dxa"/>
            </w:tcMar>
            <w:vAlign w:val="bottom"/>
            <w:hideMark/>
          </w:tcPr>
          <w:p w14:paraId="7B1C00B7" w14:textId="77777777" w:rsidR="00000000" w:rsidRDefault="001F1B20">
            <w:pPr>
              <w:pStyle w:val="a3"/>
              <w:spacing w:before="0" w:beforeAutospacing="0" w:after="0" w:afterAutospacing="0"/>
              <w:jc w:val="center"/>
              <w:rPr>
                <w:sz w:val="18"/>
                <w:szCs w:val="18"/>
              </w:rPr>
            </w:pPr>
            <w:r>
              <w:rPr>
                <w:b/>
                <w:bCs/>
                <w:sz w:val="18"/>
                <w:szCs w:val="18"/>
              </w:rPr>
              <w:t xml:space="preserve">Nine Months Ended </w:t>
            </w:r>
          </w:p>
        </w:tc>
      </w:tr>
      <w:tr w:rsidR="00000000" w14:paraId="5D7471C6" w14:textId="77777777">
        <w:trPr>
          <w:divId w:val="950480115"/>
        </w:trPr>
        <w:tc>
          <w:tcPr>
            <w:tcW w:w="2851" w:type="pct"/>
            <w:tcMar>
              <w:top w:w="0" w:type="dxa"/>
              <w:left w:w="0" w:type="dxa"/>
              <w:bottom w:w="0" w:type="dxa"/>
              <w:right w:w="0" w:type="dxa"/>
            </w:tcMar>
            <w:vAlign w:val="bottom"/>
            <w:hideMark/>
          </w:tcPr>
          <w:p w14:paraId="4E028583" w14:textId="77777777" w:rsidR="00000000" w:rsidRDefault="001F1B20">
            <w:pPr>
              <w:pStyle w:val="a3"/>
              <w:spacing w:before="0" w:beforeAutospacing="0" w:after="0" w:afterAutospacing="0"/>
              <w:rPr>
                <w:sz w:val="20"/>
                <w:szCs w:val="20"/>
              </w:rPr>
            </w:pPr>
            <w:r>
              <w:rPr>
                <w:b/>
                <w:bCs/>
                <w:sz w:val="18"/>
                <w:szCs w:val="18"/>
              </w:rPr>
              <w:t>​</w:t>
            </w:r>
          </w:p>
        </w:tc>
        <w:tc>
          <w:tcPr>
            <w:tcW w:w="90" w:type="pct"/>
            <w:noWrap/>
            <w:tcMar>
              <w:top w:w="0" w:type="dxa"/>
              <w:left w:w="0" w:type="dxa"/>
              <w:bottom w:w="0" w:type="dxa"/>
              <w:right w:w="0" w:type="dxa"/>
            </w:tcMar>
            <w:vAlign w:val="bottom"/>
            <w:hideMark/>
          </w:tcPr>
          <w:p w14:paraId="51C8BFB1" w14:textId="77777777" w:rsidR="00000000" w:rsidRDefault="001F1B20">
            <w:pPr>
              <w:pStyle w:val="a3"/>
              <w:spacing w:before="0" w:beforeAutospacing="0" w:after="0" w:afterAutospacing="0"/>
              <w:rPr>
                <w:sz w:val="20"/>
                <w:szCs w:val="20"/>
              </w:rPr>
            </w:pPr>
            <w:r>
              <w:rPr>
                <w:b/>
                <w:bCs/>
                <w:sz w:val="18"/>
                <w:szCs w:val="18"/>
              </w:rPr>
              <w:t>​</w:t>
            </w:r>
          </w:p>
        </w:tc>
        <w:tc>
          <w:tcPr>
            <w:tcW w:w="983" w:type="pct"/>
            <w:gridSpan w:val="5"/>
            <w:tcBorders>
              <w:bottom w:val="single" w:sz="6" w:space="0" w:color="000000"/>
            </w:tcBorders>
            <w:tcMar>
              <w:top w:w="0" w:type="dxa"/>
              <w:left w:w="0" w:type="dxa"/>
              <w:bottom w:w="0" w:type="dxa"/>
              <w:right w:w="0" w:type="dxa"/>
            </w:tcMar>
            <w:vAlign w:val="bottom"/>
            <w:hideMark/>
          </w:tcPr>
          <w:p w14:paraId="1D6EBF9F" w14:textId="77777777" w:rsidR="00000000" w:rsidRDefault="001F1B20">
            <w:pPr>
              <w:pStyle w:val="a3"/>
              <w:spacing w:before="0" w:beforeAutospacing="0" w:after="0" w:afterAutospacing="0"/>
              <w:jc w:val="center"/>
              <w:rPr>
                <w:sz w:val="18"/>
                <w:szCs w:val="18"/>
              </w:rPr>
            </w:pPr>
            <w:r>
              <w:rPr>
                <w:b/>
                <w:bCs/>
                <w:sz w:val="18"/>
                <w:szCs w:val="18"/>
              </w:rPr>
              <w:t>September 30, </w:t>
            </w:r>
          </w:p>
        </w:tc>
        <w:tc>
          <w:tcPr>
            <w:tcW w:w="90" w:type="pct"/>
            <w:noWrap/>
            <w:tcMar>
              <w:top w:w="0" w:type="dxa"/>
              <w:left w:w="0" w:type="dxa"/>
              <w:bottom w:w="0" w:type="dxa"/>
              <w:right w:w="0" w:type="dxa"/>
            </w:tcMar>
            <w:vAlign w:val="bottom"/>
            <w:hideMark/>
          </w:tcPr>
          <w:p w14:paraId="3CB9F3D4" w14:textId="77777777" w:rsidR="00000000" w:rsidRDefault="001F1B20">
            <w:pPr>
              <w:pStyle w:val="a3"/>
              <w:spacing w:before="0" w:beforeAutospacing="0" w:after="0" w:afterAutospacing="0"/>
              <w:rPr>
                <w:sz w:val="20"/>
                <w:szCs w:val="20"/>
              </w:rPr>
            </w:pPr>
            <w:r>
              <w:rPr>
                <w:b/>
                <w:bCs/>
                <w:sz w:val="18"/>
                <w:szCs w:val="18"/>
              </w:rPr>
              <w:t>​</w:t>
            </w:r>
          </w:p>
        </w:tc>
        <w:tc>
          <w:tcPr>
            <w:tcW w:w="983" w:type="pct"/>
            <w:gridSpan w:val="5"/>
            <w:tcBorders>
              <w:bottom w:val="single" w:sz="6" w:space="0" w:color="000000"/>
            </w:tcBorders>
            <w:noWrap/>
            <w:tcMar>
              <w:top w:w="0" w:type="dxa"/>
              <w:left w:w="0" w:type="dxa"/>
              <w:bottom w:w="0" w:type="dxa"/>
              <w:right w:w="0" w:type="dxa"/>
            </w:tcMar>
            <w:vAlign w:val="bottom"/>
            <w:hideMark/>
          </w:tcPr>
          <w:p w14:paraId="44CBE747" w14:textId="77777777" w:rsidR="00000000" w:rsidRDefault="001F1B20">
            <w:pPr>
              <w:pStyle w:val="a3"/>
              <w:spacing w:before="0" w:beforeAutospacing="0" w:after="0" w:afterAutospacing="0"/>
              <w:jc w:val="center"/>
              <w:rPr>
                <w:sz w:val="18"/>
                <w:szCs w:val="18"/>
              </w:rPr>
            </w:pPr>
            <w:r>
              <w:rPr>
                <w:b/>
                <w:bCs/>
                <w:sz w:val="18"/>
                <w:szCs w:val="18"/>
              </w:rPr>
              <w:t>September 30, </w:t>
            </w:r>
          </w:p>
        </w:tc>
      </w:tr>
      <w:tr w:rsidR="00000000" w14:paraId="5217DFCF" w14:textId="77777777">
        <w:trPr>
          <w:divId w:val="950480115"/>
        </w:trPr>
        <w:tc>
          <w:tcPr>
            <w:tcW w:w="2851" w:type="pct"/>
            <w:tcBorders>
              <w:bottom w:val="single" w:sz="6" w:space="0" w:color="000000"/>
            </w:tcBorders>
            <w:tcMar>
              <w:top w:w="0" w:type="dxa"/>
              <w:left w:w="0" w:type="dxa"/>
              <w:bottom w:w="0" w:type="dxa"/>
              <w:right w:w="0" w:type="dxa"/>
            </w:tcMar>
            <w:vAlign w:val="bottom"/>
            <w:hideMark/>
          </w:tcPr>
          <w:p w14:paraId="573D90BF" w14:textId="77777777" w:rsidR="00000000" w:rsidRDefault="001F1B20">
            <w:pPr>
              <w:pStyle w:val="a3"/>
              <w:spacing w:before="0" w:beforeAutospacing="0" w:after="0" w:afterAutospacing="0"/>
              <w:rPr>
                <w:sz w:val="18"/>
                <w:szCs w:val="18"/>
              </w:rPr>
            </w:pPr>
            <w:r>
              <w:rPr>
                <w:b/>
                <w:bCs/>
                <w:sz w:val="18"/>
                <w:szCs w:val="18"/>
              </w:rPr>
              <w:t>(In thousands)</w:t>
            </w:r>
          </w:p>
        </w:tc>
        <w:tc>
          <w:tcPr>
            <w:tcW w:w="90" w:type="pct"/>
            <w:noWrap/>
            <w:tcMar>
              <w:top w:w="0" w:type="dxa"/>
              <w:left w:w="0" w:type="dxa"/>
              <w:bottom w:w="0" w:type="dxa"/>
              <w:right w:w="0" w:type="dxa"/>
            </w:tcMar>
            <w:vAlign w:val="bottom"/>
            <w:hideMark/>
          </w:tcPr>
          <w:p w14:paraId="6FE6C4BA" w14:textId="77777777" w:rsidR="00000000" w:rsidRDefault="001F1B20">
            <w:pPr>
              <w:pStyle w:val="a3"/>
              <w:spacing w:before="0" w:beforeAutospacing="0" w:after="0" w:afterAutospacing="0"/>
              <w:rPr>
                <w:sz w:val="18"/>
                <w:szCs w:val="18"/>
              </w:rPr>
            </w:pPr>
            <w:r>
              <w:rPr>
                <w:b/>
                <w:bCs/>
                <w:sz w:val="18"/>
                <w:szCs w:val="18"/>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03160F81" w14:textId="77777777" w:rsidR="00000000" w:rsidRDefault="001F1B20">
            <w:pPr>
              <w:pStyle w:val="a3"/>
              <w:spacing w:before="0" w:beforeAutospacing="0" w:after="0" w:afterAutospacing="0"/>
              <w:jc w:val="center"/>
              <w:rPr>
                <w:sz w:val="18"/>
                <w:szCs w:val="18"/>
              </w:rPr>
            </w:pPr>
            <w:r>
              <w:rPr>
                <w:b/>
                <w:bCs/>
                <w:sz w:val="18"/>
                <w:szCs w:val="18"/>
              </w:rPr>
              <w:t>2021</w:t>
            </w:r>
          </w:p>
        </w:tc>
        <w:tc>
          <w:tcPr>
            <w:tcW w:w="90" w:type="pct"/>
            <w:noWrap/>
            <w:tcMar>
              <w:top w:w="0" w:type="dxa"/>
              <w:left w:w="0" w:type="dxa"/>
              <w:bottom w:w="0" w:type="dxa"/>
              <w:right w:w="0" w:type="dxa"/>
            </w:tcMar>
            <w:vAlign w:val="bottom"/>
            <w:hideMark/>
          </w:tcPr>
          <w:p w14:paraId="005D8C21" w14:textId="77777777" w:rsidR="00000000" w:rsidRDefault="001F1B20">
            <w:pPr>
              <w:pStyle w:val="a3"/>
              <w:spacing w:before="0" w:beforeAutospacing="0" w:after="0" w:afterAutospacing="0"/>
              <w:rPr>
                <w:sz w:val="18"/>
                <w:szCs w:val="18"/>
              </w:rPr>
            </w:pPr>
            <w:r>
              <w:rPr>
                <w:b/>
                <w:bCs/>
                <w:sz w:val="18"/>
                <w:szCs w:val="18"/>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1FD56D50" w14:textId="77777777" w:rsidR="00000000" w:rsidRDefault="001F1B20">
            <w:pPr>
              <w:pStyle w:val="a3"/>
              <w:spacing w:before="0" w:beforeAutospacing="0" w:after="0" w:afterAutospacing="0"/>
              <w:jc w:val="center"/>
              <w:rPr>
                <w:sz w:val="18"/>
                <w:szCs w:val="18"/>
              </w:rPr>
            </w:pPr>
            <w:r>
              <w:rPr>
                <w:b/>
                <w:bCs/>
                <w:sz w:val="18"/>
                <w:szCs w:val="18"/>
              </w:rPr>
              <w:t>2020</w:t>
            </w:r>
          </w:p>
        </w:tc>
        <w:tc>
          <w:tcPr>
            <w:tcW w:w="90" w:type="pct"/>
            <w:noWrap/>
            <w:tcMar>
              <w:top w:w="0" w:type="dxa"/>
              <w:left w:w="0" w:type="dxa"/>
              <w:bottom w:w="0" w:type="dxa"/>
              <w:right w:w="0" w:type="dxa"/>
            </w:tcMar>
            <w:vAlign w:val="bottom"/>
            <w:hideMark/>
          </w:tcPr>
          <w:p w14:paraId="59CF5DB0" w14:textId="77777777" w:rsidR="00000000" w:rsidRDefault="001F1B20">
            <w:pPr>
              <w:pStyle w:val="a3"/>
              <w:spacing w:before="0" w:beforeAutospacing="0" w:after="0" w:afterAutospacing="0"/>
              <w:rPr>
                <w:sz w:val="20"/>
                <w:szCs w:val="20"/>
              </w:rPr>
            </w:pPr>
            <w:r>
              <w:rPr>
                <w:b/>
                <w:bCs/>
                <w:sz w:val="18"/>
                <w:szCs w:val="18"/>
              </w:rPr>
              <w:t>​</w:t>
            </w:r>
          </w:p>
        </w:tc>
        <w:tc>
          <w:tcPr>
            <w:tcW w:w="446" w:type="pct"/>
            <w:gridSpan w:val="2"/>
            <w:tcBorders>
              <w:bottom w:val="single" w:sz="6" w:space="0" w:color="000000"/>
            </w:tcBorders>
            <w:noWrap/>
            <w:tcMar>
              <w:top w:w="0" w:type="dxa"/>
              <w:left w:w="0" w:type="dxa"/>
              <w:bottom w:w="0" w:type="dxa"/>
              <w:right w:w="0" w:type="dxa"/>
            </w:tcMar>
            <w:vAlign w:val="bottom"/>
            <w:hideMark/>
          </w:tcPr>
          <w:p w14:paraId="034A0B66" w14:textId="77777777" w:rsidR="00000000" w:rsidRDefault="001F1B20">
            <w:pPr>
              <w:pStyle w:val="a3"/>
              <w:spacing w:before="0" w:beforeAutospacing="0" w:after="0" w:afterAutospacing="0"/>
              <w:jc w:val="center"/>
              <w:rPr>
                <w:sz w:val="18"/>
                <w:szCs w:val="18"/>
              </w:rPr>
            </w:pPr>
            <w:r>
              <w:rPr>
                <w:b/>
                <w:bCs/>
                <w:sz w:val="18"/>
                <w:szCs w:val="18"/>
              </w:rPr>
              <w:t>2021</w:t>
            </w:r>
          </w:p>
        </w:tc>
        <w:tc>
          <w:tcPr>
            <w:tcW w:w="90" w:type="pct"/>
            <w:noWrap/>
            <w:tcMar>
              <w:top w:w="0" w:type="dxa"/>
              <w:left w:w="0" w:type="dxa"/>
              <w:bottom w:w="0" w:type="dxa"/>
              <w:right w:w="0" w:type="dxa"/>
            </w:tcMar>
            <w:vAlign w:val="bottom"/>
            <w:hideMark/>
          </w:tcPr>
          <w:p w14:paraId="4AA3EF18" w14:textId="77777777" w:rsidR="00000000" w:rsidRDefault="001F1B20">
            <w:pPr>
              <w:pStyle w:val="a3"/>
              <w:spacing w:before="0" w:beforeAutospacing="0" w:after="0" w:afterAutospacing="0"/>
              <w:rPr>
                <w:sz w:val="18"/>
                <w:szCs w:val="18"/>
              </w:rPr>
            </w:pPr>
            <w:r>
              <w:rPr>
                <w:b/>
                <w:bCs/>
                <w:sz w:val="18"/>
                <w:szCs w:val="18"/>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0E18378D" w14:textId="77777777" w:rsidR="00000000" w:rsidRDefault="001F1B20">
            <w:pPr>
              <w:pStyle w:val="a3"/>
              <w:spacing w:before="0" w:beforeAutospacing="0" w:after="0" w:afterAutospacing="0"/>
              <w:jc w:val="center"/>
              <w:rPr>
                <w:sz w:val="18"/>
                <w:szCs w:val="18"/>
              </w:rPr>
            </w:pPr>
            <w:r>
              <w:rPr>
                <w:b/>
                <w:bCs/>
                <w:sz w:val="18"/>
                <w:szCs w:val="18"/>
              </w:rPr>
              <w:t>2020</w:t>
            </w:r>
          </w:p>
        </w:tc>
      </w:tr>
      <w:tr w:rsidR="00000000" w14:paraId="183DD107" w14:textId="77777777">
        <w:trPr>
          <w:divId w:val="950480115"/>
        </w:trPr>
        <w:tc>
          <w:tcPr>
            <w:tcW w:w="2851" w:type="pct"/>
            <w:shd w:val="clear" w:color="auto" w:fill="CCEEFF"/>
            <w:tcMar>
              <w:top w:w="0" w:type="dxa"/>
              <w:left w:w="0" w:type="dxa"/>
              <w:bottom w:w="0" w:type="dxa"/>
              <w:right w:w="0" w:type="dxa"/>
            </w:tcMar>
            <w:vAlign w:val="bottom"/>
            <w:hideMark/>
          </w:tcPr>
          <w:p w14:paraId="78F1DBE4" w14:textId="77777777" w:rsidR="00000000" w:rsidRDefault="001F1B20">
            <w:pPr>
              <w:pStyle w:val="a3"/>
              <w:spacing w:before="0" w:beforeAutospacing="0" w:after="0" w:afterAutospacing="0"/>
              <w:rPr>
                <w:sz w:val="18"/>
                <w:szCs w:val="18"/>
              </w:rPr>
            </w:pPr>
            <w:r>
              <w:rPr>
                <w:sz w:val="18"/>
                <w:szCs w:val="18"/>
              </w:rPr>
              <w:t xml:space="preserve">Research and development </w:t>
            </w:r>
          </w:p>
        </w:tc>
        <w:tc>
          <w:tcPr>
            <w:tcW w:w="90" w:type="pct"/>
            <w:shd w:val="clear" w:color="auto" w:fill="CCEEFF"/>
            <w:noWrap/>
            <w:tcMar>
              <w:top w:w="0" w:type="dxa"/>
              <w:left w:w="0" w:type="dxa"/>
              <w:bottom w:w="0" w:type="dxa"/>
              <w:right w:w="0" w:type="dxa"/>
            </w:tcMar>
            <w:vAlign w:val="bottom"/>
            <w:hideMark/>
          </w:tcPr>
          <w:p w14:paraId="718DB5E8" w14:textId="77777777" w:rsidR="00000000" w:rsidRDefault="001F1B20">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14:paraId="64887DB0" w14:textId="77777777" w:rsidR="00000000" w:rsidRDefault="001F1B20">
            <w:pPr>
              <w:pStyle w:val="a3"/>
              <w:spacing w:before="0" w:beforeAutospacing="0" w:after="0" w:afterAutospacing="0"/>
              <w:rPr>
                <w:sz w:val="18"/>
                <w:szCs w:val="18"/>
              </w:rPr>
            </w:pPr>
            <w:r>
              <w:rPr>
                <w:sz w:val="18"/>
                <w:szCs w:val="18"/>
              </w:rPr>
              <w:t>$</w:t>
            </w:r>
          </w:p>
        </w:tc>
        <w:tc>
          <w:tcPr>
            <w:tcW w:w="356" w:type="pct"/>
            <w:shd w:val="clear" w:color="auto" w:fill="CCEEFF"/>
            <w:noWrap/>
            <w:tcMar>
              <w:top w:w="0" w:type="dxa"/>
              <w:left w:w="0" w:type="dxa"/>
              <w:bottom w:w="0" w:type="dxa"/>
              <w:right w:w="0" w:type="dxa"/>
            </w:tcMar>
            <w:vAlign w:val="center"/>
            <w:hideMark/>
          </w:tcPr>
          <w:p w14:paraId="634AC53E" w14:textId="77777777" w:rsidR="00000000" w:rsidRDefault="001F1B20">
            <w:pPr>
              <w:pStyle w:val="a3"/>
              <w:spacing w:before="0" w:beforeAutospacing="0" w:after="0" w:afterAutospacing="0"/>
              <w:ind w:right="60"/>
              <w:jc w:val="right"/>
              <w:rPr>
                <w:sz w:val="18"/>
                <w:szCs w:val="18"/>
              </w:rPr>
            </w:pPr>
            <w:r>
              <w:rPr>
                <w:sz w:val="18"/>
                <w:szCs w:val="18"/>
              </w:rPr>
              <w:t>6,956</w:t>
            </w:r>
          </w:p>
        </w:tc>
        <w:tc>
          <w:tcPr>
            <w:tcW w:w="90" w:type="pct"/>
            <w:shd w:val="clear" w:color="auto" w:fill="CCEEFF"/>
            <w:noWrap/>
            <w:tcMar>
              <w:top w:w="0" w:type="dxa"/>
              <w:left w:w="0" w:type="dxa"/>
              <w:bottom w:w="0" w:type="dxa"/>
              <w:right w:w="0" w:type="dxa"/>
            </w:tcMar>
            <w:vAlign w:val="bottom"/>
            <w:hideMark/>
          </w:tcPr>
          <w:p w14:paraId="467DC27A" w14:textId="77777777" w:rsidR="00000000" w:rsidRDefault="001F1B20">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14:paraId="619A8BD3" w14:textId="77777777" w:rsidR="00000000" w:rsidRDefault="001F1B20">
            <w:pPr>
              <w:pStyle w:val="a3"/>
              <w:spacing w:before="0" w:beforeAutospacing="0" w:after="0" w:afterAutospacing="0"/>
              <w:rPr>
                <w:sz w:val="18"/>
                <w:szCs w:val="18"/>
              </w:rPr>
            </w:pPr>
            <w:r>
              <w:rPr>
                <w:sz w:val="18"/>
                <w:szCs w:val="18"/>
              </w:rPr>
              <w:t>$</w:t>
            </w:r>
          </w:p>
        </w:tc>
        <w:tc>
          <w:tcPr>
            <w:tcW w:w="356" w:type="pct"/>
            <w:shd w:val="clear" w:color="auto" w:fill="CCEEFF"/>
            <w:noWrap/>
            <w:tcMar>
              <w:top w:w="0" w:type="dxa"/>
              <w:left w:w="0" w:type="dxa"/>
              <w:bottom w:w="0" w:type="dxa"/>
              <w:right w:w="0" w:type="dxa"/>
            </w:tcMar>
            <w:vAlign w:val="center"/>
            <w:hideMark/>
          </w:tcPr>
          <w:p w14:paraId="00F2FEC3" w14:textId="77777777" w:rsidR="00000000" w:rsidRDefault="001F1B20">
            <w:pPr>
              <w:pStyle w:val="a3"/>
              <w:spacing w:before="0" w:beforeAutospacing="0" w:after="0" w:afterAutospacing="0"/>
              <w:ind w:right="60"/>
              <w:jc w:val="right"/>
              <w:rPr>
                <w:sz w:val="18"/>
                <w:szCs w:val="18"/>
              </w:rPr>
            </w:pPr>
            <w:r>
              <w:rPr>
                <w:sz w:val="18"/>
                <w:szCs w:val="18"/>
              </w:rPr>
              <w:t>7,761</w:t>
            </w:r>
          </w:p>
        </w:tc>
        <w:tc>
          <w:tcPr>
            <w:tcW w:w="90" w:type="pct"/>
            <w:shd w:val="clear" w:color="auto" w:fill="CCEEFF"/>
            <w:noWrap/>
            <w:tcMar>
              <w:top w:w="0" w:type="dxa"/>
              <w:left w:w="0" w:type="dxa"/>
              <w:bottom w:w="0" w:type="dxa"/>
              <w:right w:w="0" w:type="dxa"/>
            </w:tcMar>
            <w:vAlign w:val="bottom"/>
            <w:hideMark/>
          </w:tcPr>
          <w:p w14:paraId="052441E8" w14:textId="77777777" w:rsidR="00000000" w:rsidRDefault="001F1B20">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14:paraId="5B010433" w14:textId="77777777" w:rsidR="00000000" w:rsidRDefault="001F1B20">
            <w:pPr>
              <w:pStyle w:val="a3"/>
              <w:spacing w:before="0" w:beforeAutospacing="0" w:after="0" w:afterAutospacing="0"/>
              <w:rPr>
                <w:sz w:val="18"/>
                <w:szCs w:val="18"/>
              </w:rPr>
            </w:pPr>
            <w:r>
              <w:rPr>
                <w:sz w:val="18"/>
                <w:szCs w:val="18"/>
              </w:rPr>
              <w:t>$</w:t>
            </w:r>
          </w:p>
        </w:tc>
        <w:tc>
          <w:tcPr>
            <w:tcW w:w="356" w:type="pct"/>
            <w:shd w:val="clear" w:color="auto" w:fill="CCEEFF"/>
            <w:noWrap/>
            <w:tcMar>
              <w:top w:w="0" w:type="dxa"/>
              <w:left w:w="0" w:type="dxa"/>
              <w:bottom w:w="0" w:type="dxa"/>
              <w:right w:w="0" w:type="dxa"/>
            </w:tcMar>
            <w:vAlign w:val="center"/>
            <w:hideMark/>
          </w:tcPr>
          <w:p w14:paraId="510AF03A" w14:textId="77777777" w:rsidR="00000000" w:rsidRDefault="001F1B20">
            <w:pPr>
              <w:pStyle w:val="a3"/>
              <w:spacing w:before="0" w:beforeAutospacing="0" w:after="0" w:afterAutospacing="0"/>
              <w:ind w:right="60"/>
              <w:jc w:val="right"/>
              <w:rPr>
                <w:sz w:val="18"/>
                <w:szCs w:val="18"/>
              </w:rPr>
            </w:pPr>
            <w:r>
              <w:rPr>
                <w:sz w:val="18"/>
                <w:szCs w:val="18"/>
              </w:rPr>
              <w:t>22,192</w:t>
            </w:r>
          </w:p>
        </w:tc>
        <w:tc>
          <w:tcPr>
            <w:tcW w:w="90" w:type="pct"/>
            <w:shd w:val="clear" w:color="auto" w:fill="CCEEFF"/>
            <w:noWrap/>
            <w:tcMar>
              <w:top w:w="0" w:type="dxa"/>
              <w:left w:w="0" w:type="dxa"/>
              <w:bottom w:w="0" w:type="dxa"/>
              <w:right w:w="0" w:type="dxa"/>
            </w:tcMar>
            <w:vAlign w:val="bottom"/>
            <w:hideMark/>
          </w:tcPr>
          <w:p w14:paraId="2BAEB78A" w14:textId="77777777" w:rsidR="00000000" w:rsidRDefault="001F1B20">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14:paraId="68C3F422" w14:textId="77777777" w:rsidR="00000000" w:rsidRDefault="001F1B20">
            <w:pPr>
              <w:pStyle w:val="a3"/>
              <w:spacing w:before="0" w:beforeAutospacing="0" w:after="0" w:afterAutospacing="0"/>
              <w:rPr>
                <w:sz w:val="18"/>
                <w:szCs w:val="18"/>
              </w:rPr>
            </w:pPr>
            <w:r>
              <w:rPr>
                <w:sz w:val="18"/>
                <w:szCs w:val="18"/>
              </w:rPr>
              <w:t>$</w:t>
            </w:r>
          </w:p>
        </w:tc>
        <w:tc>
          <w:tcPr>
            <w:tcW w:w="356" w:type="pct"/>
            <w:shd w:val="clear" w:color="auto" w:fill="CCEEFF"/>
            <w:noWrap/>
            <w:tcMar>
              <w:top w:w="0" w:type="dxa"/>
              <w:left w:w="0" w:type="dxa"/>
              <w:bottom w:w="0" w:type="dxa"/>
              <w:right w:w="0" w:type="dxa"/>
            </w:tcMar>
            <w:vAlign w:val="center"/>
            <w:hideMark/>
          </w:tcPr>
          <w:p w14:paraId="4079B5BC" w14:textId="77777777" w:rsidR="00000000" w:rsidRDefault="001F1B20">
            <w:pPr>
              <w:pStyle w:val="a3"/>
              <w:spacing w:before="0" w:beforeAutospacing="0" w:after="0" w:afterAutospacing="0"/>
              <w:ind w:right="60"/>
              <w:jc w:val="right"/>
              <w:rPr>
                <w:sz w:val="18"/>
                <w:szCs w:val="18"/>
              </w:rPr>
            </w:pPr>
            <w:r>
              <w:rPr>
                <w:sz w:val="18"/>
                <w:szCs w:val="18"/>
              </w:rPr>
              <w:t>23,724</w:t>
            </w:r>
          </w:p>
        </w:tc>
      </w:tr>
      <w:tr w:rsidR="00000000" w14:paraId="3821A1E7" w14:textId="77777777">
        <w:trPr>
          <w:divId w:val="950480115"/>
        </w:trPr>
        <w:tc>
          <w:tcPr>
            <w:tcW w:w="2851" w:type="pct"/>
            <w:tcMar>
              <w:top w:w="0" w:type="dxa"/>
              <w:left w:w="0" w:type="dxa"/>
              <w:bottom w:w="0" w:type="dxa"/>
              <w:right w:w="0" w:type="dxa"/>
            </w:tcMar>
            <w:vAlign w:val="bottom"/>
            <w:hideMark/>
          </w:tcPr>
          <w:p w14:paraId="1688CA52" w14:textId="77777777" w:rsidR="00000000" w:rsidRDefault="001F1B20">
            <w:pPr>
              <w:pStyle w:val="a3"/>
              <w:spacing w:before="0" w:beforeAutospacing="0" w:after="0" w:afterAutospacing="0"/>
              <w:rPr>
                <w:sz w:val="18"/>
                <w:szCs w:val="18"/>
              </w:rPr>
            </w:pPr>
            <w:r>
              <w:rPr>
                <w:sz w:val="18"/>
                <w:szCs w:val="18"/>
              </w:rPr>
              <w:t xml:space="preserve">Selling, general and administrative </w:t>
            </w:r>
          </w:p>
        </w:tc>
        <w:tc>
          <w:tcPr>
            <w:tcW w:w="90" w:type="pct"/>
            <w:noWrap/>
            <w:tcMar>
              <w:top w:w="0" w:type="dxa"/>
              <w:left w:w="0" w:type="dxa"/>
              <w:bottom w:w="0" w:type="dxa"/>
              <w:right w:w="0" w:type="dxa"/>
            </w:tcMar>
            <w:vAlign w:val="bottom"/>
            <w:hideMark/>
          </w:tcPr>
          <w:p w14:paraId="18C657ED" w14:textId="77777777" w:rsidR="00000000" w:rsidRDefault="001F1B20">
            <w:pPr>
              <w:pStyle w:val="a3"/>
              <w:spacing w:before="0" w:beforeAutospacing="0" w:after="0"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14:paraId="0C27D20D" w14:textId="77777777" w:rsidR="00000000" w:rsidRDefault="001F1B20">
            <w:pPr>
              <w:pStyle w:val="a3"/>
              <w:spacing w:before="0" w:beforeAutospacing="0" w:after="0" w:afterAutospacing="0"/>
              <w:rPr>
                <w:sz w:val="18"/>
                <w:szCs w:val="18"/>
              </w:rPr>
            </w:pPr>
            <w:r>
              <w:rPr>
                <w:sz w:val="18"/>
                <w:szCs w:val="18"/>
              </w:rPr>
              <w:t> </w:t>
            </w:r>
          </w:p>
        </w:tc>
        <w:tc>
          <w:tcPr>
            <w:tcW w:w="356" w:type="pct"/>
            <w:tcBorders>
              <w:bottom w:val="single" w:sz="6" w:space="0" w:color="000000"/>
            </w:tcBorders>
            <w:noWrap/>
            <w:tcMar>
              <w:top w:w="0" w:type="dxa"/>
              <w:left w:w="0" w:type="dxa"/>
              <w:bottom w:w="0" w:type="dxa"/>
              <w:right w:w="0" w:type="dxa"/>
            </w:tcMar>
            <w:vAlign w:val="center"/>
            <w:hideMark/>
          </w:tcPr>
          <w:p w14:paraId="6EB203FA" w14:textId="77777777" w:rsidR="00000000" w:rsidRDefault="001F1B20">
            <w:pPr>
              <w:pStyle w:val="a3"/>
              <w:spacing w:before="0" w:beforeAutospacing="0" w:after="0" w:afterAutospacing="0"/>
              <w:ind w:right="60"/>
              <w:jc w:val="right"/>
              <w:rPr>
                <w:sz w:val="18"/>
                <w:szCs w:val="18"/>
              </w:rPr>
            </w:pPr>
            <w:r>
              <w:rPr>
                <w:sz w:val="18"/>
                <w:szCs w:val="18"/>
              </w:rPr>
              <w:t>7,414</w:t>
            </w:r>
          </w:p>
        </w:tc>
        <w:tc>
          <w:tcPr>
            <w:tcW w:w="90" w:type="pct"/>
            <w:noWrap/>
            <w:tcMar>
              <w:top w:w="0" w:type="dxa"/>
              <w:left w:w="0" w:type="dxa"/>
              <w:bottom w:w="0" w:type="dxa"/>
              <w:right w:w="0" w:type="dxa"/>
            </w:tcMar>
            <w:vAlign w:val="bottom"/>
            <w:hideMark/>
          </w:tcPr>
          <w:p w14:paraId="3E4F840F" w14:textId="77777777" w:rsidR="00000000" w:rsidRDefault="001F1B20">
            <w:pPr>
              <w:pStyle w:val="a3"/>
              <w:spacing w:before="0" w:beforeAutospacing="0" w:after="0"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14:paraId="0B89FF35" w14:textId="77777777" w:rsidR="00000000" w:rsidRDefault="001F1B20">
            <w:pPr>
              <w:pStyle w:val="a3"/>
              <w:spacing w:before="0" w:beforeAutospacing="0" w:after="0" w:afterAutospacing="0"/>
              <w:rPr>
                <w:sz w:val="18"/>
                <w:szCs w:val="18"/>
              </w:rPr>
            </w:pPr>
            <w:r>
              <w:rPr>
                <w:sz w:val="18"/>
                <w:szCs w:val="18"/>
              </w:rPr>
              <w:t> </w:t>
            </w:r>
          </w:p>
        </w:tc>
        <w:tc>
          <w:tcPr>
            <w:tcW w:w="356" w:type="pct"/>
            <w:tcBorders>
              <w:bottom w:val="single" w:sz="6" w:space="0" w:color="000000"/>
            </w:tcBorders>
            <w:noWrap/>
            <w:tcMar>
              <w:top w:w="0" w:type="dxa"/>
              <w:left w:w="0" w:type="dxa"/>
              <w:bottom w:w="0" w:type="dxa"/>
              <w:right w:w="0" w:type="dxa"/>
            </w:tcMar>
            <w:vAlign w:val="center"/>
            <w:hideMark/>
          </w:tcPr>
          <w:p w14:paraId="481039DE" w14:textId="77777777" w:rsidR="00000000" w:rsidRDefault="001F1B20">
            <w:pPr>
              <w:pStyle w:val="a3"/>
              <w:spacing w:before="0" w:beforeAutospacing="0" w:after="0" w:afterAutospacing="0"/>
              <w:ind w:right="60"/>
              <w:jc w:val="right"/>
              <w:rPr>
                <w:sz w:val="18"/>
                <w:szCs w:val="18"/>
              </w:rPr>
            </w:pPr>
            <w:r>
              <w:rPr>
                <w:sz w:val="18"/>
                <w:szCs w:val="18"/>
              </w:rPr>
              <w:t>7,803</w:t>
            </w:r>
          </w:p>
        </w:tc>
        <w:tc>
          <w:tcPr>
            <w:tcW w:w="90" w:type="pct"/>
            <w:noWrap/>
            <w:tcMar>
              <w:top w:w="0" w:type="dxa"/>
              <w:left w:w="0" w:type="dxa"/>
              <w:bottom w:w="0" w:type="dxa"/>
              <w:right w:w="0" w:type="dxa"/>
            </w:tcMar>
            <w:vAlign w:val="bottom"/>
            <w:hideMark/>
          </w:tcPr>
          <w:p w14:paraId="3188DA88" w14:textId="77777777" w:rsidR="00000000" w:rsidRDefault="001F1B20">
            <w:pPr>
              <w:pStyle w:val="a3"/>
              <w:spacing w:before="0" w:beforeAutospacing="0" w:after="0"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14:paraId="6A3467EC" w14:textId="77777777" w:rsidR="00000000" w:rsidRDefault="001F1B20">
            <w:pPr>
              <w:pStyle w:val="a3"/>
              <w:spacing w:before="0" w:beforeAutospacing="0" w:after="0" w:afterAutospacing="0"/>
              <w:rPr>
                <w:sz w:val="18"/>
                <w:szCs w:val="18"/>
              </w:rPr>
            </w:pPr>
            <w:r>
              <w:rPr>
                <w:sz w:val="18"/>
                <w:szCs w:val="18"/>
              </w:rPr>
              <w:t> </w:t>
            </w:r>
          </w:p>
        </w:tc>
        <w:tc>
          <w:tcPr>
            <w:tcW w:w="356" w:type="pct"/>
            <w:tcBorders>
              <w:bottom w:val="single" w:sz="6" w:space="0" w:color="000000"/>
            </w:tcBorders>
            <w:noWrap/>
            <w:tcMar>
              <w:top w:w="0" w:type="dxa"/>
              <w:left w:w="0" w:type="dxa"/>
              <w:bottom w:w="0" w:type="dxa"/>
              <w:right w:w="0" w:type="dxa"/>
            </w:tcMar>
            <w:vAlign w:val="center"/>
            <w:hideMark/>
          </w:tcPr>
          <w:p w14:paraId="7783C4BD" w14:textId="77777777" w:rsidR="00000000" w:rsidRDefault="001F1B20">
            <w:pPr>
              <w:pStyle w:val="a3"/>
              <w:spacing w:before="0" w:beforeAutospacing="0" w:after="0" w:afterAutospacing="0"/>
              <w:ind w:right="60"/>
              <w:jc w:val="right"/>
              <w:rPr>
                <w:sz w:val="18"/>
                <w:szCs w:val="18"/>
              </w:rPr>
            </w:pPr>
            <w:r>
              <w:rPr>
                <w:sz w:val="18"/>
                <w:szCs w:val="18"/>
              </w:rPr>
              <w:t>22,951</w:t>
            </w:r>
          </w:p>
        </w:tc>
        <w:tc>
          <w:tcPr>
            <w:tcW w:w="90" w:type="pct"/>
            <w:noWrap/>
            <w:tcMar>
              <w:top w:w="0" w:type="dxa"/>
              <w:left w:w="0" w:type="dxa"/>
              <w:bottom w:w="0" w:type="dxa"/>
              <w:right w:w="0" w:type="dxa"/>
            </w:tcMar>
            <w:vAlign w:val="bottom"/>
            <w:hideMark/>
          </w:tcPr>
          <w:p w14:paraId="151F781B" w14:textId="77777777" w:rsidR="00000000" w:rsidRDefault="001F1B20">
            <w:pPr>
              <w:pStyle w:val="a3"/>
              <w:spacing w:before="0" w:beforeAutospacing="0" w:after="0" w:afterAutospacing="0"/>
              <w:rPr>
                <w:sz w:val="20"/>
                <w:szCs w:val="20"/>
              </w:rPr>
            </w:pPr>
            <w:r>
              <w:rPr>
                <w:sz w:val="18"/>
                <w:szCs w:val="18"/>
              </w:rPr>
              <w:t>​</w:t>
            </w:r>
          </w:p>
        </w:tc>
        <w:tc>
          <w:tcPr>
            <w:tcW w:w="90" w:type="pct"/>
            <w:tcBorders>
              <w:bottom w:val="single" w:sz="6" w:space="0" w:color="000000"/>
            </w:tcBorders>
            <w:noWrap/>
            <w:tcMar>
              <w:top w:w="0" w:type="dxa"/>
              <w:left w:w="0" w:type="dxa"/>
              <w:bottom w:w="0" w:type="dxa"/>
              <w:right w:w="0" w:type="dxa"/>
            </w:tcMar>
            <w:vAlign w:val="bottom"/>
            <w:hideMark/>
          </w:tcPr>
          <w:p w14:paraId="734F5795" w14:textId="77777777" w:rsidR="00000000" w:rsidRDefault="001F1B20">
            <w:pPr>
              <w:pStyle w:val="a3"/>
              <w:spacing w:before="0" w:beforeAutospacing="0" w:after="0" w:afterAutospacing="0"/>
              <w:rPr>
                <w:sz w:val="18"/>
                <w:szCs w:val="18"/>
              </w:rPr>
            </w:pPr>
            <w:r>
              <w:rPr>
                <w:sz w:val="18"/>
                <w:szCs w:val="18"/>
              </w:rPr>
              <w:t> </w:t>
            </w:r>
          </w:p>
        </w:tc>
        <w:tc>
          <w:tcPr>
            <w:tcW w:w="356" w:type="pct"/>
            <w:tcBorders>
              <w:bottom w:val="single" w:sz="6" w:space="0" w:color="000000"/>
            </w:tcBorders>
            <w:noWrap/>
            <w:tcMar>
              <w:top w:w="0" w:type="dxa"/>
              <w:left w:w="0" w:type="dxa"/>
              <w:bottom w:w="0" w:type="dxa"/>
              <w:right w:w="0" w:type="dxa"/>
            </w:tcMar>
            <w:vAlign w:val="center"/>
            <w:hideMark/>
          </w:tcPr>
          <w:p w14:paraId="45DFDCAD" w14:textId="77777777" w:rsidR="00000000" w:rsidRDefault="001F1B20">
            <w:pPr>
              <w:pStyle w:val="a3"/>
              <w:spacing w:before="0" w:beforeAutospacing="0" w:after="0" w:afterAutospacing="0"/>
              <w:ind w:right="60"/>
              <w:jc w:val="right"/>
              <w:rPr>
                <w:sz w:val="18"/>
                <w:szCs w:val="18"/>
              </w:rPr>
            </w:pPr>
            <w:r>
              <w:rPr>
                <w:sz w:val="18"/>
                <w:szCs w:val="18"/>
              </w:rPr>
              <w:t>23,701</w:t>
            </w:r>
          </w:p>
        </w:tc>
      </w:tr>
      <w:tr w:rsidR="00000000" w14:paraId="641656F1" w14:textId="77777777">
        <w:trPr>
          <w:divId w:val="950480115"/>
        </w:trPr>
        <w:tc>
          <w:tcPr>
            <w:tcW w:w="2851" w:type="pct"/>
            <w:shd w:val="clear" w:color="auto" w:fill="CCEEFF"/>
            <w:tcMar>
              <w:top w:w="0" w:type="dxa"/>
              <w:left w:w="0" w:type="dxa"/>
              <w:bottom w:w="0" w:type="dxa"/>
              <w:right w:w="0" w:type="dxa"/>
            </w:tcMar>
            <w:vAlign w:val="bottom"/>
            <w:hideMark/>
          </w:tcPr>
          <w:p w14:paraId="7D4CF893" w14:textId="77777777" w:rsidR="00000000" w:rsidRDefault="001F1B20">
            <w:pPr>
              <w:pStyle w:val="a3"/>
              <w:spacing w:before="0" w:beforeAutospacing="0" w:after="0" w:afterAutospacing="0"/>
              <w:ind w:left="240"/>
              <w:rPr>
                <w:sz w:val="18"/>
                <w:szCs w:val="18"/>
              </w:rPr>
            </w:pPr>
            <w:r>
              <w:rPr>
                <w:sz w:val="18"/>
                <w:szCs w:val="18"/>
              </w:rPr>
              <w:t xml:space="preserve">Total share-based compensation expense </w:t>
            </w:r>
          </w:p>
        </w:tc>
        <w:tc>
          <w:tcPr>
            <w:tcW w:w="90" w:type="pct"/>
            <w:shd w:val="clear" w:color="auto" w:fill="CCEEFF"/>
            <w:noWrap/>
            <w:tcMar>
              <w:top w:w="0" w:type="dxa"/>
              <w:left w:w="0" w:type="dxa"/>
              <w:bottom w:w="0" w:type="dxa"/>
              <w:right w:w="0" w:type="dxa"/>
            </w:tcMar>
            <w:vAlign w:val="bottom"/>
            <w:hideMark/>
          </w:tcPr>
          <w:p w14:paraId="0CE9218E" w14:textId="77777777" w:rsidR="00000000" w:rsidRDefault="001F1B20">
            <w:pPr>
              <w:pStyle w:val="a3"/>
              <w:spacing w:before="0" w:beforeAutospacing="0" w:after="0" w:afterAutospacing="0"/>
              <w:rPr>
                <w:sz w:val="20"/>
                <w:szCs w:val="20"/>
              </w:rPr>
            </w:pPr>
            <w:r>
              <w:rPr>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14:paraId="66B90BB1" w14:textId="77777777" w:rsidR="00000000" w:rsidRDefault="001F1B20">
            <w:pPr>
              <w:pStyle w:val="a3"/>
              <w:spacing w:before="0" w:beforeAutospacing="0" w:after="0" w:afterAutospacing="0"/>
              <w:rPr>
                <w:sz w:val="18"/>
                <w:szCs w:val="18"/>
              </w:rPr>
            </w:pPr>
            <w:r>
              <w:rPr>
                <w:sz w:val="18"/>
                <w:szCs w:val="18"/>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14:paraId="64026D99" w14:textId="77777777" w:rsidR="00000000" w:rsidRDefault="001F1B20">
            <w:pPr>
              <w:pStyle w:val="a3"/>
              <w:spacing w:before="0" w:beforeAutospacing="0" w:after="0" w:afterAutospacing="0"/>
              <w:ind w:right="60"/>
              <w:jc w:val="right"/>
              <w:rPr>
                <w:sz w:val="18"/>
                <w:szCs w:val="18"/>
              </w:rPr>
            </w:pPr>
            <w:r>
              <w:rPr>
                <w:sz w:val="18"/>
                <w:szCs w:val="18"/>
              </w:rPr>
              <w:t>14,370</w:t>
            </w:r>
          </w:p>
        </w:tc>
        <w:tc>
          <w:tcPr>
            <w:tcW w:w="90" w:type="pct"/>
            <w:shd w:val="clear" w:color="auto" w:fill="CCEEFF"/>
            <w:noWrap/>
            <w:tcMar>
              <w:top w:w="0" w:type="dxa"/>
              <w:left w:w="0" w:type="dxa"/>
              <w:bottom w:w="0" w:type="dxa"/>
              <w:right w:w="0" w:type="dxa"/>
            </w:tcMar>
            <w:vAlign w:val="bottom"/>
            <w:hideMark/>
          </w:tcPr>
          <w:p w14:paraId="4C3380CA" w14:textId="77777777" w:rsidR="00000000" w:rsidRDefault="001F1B20">
            <w:pPr>
              <w:pStyle w:val="a3"/>
              <w:spacing w:before="0" w:beforeAutospacing="0" w:after="0" w:afterAutospacing="0"/>
              <w:rPr>
                <w:sz w:val="20"/>
                <w:szCs w:val="20"/>
              </w:rPr>
            </w:pPr>
            <w:r>
              <w:rPr>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14:paraId="6EE0A909" w14:textId="77777777" w:rsidR="00000000" w:rsidRDefault="001F1B20">
            <w:pPr>
              <w:pStyle w:val="a3"/>
              <w:spacing w:before="0" w:beforeAutospacing="0" w:after="0" w:afterAutospacing="0"/>
              <w:rPr>
                <w:sz w:val="18"/>
                <w:szCs w:val="18"/>
              </w:rPr>
            </w:pPr>
            <w:r>
              <w:rPr>
                <w:sz w:val="18"/>
                <w:szCs w:val="18"/>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14:paraId="3BC1AE70" w14:textId="77777777" w:rsidR="00000000" w:rsidRDefault="001F1B20">
            <w:pPr>
              <w:pStyle w:val="a3"/>
              <w:spacing w:before="0" w:beforeAutospacing="0" w:after="0" w:afterAutospacing="0"/>
              <w:ind w:right="60"/>
              <w:jc w:val="right"/>
              <w:rPr>
                <w:sz w:val="18"/>
                <w:szCs w:val="18"/>
              </w:rPr>
            </w:pPr>
            <w:r>
              <w:rPr>
                <w:sz w:val="18"/>
                <w:szCs w:val="18"/>
              </w:rPr>
              <w:t>15,564</w:t>
            </w:r>
          </w:p>
        </w:tc>
        <w:tc>
          <w:tcPr>
            <w:tcW w:w="90" w:type="pct"/>
            <w:shd w:val="clear" w:color="auto" w:fill="CCEEFF"/>
            <w:noWrap/>
            <w:tcMar>
              <w:top w:w="0" w:type="dxa"/>
              <w:left w:w="0" w:type="dxa"/>
              <w:bottom w:w="0" w:type="dxa"/>
              <w:right w:w="0" w:type="dxa"/>
            </w:tcMar>
            <w:vAlign w:val="bottom"/>
            <w:hideMark/>
          </w:tcPr>
          <w:p w14:paraId="104DD562" w14:textId="77777777" w:rsidR="00000000" w:rsidRDefault="001F1B20">
            <w:pPr>
              <w:pStyle w:val="a3"/>
              <w:spacing w:before="0" w:beforeAutospacing="0" w:after="0" w:afterAutospacing="0"/>
              <w:rPr>
                <w:sz w:val="20"/>
                <w:szCs w:val="20"/>
              </w:rPr>
            </w:pPr>
            <w:r>
              <w:rPr>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14:paraId="14FFCA26" w14:textId="77777777" w:rsidR="00000000" w:rsidRDefault="001F1B20">
            <w:pPr>
              <w:pStyle w:val="a3"/>
              <w:spacing w:before="0" w:beforeAutospacing="0" w:after="0" w:afterAutospacing="0"/>
              <w:rPr>
                <w:sz w:val="18"/>
                <w:szCs w:val="18"/>
              </w:rPr>
            </w:pPr>
            <w:r>
              <w:rPr>
                <w:sz w:val="18"/>
                <w:szCs w:val="18"/>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14:paraId="33FADA77" w14:textId="77777777" w:rsidR="00000000" w:rsidRDefault="001F1B20">
            <w:pPr>
              <w:pStyle w:val="a3"/>
              <w:spacing w:before="0" w:beforeAutospacing="0" w:after="0" w:afterAutospacing="0"/>
              <w:ind w:right="60"/>
              <w:jc w:val="right"/>
              <w:rPr>
                <w:sz w:val="18"/>
                <w:szCs w:val="18"/>
              </w:rPr>
            </w:pPr>
            <w:r>
              <w:rPr>
                <w:sz w:val="18"/>
                <w:szCs w:val="18"/>
              </w:rPr>
              <w:t>45,143</w:t>
            </w:r>
          </w:p>
        </w:tc>
        <w:tc>
          <w:tcPr>
            <w:tcW w:w="90" w:type="pct"/>
            <w:shd w:val="clear" w:color="auto" w:fill="CCEEFF"/>
            <w:noWrap/>
            <w:tcMar>
              <w:top w:w="0" w:type="dxa"/>
              <w:left w:w="0" w:type="dxa"/>
              <w:bottom w:w="0" w:type="dxa"/>
              <w:right w:w="0" w:type="dxa"/>
            </w:tcMar>
            <w:vAlign w:val="bottom"/>
            <w:hideMark/>
          </w:tcPr>
          <w:p w14:paraId="399BC5B9" w14:textId="77777777" w:rsidR="00000000" w:rsidRDefault="001F1B20">
            <w:pPr>
              <w:pStyle w:val="a3"/>
              <w:spacing w:before="0" w:beforeAutospacing="0" w:after="0" w:afterAutospacing="0"/>
              <w:rPr>
                <w:sz w:val="20"/>
                <w:szCs w:val="20"/>
              </w:rPr>
            </w:pPr>
            <w:r>
              <w:rPr>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14:paraId="27FD106B" w14:textId="77777777" w:rsidR="00000000" w:rsidRDefault="001F1B20">
            <w:pPr>
              <w:pStyle w:val="a3"/>
              <w:spacing w:before="0" w:beforeAutospacing="0" w:after="0" w:afterAutospacing="0"/>
              <w:rPr>
                <w:sz w:val="18"/>
                <w:szCs w:val="18"/>
              </w:rPr>
            </w:pPr>
            <w:r>
              <w:rPr>
                <w:sz w:val="18"/>
                <w:szCs w:val="18"/>
              </w:rPr>
              <w:t>$</w:t>
            </w:r>
          </w:p>
        </w:tc>
        <w:tc>
          <w:tcPr>
            <w:tcW w:w="356" w:type="pct"/>
            <w:tcBorders>
              <w:bottom w:val="double" w:sz="6" w:space="0" w:color="000000"/>
            </w:tcBorders>
            <w:shd w:val="clear" w:color="auto" w:fill="CCEEFF"/>
            <w:noWrap/>
            <w:tcMar>
              <w:top w:w="0" w:type="dxa"/>
              <w:left w:w="0" w:type="dxa"/>
              <w:bottom w:w="0" w:type="dxa"/>
              <w:right w:w="0" w:type="dxa"/>
            </w:tcMar>
            <w:vAlign w:val="center"/>
            <w:hideMark/>
          </w:tcPr>
          <w:p w14:paraId="326B93EA" w14:textId="77777777" w:rsidR="00000000" w:rsidRDefault="001F1B20">
            <w:pPr>
              <w:pStyle w:val="a3"/>
              <w:spacing w:before="0" w:beforeAutospacing="0" w:after="0" w:afterAutospacing="0"/>
              <w:ind w:right="60"/>
              <w:jc w:val="right"/>
              <w:rPr>
                <w:sz w:val="18"/>
                <w:szCs w:val="18"/>
              </w:rPr>
            </w:pPr>
            <w:r>
              <w:rPr>
                <w:sz w:val="18"/>
                <w:szCs w:val="18"/>
              </w:rPr>
              <w:t>47,425</w:t>
            </w:r>
          </w:p>
        </w:tc>
      </w:tr>
    </w:tbl>
    <w:p w14:paraId="48123AB6" w14:textId="77777777" w:rsidR="00000000" w:rsidRDefault="001F1B20">
      <w:pPr>
        <w:pStyle w:val="a3"/>
        <w:spacing w:before="0" w:beforeAutospacing="0" w:after="0" w:afterAutospacing="0"/>
        <w:divId w:val="950480115"/>
        <w:rPr>
          <w:sz w:val="20"/>
          <w:szCs w:val="20"/>
        </w:rPr>
      </w:pPr>
      <w:r>
        <w:rPr>
          <w:sz w:val="20"/>
          <w:szCs w:val="20"/>
        </w:rPr>
        <w:t>​</w:t>
      </w:r>
    </w:p>
    <w:p w14:paraId="7E6325D0" w14:textId="77777777" w:rsidR="00000000" w:rsidRDefault="001F1B20">
      <w:pPr>
        <w:pStyle w:val="a3"/>
        <w:spacing w:before="0" w:beforeAutospacing="0" w:after="0" w:afterAutospacing="0"/>
        <w:jc w:val="center"/>
        <w:divId w:val="950480115"/>
        <w:rPr>
          <w:sz w:val="20"/>
          <w:szCs w:val="20"/>
        </w:rPr>
      </w:pPr>
      <w:r>
        <w:rPr>
          <w:i/>
          <w:iCs/>
          <w:sz w:val="20"/>
          <w:szCs w:val="20"/>
        </w:rPr>
        <w:t>See accompanying notes to condensed consolidated financial statements.</w:t>
      </w:r>
    </w:p>
    <w:p w14:paraId="3CAEAAA1" w14:textId="77777777" w:rsidR="00000000" w:rsidRDefault="001F1B20">
      <w:pPr>
        <w:pStyle w:val="a3"/>
        <w:spacing w:before="0" w:beforeAutospacing="0" w:after="0" w:afterAutospacing="0"/>
        <w:divId w:val="950480115"/>
        <w:rPr>
          <w:sz w:val="20"/>
          <w:szCs w:val="20"/>
        </w:rPr>
      </w:pPr>
      <w:r>
        <w:rPr>
          <w:sz w:val="20"/>
          <w:szCs w:val="20"/>
        </w:rPr>
        <w:t>​</w:t>
      </w:r>
    </w:p>
    <w:p w14:paraId="13D4A4F4" w14:textId="77777777" w:rsidR="00000000" w:rsidRDefault="001F1B20">
      <w:pPr>
        <w:pStyle w:val="a3"/>
        <w:spacing w:before="360" w:beforeAutospacing="0" w:after="0" w:afterAutospacing="0"/>
        <w:jc w:val="center"/>
        <w:divId w:val="1912544508"/>
        <w:rPr>
          <w:sz w:val="20"/>
          <w:szCs w:val="20"/>
        </w:rPr>
      </w:pPr>
      <w:r>
        <w:rPr>
          <w:sz w:val="20"/>
          <w:szCs w:val="20"/>
        </w:rPr>
        <w:lastRenderedPageBreak/>
        <w:t>4</w:t>
      </w:r>
    </w:p>
    <w:p w14:paraId="5FC8DC89" w14:textId="77777777" w:rsidR="00000000" w:rsidRDefault="001F1B20">
      <w:pPr>
        <w:pStyle w:val="a3"/>
        <w:spacing w:before="0" w:beforeAutospacing="0" w:after="600" w:afterAutospacing="0"/>
        <w:divId w:val="834105939"/>
        <w:rPr>
          <w:sz w:val="20"/>
          <w:szCs w:val="20"/>
        </w:rPr>
      </w:pPr>
      <w:hyperlink w:anchor="TOC" w:history="1">
        <w:r>
          <w:rPr>
            <w:rStyle w:val="a4"/>
            <w:sz w:val="20"/>
            <w:szCs w:val="20"/>
          </w:rPr>
          <w:t>Table of Contents</w:t>
        </w:r>
      </w:hyperlink>
    </w:p>
    <w:p w14:paraId="37C160F1" w14:textId="77777777" w:rsidR="00000000" w:rsidRDefault="001F1B20">
      <w:pPr>
        <w:pStyle w:val="a3"/>
        <w:spacing w:before="0" w:beforeAutospacing="0" w:after="0" w:afterAutospacing="0"/>
        <w:jc w:val="center"/>
        <w:divId w:val="1901865854"/>
        <w:rPr>
          <w:sz w:val="20"/>
          <w:szCs w:val="20"/>
        </w:rPr>
      </w:pPr>
      <w:r>
        <w:rPr>
          <w:b/>
          <w:bCs/>
          <w:sz w:val="20"/>
          <w:szCs w:val="20"/>
        </w:rPr>
        <w:t>THERAVANCE BIOPHARMA, INC.</w:t>
      </w:r>
    </w:p>
    <w:p w14:paraId="10B0C9FB" w14:textId="77777777" w:rsidR="00000000" w:rsidRDefault="001F1B20">
      <w:pPr>
        <w:pStyle w:val="a3"/>
        <w:spacing w:before="0" w:beforeAutospacing="0" w:after="0" w:afterAutospacing="0"/>
        <w:jc w:val="center"/>
        <w:divId w:val="1901865854"/>
        <w:rPr>
          <w:sz w:val="20"/>
          <w:szCs w:val="20"/>
        </w:rPr>
      </w:pPr>
      <w:r>
        <w:rPr>
          <w:b/>
          <w:bCs/>
          <w:sz w:val="20"/>
          <w:szCs w:val="20"/>
        </w:rPr>
        <w:t>CONDENSED CONSOLIDATED STATEMENTS OF SHAREHOLDERS’ DEFICIT</w:t>
      </w:r>
    </w:p>
    <w:p w14:paraId="69416026" w14:textId="77777777" w:rsidR="00000000" w:rsidRDefault="001F1B20">
      <w:pPr>
        <w:pStyle w:val="a3"/>
        <w:spacing w:before="0" w:beforeAutospacing="0" w:after="0" w:afterAutospacing="0"/>
        <w:jc w:val="center"/>
        <w:divId w:val="1901865854"/>
        <w:rPr>
          <w:sz w:val="20"/>
          <w:szCs w:val="20"/>
        </w:rPr>
      </w:pPr>
      <w:r>
        <w:rPr>
          <w:b/>
          <w:bCs/>
          <w:sz w:val="20"/>
          <w:szCs w:val="20"/>
        </w:rPr>
        <w:t>(Unaudited)</w:t>
      </w:r>
    </w:p>
    <w:p w14:paraId="0C1273F7" w14:textId="77777777" w:rsidR="00000000" w:rsidRDefault="001F1B20">
      <w:pPr>
        <w:pStyle w:val="a3"/>
        <w:spacing w:before="0" w:beforeAutospacing="0" w:after="0" w:afterAutospacing="0"/>
        <w:jc w:val="center"/>
        <w:divId w:val="1901865854"/>
        <w:rPr>
          <w:sz w:val="20"/>
          <w:szCs w:val="20"/>
        </w:rPr>
      </w:pPr>
      <w:r>
        <w:rPr>
          <w:b/>
          <w:bCs/>
          <w:sz w:val="20"/>
          <w:szCs w:val="20"/>
        </w:rPr>
        <w:t>(In thousands)</w:t>
      </w:r>
    </w:p>
    <w:p w14:paraId="3AF77C42" w14:textId="77777777" w:rsidR="00000000" w:rsidRDefault="001F1B20">
      <w:pPr>
        <w:pStyle w:val="a3"/>
        <w:spacing w:before="0" w:beforeAutospacing="0" w:after="0" w:afterAutospacing="0"/>
        <w:jc w:val="center"/>
        <w:divId w:val="1901865854"/>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790"/>
        <w:gridCol w:w="120"/>
        <w:gridCol w:w="501"/>
        <w:gridCol w:w="120"/>
        <w:gridCol w:w="104"/>
        <w:gridCol w:w="473"/>
        <w:gridCol w:w="120"/>
        <w:gridCol w:w="80"/>
        <w:gridCol w:w="700"/>
        <w:gridCol w:w="120"/>
        <w:gridCol w:w="216"/>
        <w:gridCol w:w="851"/>
        <w:gridCol w:w="120"/>
        <w:gridCol w:w="172"/>
        <w:gridCol w:w="747"/>
        <w:gridCol w:w="120"/>
        <w:gridCol w:w="194"/>
        <w:gridCol w:w="758"/>
      </w:tblGrid>
      <w:tr w:rsidR="00000000" w14:paraId="29C19D4C" w14:textId="77777777">
        <w:trPr>
          <w:divId w:val="1901865854"/>
          <w:trHeight w:val="20"/>
        </w:trPr>
        <w:tc>
          <w:tcPr>
            <w:tcW w:w="1845" w:type="pct"/>
            <w:tcMar>
              <w:top w:w="0" w:type="dxa"/>
              <w:left w:w="0" w:type="dxa"/>
              <w:bottom w:w="0" w:type="dxa"/>
              <w:right w:w="0" w:type="dxa"/>
            </w:tcMar>
            <w:vAlign w:val="bottom"/>
            <w:hideMark/>
          </w:tcPr>
          <w:p w14:paraId="4366CC4A" w14:textId="77777777" w:rsidR="00000000" w:rsidRDefault="001F1B20">
            <w:pPr>
              <w:pStyle w:val="a3"/>
              <w:spacing w:before="0" w:beforeAutospacing="0" w:after="0" w:afterAutospacing="0"/>
              <w:divId w:val="4014616"/>
              <w:rPr>
                <w:sz w:val="20"/>
                <w:szCs w:val="20"/>
              </w:rPr>
            </w:pPr>
            <w:r>
              <w:rPr>
                <w:sz w:val="2"/>
                <w:szCs w:val="2"/>
              </w:rPr>
              <w:t>​</w:t>
            </w:r>
          </w:p>
        </w:tc>
        <w:tc>
          <w:tcPr>
            <w:tcW w:w="76" w:type="pct"/>
            <w:noWrap/>
            <w:tcMar>
              <w:top w:w="0" w:type="dxa"/>
              <w:left w:w="0" w:type="dxa"/>
              <w:bottom w:w="0" w:type="dxa"/>
              <w:right w:w="0" w:type="dxa"/>
            </w:tcMar>
            <w:vAlign w:val="bottom"/>
            <w:hideMark/>
          </w:tcPr>
          <w:p w14:paraId="59B80454" w14:textId="77777777" w:rsidR="00000000" w:rsidRDefault="001F1B20">
            <w:pPr>
              <w:pStyle w:val="a3"/>
              <w:spacing w:before="0" w:beforeAutospacing="0" w:after="0" w:afterAutospacing="0"/>
              <w:divId w:val="1059283439"/>
              <w:rPr>
                <w:sz w:val="20"/>
                <w:szCs w:val="20"/>
              </w:rPr>
            </w:pPr>
            <w:r>
              <w:rPr>
                <w:sz w:val="2"/>
                <w:szCs w:val="2"/>
              </w:rPr>
              <w:t>​</w:t>
            </w:r>
          </w:p>
        </w:tc>
        <w:tc>
          <w:tcPr>
            <w:tcW w:w="343" w:type="pct"/>
            <w:noWrap/>
            <w:tcMar>
              <w:top w:w="0" w:type="dxa"/>
              <w:left w:w="0" w:type="dxa"/>
              <w:bottom w:w="0" w:type="dxa"/>
              <w:right w:w="0" w:type="dxa"/>
            </w:tcMar>
            <w:vAlign w:val="bottom"/>
            <w:hideMark/>
          </w:tcPr>
          <w:p w14:paraId="038AF55E" w14:textId="77777777" w:rsidR="00000000" w:rsidRDefault="001F1B20">
            <w:pPr>
              <w:pStyle w:val="a3"/>
              <w:spacing w:before="0" w:beforeAutospacing="0" w:after="0" w:afterAutospacing="0"/>
              <w:divId w:val="63916966"/>
              <w:rPr>
                <w:sz w:val="20"/>
                <w:szCs w:val="20"/>
              </w:rPr>
            </w:pPr>
            <w:r>
              <w:rPr>
                <w:sz w:val="2"/>
                <w:szCs w:val="2"/>
              </w:rPr>
              <w:t>​</w:t>
            </w:r>
          </w:p>
        </w:tc>
        <w:tc>
          <w:tcPr>
            <w:tcW w:w="76" w:type="pct"/>
            <w:noWrap/>
            <w:tcMar>
              <w:top w:w="0" w:type="dxa"/>
              <w:left w:w="0" w:type="dxa"/>
              <w:bottom w:w="0" w:type="dxa"/>
              <w:right w:w="0" w:type="dxa"/>
            </w:tcMar>
            <w:vAlign w:val="bottom"/>
            <w:hideMark/>
          </w:tcPr>
          <w:p w14:paraId="04F3CB61" w14:textId="77777777" w:rsidR="00000000" w:rsidRDefault="001F1B20">
            <w:pPr>
              <w:pStyle w:val="a3"/>
              <w:spacing w:before="0" w:beforeAutospacing="0" w:after="0" w:afterAutospacing="0"/>
              <w:divId w:val="1248030038"/>
              <w:rPr>
                <w:sz w:val="20"/>
                <w:szCs w:val="20"/>
              </w:rPr>
            </w:pPr>
            <w:r>
              <w:rPr>
                <w:sz w:val="2"/>
                <w:szCs w:val="2"/>
              </w:rPr>
              <w:t>​</w:t>
            </w:r>
          </w:p>
        </w:tc>
        <w:tc>
          <w:tcPr>
            <w:tcW w:w="76" w:type="pct"/>
            <w:noWrap/>
            <w:tcMar>
              <w:top w:w="0" w:type="dxa"/>
              <w:left w:w="0" w:type="dxa"/>
              <w:bottom w:w="0" w:type="dxa"/>
              <w:right w:w="0" w:type="dxa"/>
            </w:tcMar>
            <w:vAlign w:val="bottom"/>
            <w:hideMark/>
          </w:tcPr>
          <w:p w14:paraId="17CDEC82" w14:textId="77777777" w:rsidR="00000000" w:rsidRDefault="001F1B20">
            <w:pPr>
              <w:pStyle w:val="a3"/>
              <w:spacing w:before="0" w:beforeAutospacing="0" w:after="0" w:afterAutospacing="0"/>
              <w:divId w:val="1554927738"/>
              <w:rPr>
                <w:sz w:val="20"/>
                <w:szCs w:val="20"/>
              </w:rPr>
            </w:pPr>
            <w:r>
              <w:rPr>
                <w:sz w:val="2"/>
                <w:szCs w:val="2"/>
              </w:rPr>
              <w:t>​</w:t>
            </w:r>
          </w:p>
        </w:tc>
        <w:tc>
          <w:tcPr>
            <w:tcW w:w="343" w:type="pct"/>
            <w:noWrap/>
            <w:tcMar>
              <w:top w:w="0" w:type="dxa"/>
              <w:left w:w="0" w:type="dxa"/>
              <w:bottom w:w="0" w:type="dxa"/>
              <w:right w:w="0" w:type="dxa"/>
            </w:tcMar>
            <w:vAlign w:val="bottom"/>
            <w:hideMark/>
          </w:tcPr>
          <w:p w14:paraId="51F6E768" w14:textId="77777777" w:rsidR="00000000" w:rsidRDefault="001F1B20">
            <w:pPr>
              <w:pStyle w:val="a3"/>
              <w:spacing w:before="0" w:beforeAutospacing="0" w:after="0" w:afterAutospacing="0"/>
              <w:divId w:val="1871719036"/>
              <w:rPr>
                <w:sz w:val="20"/>
                <w:szCs w:val="20"/>
              </w:rPr>
            </w:pPr>
            <w:r>
              <w:rPr>
                <w:sz w:val="2"/>
                <w:szCs w:val="2"/>
              </w:rPr>
              <w:t>​</w:t>
            </w:r>
          </w:p>
        </w:tc>
        <w:tc>
          <w:tcPr>
            <w:tcW w:w="77" w:type="pct"/>
            <w:noWrap/>
            <w:tcMar>
              <w:top w:w="0" w:type="dxa"/>
              <w:left w:w="0" w:type="dxa"/>
              <w:bottom w:w="0" w:type="dxa"/>
              <w:right w:w="0" w:type="dxa"/>
            </w:tcMar>
            <w:vAlign w:val="bottom"/>
            <w:hideMark/>
          </w:tcPr>
          <w:p w14:paraId="081852C2" w14:textId="77777777" w:rsidR="00000000" w:rsidRDefault="001F1B20">
            <w:pPr>
              <w:pStyle w:val="a3"/>
              <w:spacing w:before="0" w:beforeAutospacing="0" w:after="0" w:afterAutospacing="0"/>
              <w:divId w:val="132215255"/>
              <w:rPr>
                <w:sz w:val="20"/>
                <w:szCs w:val="20"/>
              </w:rPr>
            </w:pPr>
            <w:r>
              <w:rPr>
                <w:sz w:val="2"/>
                <w:szCs w:val="2"/>
              </w:rPr>
              <w:t>​</w:t>
            </w:r>
          </w:p>
        </w:tc>
        <w:tc>
          <w:tcPr>
            <w:tcW w:w="77" w:type="pct"/>
            <w:noWrap/>
            <w:tcMar>
              <w:top w:w="0" w:type="dxa"/>
              <w:left w:w="0" w:type="dxa"/>
              <w:bottom w:w="0" w:type="dxa"/>
              <w:right w:w="0" w:type="dxa"/>
            </w:tcMar>
            <w:vAlign w:val="bottom"/>
            <w:hideMark/>
          </w:tcPr>
          <w:p w14:paraId="282B8504" w14:textId="77777777" w:rsidR="00000000" w:rsidRDefault="001F1B20">
            <w:pPr>
              <w:pStyle w:val="a3"/>
              <w:spacing w:before="0" w:beforeAutospacing="0" w:after="0" w:afterAutospacing="0"/>
              <w:divId w:val="39012653"/>
              <w:rPr>
                <w:sz w:val="20"/>
                <w:szCs w:val="20"/>
              </w:rPr>
            </w:pPr>
            <w:r>
              <w:rPr>
                <w:sz w:val="2"/>
                <w:szCs w:val="2"/>
              </w:rPr>
              <w:t>​</w:t>
            </w:r>
          </w:p>
        </w:tc>
        <w:tc>
          <w:tcPr>
            <w:tcW w:w="367" w:type="pct"/>
            <w:noWrap/>
            <w:tcMar>
              <w:top w:w="0" w:type="dxa"/>
              <w:left w:w="0" w:type="dxa"/>
              <w:bottom w:w="0" w:type="dxa"/>
              <w:right w:w="0" w:type="dxa"/>
            </w:tcMar>
            <w:vAlign w:val="bottom"/>
            <w:hideMark/>
          </w:tcPr>
          <w:p w14:paraId="289AA832" w14:textId="77777777" w:rsidR="00000000" w:rsidRDefault="001F1B20">
            <w:pPr>
              <w:pStyle w:val="a3"/>
              <w:spacing w:before="0" w:beforeAutospacing="0" w:after="0" w:afterAutospacing="0"/>
              <w:divId w:val="536551789"/>
              <w:rPr>
                <w:sz w:val="20"/>
                <w:szCs w:val="20"/>
              </w:rPr>
            </w:pPr>
            <w:r>
              <w:rPr>
                <w:sz w:val="2"/>
                <w:szCs w:val="2"/>
              </w:rPr>
              <w:t>​</w:t>
            </w:r>
          </w:p>
        </w:tc>
        <w:tc>
          <w:tcPr>
            <w:tcW w:w="77" w:type="pct"/>
            <w:noWrap/>
            <w:tcMar>
              <w:top w:w="0" w:type="dxa"/>
              <w:left w:w="0" w:type="dxa"/>
              <w:bottom w:w="0" w:type="dxa"/>
              <w:right w:w="0" w:type="dxa"/>
            </w:tcMar>
            <w:vAlign w:val="bottom"/>
            <w:hideMark/>
          </w:tcPr>
          <w:p w14:paraId="5033536A" w14:textId="77777777" w:rsidR="00000000" w:rsidRDefault="001F1B20">
            <w:pPr>
              <w:pStyle w:val="a3"/>
              <w:spacing w:before="0" w:beforeAutospacing="0" w:after="0" w:afterAutospacing="0"/>
              <w:divId w:val="1407413479"/>
              <w:rPr>
                <w:sz w:val="20"/>
                <w:szCs w:val="20"/>
              </w:rPr>
            </w:pPr>
            <w:r>
              <w:rPr>
                <w:sz w:val="2"/>
                <w:szCs w:val="2"/>
              </w:rPr>
              <w:t>​</w:t>
            </w:r>
          </w:p>
        </w:tc>
        <w:tc>
          <w:tcPr>
            <w:tcW w:w="107" w:type="pct"/>
            <w:noWrap/>
            <w:tcMar>
              <w:top w:w="0" w:type="dxa"/>
              <w:left w:w="0" w:type="dxa"/>
              <w:bottom w:w="0" w:type="dxa"/>
              <w:right w:w="0" w:type="dxa"/>
            </w:tcMar>
            <w:vAlign w:val="bottom"/>
            <w:hideMark/>
          </w:tcPr>
          <w:p w14:paraId="5C13EDC3" w14:textId="77777777" w:rsidR="00000000" w:rsidRDefault="001F1B20">
            <w:pPr>
              <w:pStyle w:val="a3"/>
              <w:spacing w:before="0" w:beforeAutospacing="0" w:after="0" w:afterAutospacing="0"/>
              <w:divId w:val="945498097"/>
              <w:rPr>
                <w:sz w:val="20"/>
                <w:szCs w:val="20"/>
              </w:rPr>
            </w:pPr>
            <w:r>
              <w:rPr>
                <w:sz w:val="2"/>
                <w:szCs w:val="2"/>
              </w:rPr>
              <w:t>​</w:t>
            </w:r>
          </w:p>
        </w:tc>
        <w:tc>
          <w:tcPr>
            <w:tcW w:w="421" w:type="pct"/>
            <w:noWrap/>
            <w:tcMar>
              <w:top w:w="0" w:type="dxa"/>
              <w:left w:w="0" w:type="dxa"/>
              <w:bottom w:w="0" w:type="dxa"/>
              <w:right w:w="0" w:type="dxa"/>
            </w:tcMar>
            <w:vAlign w:val="bottom"/>
            <w:hideMark/>
          </w:tcPr>
          <w:p w14:paraId="03952D08" w14:textId="77777777" w:rsidR="00000000" w:rsidRDefault="001F1B20">
            <w:pPr>
              <w:pStyle w:val="a3"/>
              <w:spacing w:before="0" w:beforeAutospacing="0" w:after="0" w:afterAutospacing="0"/>
              <w:divId w:val="377633739"/>
              <w:rPr>
                <w:sz w:val="20"/>
                <w:szCs w:val="20"/>
              </w:rPr>
            </w:pPr>
            <w:r>
              <w:rPr>
                <w:sz w:val="2"/>
                <w:szCs w:val="2"/>
              </w:rPr>
              <w:t>​</w:t>
            </w:r>
          </w:p>
        </w:tc>
        <w:tc>
          <w:tcPr>
            <w:tcW w:w="77" w:type="pct"/>
            <w:noWrap/>
            <w:tcMar>
              <w:top w:w="0" w:type="dxa"/>
              <w:left w:w="0" w:type="dxa"/>
              <w:bottom w:w="0" w:type="dxa"/>
              <w:right w:w="0" w:type="dxa"/>
            </w:tcMar>
            <w:vAlign w:val="bottom"/>
            <w:hideMark/>
          </w:tcPr>
          <w:p w14:paraId="0CED418F" w14:textId="77777777" w:rsidR="00000000" w:rsidRDefault="001F1B20">
            <w:pPr>
              <w:pStyle w:val="a3"/>
              <w:spacing w:before="0" w:beforeAutospacing="0" w:after="0" w:afterAutospacing="0"/>
              <w:divId w:val="118383541"/>
              <w:rPr>
                <w:sz w:val="20"/>
                <w:szCs w:val="20"/>
              </w:rPr>
            </w:pPr>
            <w:r>
              <w:rPr>
                <w:sz w:val="2"/>
                <w:szCs w:val="2"/>
              </w:rPr>
              <w:t>​</w:t>
            </w:r>
          </w:p>
        </w:tc>
        <w:tc>
          <w:tcPr>
            <w:tcW w:w="91" w:type="pct"/>
            <w:noWrap/>
            <w:tcMar>
              <w:top w:w="0" w:type="dxa"/>
              <w:left w:w="0" w:type="dxa"/>
              <w:bottom w:w="0" w:type="dxa"/>
              <w:right w:w="0" w:type="dxa"/>
            </w:tcMar>
            <w:vAlign w:val="bottom"/>
            <w:hideMark/>
          </w:tcPr>
          <w:p w14:paraId="04F8C087" w14:textId="77777777" w:rsidR="00000000" w:rsidRDefault="001F1B20">
            <w:pPr>
              <w:pStyle w:val="a3"/>
              <w:spacing w:before="0" w:beforeAutospacing="0" w:after="0" w:afterAutospacing="0"/>
              <w:divId w:val="1692413446"/>
              <w:rPr>
                <w:sz w:val="20"/>
                <w:szCs w:val="20"/>
              </w:rPr>
            </w:pPr>
            <w:r>
              <w:rPr>
                <w:sz w:val="2"/>
                <w:szCs w:val="2"/>
              </w:rPr>
              <w:t>​</w:t>
            </w:r>
          </w:p>
        </w:tc>
        <w:tc>
          <w:tcPr>
            <w:tcW w:w="390" w:type="pct"/>
            <w:noWrap/>
            <w:tcMar>
              <w:top w:w="0" w:type="dxa"/>
              <w:left w:w="0" w:type="dxa"/>
              <w:bottom w:w="0" w:type="dxa"/>
              <w:right w:w="0" w:type="dxa"/>
            </w:tcMar>
            <w:vAlign w:val="bottom"/>
            <w:hideMark/>
          </w:tcPr>
          <w:p w14:paraId="55FEA9A6" w14:textId="77777777" w:rsidR="00000000" w:rsidRDefault="001F1B20">
            <w:pPr>
              <w:pStyle w:val="a3"/>
              <w:spacing w:before="0" w:beforeAutospacing="0" w:after="0" w:afterAutospacing="0"/>
              <w:divId w:val="1441680325"/>
              <w:rPr>
                <w:sz w:val="20"/>
                <w:szCs w:val="20"/>
              </w:rPr>
            </w:pPr>
            <w:r>
              <w:rPr>
                <w:sz w:val="2"/>
                <w:szCs w:val="2"/>
              </w:rPr>
              <w:t>​</w:t>
            </w:r>
          </w:p>
        </w:tc>
        <w:tc>
          <w:tcPr>
            <w:tcW w:w="77" w:type="pct"/>
            <w:noWrap/>
            <w:tcMar>
              <w:top w:w="0" w:type="dxa"/>
              <w:left w:w="0" w:type="dxa"/>
              <w:bottom w:w="0" w:type="dxa"/>
              <w:right w:w="0" w:type="dxa"/>
            </w:tcMar>
            <w:vAlign w:val="bottom"/>
            <w:hideMark/>
          </w:tcPr>
          <w:p w14:paraId="25BF1E65" w14:textId="77777777" w:rsidR="00000000" w:rsidRDefault="001F1B20">
            <w:pPr>
              <w:pStyle w:val="a3"/>
              <w:spacing w:before="0" w:beforeAutospacing="0" w:after="0" w:afterAutospacing="0"/>
              <w:divId w:val="552615311"/>
              <w:rPr>
                <w:sz w:val="20"/>
                <w:szCs w:val="20"/>
              </w:rPr>
            </w:pPr>
            <w:r>
              <w:rPr>
                <w:sz w:val="2"/>
                <w:szCs w:val="2"/>
              </w:rPr>
              <w:t>​</w:t>
            </w:r>
          </w:p>
        </w:tc>
        <w:tc>
          <w:tcPr>
            <w:tcW w:w="96" w:type="pct"/>
            <w:noWrap/>
            <w:tcMar>
              <w:top w:w="0" w:type="dxa"/>
              <w:left w:w="0" w:type="dxa"/>
              <w:bottom w:w="0" w:type="dxa"/>
              <w:right w:w="0" w:type="dxa"/>
            </w:tcMar>
            <w:vAlign w:val="bottom"/>
            <w:hideMark/>
          </w:tcPr>
          <w:p w14:paraId="2FFDE168" w14:textId="77777777" w:rsidR="00000000" w:rsidRDefault="001F1B20">
            <w:pPr>
              <w:pStyle w:val="a3"/>
              <w:spacing w:before="0" w:beforeAutospacing="0" w:after="0" w:afterAutospacing="0"/>
              <w:divId w:val="2075619482"/>
              <w:rPr>
                <w:sz w:val="20"/>
                <w:szCs w:val="20"/>
              </w:rPr>
            </w:pPr>
            <w:r>
              <w:rPr>
                <w:sz w:val="2"/>
                <w:szCs w:val="2"/>
              </w:rPr>
              <w:t>​</w:t>
            </w:r>
          </w:p>
        </w:tc>
        <w:tc>
          <w:tcPr>
            <w:tcW w:w="375" w:type="pct"/>
            <w:noWrap/>
            <w:tcMar>
              <w:top w:w="0" w:type="dxa"/>
              <w:left w:w="0" w:type="dxa"/>
              <w:bottom w:w="0" w:type="dxa"/>
              <w:right w:w="0" w:type="dxa"/>
            </w:tcMar>
            <w:vAlign w:val="bottom"/>
            <w:hideMark/>
          </w:tcPr>
          <w:p w14:paraId="39BD2F05" w14:textId="77777777" w:rsidR="00000000" w:rsidRDefault="001F1B20">
            <w:pPr>
              <w:pStyle w:val="a3"/>
              <w:spacing w:before="0" w:beforeAutospacing="0" w:after="0" w:afterAutospacing="0"/>
              <w:divId w:val="1141995711"/>
              <w:rPr>
                <w:sz w:val="20"/>
                <w:szCs w:val="20"/>
              </w:rPr>
            </w:pPr>
            <w:r>
              <w:rPr>
                <w:sz w:val="2"/>
                <w:szCs w:val="2"/>
              </w:rPr>
              <w:t>​</w:t>
            </w:r>
          </w:p>
        </w:tc>
      </w:tr>
      <w:tr w:rsidR="00000000" w14:paraId="21ACCD22" w14:textId="77777777">
        <w:trPr>
          <w:divId w:val="1901865854"/>
        </w:trPr>
        <w:tc>
          <w:tcPr>
            <w:tcW w:w="1845" w:type="pct"/>
            <w:noWrap/>
            <w:tcMar>
              <w:top w:w="0" w:type="dxa"/>
              <w:left w:w="0" w:type="dxa"/>
              <w:bottom w:w="0" w:type="dxa"/>
              <w:right w:w="0" w:type="dxa"/>
            </w:tcMar>
            <w:vAlign w:val="bottom"/>
            <w:hideMark/>
          </w:tcPr>
          <w:p w14:paraId="03BC3538" w14:textId="77777777" w:rsidR="00000000" w:rsidRDefault="001F1B20">
            <w:pPr>
              <w:pStyle w:val="a3"/>
              <w:spacing w:before="0" w:beforeAutospacing="0" w:after="0" w:afterAutospacing="0"/>
              <w:rPr>
                <w:sz w:val="20"/>
                <w:szCs w:val="20"/>
              </w:rPr>
            </w:pPr>
            <w:r>
              <w:rPr>
                <w:b/>
                <w:bCs/>
                <w:color w:val="0563C1"/>
                <w:sz w:val="16"/>
                <w:szCs w:val="16"/>
                <w:u w:val="single"/>
              </w:rPr>
              <w:t>​</w:t>
            </w:r>
          </w:p>
        </w:tc>
        <w:tc>
          <w:tcPr>
            <w:tcW w:w="76" w:type="pct"/>
            <w:noWrap/>
            <w:tcMar>
              <w:top w:w="0" w:type="dxa"/>
              <w:left w:w="0" w:type="dxa"/>
              <w:bottom w:w="0" w:type="dxa"/>
              <w:right w:w="0" w:type="dxa"/>
            </w:tcMar>
            <w:vAlign w:val="bottom"/>
            <w:hideMark/>
          </w:tcPr>
          <w:p w14:paraId="66525931"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0034A152"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E1D6535"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8C098B7" w14:textId="77777777" w:rsidR="00000000" w:rsidRDefault="001F1B20">
            <w:pPr>
              <w:pStyle w:val="a3"/>
              <w:spacing w:before="0" w:beforeAutospacing="0" w:after="0" w:afterAutospacing="0"/>
              <w:jc w:val="center"/>
              <w:rPr>
                <w:sz w:val="20"/>
                <w:szCs w:val="20"/>
              </w:rPr>
            </w:pPr>
            <w:r>
              <w:rPr>
                <w:sz w:val="16"/>
                <w:szCs w:val="16"/>
              </w:rPr>
              <w:t>​</w:t>
            </w:r>
          </w:p>
        </w:tc>
        <w:tc>
          <w:tcPr>
            <w:tcW w:w="343" w:type="pct"/>
            <w:noWrap/>
            <w:tcMar>
              <w:top w:w="0" w:type="dxa"/>
              <w:left w:w="0" w:type="dxa"/>
              <w:bottom w:w="0" w:type="dxa"/>
              <w:right w:w="0" w:type="dxa"/>
            </w:tcMar>
            <w:vAlign w:val="bottom"/>
            <w:hideMark/>
          </w:tcPr>
          <w:p w14:paraId="1FAF9374"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2DB87CFE"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199FEA6D" w14:textId="77777777" w:rsidR="00000000" w:rsidRDefault="001F1B20">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26F11C62"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0ADAABB4" w14:textId="77777777" w:rsidR="00000000" w:rsidRDefault="001F1B20">
            <w:pPr>
              <w:pStyle w:val="a3"/>
              <w:spacing w:before="0" w:beforeAutospacing="0" w:after="0" w:afterAutospacing="0"/>
              <w:rPr>
                <w:sz w:val="20"/>
                <w:szCs w:val="20"/>
              </w:rPr>
            </w:pPr>
            <w:r>
              <w:rPr>
                <w:sz w:val="16"/>
                <w:szCs w:val="16"/>
              </w:rPr>
              <w:t>​</w:t>
            </w:r>
          </w:p>
        </w:tc>
        <w:tc>
          <w:tcPr>
            <w:tcW w:w="529" w:type="pct"/>
            <w:gridSpan w:val="2"/>
            <w:noWrap/>
            <w:tcMar>
              <w:top w:w="0" w:type="dxa"/>
              <w:left w:w="0" w:type="dxa"/>
              <w:bottom w:w="0" w:type="dxa"/>
              <w:right w:w="0" w:type="dxa"/>
            </w:tcMar>
            <w:vAlign w:val="bottom"/>
            <w:hideMark/>
          </w:tcPr>
          <w:p w14:paraId="01F9D28A" w14:textId="77777777" w:rsidR="00000000" w:rsidRDefault="001F1B20">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14:paraId="680EA9CF" w14:textId="77777777" w:rsidR="00000000" w:rsidRDefault="001F1B2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15955474" w14:textId="77777777" w:rsidR="00000000" w:rsidRDefault="001F1B20">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1CD59FFD"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4A676914"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7C36F8A2" w14:textId="77777777" w:rsidR="00000000" w:rsidRDefault="001F1B20">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63ED4CEB" w14:textId="77777777" w:rsidR="00000000" w:rsidRDefault="001F1B20">
            <w:pPr>
              <w:pStyle w:val="a3"/>
              <w:spacing w:before="0" w:beforeAutospacing="0" w:after="0" w:afterAutospacing="0"/>
              <w:rPr>
                <w:sz w:val="20"/>
                <w:szCs w:val="20"/>
              </w:rPr>
            </w:pPr>
            <w:r>
              <w:rPr>
                <w:sz w:val="16"/>
                <w:szCs w:val="16"/>
              </w:rPr>
              <w:t>​</w:t>
            </w:r>
          </w:p>
        </w:tc>
      </w:tr>
      <w:tr w:rsidR="00000000" w14:paraId="0BB8C3A2" w14:textId="77777777">
        <w:trPr>
          <w:divId w:val="1901865854"/>
        </w:trPr>
        <w:tc>
          <w:tcPr>
            <w:tcW w:w="1845" w:type="pct"/>
            <w:tcMar>
              <w:top w:w="0" w:type="dxa"/>
              <w:left w:w="0" w:type="dxa"/>
              <w:bottom w:w="0" w:type="dxa"/>
              <w:right w:w="0" w:type="dxa"/>
            </w:tcMar>
            <w:vAlign w:val="bottom"/>
            <w:hideMark/>
          </w:tcPr>
          <w:p w14:paraId="7D464B31"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0CBF9FB3" w14:textId="77777777" w:rsidR="00000000" w:rsidRDefault="001F1B20">
            <w:pPr>
              <w:pStyle w:val="a3"/>
              <w:spacing w:before="0" w:beforeAutospacing="0" w:after="0" w:afterAutospacing="0"/>
              <w:rPr>
                <w:sz w:val="20"/>
                <w:szCs w:val="20"/>
              </w:rPr>
            </w:pPr>
            <w:r>
              <w:rPr>
                <w:b/>
                <w:bCs/>
                <w:sz w:val="16"/>
                <w:szCs w:val="16"/>
              </w:rPr>
              <w:t>​</w:t>
            </w:r>
          </w:p>
        </w:tc>
        <w:tc>
          <w:tcPr>
            <w:tcW w:w="343" w:type="pct"/>
            <w:tcMar>
              <w:top w:w="0" w:type="dxa"/>
              <w:left w:w="0" w:type="dxa"/>
              <w:bottom w:w="0" w:type="dxa"/>
              <w:right w:w="0" w:type="dxa"/>
            </w:tcMar>
            <w:vAlign w:val="bottom"/>
            <w:hideMark/>
          </w:tcPr>
          <w:p w14:paraId="2E5E441C"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7167B4D8"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3291B808" w14:textId="77777777" w:rsidR="00000000" w:rsidRDefault="001F1B20">
            <w:pPr>
              <w:pStyle w:val="a3"/>
              <w:spacing w:before="0" w:beforeAutospacing="0" w:after="0" w:afterAutospacing="0"/>
              <w:jc w:val="center"/>
              <w:rPr>
                <w:sz w:val="20"/>
                <w:szCs w:val="20"/>
              </w:rPr>
            </w:pPr>
            <w:r>
              <w:rPr>
                <w:b/>
                <w:bCs/>
                <w:sz w:val="16"/>
                <w:szCs w:val="16"/>
              </w:rPr>
              <w:t>​</w:t>
            </w:r>
          </w:p>
        </w:tc>
        <w:tc>
          <w:tcPr>
            <w:tcW w:w="343" w:type="pct"/>
            <w:tcMar>
              <w:top w:w="0" w:type="dxa"/>
              <w:left w:w="0" w:type="dxa"/>
              <w:bottom w:w="0" w:type="dxa"/>
              <w:right w:w="0" w:type="dxa"/>
            </w:tcMar>
            <w:vAlign w:val="bottom"/>
            <w:hideMark/>
          </w:tcPr>
          <w:p w14:paraId="1B4DE499" w14:textId="77777777" w:rsidR="00000000" w:rsidRDefault="001F1B20">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14:paraId="16478552" w14:textId="77777777" w:rsidR="00000000" w:rsidRDefault="001F1B20">
            <w:pPr>
              <w:pStyle w:val="a3"/>
              <w:spacing w:before="0" w:beforeAutospacing="0" w:after="0" w:afterAutospacing="0"/>
              <w:rPr>
                <w:sz w:val="20"/>
                <w:szCs w:val="20"/>
              </w:rPr>
            </w:pPr>
            <w:r>
              <w:rPr>
                <w:b/>
                <w:bCs/>
                <w:sz w:val="16"/>
                <w:szCs w:val="16"/>
              </w:rPr>
              <w:t>​</w:t>
            </w:r>
          </w:p>
        </w:tc>
        <w:tc>
          <w:tcPr>
            <w:tcW w:w="444" w:type="pct"/>
            <w:gridSpan w:val="2"/>
            <w:noWrap/>
            <w:tcMar>
              <w:top w:w="0" w:type="dxa"/>
              <w:left w:w="0" w:type="dxa"/>
              <w:bottom w:w="0" w:type="dxa"/>
              <w:right w:w="0" w:type="dxa"/>
            </w:tcMar>
            <w:vAlign w:val="bottom"/>
            <w:hideMark/>
          </w:tcPr>
          <w:p w14:paraId="50D2560F" w14:textId="77777777" w:rsidR="00000000" w:rsidRDefault="001F1B20">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14:paraId="303C4AED" w14:textId="77777777" w:rsidR="00000000" w:rsidRDefault="001F1B20">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14:paraId="141338E5" w14:textId="77777777" w:rsidR="00000000" w:rsidRDefault="001F1B20">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14:paraId="407A7804" w14:textId="77777777" w:rsidR="00000000" w:rsidRDefault="001F1B20">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14:paraId="355B0E97" w14:textId="77777777" w:rsidR="00000000" w:rsidRDefault="001F1B20">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14:paraId="014B883B" w14:textId="77777777" w:rsidR="00000000" w:rsidRDefault="001F1B20">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14:paraId="49B5FCF3" w14:textId="77777777" w:rsidR="00000000" w:rsidRDefault="001F1B20">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65B5D4FC" w14:textId="77777777" w:rsidR="00000000" w:rsidRDefault="001F1B20">
            <w:pPr>
              <w:pStyle w:val="a3"/>
              <w:spacing w:before="0" w:beforeAutospacing="0" w:after="0" w:afterAutospacing="0"/>
              <w:jc w:val="center"/>
              <w:rPr>
                <w:sz w:val="16"/>
                <w:szCs w:val="16"/>
              </w:rPr>
            </w:pPr>
            <w:r>
              <w:rPr>
                <w:b/>
                <w:bCs/>
                <w:sz w:val="16"/>
                <w:szCs w:val="16"/>
              </w:rPr>
              <w:t>Total</w:t>
            </w:r>
          </w:p>
        </w:tc>
      </w:tr>
      <w:tr w:rsidR="00000000" w14:paraId="202FC7A7" w14:textId="77777777">
        <w:trPr>
          <w:divId w:val="1901865854"/>
        </w:trPr>
        <w:tc>
          <w:tcPr>
            <w:tcW w:w="1845" w:type="pct"/>
            <w:tcMar>
              <w:top w:w="0" w:type="dxa"/>
              <w:left w:w="0" w:type="dxa"/>
              <w:bottom w:w="0" w:type="dxa"/>
              <w:right w:w="0" w:type="dxa"/>
            </w:tcMar>
            <w:vAlign w:val="bottom"/>
            <w:hideMark/>
          </w:tcPr>
          <w:p w14:paraId="4A35C989"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0C8162A4" w14:textId="77777777" w:rsidR="00000000" w:rsidRDefault="001F1B20">
            <w:pPr>
              <w:pStyle w:val="a3"/>
              <w:spacing w:before="0" w:beforeAutospacing="0" w:after="0" w:afterAutospacing="0"/>
              <w:rPr>
                <w:sz w:val="20"/>
                <w:szCs w:val="20"/>
              </w:rPr>
            </w:pPr>
            <w:r>
              <w:rPr>
                <w:b/>
                <w:bCs/>
                <w:sz w:val="16"/>
                <w:szCs w:val="16"/>
              </w:rPr>
              <w:t>​</w:t>
            </w:r>
          </w:p>
        </w:tc>
        <w:tc>
          <w:tcPr>
            <w:tcW w:w="840" w:type="pct"/>
            <w:gridSpan w:val="4"/>
            <w:tcBorders>
              <w:bottom w:val="single" w:sz="6" w:space="0" w:color="000000"/>
            </w:tcBorders>
            <w:noWrap/>
            <w:tcMar>
              <w:top w:w="0" w:type="dxa"/>
              <w:left w:w="0" w:type="dxa"/>
              <w:bottom w:w="0" w:type="dxa"/>
              <w:right w:w="0" w:type="dxa"/>
            </w:tcMar>
            <w:vAlign w:val="bottom"/>
            <w:hideMark/>
          </w:tcPr>
          <w:p w14:paraId="5AB1E732" w14:textId="77777777" w:rsidR="00000000" w:rsidRDefault="001F1B20">
            <w:pPr>
              <w:pStyle w:val="a3"/>
              <w:spacing w:before="0" w:beforeAutospacing="0" w:after="0" w:afterAutospacing="0"/>
              <w:jc w:val="center"/>
              <w:rPr>
                <w:sz w:val="16"/>
                <w:szCs w:val="16"/>
              </w:rPr>
            </w:pPr>
            <w:r>
              <w:rPr>
                <w:b/>
                <w:bCs/>
                <w:sz w:val="16"/>
                <w:szCs w:val="16"/>
              </w:rPr>
              <w:t>Ordinary Shares</w:t>
            </w:r>
          </w:p>
        </w:tc>
        <w:tc>
          <w:tcPr>
            <w:tcW w:w="77" w:type="pct"/>
            <w:tcMar>
              <w:top w:w="0" w:type="dxa"/>
              <w:left w:w="0" w:type="dxa"/>
              <w:bottom w:w="0" w:type="dxa"/>
              <w:right w:w="0" w:type="dxa"/>
            </w:tcMar>
            <w:vAlign w:val="bottom"/>
            <w:hideMark/>
          </w:tcPr>
          <w:p w14:paraId="75FF5D26" w14:textId="77777777" w:rsidR="00000000" w:rsidRDefault="001F1B20">
            <w:pPr>
              <w:pStyle w:val="a3"/>
              <w:spacing w:before="0" w:beforeAutospacing="0" w:after="0" w:afterAutospacing="0"/>
              <w:rPr>
                <w:sz w:val="20"/>
                <w:szCs w:val="20"/>
              </w:rPr>
            </w:pPr>
            <w:r>
              <w:rPr>
                <w:b/>
                <w:bCs/>
                <w:sz w:val="16"/>
                <w:szCs w:val="16"/>
              </w:rPr>
              <w:t>​</w:t>
            </w:r>
          </w:p>
        </w:tc>
        <w:tc>
          <w:tcPr>
            <w:tcW w:w="444" w:type="pct"/>
            <w:gridSpan w:val="2"/>
            <w:noWrap/>
            <w:tcMar>
              <w:top w:w="0" w:type="dxa"/>
              <w:left w:w="0" w:type="dxa"/>
              <w:bottom w:w="0" w:type="dxa"/>
              <w:right w:w="0" w:type="dxa"/>
            </w:tcMar>
            <w:vAlign w:val="bottom"/>
            <w:hideMark/>
          </w:tcPr>
          <w:p w14:paraId="60A581E6" w14:textId="77777777" w:rsidR="00000000" w:rsidRDefault="001F1B20">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14:paraId="48754193" w14:textId="77777777" w:rsidR="00000000" w:rsidRDefault="001F1B20">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14:paraId="55618941" w14:textId="77777777" w:rsidR="00000000" w:rsidRDefault="001F1B20">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14:paraId="19DB6F30" w14:textId="77777777" w:rsidR="00000000" w:rsidRDefault="001F1B20">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14:paraId="12453F7C" w14:textId="77777777" w:rsidR="00000000" w:rsidRDefault="001F1B20">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14:paraId="05A1309F" w14:textId="77777777" w:rsidR="00000000" w:rsidRDefault="001F1B20">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13D2FC8F" w14:textId="77777777" w:rsidR="00000000" w:rsidRDefault="001F1B20">
            <w:pPr>
              <w:pStyle w:val="a3"/>
              <w:spacing w:before="0" w:beforeAutospacing="0" w:after="0" w:afterAutospacing="0"/>
              <w:jc w:val="center"/>
              <w:rPr>
                <w:sz w:val="16"/>
                <w:szCs w:val="16"/>
              </w:rPr>
            </w:pPr>
            <w:r>
              <w:rPr>
                <w:b/>
                <w:bCs/>
                <w:sz w:val="16"/>
                <w:szCs w:val="16"/>
              </w:rPr>
              <w:t>Shareholders'</w:t>
            </w:r>
          </w:p>
        </w:tc>
      </w:tr>
      <w:tr w:rsidR="00000000" w14:paraId="1213A03E" w14:textId="77777777">
        <w:trPr>
          <w:divId w:val="1901865854"/>
        </w:trPr>
        <w:tc>
          <w:tcPr>
            <w:tcW w:w="1845" w:type="pct"/>
            <w:tcMar>
              <w:top w:w="0" w:type="dxa"/>
              <w:left w:w="0" w:type="dxa"/>
              <w:bottom w:w="0" w:type="dxa"/>
              <w:right w:w="0" w:type="dxa"/>
            </w:tcMar>
            <w:vAlign w:val="bottom"/>
            <w:hideMark/>
          </w:tcPr>
          <w:p w14:paraId="640B1301"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14:paraId="17E4F631" w14:textId="77777777" w:rsidR="00000000" w:rsidRDefault="001F1B20">
            <w:pPr>
              <w:pStyle w:val="a3"/>
              <w:spacing w:before="0" w:beforeAutospacing="0" w:after="0" w:afterAutospacing="0"/>
              <w:rPr>
                <w:sz w:val="16"/>
                <w:szCs w:val="16"/>
              </w:rPr>
            </w:pPr>
            <w:r>
              <w:rPr>
                <w:sz w:val="16"/>
                <w:szCs w:val="16"/>
              </w:rPr>
              <w:t>   </w:t>
            </w:r>
          </w:p>
        </w:tc>
        <w:tc>
          <w:tcPr>
            <w:tcW w:w="343" w:type="pct"/>
            <w:tcBorders>
              <w:bottom w:val="single" w:sz="6" w:space="0" w:color="000000"/>
            </w:tcBorders>
            <w:noWrap/>
            <w:tcMar>
              <w:top w:w="0" w:type="dxa"/>
              <w:left w:w="0" w:type="dxa"/>
              <w:bottom w:w="0" w:type="dxa"/>
              <w:right w:w="0" w:type="dxa"/>
            </w:tcMar>
            <w:vAlign w:val="bottom"/>
            <w:hideMark/>
          </w:tcPr>
          <w:p w14:paraId="45C56DB2" w14:textId="77777777" w:rsidR="00000000" w:rsidRDefault="001F1B20">
            <w:pPr>
              <w:pStyle w:val="a3"/>
              <w:spacing w:before="0" w:beforeAutospacing="0" w:after="0" w:afterAutospacing="0"/>
              <w:jc w:val="center"/>
              <w:rPr>
                <w:sz w:val="16"/>
                <w:szCs w:val="16"/>
              </w:rPr>
            </w:pPr>
            <w:r>
              <w:rPr>
                <w:b/>
                <w:bCs/>
                <w:sz w:val="16"/>
                <w:szCs w:val="16"/>
              </w:rPr>
              <w:t>Shares</w:t>
            </w:r>
          </w:p>
        </w:tc>
        <w:tc>
          <w:tcPr>
            <w:tcW w:w="76" w:type="pct"/>
            <w:noWrap/>
            <w:tcMar>
              <w:top w:w="0" w:type="dxa"/>
              <w:left w:w="0" w:type="dxa"/>
              <w:bottom w:w="0" w:type="dxa"/>
              <w:right w:w="0" w:type="dxa"/>
            </w:tcMar>
            <w:vAlign w:val="bottom"/>
            <w:hideMark/>
          </w:tcPr>
          <w:p w14:paraId="420E32D6" w14:textId="77777777" w:rsidR="00000000" w:rsidRDefault="001F1B20">
            <w:pPr>
              <w:pStyle w:val="a3"/>
              <w:spacing w:before="0" w:beforeAutospacing="0" w:after="0" w:afterAutospacing="0"/>
              <w:rPr>
                <w:sz w:val="16"/>
                <w:szCs w:val="16"/>
              </w:rPr>
            </w:pPr>
            <w:r>
              <w:rPr>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14:paraId="35C1082C" w14:textId="77777777" w:rsidR="00000000" w:rsidRDefault="001F1B20">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14:paraId="49633DF3" w14:textId="77777777" w:rsidR="00000000" w:rsidRDefault="001F1B20">
            <w:pPr>
              <w:pStyle w:val="a3"/>
              <w:spacing w:before="0" w:beforeAutospacing="0" w:after="0" w:afterAutospacing="0"/>
              <w:rPr>
                <w:sz w:val="16"/>
                <w:szCs w:val="16"/>
              </w:rPr>
            </w:pPr>
            <w:r>
              <w:rPr>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14:paraId="7F4C756E" w14:textId="77777777" w:rsidR="00000000" w:rsidRDefault="001F1B20">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14:paraId="3341FB37" w14:textId="77777777" w:rsidR="00000000" w:rsidRDefault="001F1B20">
            <w:pPr>
              <w:pStyle w:val="a3"/>
              <w:spacing w:before="0" w:beforeAutospacing="0" w:after="0" w:afterAutospacing="0"/>
              <w:rPr>
                <w:sz w:val="16"/>
                <w:szCs w:val="16"/>
              </w:rPr>
            </w:pPr>
            <w:r>
              <w:rPr>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14:paraId="054F495F" w14:textId="77777777" w:rsidR="00000000" w:rsidRDefault="001F1B20">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14:paraId="4DBE7390" w14:textId="77777777" w:rsidR="00000000" w:rsidRDefault="001F1B20">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14:paraId="1E64420B" w14:textId="77777777" w:rsidR="00000000" w:rsidRDefault="001F1B20">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14:paraId="07465499" w14:textId="77777777" w:rsidR="00000000" w:rsidRDefault="001F1B20">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14:paraId="302838B1" w14:textId="77777777" w:rsidR="00000000" w:rsidRDefault="001F1B20">
            <w:pPr>
              <w:pStyle w:val="a3"/>
              <w:spacing w:before="0" w:beforeAutospacing="0" w:after="0" w:afterAutospacing="0"/>
              <w:jc w:val="center"/>
              <w:rPr>
                <w:sz w:val="16"/>
                <w:szCs w:val="16"/>
              </w:rPr>
            </w:pPr>
            <w:r>
              <w:rPr>
                <w:b/>
                <w:bCs/>
                <w:sz w:val="16"/>
                <w:szCs w:val="16"/>
              </w:rPr>
              <w:t>Deficit</w:t>
            </w:r>
          </w:p>
        </w:tc>
      </w:tr>
      <w:tr w:rsidR="00000000" w14:paraId="1126C77D" w14:textId="77777777">
        <w:trPr>
          <w:divId w:val="1901865854"/>
        </w:trPr>
        <w:tc>
          <w:tcPr>
            <w:tcW w:w="1845" w:type="pct"/>
            <w:shd w:val="clear" w:color="auto" w:fill="CCEEFF"/>
            <w:tcMar>
              <w:top w:w="0" w:type="dxa"/>
              <w:left w:w="0" w:type="dxa"/>
              <w:bottom w:w="0" w:type="dxa"/>
              <w:right w:w="0" w:type="dxa"/>
            </w:tcMar>
            <w:vAlign w:val="bottom"/>
            <w:hideMark/>
          </w:tcPr>
          <w:p w14:paraId="15F71802" w14:textId="77777777" w:rsidR="00000000" w:rsidRDefault="001F1B20">
            <w:pPr>
              <w:pStyle w:val="a3"/>
              <w:spacing w:before="0" w:beforeAutospacing="0" w:after="0" w:afterAutospacing="0"/>
              <w:rPr>
                <w:sz w:val="16"/>
                <w:szCs w:val="16"/>
              </w:rPr>
            </w:pPr>
            <w:r>
              <w:rPr>
                <w:sz w:val="16"/>
                <w:szCs w:val="16"/>
              </w:rPr>
              <w:t>Balances at June 30, 2021</w:t>
            </w:r>
          </w:p>
        </w:tc>
        <w:tc>
          <w:tcPr>
            <w:tcW w:w="76" w:type="pct"/>
            <w:shd w:val="clear" w:color="auto" w:fill="CCEEFF"/>
            <w:noWrap/>
            <w:tcMar>
              <w:top w:w="0" w:type="dxa"/>
              <w:left w:w="0" w:type="dxa"/>
              <w:bottom w:w="0" w:type="dxa"/>
              <w:right w:w="0" w:type="dxa"/>
            </w:tcMar>
            <w:vAlign w:val="bottom"/>
            <w:hideMark/>
          </w:tcPr>
          <w:p w14:paraId="4360C205"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7200039E" w14:textId="77777777" w:rsidR="00000000" w:rsidRDefault="001F1B20">
            <w:pPr>
              <w:pStyle w:val="a3"/>
              <w:spacing w:before="0" w:beforeAutospacing="0" w:after="0" w:afterAutospacing="0"/>
              <w:ind w:right="60"/>
              <w:jc w:val="right"/>
              <w:rPr>
                <w:sz w:val="16"/>
                <w:szCs w:val="16"/>
              </w:rPr>
            </w:pPr>
            <w:r>
              <w:rPr>
                <w:sz w:val="16"/>
                <w:szCs w:val="16"/>
              </w:rPr>
              <w:t>73,470</w:t>
            </w:r>
          </w:p>
        </w:tc>
        <w:tc>
          <w:tcPr>
            <w:tcW w:w="76" w:type="pct"/>
            <w:shd w:val="clear" w:color="auto" w:fill="CCEEFF"/>
            <w:noWrap/>
            <w:tcMar>
              <w:top w:w="0" w:type="dxa"/>
              <w:left w:w="0" w:type="dxa"/>
              <w:bottom w:w="0" w:type="dxa"/>
              <w:right w:w="0" w:type="dxa"/>
            </w:tcMar>
            <w:vAlign w:val="bottom"/>
            <w:hideMark/>
          </w:tcPr>
          <w:p w14:paraId="0597C162"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29E27F2E" w14:textId="77777777" w:rsidR="00000000" w:rsidRDefault="001F1B20">
            <w:pPr>
              <w:pStyle w:val="a3"/>
              <w:spacing w:before="0" w:beforeAutospacing="0" w:after="0"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14:paraId="7135D27D" w14:textId="77777777" w:rsidR="00000000" w:rsidRDefault="001F1B20">
            <w:pPr>
              <w:pStyle w:val="a3"/>
              <w:spacing w:before="0" w:beforeAutospacing="0" w:after="0" w:afterAutospacing="0"/>
              <w:ind w:right="6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14:paraId="38D8E9E4"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749199A1" w14:textId="77777777" w:rsidR="00000000" w:rsidRDefault="001F1B20">
            <w:pPr>
              <w:pStyle w:val="a3"/>
              <w:spacing w:before="0" w:beforeAutospacing="0" w:after="0" w:afterAutospacing="0"/>
              <w:rPr>
                <w:sz w:val="16"/>
                <w:szCs w:val="16"/>
              </w:rPr>
            </w:pPr>
            <w:r>
              <w:rPr>
                <w:sz w:val="16"/>
                <w:szCs w:val="16"/>
              </w:rPr>
              <w:t>$</w:t>
            </w:r>
          </w:p>
        </w:tc>
        <w:tc>
          <w:tcPr>
            <w:tcW w:w="367" w:type="pct"/>
            <w:shd w:val="clear" w:color="auto" w:fill="CCEEFF"/>
            <w:noWrap/>
            <w:tcMar>
              <w:top w:w="0" w:type="dxa"/>
              <w:left w:w="0" w:type="dxa"/>
              <w:bottom w:w="0" w:type="dxa"/>
              <w:right w:w="0" w:type="dxa"/>
            </w:tcMar>
            <w:vAlign w:val="bottom"/>
            <w:hideMark/>
          </w:tcPr>
          <w:p w14:paraId="10BFB279" w14:textId="77777777" w:rsidR="00000000" w:rsidRDefault="001F1B20">
            <w:pPr>
              <w:pStyle w:val="a3"/>
              <w:spacing w:before="0" w:beforeAutospacing="0" w:after="0" w:afterAutospacing="0"/>
              <w:ind w:right="60"/>
              <w:jc w:val="right"/>
              <w:rPr>
                <w:sz w:val="16"/>
                <w:szCs w:val="16"/>
              </w:rPr>
            </w:pPr>
            <w:r>
              <w:rPr>
                <w:sz w:val="16"/>
                <w:szCs w:val="16"/>
              </w:rPr>
              <w:t>1,358,318</w:t>
            </w:r>
          </w:p>
        </w:tc>
        <w:tc>
          <w:tcPr>
            <w:tcW w:w="77" w:type="pct"/>
            <w:shd w:val="clear" w:color="auto" w:fill="CCEEFF"/>
            <w:noWrap/>
            <w:tcMar>
              <w:top w:w="0" w:type="dxa"/>
              <w:left w:w="0" w:type="dxa"/>
              <w:bottom w:w="0" w:type="dxa"/>
              <w:right w:w="0" w:type="dxa"/>
            </w:tcMar>
            <w:vAlign w:val="bottom"/>
            <w:hideMark/>
          </w:tcPr>
          <w:p w14:paraId="252E7E89"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03B9188D" w14:textId="77777777" w:rsidR="00000000" w:rsidRDefault="001F1B20">
            <w:pPr>
              <w:pStyle w:val="a3"/>
              <w:spacing w:before="0" w:beforeAutospacing="0" w:after="0" w:afterAutospacing="0"/>
              <w:rPr>
                <w:sz w:val="16"/>
                <w:szCs w:val="16"/>
              </w:rPr>
            </w:pPr>
            <w:r>
              <w:rPr>
                <w:sz w:val="16"/>
                <w:szCs w:val="16"/>
              </w:rPr>
              <w:t>$</w:t>
            </w:r>
          </w:p>
        </w:tc>
        <w:tc>
          <w:tcPr>
            <w:tcW w:w="421" w:type="pct"/>
            <w:shd w:val="clear" w:color="auto" w:fill="CCEEFF"/>
            <w:noWrap/>
            <w:tcMar>
              <w:top w:w="0" w:type="dxa"/>
              <w:left w:w="0" w:type="dxa"/>
              <w:bottom w:w="0" w:type="dxa"/>
              <w:right w:w="0" w:type="dxa"/>
            </w:tcMar>
            <w:vAlign w:val="bottom"/>
            <w:hideMark/>
          </w:tcPr>
          <w:p w14:paraId="6EEF9756" w14:textId="77777777" w:rsidR="00000000" w:rsidRDefault="001F1B20">
            <w:pPr>
              <w:pStyle w:val="a3"/>
              <w:spacing w:before="0" w:beforeAutospacing="0" w:after="0" w:afterAutospacing="0"/>
              <w:ind w:right="60"/>
              <w:jc w:val="right"/>
              <w:rPr>
                <w:sz w:val="16"/>
                <w:szCs w:val="16"/>
              </w:rPr>
            </w:pPr>
            <w:r>
              <w:rPr>
                <w:sz w:val="16"/>
                <w:szCs w:val="16"/>
              </w:rPr>
              <w:t>8</w:t>
            </w:r>
          </w:p>
        </w:tc>
        <w:tc>
          <w:tcPr>
            <w:tcW w:w="77" w:type="pct"/>
            <w:shd w:val="clear" w:color="auto" w:fill="CCEEFF"/>
            <w:noWrap/>
            <w:tcMar>
              <w:top w:w="0" w:type="dxa"/>
              <w:left w:w="0" w:type="dxa"/>
              <w:bottom w:w="0" w:type="dxa"/>
              <w:right w:w="0" w:type="dxa"/>
            </w:tcMar>
            <w:vAlign w:val="bottom"/>
            <w:hideMark/>
          </w:tcPr>
          <w:p w14:paraId="788DAE55"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6E65E8E3" w14:textId="77777777" w:rsidR="00000000" w:rsidRDefault="001F1B20">
            <w:pPr>
              <w:pStyle w:val="a3"/>
              <w:spacing w:before="0" w:beforeAutospacing="0" w:after="0" w:afterAutospacing="0"/>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14:paraId="56A44FF7" w14:textId="77777777" w:rsidR="00000000" w:rsidRDefault="001F1B20">
            <w:pPr>
              <w:pStyle w:val="a3"/>
              <w:spacing w:before="0" w:beforeAutospacing="0" w:after="0" w:afterAutospacing="0"/>
              <w:jc w:val="right"/>
              <w:rPr>
                <w:sz w:val="16"/>
                <w:szCs w:val="16"/>
              </w:rPr>
            </w:pPr>
            <w:r>
              <w:rPr>
                <w:sz w:val="16"/>
                <w:szCs w:val="16"/>
              </w:rPr>
              <w:t>(1,658,701)</w:t>
            </w:r>
          </w:p>
        </w:tc>
        <w:tc>
          <w:tcPr>
            <w:tcW w:w="77" w:type="pct"/>
            <w:shd w:val="clear" w:color="auto" w:fill="CCEEFF"/>
            <w:noWrap/>
            <w:tcMar>
              <w:top w:w="0" w:type="dxa"/>
              <w:left w:w="0" w:type="dxa"/>
              <w:bottom w:w="0" w:type="dxa"/>
              <w:right w:w="0" w:type="dxa"/>
            </w:tcMar>
            <w:vAlign w:val="bottom"/>
            <w:hideMark/>
          </w:tcPr>
          <w:p w14:paraId="789C882D"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28211132" w14:textId="77777777" w:rsidR="00000000" w:rsidRDefault="001F1B20">
            <w:pPr>
              <w:pStyle w:val="a3"/>
              <w:spacing w:before="0" w:beforeAutospacing="0" w:after="0" w:afterAutospacing="0"/>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14:paraId="179D85E8" w14:textId="77777777" w:rsidR="00000000" w:rsidRDefault="001F1B20">
            <w:pPr>
              <w:pStyle w:val="a3"/>
              <w:spacing w:before="0" w:beforeAutospacing="0" w:after="0" w:afterAutospacing="0"/>
              <w:jc w:val="right"/>
              <w:rPr>
                <w:sz w:val="16"/>
                <w:szCs w:val="16"/>
              </w:rPr>
            </w:pPr>
            <w:r>
              <w:rPr>
                <w:sz w:val="16"/>
                <w:szCs w:val="16"/>
              </w:rPr>
              <w:t>(300,374)</w:t>
            </w:r>
          </w:p>
        </w:tc>
      </w:tr>
      <w:tr w:rsidR="00000000" w14:paraId="4FD5B32F" w14:textId="77777777">
        <w:trPr>
          <w:divId w:val="1901865854"/>
        </w:trPr>
        <w:tc>
          <w:tcPr>
            <w:tcW w:w="1845" w:type="pct"/>
            <w:tcMar>
              <w:top w:w="0" w:type="dxa"/>
              <w:left w:w="0" w:type="dxa"/>
              <w:bottom w:w="0" w:type="dxa"/>
              <w:right w:w="0" w:type="dxa"/>
            </w:tcMar>
            <w:vAlign w:val="bottom"/>
            <w:hideMark/>
          </w:tcPr>
          <w:p w14:paraId="17BFAE5A" w14:textId="77777777" w:rsidR="00000000" w:rsidRDefault="001F1B20">
            <w:pPr>
              <w:pStyle w:val="a3"/>
              <w:spacing w:before="0" w:beforeAutospacing="0" w:after="0" w:afterAutospacing="0"/>
              <w:ind w:left="240"/>
              <w:rPr>
                <w:sz w:val="16"/>
                <w:szCs w:val="16"/>
              </w:rPr>
            </w:pPr>
            <w:r>
              <w:rPr>
                <w:sz w:val="16"/>
                <w:szCs w:val="16"/>
              </w:rPr>
              <w:t>Employee share-based compensation expense</w:t>
            </w:r>
          </w:p>
        </w:tc>
        <w:tc>
          <w:tcPr>
            <w:tcW w:w="76" w:type="pct"/>
            <w:noWrap/>
            <w:tcMar>
              <w:top w:w="0" w:type="dxa"/>
              <w:left w:w="0" w:type="dxa"/>
              <w:bottom w:w="0" w:type="dxa"/>
              <w:right w:w="0" w:type="dxa"/>
            </w:tcMar>
            <w:vAlign w:val="bottom"/>
            <w:hideMark/>
          </w:tcPr>
          <w:p w14:paraId="2F905F0E" w14:textId="77777777" w:rsidR="00000000" w:rsidRDefault="001F1B20">
            <w:pPr>
              <w:pStyle w:val="a3"/>
              <w:spacing w:before="0" w:beforeAutospacing="0" w:after="0" w:afterAutospacing="0"/>
              <w:rPr>
                <w:sz w:val="20"/>
                <w:szCs w:val="20"/>
              </w:rPr>
            </w:pPr>
            <w:r>
              <w:rPr>
                <w:sz w:val="16"/>
                <w:szCs w:val="16"/>
              </w:rPr>
              <w:t>​</w:t>
            </w:r>
          </w:p>
        </w:tc>
        <w:tc>
          <w:tcPr>
            <w:tcW w:w="343" w:type="pct"/>
            <w:tcMar>
              <w:top w:w="0" w:type="dxa"/>
              <w:left w:w="0" w:type="dxa"/>
              <w:bottom w:w="0" w:type="dxa"/>
              <w:right w:w="0" w:type="dxa"/>
            </w:tcMar>
            <w:vAlign w:val="bottom"/>
            <w:hideMark/>
          </w:tcPr>
          <w:p w14:paraId="509B63F1"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7455F5CE"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0C3D733" w14:textId="77777777" w:rsidR="00000000" w:rsidRDefault="001F1B20">
            <w:pPr>
              <w:pStyle w:val="a3"/>
              <w:spacing w:before="0" w:beforeAutospacing="0" w:after="0" w:afterAutospacing="0"/>
              <w:rPr>
                <w:sz w:val="20"/>
                <w:szCs w:val="20"/>
              </w:rPr>
            </w:pPr>
            <w:r>
              <w:rPr>
                <w:sz w:val="16"/>
                <w:szCs w:val="16"/>
              </w:rPr>
              <w:t>​</w:t>
            </w:r>
          </w:p>
        </w:tc>
        <w:tc>
          <w:tcPr>
            <w:tcW w:w="343" w:type="pct"/>
            <w:tcMar>
              <w:top w:w="0" w:type="dxa"/>
              <w:left w:w="0" w:type="dxa"/>
              <w:bottom w:w="0" w:type="dxa"/>
              <w:right w:w="0" w:type="dxa"/>
            </w:tcMar>
            <w:vAlign w:val="bottom"/>
            <w:hideMark/>
          </w:tcPr>
          <w:p w14:paraId="142380A5"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310AE780"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0A5FDDC3" w14:textId="77777777" w:rsidR="00000000" w:rsidRDefault="001F1B20">
            <w:pPr>
              <w:pStyle w:val="a3"/>
              <w:spacing w:before="0" w:beforeAutospacing="0" w:after="0" w:afterAutospacing="0"/>
              <w:rPr>
                <w:sz w:val="20"/>
                <w:szCs w:val="20"/>
              </w:rPr>
            </w:pPr>
            <w:r>
              <w:rPr>
                <w:sz w:val="16"/>
                <w:szCs w:val="16"/>
              </w:rPr>
              <w:t>​</w:t>
            </w:r>
          </w:p>
        </w:tc>
        <w:tc>
          <w:tcPr>
            <w:tcW w:w="367" w:type="pct"/>
            <w:tcMar>
              <w:top w:w="0" w:type="dxa"/>
              <w:left w:w="0" w:type="dxa"/>
              <w:bottom w:w="0" w:type="dxa"/>
              <w:right w:w="0" w:type="dxa"/>
            </w:tcMar>
            <w:vAlign w:val="bottom"/>
            <w:hideMark/>
          </w:tcPr>
          <w:p w14:paraId="1ACB4787" w14:textId="77777777" w:rsidR="00000000" w:rsidRDefault="001F1B20">
            <w:pPr>
              <w:pStyle w:val="a3"/>
              <w:spacing w:before="0" w:beforeAutospacing="0" w:after="0" w:afterAutospacing="0"/>
              <w:ind w:right="60"/>
              <w:jc w:val="right"/>
              <w:rPr>
                <w:sz w:val="16"/>
                <w:szCs w:val="16"/>
              </w:rPr>
            </w:pPr>
            <w:r>
              <w:rPr>
                <w:sz w:val="16"/>
                <w:szCs w:val="16"/>
              </w:rPr>
              <w:t>14,370</w:t>
            </w:r>
          </w:p>
        </w:tc>
        <w:tc>
          <w:tcPr>
            <w:tcW w:w="77" w:type="pct"/>
            <w:noWrap/>
            <w:tcMar>
              <w:top w:w="0" w:type="dxa"/>
              <w:left w:w="0" w:type="dxa"/>
              <w:bottom w:w="0" w:type="dxa"/>
              <w:right w:w="0" w:type="dxa"/>
            </w:tcMar>
            <w:vAlign w:val="bottom"/>
            <w:hideMark/>
          </w:tcPr>
          <w:p w14:paraId="0383B6AD"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6F03B9E6" w14:textId="77777777" w:rsidR="00000000" w:rsidRDefault="001F1B20">
            <w:pPr>
              <w:pStyle w:val="a3"/>
              <w:spacing w:before="0" w:beforeAutospacing="0" w:after="0" w:afterAutospacing="0"/>
              <w:rPr>
                <w:sz w:val="20"/>
                <w:szCs w:val="20"/>
              </w:rPr>
            </w:pPr>
            <w:r>
              <w:rPr>
                <w:sz w:val="16"/>
                <w:szCs w:val="16"/>
              </w:rPr>
              <w:t>​</w:t>
            </w:r>
          </w:p>
        </w:tc>
        <w:tc>
          <w:tcPr>
            <w:tcW w:w="421" w:type="pct"/>
            <w:tcMar>
              <w:top w:w="0" w:type="dxa"/>
              <w:left w:w="0" w:type="dxa"/>
              <w:bottom w:w="0" w:type="dxa"/>
              <w:right w:w="0" w:type="dxa"/>
            </w:tcMar>
            <w:vAlign w:val="bottom"/>
            <w:hideMark/>
          </w:tcPr>
          <w:p w14:paraId="7CFFAF73"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77FADB91"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6DC62F33" w14:textId="77777777" w:rsidR="00000000" w:rsidRDefault="001F1B20">
            <w:pPr>
              <w:pStyle w:val="a3"/>
              <w:spacing w:before="0" w:beforeAutospacing="0" w:after="0" w:afterAutospacing="0"/>
              <w:rPr>
                <w:sz w:val="20"/>
                <w:szCs w:val="20"/>
              </w:rPr>
            </w:pPr>
            <w:r>
              <w:rPr>
                <w:sz w:val="16"/>
                <w:szCs w:val="16"/>
              </w:rPr>
              <w:t>​</w:t>
            </w:r>
          </w:p>
        </w:tc>
        <w:tc>
          <w:tcPr>
            <w:tcW w:w="390" w:type="pct"/>
            <w:tcMar>
              <w:top w:w="0" w:type="dxa"/>
              <w:left w:w="0" w:type="dxa"/>
              <w:bottom w:w="0" w:type="dxa"/>
              <w:right w:w="0" w:type="dxa"/>
            </w:tcMar>
            <w:vAlign w:val="bottom"/>
            <w:hideMark/>
          </w:tcPr>
          <w:p w14:paraId="670DBC86"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15064A68"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2D613693" w14:textId="77777777" w:rsidR="00000000" w:rsidRDefault="001F1B20">
            <w:pPr>
              <w:pStyle w:val="a3"/>
              <w:spacing w:before="0" w:beforeAutospacing="0" w:after="0" w:afterAutospacing="0"/>
              <w:rPr>
                <w:sz w:val="20"/>
                <w:szCs w:val="20"/>
              </w:rPr>
            </w:pPr>
            <w:r>
              <w:rPr>
                <w:sz w:val="16"/>
                <w:szCs w:val="16"/>
              </w:rPr>
              <w:t>​</w:t>
            </w:r>
          </w:p>
        </w:tc>
        <w:tc>
          <w:tcPr>
            <w:tcW w:w="375" w:type="pct"/>
            <w:tcMar>
              <w:top w:w="0" w:type="dxa"/>
              <w:left w:w="0" w:type="dxa"/>
              <w:bottom w:w="0" w:type="dxa"/>
              <w:right w:w="0" w:type="dxa"/>
            </w:tcMar>
            <w:vAlign w:val="bottom"/>
            <w:hideMark/>
          </w:tcPr>
          <w:p w14:paraId="05776120" w14:textId="77777777" w:rsidR="00000000" w:rsidRDefault="001F1B20">
            <w:pPr>
              <w:pStyle w:val="a3"/>
              <w:spacing w:before="0" w:beforeAutospacing="0" w:after="0" w:afterAutospacing="0"/>
              <w:ind w:right="60"/>
              <w:jc w:val="right"/>
              <w:rPr>
                <w:sz w:val="16"/>
                <w:szCs w:val="16"/>
              </w:rPr>
            </w:pPr>
            <w:r>
              <w:rPr>
                <w:sz w:val="16"/>
                <w:szCs w:val="16"/>
              </w:rPr>
              <w:t>14,370</w:t>
            </w:r>
          </w:p>
        </w:tc>
      </w:tr>
      <w:tr w:rsidR="00000000" w14:paraId="08CEFE73" w14:textId="77777777">
        <w:trPr>
          <w:divId w:val="1901865854"/>
        </w:trPr>
        <w:tc>
          <w:tcPr>
            <w:tcW w:w="1845" w:type="pct"/>
            <w:shd w:val="clear" w:color="auto" w:fill="CCEEFF"/>
            <w:tcMar>
              <w:top w:w="0" w:type="dxa"/>
              <w:left w:w="0" w:type="dxa"/>
              <w:bottom w:w="0" w:type="dxa"/>
              <w:right w:w="0" w:type="dxa"/>
            </w:tcMar>
            <w:vAlign w:val="bottom"/>
            <w:hideMark/>
          </w:tcPr>
          <w:p w14:paraId="5447F282" w14:textId="77777777" w:rsidR="00000000" w:rsidRDefault="001F1B20">
            <w:pPr>
              <w:pStyle w:val="a3"/>
              <w:spacing w:before="0" w:beforeAutospacing="0" w:after="0" w:afterAutospacing="0"/>
              <w:ind w:left="240"/>
              <w:rPr>
                <w:sz w:val="16"/>
                <w:szCs w:val="16"/>
              </w:rPr>
            </w:pPr>
            <w:r>
              <w:rPr>
                <w:sz w:val="16"/>
                <w:szCs w:val="16"/>
              </w:rPr>
              <w:t>Issuance of restricted shares</w:t>
            </w:r>
          </w:p>
        </w:tc>
        <w:tc>
          <w:tcPr>
            <w:tcW w:w="76" w:type="pct"/>
            <w:shd w:val="clear" w:color="auto" w:fill="CCEEFF"/>
            <w:noWrap/>
            <w:tcMar>
              <w:top w:w="0" w:type="dxa"/>
              <w:left w:w="0" w:type="dxa"/>
              <w:bottom w:w="0" w:type="dxa"/>
              <w:right w:w="0" w:type="dxa"/>
            </w:tcMar>
            <w:vAlign w:val="bottom"/>
            <w:hideMark/>
          </w:tcPr>
          <w:p w14:paraId="672F364C"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tcMar>
              <w:top w:w="0" w:type="dxa"/>
              <w:left w:w="0" w:type="dxa"/>
              <w:bottom w:w="0" w:type="dxa"/>
              <w:right w:w="0" w:type="dxa"/>
            </w:tcMar>
            <w:vAlign w:val="bottom"/>
            <w:hideMark/>
          </w:tcPr>
          <w:p w14:paraId="1942EFFB" w14:textId="77777777" w:rsidR="00000000" w:rsidRDefault="001F1B20">
            <w:pPr>
              <w:pStyle w:val="a3"/>
              <w:spacing w:before="0" w:beforeAutospacing="0" w:after="0" w:afterAutospacing="0"/>
              <w:ind w:right="60"/>
              <w:jc w:val="right"/>
              <w:rPr>
                <w:sz w:val="16"/>
                <w:szCs w:val="16"/>
              </w:rPr>
            </w:pPr>
            <w:r>
              <w:rPr>
                <w:sz w:val="16"/>
                <w:szCs w:val="16"/>
              </w:rPr>
              <w:t>391</w:t>
            </w:r>
          </w:p>
        </w:tc>
        <w:tc>
          <w:tcPr>
            <w:tcW w:w="76" w:type="pct"/>
            <w:shd w:val="clear" w:color="auto" w:fill="CCEEFF"/>
            <w:noWrap/>
            <w:tcMar>
              <w:top w:w="0" w:type="dxa"/>
              <w:left w:w="0" w:type="dxa"/>
              <w:bottom w:w="0" w:type="dxa"/>
              <w:right w:w="0" w:type="dxa"/>
            </w:tcMar>
            <w:vAlign w:val="bottom"/>
            <w:hideMark/>
          </w:tcPr>
          <w:p w14:paraId="37FD3904"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08811736"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tcMar>
              <w:top w:w="0" w:type="dxa"/>
              <w:left w:w="0" w:type="dxa"/>
              <w:bottom w:w="0" w:type="dxa"/>
              <w:right w:w="0" w:type="dxa"/>
            </w:tcMar>
            <w:vAlign w:val="bottom"/>
            <w:hideMark/>
          </w:tcPr>
          <w:p w14:paraId="5B643467"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2E3B3FB1"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32072ED6" w14:textId="77777777" w:rsidR="00000000" w:rsidRDefault="001F1B20">
            <w:pPr>
              <w:pStyle w:val="a3"/>
              <w:spacing w:before="0" w:beforeAutospacing="0" w:after="0" w:afterAutospacing="0"/>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589C90CC"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096BBFC6"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05A8C45C" w14:textId="77777777" w:rsidR="00000000" w:rsidRDefault="001F1B20">
            <w:pPr>
              <w:pStyle w:val="a3"/>
              <w:spacing w:before="0" w:beforeAutospacing="0" w:after="0" w:afterAutospacing="0"/>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14:paraId="36819E17"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259AB9B0"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3BD26CE7" w14:textId="77777777" w:rsidR="00000000" w:rsidRDefault="001F1B20">
            <w:pPr>
              <w:pStyle w:val="a3"/>
              <w:spacing w:before="0" w:beforeAutospacing="0" w:after="0" w:afterAutospacing="0"/>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12A8BD33"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6E6F1ADA"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3766086B" w14:textId="77777777" w:rsidR="00000000" w:rsidRDefault="001F1B20">
            <w:pPr>
              <w:pStyle w:val="a3"/>
              <w:spacing w:before="0" w:beforeAutospacing="0" w:after="0" w:afterAutospacing="0"/>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605DC803" w14:textId="77777777" w:rsidR="00000000" w:rsidRDefault="001F1B20">
            <w:pPr>
              <w:pStyle w:val="a3"/>
              <w:spacing w:before="0" w:beforeAutospacing="0" w:after="0" w:afterAutospacing="0"/>
              <w:ind w:right="60"/>
              <w:jc w:val="right"/>
              <w:rPr>
                <w:sz w:val="16"/>
                <w:szCs w:val="16"/>
              </w:rPr>
            </w:pPr>
            <w:r>
              <w:rPr>
                <w:sz w:val="16"/>
                <w:szCs w:val="16"/>
              </w:rPr>
              <w:t>—</w:t>
            </w:r>
          </w:p>
        </w:tc>
      </w:tr>
      <w:tr w:rsidR="00000000" w14:paraId="443722A6" w14:textId="77777777">
        <w:trPr>
          <w:divId w:val="1901865854"/>
        </w:trPr>
        <w:tc>
          <w:tcPr>
            <w:tcW w:w="1845" w:type="pct"/>
            <w:tcMar>
              <w:top w:w="0" w:type="dxa"/>
              <w:left w:w="0" w:type="dxa"/>
              <w:bottom w:w="0" w:type="dxa"/>
              <w:right w:w="0" w:type="dxa"/>
            </w:tcMar>
            <w:vAlign w:val="bottom"/>
            <w:hideMark/>
          </w:tcPr>
          <w:p w14:paraId="08042FB6" w14:textId="77777777" w:rsidR="00000000" w:rsidRDefault="001F1B20">
            <w:pPr>
              <w:pStyle w:val="a3"/>
              <w:spacing w:before="0" w:beforeAutospacing="0" w:after="0" w:afterAutospacing="0"/>
              <w:ind w:left="240"/>
              <w:rPr>
                <w:sz w:val="16"/>
                <w:szCs w:val="16"/>
              </w:rPr>
            </w:pPr>
            <w:r>
              <w:rPr>
                <w:sz w:val="16"/>
                <w:szCs w:val="16"/>
              </w:rPr>
              <w:t>Repurchase of shares to satisfy tax withholding</w:t>
            </w:r>
          </w:p>
        </w:tc>
        <w:tc>
          <w:tcPr>
            <w:tcW w:w="76" w:type="pct"/>
            <w:noWrap/>
            <w:tcMar>
              <w:top w:w="0" w:type="dxa"/>
              <w:left w:w="0" w:type="dxa"/>
              <w:bottom w:w="0" w:type="dxa"/>
              <w:right w:w="0" w:type="dxa"/>
            </w:tcMar>
            <w:vAlign w:val="bottom"/>
            <w:hideMark/>
          </w:tcPr>
          <w:p w14:paraId="23A719DB" w14:textId="77777777" w:rsidR="00000000" w:rsidRDefault="001F1B20">
            <w:pPr>
              <w:pStyle w:val="a3"/>
              <w:spacing w:before="0" w:beforeAutospacing="0" w:after="0" w:afterAutospacing="0"/>
              <w:rPr>
                <w:sz w:val="20"/>
                <w:szCs w:val="20"/>
              </w:rPr>
            </w:pPr>
            <w:r>
              <w:rPr>
                <w:sz w:val="16"/>
                <w:szCs w:val="16"/>
              </w:rPr>
              <w:t>​</w:t>
            </w:r>
          </w:p>
        </w:tc>
        <w:tc>
          <w:tcPr>
            <w:tcW w:w="343" w:type="pct"/>
            <w:tcMar>
              <w:top w:w="0" w:type="dxa"/>
              <w:left w:w="0" w:type="dxa"/>
              <w:bottom w:w="0" w:type="dxa"/>
              <w:right w:w="0" w:type="dxa"/>
            </w:tcMar>
            <w:vAlign w:val="bottom"/>
            <w:hideMark/>
          </w:tcPr>
          <w:p w14:paraId="5C97BE00" w14:textId="77777777" w:rsidR="00000000" w:rsidRDefault="001F1B20">
            <w:pPr>
              <w:pStyle w:val="a3"/>
              <w:spacing w:before="0" w:beforeAutospacing="0" w:after="0" w:afterAutospacing="0"/>
              <w:jc w:val="right"/>
              <w:rPr>
                <w:sz w:val="16"/>
                <w:szCs w:val="16"/>
              </w:rPr>
            </w:pPr>
            <w:r>
              <w:rPr>
                <w:sz w:val="16"/>
                <w:szCs w:val="16"/>
              </w:rPr>
              <w:t>(163)</w:t>
            </w:r>
          </w:p>
        </w:tc>
        <w:tc>
          <w:tcPr>
            <w:tcW w:w="76" w:type="pct"/>
            <w:noWrap/>
            <w:tcMar>
              <w:top w:w="0" w:type="dxa"/>
              <w:left w:w="0" w:type="dxa"/>
              <w:bottom w:w="0" w:type="dxa"/>
              <w:right w:w="0" w:type="dxa"/>
            </w:tcMar>
            <w:vAlign w:val="bottom"/>
            <w:hideMark/>
          </w:tcPr>
          <w:p w14:paraId="4460DEDD"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352AE75" w14:textId="77777777" w:rsidR="00000000" w:rsidRDefault="001F1B20">
            <w:pPr>
              <w:pStyle w:val="a3"/>
              <w:spacing w:before="0" w:beforeAutospacing="0" w:after="0" w:afterAutospacing="0"/>
              <w:rPr>
                <w:sz w:val="20"/>
                <w:szCs w:val="20"/>
              </w:rPr>
            </w:pPr>
            <w:r>
              <w:rPr>
                <w:sz w:val="16"/>
                <w:szCs w:val="16"/>
              </w:rPr>
              <w:t>​</w:t>
            </w:r>
          </w:p>
        </w:tc>
        <w:tc>
          <w:tcPr>
            <w:tcW w:w="343" w:type="pct"/>
            <w:tcMar>
              <w:top w:w="0" w:type="dxa"/>
              <w:left w:w="0" w:type="dxa"/>
              <w:bottom w:w="0" w:type="dxa"/>
              <w:right w:w="0" w:type="dxa"/>
            </w:tcMar>
            <w:vAlign w:val="bottom"/>
            <w:hideMark/>
          </w:tcPr>
          <w:p w14:paraId="25FBA71B"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4246802A"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25AF9E6E" w14:textId="77777777" w:rsidR="00000000" w:rsidRDefault="001F1B20">
            <w:pPr>
              <w:pStyle w:val="a3"/>
              <w:spacing w:before="0" w:beforeAutospacing="0" w:after="0" w:afterAutospacing="0"/>
              <w:rPr>
                <w:sz w:val="20"/>
                <w:szCs w:val="20"/>
              </w:rPr>
            </w:pPr>
            <w:r>
              <w:rPr>
                <w:sz w:val="16"/>
                <w:szCs w:val="16"/>
              </w:rPr>
              <w:t>​</w:t>
            </w:r>
          </w:p>
        </w:tc>
        <w:tc>
          <w:tcPr>
            <w:tcW w:w="367" w:type="pct"/>
            <w:tcMar>
              <w:top w:w="0" w:type="dxa"/>
              <w:left w:w="0" w:type="dxa"/>
              <w:bottom w:w="0" w:type="dxa"/>
              <w:right w:w="0" w:type="dxa"/>
            </w:tcMar>
            <w:vAlign w:val="bottom"/>
            <w:hideMark/>
          </w:tcPr>
          <w:p w14:paraId="5D5DAD43" w14:textId="77777777" w:rsidR="00000000" w:rsidRDefault="001F1B20">
            <w:pPr>
              <w:pStyle w:val="a3"/>
              <w:spacing w:before="0" w:beforeAutospacing="0" w:after="0" w:afterAutospacing="0"/>
              <w:jc w:val="right"/>
              <w:rPr>
                <w:sz w:val="16"/>
                <w:szCs w:val="16"/>
              </w:rPr>
            </w:pPr>
            <w:r>
              <w:rPr>
                <w:sz w:val="16"/>
                <w:szCs w:val="16"/>
              </w:rPr>
              <w:t>(2,286)</w:t>
            </w:r>
          </w:p>
        </w:tc>
        <w:tc>
          <w:tcPr>
            <w:tcW w:w="77" w:type="pct"/>
            <w:noWrap/>
            <w:tcMar>
              <w:top w:w="0" w:type="dxa"/>
              <w:left w:w="0" w:type="dxa"/>
              <w:bottom w:w="0" w:type="dxa"/>
              <w:right w:w="0" w:type="dxa"/>
            </w:tcMar>
            <w:vAlign w:val="bottom"/>
            <w:hideMark/>
          </w:tcPr>
          <w:p w14:paraId="6DCCD23B"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65AA1B0A" w14:textId="77777777" w:rsidR="00000000" w:rsidRDefault="001F1B20">
            <w:pPr>
              <w:pStyle w:val="a3"/>
              <w:spacing w:before="0" w:beforeAutospacing="0" w:after="0" w:afterAutospacing="0"/>
              <w:rPr>
                <w:sz w:val="20"/>
                <w:szCs w:val="20"/>
              </w:rPr>
            </w:pPr>
            <w:r>
              <w:rPr>
                <w:sz w:val="16"/>
                <w:szCs w:val="16"/>
              </w:rPr>
              <w:t>​</w:t>
            </w:r>
          </w:p>
        </w:tc>
        <w:tc>
          <w:tcPr>
            <w:tcW w:w="421" w:type="pct"/>
            <w:tcMar>
              <w:top w:w="0" w:type="dxa"/>
              <w:left w:w="0" w:type="dxa"/>
              <w:bottom w:w="0" w:type="dxa"/>
              <w:right w:w="0" w:type="dxa"/>
            </w:tcMar>
            <w:vAlign w:val="bottom"/>
            <w:hideMark/>
          </w:tcPr>
          <w:p w14:paraId="49DC4758"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22A9C659"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662B13D4" w14:textId="77777777" w:rsidR="00000000" w:rsidRDefault="001F1B20">
            <w:pPr>
              <w:pStyle w:val="a3"/>
              <w:spacing w:before="0" w:beforeAutospacing="0" w:after="0" w:afterAutospacing="0"/>
              <w:rPr>
                <w:sz w:val="20"/>
                <w:szCs w:val="20"/>
              </w:rPr>
            </w:pPr>
            <w:r>
              <w:rPr>
                <w:sz w:val="16"/>
                <w:szCs w:val="16"/>
              </w:rPr>
              <w:t>​</w:t>
            </w:r>
          </w:p>
        </w:tc>
        <w:tc>
          <w:tcPr>
            <w:tcW w:w="390" w:type="pct"/>
            <w:tcMar>
              <w:top w:w="0" w:type="dxa"/>
              <w:left w:w="0" w:type="dxa"/>
              <w:bottom w:w="0" w:type="dxa"/>
              <w:right w:w="0" w:type="dxa"/>
            </w:tcMar>
            <w:vAlign w:val="bottom"/>
            <w:hideMark/>
          </w:tcPr>
          <w:p w14:paraId="1DA4A181"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4FD4A482"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2BB7F67B" w14:textId="77777777" w:rsidR="00000000" w:rsidRDefault="001F1B20">
            <w:pPr>
              <w:pStyle w:val="a3"/>
              <w:spacing w:before="0" w:beforeAutospacing="0" w:after="0" w:afterAutospacing="0"/>
              <w:rPr>
                <w:sz w:val="20"/>
                <w:szCs w:val="20"/>
              </w:rPr>
            </w:pPr>
            <w:r>
              <w:rPr>
                <w:sz w:val="16"/>
                <w:szCs w:val="16"/>
              </w:rPr>
              <w:t>​</w:t>
            </w:r>
          </w:p>
        </w:tc>
        <w:tc>
          <w:tcPr>
            <w:tcW w:w="375" w:type="pct"/>
            <w:tcMar>
              <w:top w:w="0" w:type="dxa"/>
              <w:left w:w="0" w:type="dxa"/>
              <w:bottom w:w="0" w:type="dxa"/>
              <w:right w:w="0" w:type="dxa"/>
            </w:tcMar>
            <w:vAlign w:val="bottom"/>
            <w:hideMark/>
          </w:tcPr>
          <w:p w14:paraId="4B778BB3" w14:textId="77777777" w:rsidR="00000000" w:rsidRDefault="001F1B20">
            <w:pPr>
              <w:pStyle w:val="a3"/>
              <w:spacing w:before="0" w:beforeAutospacing="0" w:after="0" w:afterAutospacing="0"/>
              <w:jc w:val="right"/>
              <w:rPr>
                <w:sz w:val="16"/>
                <w:szCs w:val="16"/>
              </w:rPr>
            </w:pPr>
            <w:r>
              <w:rPr>
                <w:sz w:val="16"/>
                <w:szCs w:val="16"/>
              </w:rPr>
              <w:t>(2,286)</w:t>
            </w:r>
          </w:p>
        </w:tc>
      </w:tr>
      <w:tr w:rsidR="00000000" w14:paraId="7EBEF72D" w14:textId="77777777">
        <w:trPr>
          <w:divId w:val="1901865854"/>
        </w:trPr>
        <w:tc>
          <w:tcPr>
            <w:tcW w:w="1845" w:type="pct"/>
            <w:shd w:val="clear" w:color="auto" w:fill="CCEEFF"/>
            <w:tcMar>
              <w:top w:w="0" w:type="dxa"/>
              <w:left w:w="0" w:type="dxa"/>
              <w:bottom w:w="0" w:type="dxa"/>
              <w:right w:w="0" w:type="dxa"/>
            </w:tcMar>
            <w:vAlign w:val="bottom"/>
            <w:hideMark/>
          </w:tcPr>
          <w:p w14:paraId="1239253B" w14:textId="77777777" w:rsidR="00000000" w:rsidRDefault="001F1B20">
            <w:pPr>
              <w:pStyle w:val="a3"/>
              <w:spacing w:before="0" w:beforeAutospacing="0" w:after="0" w:afterAutospacing="0"/>
              <w:ind w:left="240"/>
              <w:rPr>
                <w:sz w:val="16"/>
                <w:szCs w:val="16"/>
              </w:rPr>
            </w:pPr>
            <w:r>
              <w:rPr>
                <w:sz w:val="16"/>
                <w:szCs w:val="16"/>
              </w:rPr>
              <w:t>Net unrealized gain on marketable securities</w:t>
            </w:r>
          </w:p>
        </w:tc>
        <w:tc>
          <w:tcPr>
            <w:tcW w:w="76" w:type="pct"/>
            <w:shd w:val="clear" w:color="auto" w:fill="CCEEFF"/>
            <w:noWrap/>
            <w:tcMar>
              <w:top w:w="0" w:type="dxa"/>
              <w:left w:w="0" w:type="dxa"/>
              <w:bottom w:w="0" w:type="dxa"/>
              <w:right w:w="0" w:type="dxa"/>
            </w:tcMar>
            <w:vAlign w:val="bottom"/>
            <w:hideMark/>
          </w:tcPr>
          <w:p w14:paraId="355603A1"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tcMar>
              <w:top w:w="0" w:type="dxa"/>
              <w:left w:w="0" w:type="dxa"/>
              <w:bottom w:w="0" w:type="dxa"/>
              <w:right w:w="0" w:type="dxa"/>
            </w:tcMar>
            <w:vAlign w:val="bottom"/>
            <w:hideMark/>
          </w:tcPr>
          <w:p w14:paraId="3FD5FDFF"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0F7DF68F"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6E687409"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tcMar>
              <w:top w:w="0" w:type="dxa"/>
              <w:left w:w="0" w:type="dxa"/>
              <w:bottom w:w="0" w:type="dxa"/>
              <w:right w:w="0" w:type="dxa"/>
            </w:tcMar>
            <w:vAlign w:val="bottom"/>
            <w:hideMark/>
          </w:tcPr>
          <w:p w14:paraId="38385DEE"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65783339"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4F5201A6" w14:textId="77777777" w:rsidR="00000000" w:rsidRDefault="001F1B20">
            <w:pPr>
              <w:pStyle w:val="a3"/>
              <w:spacing w:before="0" w:beforeAutospacing="0" w:after="0" w:afterAutospacing="0"/>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18162562"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24A4DF8B"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6420A126" w14:textId="77777777" w:rsidR="00000000" w:rsidRDefault="001F1B20">
            <w:pPr>
              <w:pStyle w:val="a3"/>
              <w:spacing w:before="0" w:beforeAutospacing="0" w:after="0" w:afterAutospacing="0"/>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14:paraId="52D31DD9" w14:textId="77777777" w:rsidR="00000000" w:rsidRDefault="001F1B20">
            <w:pPr>
              <w:pStyle w:val="a3"/>
              <w:spacing w:before="0" w:beforeAutospacing="0" w:after="0" w:afterAutospacing="0"/>
              <w:ind w:right="60"/>
              <w:jc w:val="right"/>
              <w:rPr>
                <w:sz w:val="16"/>
                <w:szCs w:val="16"/>
              </w:rPr>
            </w:pPr>
            <w:r>
              <w:rPr>
                <w:sz w:val="16"/>
                <w:szCs w:val="16"/>
              </w:rPr>
              <w:t>6</w:t>
            </w:r>
          </w:p>
        </w:tc>
        <w:tc>
          <w:tcPr>
            <w:tcW w:w="77" w:type="pct"/>
            <w:shd w:val="clear" w:color="auto" w:fill="CCEEFF"/>
            <w:noWrap/>
            <w:tcMar>
              <w:top w:w="0" w:type="dxa"/>
              <w:left w:w="0" w:type="dxa"/>
              <w:bottom w:w="0" w:type="dxa"/>
              <w:right w:w="0" w:type="dxa"/>
            </w:tcMar>
            <w:vAlign w:val="bottom"/>
            <w:hideMark/>
          </w:tcPr>
          <w:p w14:paraId="082CEF05"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3EDA367C" w14:textId="77777777" w:rsidR="00000000" w:rsidRDefault="001F1B20">
            <w:pPr>
              <w:pStyle w:val="a3"/>
              <w:spacing w:before="0" w:beforeAutospacing="0" w:after="0" w:afterAutospacing="0"/>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5468F834"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5A06D5D4"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53461848" w14:textId="77777777" w:rsidR="00000000" w:rsidRDefault="001F1B20">
            <w:pPr>
              <w:pStyle w:val="a3"/>
              <w:spacing w:before="0" w:beforeAutospacing="0" w:after="0" w:afterAutospacing="0"/>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431E5C12" w14:textId="77777777" w:rsidR="00000000" w:rsidRDefault="001F1B20">
            <w:pPr>
              <w:pStyle w:val="a3"/>
              <w:spacing w:before="0" w:beforeAutospacing="0" w:after="0" w:afterAutospacing="0"/>
              <w:ind w:right="60"/>
              <w:jc w:val="right"/>
              <w:rPr>
                <w:sz w:val="16"/>
                <w:szCs w:val="16"/>
              </w:rPr>
            </w:pPr>
            <w:r>
              <w:rPr>
                <w:sz w:val="16"/>
                <w:szCs w:val="16"/>
              </w:rPr>
              <w:t>6</w:t>
            </w:r>
          </w:p>
        </w:tc>
      </w:tr>
      <w:tr w:rsidR="00000000" w14:paraId="680E3E81" w14:textId="77777777">
        <w:trPr>
          <w:divId w:val="1901865854"/>
        </w:trPr>
        <w:tc>
          <w:tcPr>
            <w:tcW w:w="1845" w:type="pct"/>
            <w:tcMar>
              <w:top w:w="0" w:type="dxa"/>
              <w:left w:w="0" w:type="dxa"/>
              <w:bottom w:w="0" w:type="dxa"/>
              <w:right w:w="0" w:type="dxa"/>
            </w:tcMar>
            <w:vAlign w:val="bottom"/>
            <w:hideMark/>
          </w:tcPr>
          <w:p w14:paraId="7F1D74FA" w14:textId="77777777" w:rsidR="00000000" w:rsidRDefault="001F1B20">
            <w:pPr>
              <w:pStyle w:val="a3"/>
              <w:spacing w:before="0" w:beforeAutospacing="0" w:after="0" w:afterAutospacing="0"/>
              <w:ind w:left="240"/>
              <w:rPr>
                <w:sz w:val="16"/>
                <w:szCs w:val="16"/>
              </w:rPr>
            </w:pPr>
            <w:r>
              <w:rPr>
                <w:sz w:val="16"/>
                <w:szCs w:val="16"/>
              </w:rPr>
              <w:t>Net loss</w:t>
            </w:r>
          </w:p>
        </w:tc>
        <w:tc>
          <w:tcPr>
            <w:tcW w:w="76" w:type="pct"/>
            <w:noWrap/>
            <w:tcMar>
              <w:top w:w="0" w:type="dxa"/>
              <w:left w:w="0" w:type="dxa"/>
              <w:bottom w:w="0" w:type="dxa"/>
              <w:right w:w="0" w:type="dxa"/>
            </w:tcMar>
            <w:vAlign w:val="bottom"/>
            <w:hideMark/>
          </w:tcPr>
          <w:p w14:paraId="281D8FEF"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single" w:sz="6" w:space="0" w:color="000000"/>
            </w:tcBorders>
            <w:tcMar>
              <w:top w:w="0" w:type="dxa"/>
              <w:left w:w="0" w:type="dxa"/>
              <w:bottom w:w="0" w:type="dxa"/>
              <w:right w:w="0" w:type="dxa"/>
            </w:tcMar>
            <w:vAlign w:val="bottom"/>
            <w:hideMark/>
          </w:tcPr>
          <w:p w14:paraId="11279A12"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374E5AA3" w14:textId="77777777" w:rsidR="00000000" w:rsidRDefault="001F1B20">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14:paraId="53F7FE99"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single" w:sz="6" w:space="0" w:color="000000"/>
            </w:tcBorders>
            <w:tcMar>
              <w:top w:w="0" w:type="dxa"/>
              <w:left w:w="0" w:type="dxa"/>
              <w:bottom w:w="0" w:type="dxa"/>
              <w:right w:w="0" w:type="dxa"/>
            </w:tcMar>
            <w:vAlign w:val="bottom"/>
            <w:hideMark/>
          </w:tcPr>
          <w:p w14:paraId="6BEF162F"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4E330AC6" w14:textId="77777777" w:rsidR="00000000" w:rsidRDefault="001F1B20">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14:paraId="173137F5" w14:textId="77777777" w:rsidR="00000000" w:rsidRDefault="001F1B20">
            <w:pPr>
              <w:pStyle w:val="a3"/>
              <w:spacing w:before="0" w:beforeAutospacing="0" w:after="0" w:afterAutospacing="0"/>
              <w:rPr>
                <w:sz w:val="20"/>
                <w:szCs w:val="20"/>
              </w:rPr>
            </w:pPr>
            <w:r>
              <w:rPr>
                <w:sz w:val="16"/>
                <w:szCs w:val="16"/>
              </w:rPr>
              <w:t>​</w:t>
            </w:r>
          </w:p>
        </w:tc>
        <w:tc>
          <w:tcPr>
            <w:tcW w:w="367" w:type="pct"/>
            <w:tcBorders>
              <w:bottom w:val="single" w:sz="6" w:space="0" w:color="000000"/>
            </w:tcBorders>
            <w:tcMar>
              <w:top w:w="0" w:type="dxa"/>
              <w:left w:w="0" w:type="dxa"/>
              <w:bottom w:w="0" w:type="dxa"/>
              <w:right w:w="0" w:type="dxa"/>
            </w:tcMar>
            <w:vAlign w:val="bottom"/>
            <w:hideMark/>
          </w:tcPr>
          <w:p w14:paraId="563C664E"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662D8FEE" w14:textId="77777777" w:rsidR="00000000" w:rsidRDefault="001F1B20">
            <w:pPr>
              <w:pStyle w:val="a3"/>
              <w:spacing w:before="0" w:beforeAutospacing="0" w:after="0" w:afterAutospacing="0"/>
              <w:rPr>
                <w:sz w:val="20"/>
                <w:szCs w:val="20"/>
              </w:rPr>
            </w:pPr>
            <w:r>
              <w:rPr>
                <w:sz w:val="16"/>
                <w:szCs w:val="16"/>
              </w:rPr>
              <w:t>​</w:t>
            </w:r>
          </w:p>
        </w:tc>
        <w:tc>
          <w:tcPr>
            <w:tcW w:w="107" w:type="pct"/>
            <w:tcBorders>
              <w:bottom w:val="single" w:sz="6" w:space="0" w:color="000000"/>
            </w:tcBorders>
            <w:noWrap/>
            <w:tcMar>
              <w:top w:w="0" w:type="dxa"/>
              <w:left w:w="0" w:type="dxa"/>
              <w:bottom w:w="0" w:type="dxa"/>
              <w:right w:w="0" w:type="dxa"/>
            </w:tcMar>
            <w:vAlign w:val="bottom"/>
            <w:hideMark/>
          </w:tcPr>
          <w:p w14:paraId="7CF7963E" w14:textId="77777777" w:rsidR="00000000" w:rsidRDefault="001F1B20">
            <w:pPr>
              <w:pStyle w:val="a3"/>
              <w:spacing w:before="0" w:beforeAutospacing="0" w:after="0" w:afterAutospacing="0"/>
              <w:rPr>
                <w:sz w:val="20"/>
                <w:szCs w:val="20"/>
              </w:rPr>
            </w:pPr>
            <w:r>
              <w:rPr>
                <w:sz w:val="16"/>
                <w:szCs w:val="16"/>
              </w:rPr>
              <w:t>​</w:t>
            </w:r>
          </w:p>
        </w:tc>
        <w:tc>
          <w:tcPr>
            <w:tcW w:w="421" w:type="pct"/>
            <w:tcBorders>
              <w:bottom w:val="single" w:sz="6" w:space="0" w:color="000000"/>
            </w:tcBorders>
            <w:tcMar>
              <w:top w:w="0" w:type="dxa"/>
              <w:left w:w="0" w:type="dxa"/>
              <w:bottom w:w="0" w:type="dxa"/>
              <w:right w:w="0" w:type="dxa"/>
            </w:tcMar>
            <w:vAlign w:val="bottom"/>
            <w:hideMark/>
          </w:tcPr>
          <w:p w14:paraId="414BC13C"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1240E641" w14:textId="77777777" w:rsidR="00000000" w:rsidRDefault="001F1B20">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14:paraId="5ECDFBB7" w14:textId="77777777" w:rsidR="00000000" w:rsidRDefault="001F1B20">
            <w:pPr>
              <w:pStyle w:val="a3"/>
              <w:spacing w:before="0" w:beforeAutospacing="0" w:after="0" w:afterAutospacing="0"/>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14:paraId="1F3E8CD9" w14:textId="77777777" w:rsidR="00000000" w:rsidRDefault="001F1B20">
            <w:pPr>
              <w:pStyle w:val="a3"/>
              <w:spacing w:before="0" w:beforeAutospacing="0" w:after="0" w:afterAutospacing="0"/>
              <w:jc w:val="right"/>
              <w:rPr>
                <w:sz w:val="16"/>
                <w:szCs w:val="16"/>
              </w:rPr>
            </w:pPr>
            <w:r>
              <w:rPr>
                <w:sz w:val="16"/>
                <w:szCs w:val="16"/>
              </w:rPr>
              <w:t>(35,308)</w:t>
            </w:r>
          </w:p>
        </w:tc>
        <w:tc>
          <w:tcPr>
            <w:tcW w:w="77" w:type="pct"/>
            <w:noWrap/>
            <w:tcMar>
              <w:top w:w="0" w:type="dxa"/>
              <w:left w:w="0" w:type="dxa"/>
              <w:bottom w:w="0" w:type="dxa"/>
              <w:right w:w="0" w:type="dxa"/>
            </w:tcMar>
            <w:vAlign w:val="bottom"/>
            <w:hideMark/>
          </w:tcPr>
          <w:p w14:paraId="3DAE33DA" w14:textId="77777777" w:rsidR="00000000" w:rsidRDefault="001F1B20">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14:paraId="5F0815EC" w14:textId="77777777" w:rsidR="00000000" w:rsidRDefault="001F1B20">
            <w:pPr>
              <w:pStyle w:val="a3"/>
              <w:spacing w:before="0" w:beforeAutospacing="0" w:after="0" w:afterAutospacing="0"/>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14:paraId="543DF5DF" w14:textId="77777777" w:rsidR="00000000" w:rsidRDefault="001F1B20">
            <w:pPr>
              <w:pStyle w:val="a3"/>
              <w:spacing w:before="0" w:beforeAutospacing="0" w:after="0" w:afterAutospacing="0"/>
              <w:jc w:val="right"/>
              <w:rPr>
                <w:sz w:val="16"/>
                <w:szCs w:val="16"/>
              </w:rPr>
            </w:pPr>
            <w:r>
              <w:rPr>
                <w:sz w:val="16"/>
                <w:szCs w:val="16"/>
              </w:rPr>
              <w:t>(35,308)</w:t>
            </w:r>
          </w:p>
        </w:tc>
      </w:tr>
      <w:tr w:rsidR="00000000" w14:paraId="6BF57E82" w14:textId="77777777">
        <w:trPr>
          <w:divId w:val="1901865854"/>
        </w:trPr>
        <w:tc>
          <w:tcPr>
            <w:tcW w:w="1845" w:type="pct"/>
            <w:shd w:val="clear" w:color="auto" w:fill="CCEEFF"/>
            <w:tcMar>
              <w:top w:w="0" w:type="dxa"/>
              <w:left w:w="0" w:type="dxa"/>
              <w:bottom w:w="0" w:type="dxa"/>
              <w:right w:w="0" w:type="dxa"/>
            </w:tcMar>
            <w:vAlign w:val="bottom"/>
            <w:hideMark/>
          </w:tcPr>
          <w:p w14:paraId="0580DA8C" w14:textId="77777777" w:rsidR="00000000" w:rsidRDefault="001F1B20">
            <w:pPr>
              <w:pStyle w:val="a3"/>
              <w:spacing w:before="0" w:beforeAutospacing="0" w:after="0" w:afterAutospacing="0"/>
              <w:rPr>
                <w:sz w:val="16"/>
                <w:szCs w:val="16"/>
              </w:rPr>
            </w:pPr>
            <w:r>
              <w:rPr>
                <w:sz w:val="16"/>
                <w:szCs w:val="16"/>
              </w:rPr>
              <w:t>Balances at September 30, 2021</w:t>
            </w:r>
          </w:p>
        </w:tc>
        <w:tc>
          <w:tcPr>
            <w:tcW w:w="76" w:type="pct"/>
            <w:shd w:val="clear" w:color="auto" w:fill="CCEEFF"/>
            <w:noWrap/>
            <w:tcMar>
              <w:top w:w="0" w:type="dxa"/>
              <w:left w:w="0" w:type="dxa"/>
              <w:bottom w:w="0" w:type="dxa"/>
              <w:right w:w="0" w:type="dxa"/>
            </w:tcMar>
            <w:vAlign w:val="bottom"/>
            <w:hideMark/>
          </w:tcPr>
          <w:p w14:paraId="3B4CCDC1"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14:paraId="0C7E34FE" w14:textId="77777777" w:rsidR="00000000" w:rsidRDefault="001F1B20">
            <w:pPr>
              <w:pStyle w:val="a3"/>
              <w:spacing w:before="0" w:beforeAutospacing="0" w:after="0" w:afterAutospacing="0"/>
              <w:ind w:right="60"/>
              <w:jc w:val="right"/>
              <w:rPr>
                <w:sz w:val="16"/>
                <w:szCs w:val="16"/>
              </w:rPr>
            </w:pPr>
            <w:r>
              <w:rPr>
                <w:sz w:val="16"/>
                <w:szCs w:val="16"/>
              </w:rPr>
              <w:t>73,698</w:t>
            </w:r>
          </w:p>
        </w:tc>
        <w:tc>
          <w:tcPr>
            <w:tcW w:w="76" w:type="pct"/>
            <w:shd w:val="clear" w:color="auto" w:fill="CCEEFF"/>
            <w:noWrap/>
            <w:tcMar>
              <w:top w:w="0" w:type="dxa"/>
              <w:left w:w="0" w:type="dxa"/>
              <w:bottom w:w="0" w:type="dxa"/>
              <w:right w:w="0" w:type="dxa"/>
            </w:tcMar>
            <w:vAlign w:val="bottom"/>
            <w:hideMark/>
          </w:tcPr>
          <w:p w14:paraId="60C39983" w14:textId="77777777" w:rsidR="00000000" w:rsidRDefault="001F1B20">
            <w:pPr>
              <w:pStyle w:val="a3"/>
              <w:spacing w:before="0" w:beforeAutospacing="0" w:after="0" w:afterAutospacing="0"/>
              <w:rPr>
                <w:sz w:val="20"/>
                <w:szCs w:val="20"/>
              </w:rPr>
            </w:pPr>
            <w:r>
              <w:rPr>
                <w:sz w:val="16"/>
                <w:szCs w:val="16"/>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4AE51AFE" w14:textId="77777777" w:rsidR="00000000" w:rsidRDefault="001F1B20">
            <w:pPr>
              <w:pStyle w:val="a3"/>
              <w:spacing w:before="0" w:beforeAutospacing="0" w:after="0" w:afterAutospacing="0"/>
              <w:rPr>
                <w:sz w:val="16"/>
                <w:szCs w:val="16"/>
              </w:rPr>
            </w:pPr>
            <w:r>
              <w:rPr>
                <w:sz w:val="16"/>
                <w:szCs w:val="16"/>
              </w:rPr>
              <w:t>$</w:t>
            </w:r>
          </w:p>
        </w:tc>
        <w:tc>
          <w:tcPr>
            <w:tcW w:w="343" w:type="pct"/>
            <w:tcBorders>
              <w:bottom w:val="double" w:sz="6" w:space="0" w:color="000000"/>
            </w:tcBorders>
            <w:shd w:val="clear" w:color="auto" w:fill="CCEEFF"/>
            <w:noWrap/>
            <w:tcMar>
              <w:top w:w="0" w:type="dxa"/>
              <w:left w:w="0" w:type="dxa"/>
              <w:bottom w:w="0" w:type="dxa"/>
              <w:right w:w="0" w:type="dxa"/>
            </w:tcMar>
            <w:vAlign w:val="bottom"/>
            <w:hideMark/>
          </w:tcPr>
          <w:p w14:paraId="52496B66" w14:textId="77777777" w:rsidR="00000000" w:rsidRDefault="001F1B20">
            <w:pPr>
              <w:pStyle w:val="a3"/>
              <w:spacing w:before="0" w:beforeAutospacing="0" w:after="0" w:afterAutospacing="0"/>
              <w:ind w:right="6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14:paraId="65A9FBD3" w14:textId="77777777" w:rsidR="00000000" w:rsidRDefault="001F1B20">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14:paraId="452EAA57" w14:textId="77777777" w:rsidR="00000000" w:rsidRDefault="001F1B20">
            <w:pPr>
              <w:pStyle w:val="a3"/>
              <w:spacing w:before="0" w:beforeAutospacing="0" w:after="0" w:afterAutospacing="0"/>
              <w:rPr>
                <w:sz w:val="16"/>
                <w:szCs w:val="16"/>
              </w:rPr>
            </w:pPr>
            <w:r>
              <w:rPr>
                <w:sz w:val="16"/>
                <w:szCs w:val="16"/>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14:paraId="2A499988" w14:textId="77777777" w:rsidR="00000000" w:rsidRDefault="001F1B20">
            <w:pPr>
              <w:pStyle w:val="a3"/>
              <w:spacing w:before="0" w:beforeAutospacing="0" w:after="0" w:afterAutospacing="0"/>
              <w:ind w:right="60"/>
              <w:jc w:val="right"/>
              <w:rPr>
                <w:sz w:val="16"/>
                <w:szCs w:val="16"/>
              </w:rPr>
            </w:pPr>
            <w:r>
              <w:rPr>
                <w:sz w:val="16"/>
                <w:szCs w:val="16"/>
              </w:rPr>
              <w:t>1,370,402</w:t>
            </w:r>
          </w:p>
        </w:tc>
        <w:tc>
          <w:tcPr>
            <w:tcW w:w="77" w:type="pct"/>
            <w:shd w:val="clear" w:color="auto" w:fill="CCEEFF"/>
            <w:noWrap/>
            <w:tcMar>
              <w:top w:w="0" w:type="dxa"/>
              <w:left w:w="0" w:type="dxa"/>
              <w:bottom w:w="0" w:type="dxa"/>
              <w:right w:w="0" w:type="dxa"/>
            </w:tcMar>
            <w:vAlign w:val="bottom"/>
            <w:hideMark/>
          </w:tcPr>
          <w:p w14:paraId="6493CCA6" w14:textId="77777777" w:rsidR="00000000" w:rsidRDefault="001F1B20">
            <w:pPr>
              <w:pStyle w:val="a3"/>
              <w:spacing w:before="0" w:beforeAutospacing="0" w:after="0" w:afterAutospacing="0"/>
              <w:rPr>
                <w:sz w:val="20"/>
                <w:szCs w:val="20"/>
              </w:rPr>
            </w:pPr>
            <w:r>
              <w:rPr>
                <w:sz w:val="16"/>
                <w:szCs w:val="16"/>
              </w:rPr>
              <w:t>​</w:t>
            </w:r>
          </w:p>
        </w:tc>
        <w:tc>
          <w:tcPr>
            <w:tcW w:w="107" w:type="pct"/>
            <w:tcBorders>
              <w:bottom w:val="double" w:sz="6" w:space="0" w:color="000000"/>
            </w:tcBorders>
            <w:shd w:val="clear" w:color="auto" w:fill="CCEEFF"/>
            <w:noWrap/>
            <w:tcMar>
              <w:top w:w="0" w:type="dxa"/>
              <w:left w:w="0" w:type="dxa"/>
              <w:bottom w:w="0" w:type="dxa"/>
              <w:right w:w="0" w:type="dxa"/>
            </w:tcMar>
            <w:vAlign w:val="bottom"/>
            <w:hideMark/>
          </w:tcPr>
          <w:p w14:paraId="151ED8C5" w14:textId="77777777" w:rsidR="00000000" w:rsidRDefault="001F1B20">
            <w:pPr>
              <w:pStyle w:val="a3"/>
              <w:spacing w:before="0" w:beforeAutospacing="0" w:after="0" w:afterAutospacing="0"/>
              <w:rPr>
                <w:sz w:val="16"/>
                <w:szCs w:val="16"/>
              </w:rPr>
            </w:pPr>
            <w:r>
              <w:rPr>
                <w:sz w:val="16"/>
                <w:szCs w:val="16"/>
              </w:rPr>
              <w:t>$</w:t>
            </w:r>
          </w:p>
        </w:tc>
        <w:tc>
          <w:tcPr>
            <w:tcW w:w="421" w:type="pct"/>
            <w:tcBorders>
              <w:bottom w:val="double" w:sz="6" w:space="0" w:color="000000"/>
            </w:tcBorders>
            <w:shd w:val="clear" w:color="auto" w:fill="CCEEFF"/>
            <w:noWrap/>
            <w:tcMar>
              <w:top w:w="0" w:type="dxa"/>
              <w:left w:w="0" w:type="dxa"/>
              <w:bottom w:w="0" w:type="dxa"/>
              <w:right w:w="0" w:type="dxa"/>
            </w:tcMar>
            <w:vAlign w:val="bottom"/>
            <w:hideMark/>
          </w:tcPr>
          <w:p w14:paraId="5B6EB696" w14:textId="77777777" w:rsidR="00000000" w:rsidRDefault="001F1B20">
            <w:pPr>
              <w:pStyle w:val="a3"/>
              <w:spacing w:before="0" w:beforeAutospacing="0" w:after="0" w:afterAutospacing="0"/>
              <w:ind w:right="60"/>
              <w:jc w:val="right"/>
              <w:rPr>
                <w:sz w:val="16"/>
                <w:szCs w:val="16"/>
              </w:rPr>
            </w:pPr>
            <w:r>
              <w:rPr>
                <w:sz w:val="16"/>
                <w:szCs w:val="16"/>
              </w:rPr>
              <w:t>14</w:t>
            </w:r>
          </w:p>
        </w:tc>
        <w:tc>
          <w:tcPr>
            <w:tcW w:w="77" w:type="pct"/>
            <w:shd w:val="clear" w:color="auto" w:fill="CCEEFF"/>
            <w:noWrap/>
            <w:tcMar>
              <w:top w:w="0" w:type="dxa"/>
              <w:left w:w="0" w:type="dxa"/>
              <w:bottom w:w="0" w:type="dxa"/>
              <w:right w:w="0" w:type="dxa"/>
            </w:tcMar>
            <w:vAlign w:val="bottom"/>
            <w:hideMark/>
          </w:tcPr>
          <w:p w14:paraId="415F7B19" w14:textId="77777777" w:rsidR="00000000" w:rsidRDefault="001F1B20">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14:paraId="0702496C" w14:textId="77777777" w:rsidR="00000000" w:rsidRDefault="001F1B20">
            <w:pPr>
              <w:pStyle w:val="a3"/>
              <w:spacing w:before="0" w:beforeAutospacing="0" w:after="0" w:afterAutospacing="0"/>
              <w:rPr>
                <w:sz w:val="16"/>
                <w:szCs w:val="16"/>
              </w:rPr>
            </w:pPr>
            <w:r>
              <w:rPr>
                <w:sz w:val="16"/>
                <w:szCs w:val="16"/>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14:paraId="7DC777D1" w14:textId="77777777" w:rsidR="00000000" w:rsidRDefault="001F1B20">
            <w:pPr>
              <w:pStyle w:val="a3"/>
              <w:spacing w:before="0" w:beforeAutospacing="0" w:after="0" w:afterAutospacing="0"/>
              <w:jc w:val="right"/>
              <w:rPr>
                <w:sz w:val="16"/>
                <w:szCs w:val="16"/>
              </w:rPr>
            </w:pPr>
            <w:r>
              <w:rPr>
                <w:sz w:val="16"/>
                <w:szCs w:val="16"/>
              </w:rPr>
              <w:t>(1,694,009)</w:t>
            </w:r>
          </w:p>
        </w:tc>
        <w:tc>
          <w:tcPr>
            <w:tcW w:w="77" w:type="pct"/>
            <w:shd w:val="clear" w:color="auto" w:fill="CCEEFF"/>
            <w:noWrap/>
            <w:tcMar>
              <w:top w:w="0" w:type="dxa"/>
              <w:left w:w="0" w:type="dxa"/>
              <w:bottom w:w="0" w:type="dxa"/>
              <w:right w:w="0" w:type="dxa"/>
            </w:tcMar>
            <w:vAlign w:val="bottom"/>
            <w:hideMark/>
          </w:tcPr>
          <w:p w14:paraId="684C86FB" w14:textId="77777777" w:rsidR="00000000" w:rsidRDefault="001F1B20">
            <w:pPr>
              <w:pStyle w:val="a3"/>
              <w:spacing w:before="0" w:beforeAutospacing="0" w:after="0" w:afterAutospacing="0"/>
              <w:rPr>
                <w:sz w:val="20"/>
                <w:szCs w:val="20"/>
              </w:rPr>
            </w:pPr>
            <w:r>
              <w:rPr>
                <w:sz w:val="16"/>
                <w:szCs w:val="16"/>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14:paraId="5AE34757" w14:textId="77777777" w:rsidR="00000000" w:rsidRDefault="001F1B20">
            <w:pPr>
              <w:pStyle w:val="a3"/>
              <w:spacing w:before="0" w:beforeAutospacing="0" w:after="0" w:afterAutospacing="0"/>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14:paraId="5C34AD9E" w14:textId="77777777" w:rsidR="00000000" w:rsidRDefault="001F1B20">
            <w:pPr>
              <w:pStyle w:val="a3"/>
              <w:spacing w:before="0" w:beforeAutospacing="0" w:after="0" w:afterAutospacing="0"/>
              <w:jc w:val="right"/>
              <w:rPr>
                <w:sz w:val="16"/>
                <w:szCs w:val="16"/>
              </w:rPr>
            </w:pPr>
            <w:r>
              <w:rPr>
                <w:sz w:val="16"/>
                <w:szCs w:val="16"/>
              </w:rPr>
              <w:t>(323,592)</w:t>
            </w:r>
          </w:p>
        </w:tc>
      </w:tr>
      <w:tr w:rsidR="00000000" w14:paraId="18E49B29" w14:textId="77777777">
        <w:trPr>
          <w:divId w:val="1901865854"/>
        </w:trPr>
        <w:tc>
          <w:tcPr>
            <w:tcW w:w="1845" w:type="pct"/>
            <w:tcMar>
              <w:top w:w="0" w:type="dxa"/>
              <w:left w:w="0" w:type="dxa"/>
              <w:bottom w:w="0" w:type="dxa"/>
              <w:right w:w="0" w:type="dxa"/>
            </w:tcMar>
            <w:vAlign w:val="bottom"/>
            <w:hideMark/>
          </w:tcPr>
          <w:p w14:paraId="44032196"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72C41BF"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07E31674" w14:textId="77777777" w:rsidR="00000000" w:rsidRDefault="001F1B20">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2DE1205B"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0A31016" w14:textId="77777777" w:rsidR="00000000" w:rsidRDefault="001F1B20">
            <w:pPr>
              <w:pStyle w:val="a3"/>
              <w:spacing w:before="0" w:beforeAutospacing="0" w:after="0" w:afterAutospacing="0"/>
              <w:jc w:val="center"/>
              <w:rPr>
                <w:sz w:val="20"/>
                <w:szCs w:val="20"/>
              </w:rPr>
            </w:pPr>
            <w:r>
              <w:rPr>
                <w:sz w:val="16"/>
                <w:szCs w:val="16"/>
              </w:rPr>
              <w:t>​</w:t>
            </w:r>
          </w:p>
        </w:tc>
        <w:tc>
          <w:tcPr>
            <w:tcW w:w="343" w:type="pct"/>
            <w:noWrap/>
            <w:tcMar>
              <w:top w:w="0" w:type="dxa"/>
              <w:left w:w="0" w:type="dxa"/>
              <w:bottom w:w="0" w:type="dxa"/>
              <w:right w:w="0" w:type="dxa"/>
            </w:tcMar>
            <w:vAlign w:val="bottom"/>
            <w:hideMark/>
          </w:tcPr>
          <w:p w14:paraId="7AACEB57"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56CD5028"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1D88E992" w14:textId="77777777" w:rsidR="00000000" w:rsidRDefault="001F1B20">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2875541E"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3828C0B7"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0E7600B4" w14:textId="77777777" w:rsidR="00000000" w:rsidRDefault="001F1B20">
            <w:pPr>
              <w:pStyle w:val="a3"/>
              <w:spacing w:before="0" w:beforeAutospacing="0" w:after="0"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14:paraId="6005B329"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55B70775"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69A5EBFE" w14:textId="77777777" w:rsidR="00000000" w:rsidRDefault="001F1B20">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1D5B5CF9"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550A6CEF"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0C01FAAC" w14:textId="77777777" w:rsidR="00000000" w:rsidRDefault="001F1B20">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42FA56E6" w14:textId="77777777" w:rsidR="00000000" w:rsidRDefault="001F1B20">
            <w:pPr>
              <w:pStyle w:val="a3"/>
              <w:spacing w:before="0" w:beforeAutospacing="0" w:after="0" w:afterAutospacing="0"/>
              <w:jc w:val="right"/>
              <w:rPr>
                <w:sz w:val="20"/>
                <w:szCs w:val="20"/>
              </w:rPr>
            </w:pPr>
            <w:r>
              <w:rPr>
                <w:sz w:val="16"/>
                <w:szCs w:val="16"/>
              </w:rPr>
              <w:t>​</w:t>
            </w:r>
          </w:p>
        </w:tc>
      </w:tr>
      <w:tr w:rsidR="00000000" w14:paraId="4A9E9578" w14:textId="77777777">
        <w:trPr>
          <w:divId w:val="1901865854"/>
        </w:trPr>
        <w:tc>
          <w:tcPr>
            <w:tcW w:w="1845" w:type="pct"/>
            <w:noWrap/>
            <w:tcMar>
              <w:top w:w="0" w:type="dxa"/>
              <w:left w:w="0" w:type="dxa"/>
              <w:bottom w:w="0" w:type="dxa"/>
              <w:right w:w="0" w:type="dxa"/>
            </w:tcMar>
            <w:vAlign w:val="bottom"/>
            <w:hideMark/>
          </w:tcPr>
          <w:p w14:paraId="15213310" w14:textId="77777777" w:rsidR="00000000" w:rsidRDefault="001F1B20">
            <w:pPr>
              <w:pStyle w:val="a3"/>
              <w:spacing w:before="0" w:beforeAutospacing="0" w:after="0" w:afterAutospacing="0"/>
              <w:rPr>
                <w:sz w:val="20"/>
                <w:szCs w:val="20"/>
              </w:rPr>
            </w:pPr>
            <w:r>
              <w:rPr>
                <w:b/>
                <w:bCs/>
                <w:color w:val="0563C1"/>
                <w:sz w:val="16"/>
                <w:szCs w:val="16"/>
                <w:u w:val="single"/>
              </w:rPr>
              <w:t>​</w:t>
            </w:r>
          </w:p>
        </w:tc>
        <w:tc>
          <w:tcPr>
            <w:tcW w:w="76" w:type="pct"/>
            <w:noWrap/>
            <w:tcMar>
              <w:top w:w="0" w:type="dxa"/>
              <w:left w:w="0" w:type="dxa"/>
              <w:bottom w:w="0" w:type="dxa"/>
              <w:right w:w="0" w:type="dxa"/>
            </w:tcMar>
            <w:vAlign w:val="bottom"/>
            <w:hideMark/>
          </w:tcPr>
          <w:p w14:paraId="35B0A502"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54B72068"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10631817"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49FE9D2" w14:textId="77777777" w:rsidR="00000000" w:rsidRDefault="001F1B20">
            <w:pPr>
              <w:pStyle w:val="a3"/>
              <w:spacing w:before="0" w:beforeAutospacing="0" w:after="0" w:afterAutospacing="0"/>
              <w:jc w:val="center"/>
              <w:rPr>
                <w:sz w:val="20"/>
                <w:szCs w:val="20"/>
              </w:rPr>
            </w:pPr>
            <w:r>
              <w:rPr>
                <w:sz w:val="16"/>
                <w:szCs w:val="16"/>
              </w:rPr>
              <w:t>​</w:t>
            </w:r>
          </w:p>
        </w:tc>
        <w:tc>
          <w:tcPr>
            <w:tcW w:w="343" w:type="pct"/>
            <w:noWrap/>
            <w:tcMar>
              <w:top w:w="0" w:type="dxa"/>
              <w:left w:w="0" w:type="dxa"/>
              <w:bottom w:w="0" w:type="dxa"/>
              <w:right w:w="0" w:type="dxa"/>
            </w:tcMar>
            <w:vAlign w:val="bottom"/>
            <w:hideMark/>
          </w:tcPr>
          <w:p w14:paraId="45D9F15C"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550D289E"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74DC1933" w14:textId="77777777" w:rsidR="00000000" w:rsidRDefault="001F1B20">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3ABFB7A2"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67F4904D" w14:textId="77777777" w:rsidR="00000000" w:rsidRDefault="001F1B20">
            <w:pPr>
              <w:pStyle w:val="a3"/>
              <w:spacing w:before="0" w:beforeAutospacing="0" w:after="0" w:afterAutospacing="0"/>
              <w:rPr>
                <w:sz w:val="20"/>
                <w:szCs w:val="20"/>
              </w:rPr>
            </w:pPr>
            <w:r>
              <w:rPr>
                <w:sz w:val="16"/>
                <w:szCs w:val="16"/>
              </w:rPr>
              <w:t>​</w:t>
            </w:r>
          </w:p>
        </w:tc>
        <w:tc>
          <w:tcPr>
            <w:tcW w:w="529" w:type="pct"/>
            <w:gridSpan w:val="2"/>
            <w:noWrap/>
            <w:tcMar>
              <w:top w:w="0" w:type="dxa"/>
              <w:left w:w="0" w:type="dxa"/>
              <w:bottom w:w="0" w:type="dxa"/>
              <w:right w:w="0" w:type="dxa"/>
            </w:tcMar>
            <w:vAlign w:val="bottom"/>
            <w:hideMark/>
          </w:tcPr>
          <w:p w14:paraId="2C50BAA2" w14:textId="77777777" w:rsidR="00000000" w:rsidRDefault="001F1B20">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14:paraId="30149878" w14:textId="77777777" w:rsidR="00000000" w:rsidRDefault="001F1B2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2129EF3D" w14:textId="77777777" w:rsidR="00000000" w:rsidRDefault="001F1B20">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60CBC11D"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03BC5A18"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6BD8F50D" w14:textId="77777777" w:rsidR="00000000" w:rsidRDefault="001F1B20">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7D3DE59C" w14:textId="77777777" w:rsidR="00000000" w:rsidRDefault="001F1B20">
            <w:pPr>
              <w:pStyle w:val="a3"/>
              <w:spacing w:before="0" w:beforeAutospacing="0" w:after="0" w:afterAutospacing="0"/>
              <w:rPr>
                <w:sz w:val="20"/>
                <w:szCs w:val="20"/>
              </w:rPr>
            </w:pPr>
            <w:r>
              <w:rPr>
                <w:sz w:val="16"/>
                <w:szCs w:val="16"/>
              </w:rPr>
              <w:t>​</w:t>
            </w:r>
          </w:p>
        </w:tc>
      </w:tr>
      <w:tr w:rsidR="00000000" w14:paraId="50D3A57A" w14:textId="77777777">
        <w:trPr>
          <w:divId w:val="1901865854"/>
        </w:trPr>
        <w:tc>
          <w:tcPr>
            <w:tcW w:w="1845" w:type="pct"/>
            <w:tcMar>
              <w:top w:w="0" w:type="dxa"/>
              <w:left w:w="0" w:type="dxa"/>
              <w:bottom w:w="0" w:type="dxa"/>
              <w:right w:w="0" w:type="dxa"/>
            </w:tcMar>
            <w:vAlign w:val="bottom"/>
            <w:hideMark/>
          </w:tcPr>
          <w:p w14:paraId="40D909EA"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615E305F" w14:textId="77777777" w:rsidR="00000000" w:rsidRDefault="001F1B20">
            <w:pPr>
              <w:pStyle w:val="a3"/>
              <w:spacing w:before="0" w:beforeAutospacing="0" w:after="0" w:afterAutospacing="0"/>
              <w:rPr>
                <w:sz w:val="20"/>
                <w:szCs w:val="20"/>
              </w:rPr>
            </w:pPr>
            <w:r>
              <w:rPr>
                <w:b/>
                <w:bCs/>
                <w:sz w:val="16"/>
                <w:szCs w:val="16"/>
              </w:rPr>
              <w:t>​</w:t>
            </w:r>
          </w:p>
        </w:tc>
        <w:tc>
          <w:tcPr>
            <w:tcW w:w="343" w:type="pct"/>
            <w:tcMar>
              <w:top w:w="0" w:type="dxa"/>
              <w:left w:w="0" w:type="dxa"/>
              <w:bottom w:w="0" w:type="dxa"/>
              <w:right w:w="0" w:type="dxa"/>
            </w:tcMar>
            <w:vAlign w:val="bottom"/>
            <w:hideMark/>
          </w:tcPr>
          <w:p w14:paraId="75728898"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45EF387D"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0556E443" w14:textId="77777777" w:rsidR="00000000" w:rsidRDefault="001F1B20">
            <w:pPr>
              <w:pStyle w:val="a3"/>
              <w:spacing w:before="0" w:beforeAutospacing="0" w:after="0" w:afterAutospacing="0"/>
              <w:jc w:val="center"/>
              <w:rPr>
                <w:sz w:val="20"/>
                <w:szCs w:val="20"/>
              </w:rPr>
            </w:pPr>
            <w:r>
              <w:rPr>
                <w:b/>
                <w:bCs/>
                <w:sz w:val="16"/>
                <w:szCs w:val="16"/>
              </w:rPr>
              <w:t>​</w:t>
            </w:r>
          </w:p>
        </w:tc>
        <w:tc>
          <w:tcPr>
            <w:tcW w:w="343" w:type="pct"/>
            <w:tcMar>
              <w:top w:w="0" w:type="dxa"/>
              <w:left w:w="0" w:type="dxa"/>
              <w:bottom w:w="0" w:type="dxa"/>
              <w:right w:w="0" w:type="dxa"/>
            </w:tcMar>
            <w:vAlign w:val="bottom"/>
            <w:hideMark/>
          </w:tcPr>
          <w:p w14:paraId="717F9170" w14:textId="77777777" w:rsidR="00000000" w:rsidRDefault="001F1B20">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14:paraId="45FB713F" w14:textId="77777777" w:rsidR="00000000" w:rsidRDefault="001F1B20">
            <w:pPr>
              <w:pStyle w:val="a3"/>
              <w:spacing w:before="0" w:beforeAutospacing="0" w:after="0" w:afterAutospacing="0"/>
              <w:rPr>
                <w:sz w:val="20"/>
                <w:szCs w:val="20"/>
              </w:rPr>
            </w:pPr>
            <w:r>
              <w:rPr>
                <w:b/>
                <w:bCs/>
                <w:sz w:val="16"/>
                <w:szCs w:val="16"/>
              </w:rPr>
              <w:t>​</w:t>
            </w:r>
          </w:p>
        </w:tc>
        <w:tc>
          <w:tcPr>
            <w:tcW w:w="444" w:type="pct"/>
            <w:gridSpan w:val="2"/>
            <w:noWrap/>
            <w:tcMar>
              <w:top w:w="0" w:type="dxa"/>
              <w:left w:w="0" w:type="dxa"/>
              <w:bottom w:w="0" w:type="dxa"/>
              <w:right w:w="0" w:type="dxa"/>
            </w:tcMar>
            <w:vAlign w:val="bottom"/>
            <w:hideMark/>
          </w:tcPr>
          <w:p w14:paraId="5A344598" w14:textId="77777777" w:rsidR="00000000" w:rsidRDefault="001F1B20">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14:paraId="225EAB8B" w14:textId="77777777" w:rsidR="00000000" w:rsidRDefault="001F1B20">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14:paraId="24E7A660" w14:textId="77777777" w:rsidR="00000000" w:rsidRDefault="001F1B20">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14:paraId="65E67129" w14:textId="77777777" w:rsidR="00000000" w:rsidRDefault="001F1B20">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14:paraId="54902C40" w14:textId="77777777" w:rsidR="00000000" w:rsidRDefault="001F1B20">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14:paraId="39FE84D8" w14:textId="77777777" w:rsidR="00000000" w:rsidRDefault="001F1B20">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14:paraId="743B1407" w14:textId="77777777" w:rsidR="00000000" w:rsidRDefault="001F1B20">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197C4E46" w14:textId="77777777" w:rsidR="00000000" w:rsidRDefault="001F1B20">
            <w:pPr>
              <w:pStyle w:val="a3"/>
              <w:spacing w:before="0" w:beforeAutospacing="0" w:after="0" w:afterAutospacing="0"/>
              <w:jc w:val="center"/>
              <w:rPr>
                <w:sz w:val="16"/>
                <w:szCs w:val="16"/>
              </w:rPr>
            </w:pPr>
            <w:r>
              <w:rPr>
                <w:b/>
                <w:bCs/>
                <w:sz w:val="16"/>
                <w:szCs w:val="16"/>
              </w:rPr>
              <w:t>Total</w:t>
            </w:r>
          </w:p>
        </w:tc>
      </w:tr>
      <w:tr w:rsidR="00000000" w14:paraId="75E9AA62" w14:textId="77777777">
        <w:trPr>
          <w:divId w:val="1901865854"/>
        </w:trPr>
        <w:tc>
          <w:tcPr>
            <w:tcW w:w="1845" w:type="pct"/>
            <w:tcMar>
              <w:top w:w="0" w:type="dxa"/>
              <w:left w:w="0" w:type="dxa"/>
              <w:bottom w:w="0" w:type="dxa"/>
              <w:right w:w="0" w:type="dxa"/>
            </w:tcMar>
            <w:vAlign w:val="bottom"/>
            <w:hideMark/>
          </w:tcPr>
          <w:p w14:paraId="62800F30"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65D3846B" w14:textId="77777777" w:rsidR="00000000" w:rsidRDefault="001F1B20">
            <w:pPr>
              <w:pStyle w:val="a3"/>
              <w:spacing w:before="0" w:beforeAutospacing="0" w:after="0" w:afterAutospacing="0"/>
              <w:rPr>
                <w:sz w:val="20"/>
                <w:szCs w:val="20"/>
              </w:rPr>
            </w:pPr>
            <w:r>
              <w:rPr>
                <w:b/>
                <w:bCs/>
                <w:sz w:val="16"/>
                <w:szCs w:val="16"/>
              </w:rPr>
              <w:t>​</w:t>
            </w:r>
          </w:p>
        </w:tc>
        <w:tc>
          <w:tcPr>
            <w:tcW w:w="840" w:type="pct"/>
            <w:gridSpan w:val="4"/>
            <w:tcBorders>
              <w:bottom w:val="single" w:sz="6" w:space="0" w:color="000000"/>
            </w:tcBorders>
            <w:noWrap/>
            <w:tcMar>
              <w:top w:w="0" w:type="dxa"/>
              <w:left w:w="0" w:type="dxa"/>
              <w:bottom w:w="0" w:type="dxa"/>
              <w:right w:w="0" w:type="dxa"/>
            </w:tcMar>
            <w:vAlign w:val="bottom"/>
            <w:hideMark/>
          </w:tcPr>
          <w:p w14:paraId="7E8BF0DB" w14:textId="77777777" w:rsidR="00000000" w:rsidRDefault="001F1B20">
            <w:pPr>
              <w:pStyle w:val="a3"/>
              <w:spacing w:before="0" w:beforeAutospacing="0" w:after="0" w:afterAutospacing="0"/>
              <w:jc w:val="center"/>
              <w:rPr>
                <w:sz w:val="16"/>
                <w:szCs w:val="16"/>
              </w:rPr>
            </w:pPr>
            <w:r>
              <w:rPr>
                <w:b/>
                <w:bCs/>
                <w:sz w:val="16"/>
                <w:szCs w:val="16"/>
              </w:rPr>
              <w:t>Ordinary Shares</w:t>
            </w:r>
          </w:p>
        </w:tc>
        <w:tc>
          <w:tcPr>
            <w:tcW w:w="77" w:type="pct"/>
            <w:tcMar>
              <w:top w:w="0" w:type="dxa"/>
              <w:left w:w="0" w:type="dxa"/>
              <w:bottom w:w="0" w:type="dxa"/>
              <w:right w:w="0" w:type="dxa"/>
            </w:tcMar>
            <w:vAlign w:val="bottom"/>
            <w:hideMark/>
          </w:tcPr>
          <w:p w14:paraId="59A408A7" w14:textId="77777777" w:rsidR="00000000" w:rsidRDefault="001F1B20">
            <w:pPr>
              <w:pStyle w:val="a3"/>
              <w:spacing w:before="0" w:beforeAutospacing="0" w:after="0" w:afterAutospacing="0"/>
              <w:rPr>
                <w:sz w:val="20"/>
                <w:szCs w:val="20"/>
              </w:rPr>
            </w:pPr>
            <w:r>
              <w:rPr>
                <w:b/>
                <w:bCs/>
                <w:sz w:val="16"/>
                <w:szCs w:val="16"/>
              </w:rPr>
              <w:t>​</w:t>
            </w:r>
          </w:p>
        </w:tc>
        <w:tc>
          <w:tcPr>
            <w:tcW w:w="444" w:type="pct"/>
            <w:gridSpan w:val="2"/>
            <w:noWrap/>
            <w:tcMar>
              <w:top w:w="0" w:type="dxa"/>
              <w:left w:w="0" w:type="dxa"/>
              <w:bottom w:w="0" w:type="dxa"/>
              <w:right w:w="0" w:type="dxa"/>
            </w:tcMar>
            <w:vAlign w:val="bottom"/>
            <w:hideMark/>
          </w:tcPr>
          <w:p w14:paraId="04ECDBB1" w14:textId="77777777" w:rsidR="00000000" w:rsidRDefault="001F1B20">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14:paraId="0DB4D3CB" w14:textId="77777777" w:rsidR="00000000" w:rsidRDefault="001F1B20">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14:paraId="6D2DD8F4" w14:textId="77777777" w:rsidR="00000000" w:rsidRDefault="001F1B20">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14:paraId="12E8EA0D" w14:textId="77777777" w:rsidR="00000000" w:rsidRDefault="001F1B20">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14:paraId="0C67AD4C" w14:textId="77777777" w:rsidR="00000000" w:rsidRDefault="001F1B20">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14:paraId="006FF569" w14:textId="77777777" w:rsidR="00000000" w:rsidRDefault="001F1B20">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6226647B" w14:textId="77777777" w:rsidR="00000000" w:rsidRDefault="001F1B20">
            <w:pPr>
              <w:pStyle w:val="a3"/>
              <w:spacing w:before="0" w:beforeAutospacing="0" w:after="0" w:afterAutospacing="0"/>
              <w:jc w:val="center"/>
              <w:rPr>
                <w:sz w:val="16"/>
                <w:szCs w:val="16"/>
              </w:rPr>
            </w:pPr>
            <w:r>
              <w:rPr>
                <w:b/>
                <w:bCs/>
                <w:sz w:val="16"/>
                <w:szCs w:val="16"/>
              </w:rPr>
              <w:t>Shareholders'</w:t>
            </w:r>
          </w:p>
        </w:tc>
      </w:tr>
      <w:tr w:rsidR="00000000" w14:paraId="7CBB1C94" w14:textId="77777777">
        <w:trPr>
          <w:divId w:val="1901865854"/>
        </w:trPr>
        <w:tc>
          <w:tcPr>
            <w:tcW w:w="1845" w:type="pct"/>
            <w:tcMar>
              <w:top w:w="0" w:type="dxa"/>
              <w:left w:w="0" w:type="dxa"/>
              <w:bottom w:w="0" w:type="dxa"/>
              <w:right w:w="0" w:type="dxa"/>
            </w:tcMar>
            <w:vAlign w:val="bottom"/>
            <w:hideMark/>
          </w:tcPr>
          <w:p w14:paraId="203A65E4"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14:paraId="7B63B211" w14:textId="77777777" w:rsidR="00000000" w:rsidRDefault="001F1B20">
            <w:pPr>
              <w:pStyle w:val="a3"/>
              <w:spacing w:before="0" w:beforeAutospacing="0" w:after="0" w:afterAutospacing="0"/>
              <w:rPr>
                <w:sz w:val="16"/>
                <w:szCs w:val="16"/>
              </w:rPr>
            </w:pPr>
            <w:r>
              <w:rPr>
                <w:sz w:val="16"/>
                <w:szCs w:val="16"/>
              </w:rPr>
              <w:t>   </w:t>
            </w:r>
          </w:p>
        </w:tc>
        <w:tc>
          <w:tcPr>
            <w:tcW w:w="343" w:type="pct"/>
            <w:tcBorders>
              <w:bottom w:val="single" w:sz="6" w:space="0" w:color="000000"/>
            </w:tcBorders>
            <w:noWrap/>
            <w:tcMar>
              <w:top w:w="0" w:type="dxa"/>
              <w:left w:w="0" w:type="dxa"/>
              <w:bottom w:w="0" w:type="dxa"/>
              <w:right w:w="0" w:type="dxa"/>
            </w:tcMar>
            <w:vAlign w:val="bottom"/>
            <w:hideMark/>
          </w:tcPr>
          <w:p w14:paraId="3AB33900" w14:textId="77777777" w:rsidR="00000000" w:rsidRDefault="001F1B20">
            <w:pPr>
              <w:pStyle w:val="a3"/>
              <w:spacing w:before="0" w:beforeAutospacing="0" w:after="0" w:afterAutospacing="0"/>
              <w:jc w:val="center"/>
              <w:rPr>
                <w:sz w:val="16"/>
                <w:szCs w:val="16"/>
              </w:rPr>
            </w:pPr>
            <w:r>
              <w:rPr>
                <w:b/>
                <w:bCs/>
                <w:sz w:val="16"/>
                <w:szCs w:val="16"/>
              </w:rPr>
              <w:t>Shares</w:t>
            </w:r>
          </w:p>
        </w:tc>
        <w:tc>
          <w:tcPr>
            <w:tcW w:w="76" w:type="pct"/>
            <w:noWrap/>
            <w:tcMar>
              <w:top w:w="0" w:type="dxa"/>
              <w:left w:w="0" w:type="dxa"/>
              <w:bottom w:w="0" w:type="dxa"/>
              <w:right w:w="0" w:type="dxa"/>
            </w:tcMar>
            <w:vAlign w:val="bottom"/>
            <w:hideMark/>
          </w:tcPr>
          <w:p w14:paraId="089E948A" w14:textId="77777777" w:rsidR="00000000" w:rsidRDefault="001F1B20">
            <w:pPr>
              <w:pStyle w:val="a3"/>
              <w:spacing w:before="0" w:beforeAutospacing="0" w:after="0" w:afterAutospacing="0"/>
              <w:rPr>
                <w:sz w:val="16"/>
                <w:szCs w:val="16"/>
              </w:rPr>
            </w:pPr>
            <w:r>
              <w:rPr>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14:paraId="46B515F3" w14:textId="77777777" w:rsidR="00000000" w:rsidRDefault="001F1B20">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14:paraId="2C17DE60" w14:textId="77777777" w:rsidR="00000000" w:rsidRDefault="001F1B20">
            <w:pPr>
              <w:pStyle w:val="a3"/>
              <w:spacing w:before="0" w:beforeAutospacing="0" w:after="0" w:afterAutospacing="0"/>
              <w:rPr>
                <w:sz w:val="16"/>
                <w:szCs w:val="16"/>
              </w:rPr>
            </w:pPr>
            <w:r>
              <w:rPr>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14:paraId="2ABACD36" w14:textId="77777777" w:rsidR="00000000" w:rsidRDefault="001F1B20">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14:paraId="5B5F5D44" w14:textId="77777777" w:rsidR="00000000" w:rsidRDefault="001F1B20">
            <w:pPr>
              <w:pStyle w:val="a3"/>
              <w:spacing w:before="0" w:beforeAutospacing="0" w:after="0" w:afterAutospacing="0"/>
              <w:rPr>
                <w:sz w:val="16"/>
                <w:szCs w:val="16"/>
              </w:rPr>
            </w:pPr>
            <w:r>
              <w:rPr>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14:paraId="7489F2EF" w14:textId="77777777" w:rsidR="00000000" w:rsidRDefault="001F1B20">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14:paraId="6B39B6FA" w14:textId="77777777" w:rsidR="00000000" w:rsidRDefault="001F1B20">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14:paraId="202D9447" w14:textId="77777777" w:rsidR="00000000" w:rsidRDefault="001F1B20">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14:paraId="0F9E1A39" w14:textId="77777777" w:rsidR="00000000" w:rsidRDefault="001F1B20">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14:paraId="3F60B98D" w14:textId="77777777" w:rsidR="00000000" w:rsidRDefault="001F1B20">
            <w:pPr>
              <w:pStyle w:val="a3"/>
              <w:spacing w:before="0" w:beforeAutospacing="0" w:after="0" w:afterAutospacing="0"/>
              <w:jc w:val="center"/>
              <w:rPr>
                <w:sz w:val="16"/>
                <w:szCs w:val="16"/>
              </w:rPr>
            </w:pPr>
            <w:r>
              <w:rPr>
                <w:b/>
                <w:bCs/>
                <w:sz w:val="16"/>
                <w:szCs w:val="16"/>
              </w:rPr>
              <w:t>Deficit</w:t>
            </w:r>
          </w:p>
        </w:tc>
      </w:tr>
      <w:tr w:rsidR="00000000" w14:paraId="0D38F7F7" w14:textId="77777777">
        <w:trPr>
          <w:divId w:val="1901865854"/>
        </w:trPr>
        <w:tc>
          <w:tcPr>
            <w:tcW w:w="1845" w:type="pct"/>
            <w:shd w:val="clear" w:color="auto" w:fill="CCEEFF"/>
            <w:tcMar>
              <w:top w:w="0" w:type="dxa"/>
              <w:left w:w="0" w:type="dxa"/>
              <w:bottom w:w="0" w:type="dxa"/>
              <w:right w:w="0" w:type="dxa"/>
            </w:tcMar>
            <w:vAlign w:val="bottom"/>
            <w:hideMark/>
          </w:tcPr>
          <w:p w14:paraId="3144491C" w14:textId="77777777" w:rsidR="00000000" w:rsidRDefault="001F1B20">
            <w:pPr>
              <w:pStyle w:val="a3"/>
              <w:spacing w:before="0" w:beforeAutospacing="0" w:after="0" w:afterAutospacing="0"/>
              <w:rPr>
                <w:sz w:val="16"/>
                <w:szCs w:val="16"/>
              </w:rPr>
            </w:pPr>
            <w:r>
              <w:rPr>
                <w:sz w:val="16"/>
                <w:szCs w:val="16"/>
              </w:rPr>
              <w:t>Balances at December 31, 2020</w:t>
            </w:r>
          </w:p>
        </w:tc>
        <w:tc>
          <w:tcPr>
            <w:tcW w:w="76" w:type="pct"/>
            <w:shd w:val="clear" w:color="auto" w:fill="CCEEFF"/>
            <w:noWrap/>
            <w:tcMar>
              <w:top w:w="0" w:type="dxa"/>
              <w:left w:w="0" w:type="dxa"/>
              <w:bottom w:w="0" w:type="dxa"/>
              <w:right w:w="0" w:type="dxa"/>
            </w:tcMar>
            <w:vAlign w:val="bottom"/>
            <w:hideMark/>
          </w:tcPr>
          <w:p w14:paraId="23B58E04"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0715F6F0" w14:textId="77777777" w:rsidR="00000000" w:rsidRDefault="001F1B20">
            <w:pPr>
              <w:pStyle w:val="a3"/>
              <w:spacing w:before="0" w:beforeAutospacing="0" w:after="0" w:afterAutospacing="0"/>
              <w:ind w:right="60"/>
              <w:jc w:val="right"/>
              <w:rPr>
                <w:sz w:val="16"/>
                <w:szCs w:val="16"/>
              </w:rPr>
            </w:pPr>
            <w:r>
              <w:rPr>
                <w:sz w:val="16"/>
                <w:szCs w:val="16"/>
              </w:rPr>
              <w:t>64,328</w:t>
            </w:r>
          </w:p>
        </w:tc>
        <w:tc>
          <w:tcPr>
            <w:tcW w:w="76" w:type="pct"/>
            <w:shd w:val="clear" w:color="auto" w:fill="CCEEFF"/>
            <w:noWrap/>
            <w:tcMar>
              <w:top w:w="0" w:type="dxa"/>
              <w:left w:w="0" w:type="dxa"/>
              <w:bottom w:w="0" w:type="dxa"/>
              <w:right w:w="0" w:type="dxa"/>
            </w:tcMar>
            <w:vAlign w:val="bottom"/>
            <w:hideMark/>
          </w:tcPr>
          <w:p w14:paraId="70AF139A"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078FE08D" w14:textId="77777777" w:rsidR="00000000" w:rsidRDefault="001F1B20">
            <w:pPr>
              <w:pStyle w:val="a3"/>
              <w:spacing w:before="0" w:beforeAutospacing="0" w:after="0"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14:paraId="35A64063" w14:textId="77777777" w:rsidR="00000000" w:rsidRDefault="001F1B20">
            <w:pPr>
              <w:pStyle w:val="a3"/>
              <w:spacing w:before="0" w:beforeAutospacing="0" w:after="0" w:afterAutospacing="0"/>
              <w:ind w:right="6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14:paraId="4600F486"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2DB19B5D" w14:textId="77777777" w:rsidR="00000000" w:rsidRDefault="001F1B20">
            <w:pPr>
              <w:pStyle w:val="a3"/>
              <w:spacing w:before="0" w:beforeAutospacing="0" w:after="0" w:afterAutospacing="0"/>
              <w:rPr>
                <w:sz w:val="16"/>
                <w:szCs w:val="16"/>
              </w:rPr>
            </w:pPr>
            <w:r>
              <w:rPr>
                <w:sz w:val="16"/>
                <w:szCs w:val="16"/>
              </w:rPr>
              <w:t>$</w:t>
            </w:r>
          </w:p>
        </w:tc>
        <w:tc>
          <w:tcPr>
            <w:tcW w:w="367" w:type="pct"/>
            <w:shd w:val="clear" w:color="auto" w:fill="CCEEFF"/>
            <w:noWrap/>
            <w:tcMar>
              <w:top w:w="0" w:type="dxa"/>
              <w:left w:w="0" w:type="dxa"/>
              <w:bottom w:w="0" w:type="dxa"/>
              <w:right w:w="0" w:type="dxa"/>
            </w:tcMar>
            <w:vAlign w:val="bottom"/>
            <w:hideMark/>
          </w:tcPr>
          <w:p w14:paraId="11A1FABB" w14:textId="77777777" w:rsidR="00000000" w:rsidRDefault="001F1B20">
            <w:pPr>
              <w:pStyle w:val="a3"/>
              <w:spacing w:before="0" w:beforeAutospacing="0" w:after="0" w:afterAutospacing="0"/>
              <w:ind w:right="60"/>
              <w:jc w:val="right"/>
              <w:rPr>
                <w:sz w:val="16"/>
                <w:szCs w:val="16"/>
              </w:rPr>
            </w:pPr>
            <w:r>
              <w:rPr>
                <w:sz w:val="16"/>
                <w:szCs w:val="16"/>
              </w:rPr>
              <w:t>1,222,818</w:t>
            </w:r>
          </w:p>
        </w:tc>
        <w:tc>
          <w:tcPr>
            <w:tcW w:w="77" w:type="pct"/>
            <w:shd w:val="clear" w:color="auto" w:fill="CCEEFF"/>
            <w:noWrap/>
            <w:tcMar>
              <w:top w:w="0" w:type="dxa"/>
              <w:left w:w="0" w:type="dxa"/>
              <w:bottom w:w="0" w:type="dxa"/>
              <w:right w:w="0" w:type="dxa"/>
            </w:tcMar>
            <w:vAlign w:val="bottom"/>
            <w:hideMark/>
          </w:tcPr>
          <w:p w14:paraId="0E1C9767"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79E8F81F" w14:textId="77777777" w:rsidR="00000000" w:rsidRDefault="001F1B20">
            <w:pPr>
              <w:pStyle w:val="a3"/>
              <w:spacing w:before="0" w:beforeAutospacing="0" w:after="0" w:afterAutospacing="0"/>
              <w:rPr>
                <w:sz w:val="16"/>
                <w:szCs w:val="16"/>
              </w:rPr>
            </w:pPr>
            <w:r>
              <w:rPr>
                <w:sz w:val="16"/>
                <w:szCs w:val="16"/>
              </w:rPr>
              <w:t>$</w:t>
            </w:r>
          </w:p>
        </w:tc>
        <w:tc>
          <w:tcPr>
            <w:tcW w:w="421" w:type="pct"/>
            <w:shd w:val="clear" w:color="auto" w:fill="CCEEFF"/>
            <w:noWrap/>
            <w:tcMar>
              <w:top w:w="0" w:type="dxa"/>
              <w:left w:w="0" w:type="dxa"/>
              <w:bottom w:w="0" w:type="dxa"/>
              <w:right w:w="0" w:type="dxa"/>
            </w:tcMar>
            <w:vAlign w:val="bottom"/>
            <w:hideMark/>
          </w:tcPr>
          <w:p w14:paraId="7983B5D1" w14:textId="77777777" w:rsidR="00000000" w:rsidRDefault="001F1B20">
            <w:pPr>
              <w:pStyle w:val="a3"/>
              <w:spacing w:before="0" w:beforeAutospacing="0" w:after="0" w:afterAutospacing="0"/>
              <w:ind w:right="60"/>
              <w:jc w:val="right"/>
              <w:rPr>
                <w:sz w:val="16"/>
                <w:szCs w:val="16"/>
              </w:rPr>
            </w:pPr>
            <w:r>
              <w:rPr>
                <w:sz w:val="16"/>
                <w:szCs w:val="16"/>
              </w:rPr>
              <w:t>47</w:t>
            </w:r>
          </w:p>
        </w:tc>
        <w:tc>
          <w:tcPr>
            <w:tcW w:w="77" w:type="pct"/>
            <w:shd w:val="clear" w:color="auto" w:fill="CCEEFF"/>
            <w:noWrap/>
            <w:tcMar>
              <w:top w:w="0" w:type="dxa"/>
              <w:left w:w="0" w:type="dxa"/>
              <w:bottom w:w="0" w:type="dxa"/>
              <w:right w:w="0" w:type="dxa"/>
            </w:tcMar>
            <w:vAlign w:val="bottom"/>
            <w:hideMark/>
          </w:tcPr>
          <w:p w14:paraId="4CE31D2B"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3FE2D968" w14:textId="77777777" w:rsidR="00000000" w:rsidRDefault="001F1B20">
            <w:pPr>
              <w:pStyle w:val="a3"/>
              <w:spacing w:before="0" w:beforeAutospacing="0" w:after="0" w:afterAutospacing="0"/>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14:paraId="7CBB3C00" w14:textId="77777777" w:rsidR="00000000" w:rsidRDefault="001F1B20">
            <w:pPr>
              <w:pStyle w:val="a3"/>
              <w:spacing w:before="0" w:beforeAutospacing="0" w:after="0" w:afterAutospacing="0"/>
              <w:jc w:val="right"/>
              <w:rPr>
                <w:sz w:val="16"/>
                <w:szCs w:val="16"/>
              </w:rPr>
            </w:pPr>
            <w:r>
              <w:rPr>
                <w:sz w:val="16"/>
                <w:szCs w:val="16"/>
              </w:rPr>
              <w:t>(1,526,617)</w:t>
            </w:r>
          </w:p>
        </w:tc>
        <w:tc>
          <w:tcPr>
            <w:tcW w:w="77" w:type="pct"/>
            <w:shd w:val="clear" w:color="auto" w:fill="CCEEFF"/>
            <w:noWrap/>
            <w:tcMar>
              <w:top w:w="0" w:type="dxa"/>
              <w:left w:w="0" w:type="dxa"/>
              <w:bottom w:w="0" w:type="dxa"/>
              <w:right w:w="0" w:type="dxa"/>
            </w:tcMar>
            <w:vAlign w:val="bottom"/>
            <w:hideMark/>
          </w:tcPr>
          <w:p w14:paraId="35F9C84F"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4A863F5D" w14:textId="77777777" w:rsidR="00000000" w:rsidRDefault="001F1B20">
            <w:pPr>
              <w:pStyle w:val="a3"/>
              <w:spacing w:before="0" w:beforeAutospacing="0" w:after="0" w:afterAutospacing="0"/>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14:paraId="1B39A343" w14:textId="77777777" w:rsidR="00000000" w:rsidRDefault="001F1B20">
            <w:pPr>
              <w:pStyle w:val="a3"/>
              <w:spacing w:before="0" w:beforeAutospacing="0" w:after="0" w:afterAutospacing="0"/>
              <w:jc w:val="right"/>
              <w:rPr>
                <w:sz w:val="16"/>
                <w:szCs w:val="16"/>
              </w:rPr>
            </w:pPr>
            <w:r>
              <w:rPr>
                <w:sz w:val="16"/>
                <w:szCs w:val="16"/>
              </w:rPr>
              <w:t>(303,751)</w:t>
            </w:r>
          </w:p>
        </w:tc>
      </w:tr>
      <w:tr w:rsidR="00000000" w14:paraId="6D89EE41" w14:textId="77777777">
        <w:trPr>
          <w:divId w:val="1901865854"/>
        </w:trPr>
        <w:tc>
          <w:tcPr>
            <w:tcW w:w="1845" w:type="pct"/>
            <w:tcMar>
              <w:top w:w="0" w:type="dxa"/>
              <w:left w:w="0" w:type="dxa"/>
              <w:bottom w:w="0" w:type="dxa"/>
              <w:right w:w="0" w:type="dxa"/>
            </w:tcMar>
            <w:vAlign w:val="bottom"/>
            <w:hideMark/>
          </w:tcPr>
          <w:p w14:paraId="5D8D822A" w14:textId="77777777" w:rsidR="00000000" w:rsidRDefault="001F1B20">
            <w:pPr>
              <w:pStyle w:val="a3"/>
              <w:spacing w:before="0" w:beforeAutospacing="0" w:after="0" w:afterAutospacing="0"/>
              <w:ind w:left="240"/>
              <w:rPr>
                <w:sz w:val="16"/>
                <w:szCs w:val="16"/>
              </w:rPr>
            </w:pPr>
            <w:r>
              <w:rPr>
                <w:sz w:val="16"/>
                <w:szCs w:val="16"/>
              </w:rPr>
              <w:t>Net proceeds from sale of ordinary shares</w:t>
            </w:r>
          </w:p>
        </w:tc>
        <w:tc>
          <w:tcPr>
            <w:tcW w:w="76" w:type="pct"/>
            <w:noWrap/>
            <w:tcMar>
              <w:top w:w="0" w:type="dxa"/>
              <w:left w:w="0" w:type="dxa"/>
              <w:bottom w:w="0" w:type="dxa"/>
              <w:right w:w="0" w:type="dxa"/>
            </w:tcMar>
            <w:vAlign w:val="bottom"/>
            <w:hideMark/>
          </w:tcPr>
          <w:p w14:paraId="18C77162"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36557433" w14:textId="77777777" w:rsidR="00000000" w:rsidRDefault="001F1B20">
            <w:pPr>
              <w:pStyle w:val="a3"/>
              <w:spacing w:before="0" w:beforeAutospacing="0" w:after="0" w:afterAutospacing="0"/>
              <w:ind w:right="60"/>
              <w:jc w:val="right"/>
              <w:rPr>
                <w:sz w:val="16"/>
                <w:szCs w:val="16"/>
              </w:rPr>
            </w:pPr>
            <w:r>
              <w:rPr>
                <w:sz w:val="16"/>
                <w:szCs w:val="16"/>
              </w:rPr>
              <w:t>7,705</w:t>
            </w:r>
          </w:p>
        </w:tc>
        <w:tc>
          <w:tcPr>
            <w:tcW w:w="76" w:type="pct"/>
            <w:noWrap/>
            <w:tcMar>
              <w:top w:w="0" w:type="dxa"/>
              <w:left w:w="0" w:type="dxa"/>
              <w:bottom w:w="0" w:type="dxa"/>
              <w:right w:w="0" w:type="dxa"/>
            </w:tcMar>
            <w:vAlign w:val="bottom"/>
            <w:hideMark/>
          </w:tcPr>
          <w:p w14:paraId="075799D4"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6B51090"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2B494725"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353B2052"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3853C760" w14:textId="77777777" w:rsidR="00000000" w:rsidRDefault="001F1B20">
            <w:pPr>
              <w:pStyle w:val="a3"/>
              <w:spacing w:before="0" w:beforeAutospacing="0" w:after="0" w:afterAutospacing="0"/>
              <w:rPr>
                <w:sz w:val="20"/>
                <w:szCs w:val="20"/>
              </w:rPr>
            </w:pPr>
            <w:r>
              <w:rPr>
                <w:sz w:val="16"/>
                <w:szCs w:val="16"/>
              </w:rPr>
              <w:t>​</w:t>
            </w:r>
          </w:p>
        </w:tc>
        <w:tc>
          <w:tcPr>
            <w:tcW w:w="367" w:type="pct"/>
            <w:noWrap/>
            <w:tcMar>
              <w:top w:w="0" w:type="dxa"/>
              <w:left w:w="0" w:type="dxa"/>
              <w:bottom w:w="0" w:type="dxa"/>
              <w:right w:w="0" w:type="dxa"/>
            </w:tcMar>
            <w:vAlign w:val="bottom"/>
            <w:hideMark/>
          </w:tcPr>
          <w:p w14:paraId="011482B3" w14:textId="77777777" w:rsidR="00000000" w:rsidRDefault="001F1B20">
            <w:pPr>
              <w:pStyle w:val="a3"/>
              <w:spacing w:before="0" w:beforeAutospacing="0" w:after="0" w:afterAutospacing="0"/>
              <w:ind w:right="60"/>
              <w:jc w:val="right"/>
              <w:rPr>
                <w:sz w:val="16"/>
                <w:szCs w:val="16"/>
              </w:rPr>
            </w:pPr>
            <w:r>
              <w:rPr>
                <w:sz w:val="16"/>
                <w:szCs w:val="16"/>
              </w:rPr>
              <w:t>108,180</w:t>
            </w:r>
          </w:p>
        </w:tc>
        <w:tc>
          <w:tcPr>
            <w:tcW w:w="77" w:type="pct"/>
            <w:noWrap/>
            <w:tcMar>
              <w:top w:w="0" w:type="dxa"/>
              <w:left w:w="0" w:type="dxa"/>
              <w:bottom w:w="0" w:type="dxa"/>
              <w:right w:w="0" w:type="dxa"/>
            </w:tcMar>
            <w:vAlign w:val="bottom"/>
            <w:hideMark/>
          </w:tcPr>
          <w:p w14:paraId="0AE6B1D2"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4F407FE2" w14:textId="77777777" w:rsidR="00000000" w:rsidRDefault="001F1B20">
            <w:pPr>
              <w:pStyle w:val="a3"/>
              <w:spacing w:before="0" w:beforeAutospacing="0" w:after="0"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14:paraId="7876E816"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04B29A91"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52E068D8" w14:textId="77777777" w:rsidR="00000000" w:rsidRDefault="001F1B20">
            <w:pPr>
              <w:pStyle w:val="a3"/>
              <w:spacing w:before="0" w:beforeAutospacing="0" w:after="0" w:afterAutospacing="0"/>
              <w:rPr>
                <w:sz w:val="20"/>
                <w:szCs w:val="20"/>
              </w:rPr>
            </w:pPr>
            <w:r>
              <w:rPr>
                <w:sz w:val="16"/>
                <w:szCs w:val="16"/>
              </w:rPr>
              <w:t>​</w:t>
            </w:r>
          </w:p>
        </w:tc>
        <w:tc>
          <w:tcPr>
            <w:tcW w:w="390" w:type="pct"/>
            <w:noWrap/>
            <w:tcMar>
              <w:top w:w="0" w:type="dxa"/>
              <w:left w:w="0" w:type="dxa"/>
              <w:bottom w:w="0" w:type="dxa"/>
              <w:right w:w="0" w:type="dxa"/>
            </w:tcMar>
            <w:vAlign w:val="bottom"/>
            <w:hideMark/>
          </w:tcPr>
          <w:p w14:paraId="0622FAD8"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06FDD1D1"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5266EBE2" w14:textId="77777777" w:rsidR="00000000" w:rsidRDefault="001F1B20">
            <w:pPr>
              <w:pStyle w:val="a3"/>
              <w:spacing w:before="0" w:beforeAutospacing="0" w:after="0" w:afterAutospacing="0"/>
              <w:rPr>
                <w:sz w:val="20"/>
                <w:szCs w:val="20"/>
              </w:rPr>
            </w:pPr>
            <w:r>
              <w:rPr>
                <w:sz w:val="16"/>
                <w:szCs w:val="16"/>
              </w:rPr>
              <w:t>​</w:t>
            </w:r>
          </w:p>
        </w:tc>
        <w:tc>
          <w:tcPr>
            <w:tcW w:w="375" w:type="pct"/>
            <w:noWrap/>
            <w:tcMar>
              <w:top w:w="0" w:type="dxa"/>
              <w:left w:w="0" w:type="dxa"/>
              <w:bottom w:w="0" w:type="dxa"/>
              <w:right w:w="0" w:type="dxa"/>
            </w:tcMar>
            <w:vAlign w:val="bottom"/>
            <w:hideMark/>
          </w:tcPr>
          <w:p w14:paraId="51741657" w14:textId="77777777" w:rsidR="00000000" w:rsidRDefault="001F1B20">
            <w:pPr>
              <w:pStyle w:val="a3"/>
              <w:spacing w:before="0" w:beforeAutospacing="0" w:after="0" w:afterAutospacing="0"/>
              <w:ind w:right="60"/>
              <w:jc w:val="right"/>
              <w:rPr>
                <w:sz w:val="16"/>
                <w:szCs w:val="16"/>
              </w:rPr>
            </w:pPr>
            <w:r>
              <w:rPr>
                <w:sz w:val="16"/>
                <w:szCs w:val="16"/>
              </w:rPr>
              <w:t>108,180</w:t>
            </w:r>
          </w:p>
        </w:tc>
      </w:tr>
      <w:tr w:rsidR="00000000" w14:paraId="25C7A83A" w14:textId="77777777">
        <w:trPr>
          <w:divId w:val="1901865854"/>
        </w:trPr>
        <w:tc>
          <w:tcPr>
            <w:tcW w:w="1845" w:type="pct"/>
            <w:shd w:val="clear" w:color="auto" w:fill="CCEEFF"/>
            <w:tcMar>
              <w:top w:w="0" w:type="dxa"/>
              <w:left w:w="0" w:type="dxa"/>
              <w:bottom w:w="0" w:type="dxa"/>
              <w:right w:w="0" w:type="dxa"/>
            </w:tcMar>
            <w:vAlign w:val="bottom"/>
            <w:hideMark/>
          </w:tcPr>
          <w:p w14:paraId="5F862DF8" w14:textId="77777777" w:rsidR="00000000" w:rsidRDefault="001F1B20">
            <w:pPr>
              <w:pStyle w:val="a3"/>
              <w:spacing w:before="0" w:beforeAutospacing="0" w:after="0" w:afterAutospacing="0"/>
              <w:ind w:left="240"/>
              <w:rPr>
                <w:sz w:val="16"/>
                <w:szCs w:val="16"/>
              </w:rPr>
            </w:pPr>
            <w:r>
              <w:rPr>
                <w:sz w:val="16"/>
                <w:szCs w:val="16"/>
              </w:rPr>
              <w:t>Proceeds from ESPP purchases</w:t>
            </w:r>
          </w:p>
        </w:tc>
        <w:tc>
          <w:tcPr>
            <w:tcW w:w="76" w:type="pct"/>
            <w:shd w:val="clear" w:color="auto" w:fill="CCEEFF"/>
            <w:noWrap/>
            <w:tcMar>
              <w:top w:w="0" w:type="dxa"/>
              <w:left w:w="0" w:type="dxa"/>
              <w:bottom w:w="0" w:type="dxa"/>
              <w:right w:w="0" w:type="dxa"/>
            </w:tcMar>
            <w:vAlign w:val="bottom"/>
            <w:hideMark/>
          </w:tcPr>
          <w:p w14:paraId="399E74C3"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0EF22560" w14:textId="77777777" w:rsidR="00000000" w:rsidRDefault="001F1B20">
            <w:pPr>
              <w:pStyle w:val="a3"/>
              <w:spacing w:before="0" w:beforeAutospacing="0" w:after="0" w:afterAutospacing="0"/>
              <w:ind w:right="60"/>
              <w:jc w:val="right"/>
              <w:rPr>
                <w:sz w:val="16"/>
                <w:szCs w:val="16"/>
              </w:rPr>
            </w:pPr>
            <w:r>
              <w:rPr>
                <w:sz w:val="16"/>
                <w:szCs w:val="16"/>
              </w:rPr>
              <w:t>188</w:t>
            </w:r>
          </w:p>
        </w:tc>
        <w:tc>
          <w:tcPr>
            <w:tcW w:w="76" w:type="pct"/>
            <w:shd w:val="clear" w:color="auto" w:fill="CCEEFF"/>
            <w:noWrap/>
            <w:tcMar>
              <w:top w:w="0" w:type="dxa"/>
              <w:left w:w="0" w:type="dxa"/>
              <w:bottom w:w="0" w:type="dxa"/>
              <w:right w:w="0" w:type="dxa"/>
            </w:tcMar>
            <w:vAlign w:val="bottom"/>
            <w:hideMark/>
          </w:tcPr>
          <w:p w14:paraId="7A9080C1"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14A864C0"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1B2DDE50"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49B65E41"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744AD07B" w14:textId="77777777" w:rsidR="00000000" w:rsidRDefault="001F1B20">
            <w:pPr>
              <w:pStyle w:val="a3"/>
              <w:spacing w:before="0" w:beforeAutospacing="0" w:after="0" w:afterAutospacing="0"/>
              <w:rPr>
                <w:sz w:val="20"/>
                <w:szCs w:val="20"/>
              </w:rPr>
            </w:pPr>
            <w:r>
              <w:rPr>
                <w:sz w:val="16"/>
                <w:szCs w:val="16"/>
              </w:rPr>
              <w:t>​</w:t>
            </w:r>
          </w:p>
        </w:tc>
        <w:tc>
          <w:tcPr>
            <w:tcW w:w="367" w:type="pct"/>
            <w:shd w:val="clear" w:color="auto" w:fill="CCEEFF"/>
            <w:noWrap/>
            <w:tcMar>
              <w:top w:w="0" w:type="dxa"/>
              <w:left w:w="0" w:type="dxa"/>
              <w:bottom w:w="0" w:type="dxa"/>
              <w:right w:w="0" w:type="dxa"/>
            </w:tcMar>
            <w:vAlign w:val="bottom"/>
            <w:hideMark/>
          </w:tcPr>
          <w:p w14:paraId="752CFBF6" w14:textId="77777777" w:rsidR="00000000" w:rsidRDefault="001F1B20">
            <w:pPr>
              <w:pStyle w:val="a3"/>
              <w:spacing w:before="0" w:beforeAutospacing="0" w:after="0" w:afterAutospacing="0"/>
              <w:ind w:right="60"/>
              <w:jc w:val="right"/>
              <w:rPr>
                <w:sz w:val="16"/>
                <w:szCs w:val="16"/>
              </w:rPr>
            </w:pPr>
            <w:r>
              <w:rPr>
                <w:sz w:val="16"/>
                <w:szCs w:val="16"/>
              </w:rPr>
              <w:t>2,862</w:t>
            </w:r>
          </w:p>
        </w:tc>
        <w:tc>
          <w:tcPr>
            <w:tcW w:w="77" w:type="pct"/>
            <w:shd w:val="clear" w:color="auto" w:fill="CCEEFF"/>
            <w:noWrap/>
            <w:tcMar>
              <w:top w:w="0" w:type="dxa"/>
              <w:left w:w="0" w:type="dxa"/>
              <w:bottom w:w="0" w:type="dxa"/>
              <w:right w:w="0" w:type="dxa"/>
            </w:tcMar>
            <w:vAlign w:val="bottom"/>
            <w:hideMark/>
          </w:tcPr>
          <w:p w14:paraId="59CB012E"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5BF92271" w14:textId="77777777" w:rsidR="00000000" w:rsidRDefault="001F1B20">
            <w:pPr>
              <w:pStyle w:val="a3"/>
              <w:spacing w:before="0" w:beforeAutospacing="0" w:after="0" w:afterAutospacing="0"/>
              <w:rPr>
                <w:sz w:val="20"/>
                <w:szCs w:val="20"/>
              </w:rPr>
            </w:pPr>
            <w:r>
              <w:rPr>
                <w:sz w:val="16"/>
                <w:szCs w:val="16"/>
              </w:rPr>
              <w:t>​</w:t>
            </w:r>
          </w:p>
        </w:tc>
        <w:tc>
          <w:tcPr>
            <w:tcW w:w="421" w:type="pct"/>
            <w:shd w:val="clear" w:color="auto" w:fill="CCEEFF"/>
            <w:noWrap/>
            <w:tcMar>
              <w:top w:w="0" w:type="dxa"/>
              <w:left w:w="0" w:type="dxa"/>
              <w:bottom w:w="0" w:type="dxa"/>
              <w:right w:w="0" w:type="dxa"/>
            </w:tcMar>
            <w:vAlign w:val="bottom"/>
            <w:hideMark/>
          </w:tcPr>
          <w:p w14:paraId="7FAB35FE"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66435585"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4034C015" w14:textId="77777777" w:rsidR="00000000" w:rsidRDefault="001F1B20">
            <w:pPr>
              <w:pStyle w:val="a3"/>
              <w:spacing w:before="0" w:beforeAutospacing="0" w:after="0" w:afterAutospacing="0"/>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14:paraId="42B9CDA1"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6D1277D2"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788BA76D" w14:textId="77777777" w:rsidR="00000000" w:rsidRDefault="001F1B20">
            <w:pPr>
              <w:pStyle w:val="a3"/>
              <w:spacing w:before="0" w:beforeAutospacing="0" w:after="0" w:afterAutospacing="0"/>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14:paraId="20A2EF6B" w14:textId="77777777" w:rsidR="00000000" w:rsidRDefault="001F1B20">
            <w:pPr>
              <w:pStyle w:val="a3"/>
              <w:spacing w:before="0" w:beforeAutospacing="0" w:after="0" w:afterAutospacing="0"/>
              <w:ind w:right="60"/>
              <w:jc w:val="right"/>
              <w:rPr>
                <w:sz w:val="16"/>
                <w:szCs w:val="16"/>
              </w:rPr>
            </w:pPr>
            <w:r>
              <w:rPr>
                <w:sz w:val="16"/>
                <w:szCs w:val="16"/>
              </w:rPr>
              <w:t>2,862</w:t>
            </w:r>
          </w:p>
        </w:tc>
      </w:tr>
      <w:tr w:rsidR="00000000" w14:paraId="4BA012EE" w14:textId="77777777">
        <w:trPr>
          <w:divId w:val="1901865854"/>
        </w:trPr>
        <w:tc>
          <w:tcPr>
            <w:tcW w:w="1845" w:type="pct"/>
            <w:tcMar>
              <w:top w:w="0" w:type="dxa"/>
              <w:left w:w="0" w:type="dxa"/>
              <w:bottom w:w="0" w:type="dxa"/>
              <w:right w:w="0" w:type="dxa"/>
            </w:tcMar>
            <w:vAlign w:val="bottom"/>
            <w:hideMark/>
          </w:tcPr>
          <w:p w14:paraId="778D7011" w14:textId="77777777" w:rsidR="00000000" w:rsidRDefault="001F1B20">
            <w:pPr>
              <w:pStyle w:val="a3"/>
              <w:spacing w:before="0" w:beforeAutospacing="0" w:after="0" w:afterAutospacing="0"/>
              <w:ind w:left="240"/>
              <w:rPr>
                <w:sz w:val="16"/>
                <w:szCs w:val="16"/>
              </w:rPr>
            </w:pPr>
            <w:r>
              <w:rPr>
                <w:sz w:val="16"/>
                <w:szCs w:val="16"/>
              </w:rPr>
              <w:t>Employee share-based compensation expense</w:t>
            </w:r>
          </w:p>
        </w:tc>
        <w:tc>
          <w:tcPr>
            <w:tcW w:w="76" w:type="pct"/>
            <w:noWrap/>
            <w:tcMar>
              <w:top w:w="0" w:type="dxa"/>
              <w:left w:w="0" w:type="dxa"/>
              <w:bottom w:w="0" w:type="dxa"/>
              <w:right w:w="0" w:type="dxa"/>
            </w:tcMar>
            <w:vAlign w:val="bottom"/>
            <w:hideMark/>
          </w:tcPr>
          <w:p w14:paraId="08112275"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146393BC"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B2753BC"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EC4353B"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083ADB6C"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5500808C"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0F504B30" w14:textId="77777777" w:rsidR="00000000" w:rsidRDefault="001F1B20">
            <w:pPr>
              <w:pStyle w:val="a3"/>
              <w:spacing w:before="0" w:beforeAutospacing="0" w:after="0" w:afterAutospacing="0"/>
              <w:rPr>
                <w:sz w:val="20"/>
                <w:szCs w:val="20"/>
              </w:rPr>
            </w:pPr>
            <w:r>
              <w:rPr>
                <w:sz w:val="16"/>
                <w:szCs w:val="16"/>
              </w:rPr>
              <w:t>​</w:t>
            </w:r>
          </w:p>
        </w:tc>
        <w:tc>
          <w:tcPr>
            <w:tcW w:w="367" w:type="pct"/>
            <w:noWrap/>
            <w:tcMar>
              <w:top w:w="0" w:type="dxa"/>
              <w:left w:w="0" w:type="dxa"/>
              <w:bottom w:w="0" w:type="dxa"/>
              <w:right w:w="0" w:type="dxa"/>
            </w:tcMar>
            <w:vAlign w:val="bottom"/>
            <w:hideMark/>
          </w:tcPr>
          <w:p w14:paraId="16611920" w14:textId="77777777" w:rsidR="00000000" w:rsidRDefault="001F1B20">
            <w:pPr>
              <w:pStyle w:val="a3"/>
              <w:spacing w:before="0" w:beforeAutospacing="0" w:after="0" w:afterAutospacing="0"/>
              <w:ind w:right="60"/>
              <w:jc w:val="right"/>
              <w:rPr>
                <w:sz w:val="16"/>
                <w:szCs w:val="16"/>
              </w:rPr>
            </w:pPr>
            <w:r>
              <w:rPr>
                <w:sz w:val="16"/>
                <w:szCs w:val="16"/>
              </w:rPr>
              <w:t>45,143</w:t>
            </w:r>
          </w:p>
        </w:tc>
        <w:tc>
          <w:tcPr>
            <w:tcW w:w="77" w:type="pct"/>
            <w:noWrap/>
            <w:tcMar>
              <w:top w:w="0" w:type="dxa"/>
              <w:left w:w="0" w:type="dxa"/>
              <w:bottom w:w="0" w:type="dxa"/>
              <w:right w:w="0" w:type="dxa"/>
            </w:tcMar>
            <w:vAlign w:val="bottom"/>
            <w:hideMark/>
          </w:tcPr>
          <w:p w14:paraId="260DAC4E"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7597F158" w14:textId="77777777" w:rsidR="00000000" w:rsidRDefault="001F1B20">
            <w:pPr>
              <w:pStyle w:val="a3"/>
              <w:spacing w:before="0" w:beforeAutospacing="0" w:after="0"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14:paraId="6112A1F8"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22DCA19B"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05306A1D" w14:textId="77777777" w:rsidR="00000000" w:rsidRDefault="001F1B20">
            <w:pPr>
              <w:pStyle w:val="a3"/>
              <w:spacing w:before="0" w:beforeAutospacing="0" w:after="0" w:afterAutospacing="0"/>
              <w:rPr>
                <w:sz w:val="20"/>
                <w:szCs w:val="20"/>
              </w:rPr>
            </w:pPr>
            <w:r>
              <w:rPr>
                <w:sz w:val="16"/>
                <w:szCs w:val="16"/>
              </w:rPr>
              <w:t>​</w:t>
            </w:r>
          </w:p>
        </w:tc>
        <w:tc>
          <w:tcPr>
            <w:tcW w:w="390" w:type="pct"/>
            <w:noWrap/>
            <w:tcMar>
              <w:top w:w="0" w:type="dxa"/>
              <w:left w:w="0" w:type="dxa"/>
              <w:bottom w:w="0" w:type="dxa"/>
              <w:right w:w="0" w:type="dxa"/>
            </w:tcMar>
            <w:vAlign w:val="bottom"/>
            <w:hideMark/>
          </w:tcPr>
          <w:p w14:paraId="2D6393DB"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602C10AC"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158887B4" w14:textId="77777777" w:rsidR="00000000" w:rsidRDefault="001F1B20">
            <w:pPr>
              <w:pStyle w:val="a3"/>
              <w:spacing w:before="0" w:beforeAutospacing="0" w:after="0" w:afterAutospacing="0"/>
              <w:rPr>
                <w:sz w:val="20"/>
                <w:szCs w:val="20"/>
              </w:rPr>
            </w:pPr>
            <w:r>
              <w:rPr>
                <w:sz w:val="16"/>
                <w:szCs w:val="16"/>
              </w:rPr>
              <w:t>​</w:t>
            </w:r>
          </w:p>
        </w:tc>
        <w:tc>
          <w:tcPr>
            <w:tcW w:w="375" w:type="pct"/>
            <w:noWrap/>
            <w:tcMar>
              <w:top w:w="0" w:type="dxa"/>
              <w:left w:w="0" w:type="dxa"/>
              <w:bottom w:w="0" w:type="dxa"/>
              <w:right w:w="0" w:type="dxa"/>
            </w:tcMar>
            <w:vAlign w:val="bottom"/>
            <w:hideMark/>
          </w:tcPr>
          <w:p w14:paraId="31CAC97A" w14:textId="77777777" w:rsidR="00000000" w:rsidRDefault="001F1B20">
            <w:pPr>
              <w:pStyle w:val="a3"/>
              <w:spacing w:before="0" w:beforeAutospacing="0" w:after="0" w:afterAutospacing="0"/>
              <w:ind w:right="60"/>
              <w:jc w:val="right"/>
              <w:rPr>
                <w:sz w:val="16"/>
                <w:szCs w:val="16"/>
              </w:rPr>
            </w:pPr>
            <w:r>
              <w:rPr>
                <w:sz w:val="16"/>
                <w:szCs w:val="16"/>
              </w:rPr>
              <w:t>45,143</w:t>
            </w:r>
          </w:p>
        </w:tc>
      </w:tr>
      <w:tr w:rsidR="00000000" w14:paraId="31967E57" w14:textId="77777777">
        <w:trPr>
          <w:divId w:val="1901865854"/>
        </w:trPr>
        <w:tc>
          <w:tcPr>
            <w:tcW w:w="1845" w:type="pct"/>
            <w:shd w:val="clear" w:color="auto" w:fill="CCEEFF"/>
            <w:tcMar>
              <w:top w:w="0" w:type="dxa"/>
              <w:left w:w="0" w:type="dxa"/>
              <w:bottom w:w="0" w:type="dxa"/>
              <w:right w:w="0" w:type="dxa"/>
            </w:tcMar>
            <w:vAlign w:val="bottom"/>
            <w:hideMark/>
          </w:tcPr>
          <w:p w14:paraId="5703047C" w14:textId="77777777" w:rsidR="00000000" w:rsidRDefault="001F1B20">
            <w:pPr>
              <w:pStyle w:val="a3"/>
              <w:spacing w:before="0" w:beforeAutospacing="0" w:after="0" w:afterAutospacing="0"/>
              <w:ind w:left="240"/>
              <w:rPr>
                <w:sz w:val="16"/>
                <w:szCs w:val="16"/>
              </w:rPr>
            </w:pPr>
            <w:r>
              <w:rPr>
                <w:sz w:val="16"/>
                <w:szCs w:val="16"/>
              </w:rPr>
              <w:t>Issuance of restricted shares</w:t>
            </w:r>
          </w:p>
        </w:tc>
        <w:tc>
          <w:tcPr>
            <w:tcW w:w="76" w:type="pct"/>
            <w:shd w:val="clear" w:color="auto" w:fill="CCEEFF"/>
            <w:noWrap/>
            <w:tcMar>
              <w:top w:w="0" w:type="dxa"/>
              <w:left w:w="0" w:type="dxa"/>
              <w:bottom w:w="0" w:type="dxa"/>
              <w:right w:w="0" w:type="dxa"/>
            </w:tcMar>
            <w:vAlign w:val="bottom"/>
            <w:hideMark/>
          </w:tcPr>
          <w:p w14:paraId="29CFE296"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273470A8" w14:textId="77777777" w:rsidR="00000000" w:rsidRDefault="001F1B20">
            <w:pPr>
              <w:pStyle w:val="a3"/>
              <w:spacing w:before="0" w:beforeAutospacing="0" w:after="0" w:afterAutospacing="0"/>
              <w:ind w:right="60"/>
              <w:jc w:val="right"/>
              <w:rPr>
                <w:sz w:val="16"/>
                <w:szCs w:val="16"/>
              </w:rPr>
            </w:pPr>
            <w:r>
              <w:rPr>
                <w:sz w:val="16"/>
                <w:szCs w:val="16"/>
              </w:rPr>
              <w:t>1,978</w:t>
            </w:r>
          </w:p>
        </w:tc>
        <w:tc>
          <w:tcPr>
            <w:tcW w:w="76" w:type="pct"/>
            <w:shd w:val="clear" w:color="auto" w:fill="CCEEFF"/>
            <w:noWrap/>
            <w:tcMar>
              <w:top w:w="0" w:type="dxa"/>
              <w:left w:w="0" w:type="dxa"/>
              <w:bottom w:w="0" w:type="dxa"/>
              <w:right w:w="0" w:type="dxa"/>
            </w:tcMar>
            <w:vAlign w:val="bottom"/>
            <w:hideMark/>
          </w:tcPr>
          <w:p w14:paraId="21D2A08B"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2865C139"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62B2818B"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7520A987"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01149FCD" w14:textId="77777777" w:rsidR="00000000" w:rsidRDefault="001F1B20">
            <w:pPr>
              <w:pStyle w:val="a3"/>
              <w:spacing w:before="0" w:beforeAutospacing="0" w:after="0" w:afterAutospacing="0"/>
              <w:rPr>
                <w:sz w:val="20"/>
                <w:szCs w:val="20"/>
              </w:rPr>
            </w:pPr>
            <w:r>
              <w:rPr>
                <w:sz w:val="16"/>
                <w:szCs w:val="16"/>
              </w:rPr>
              <w:t>​</w:t>
            </w:r>
          </w:p>
        </w:tc>
        <w:tc>
          <w:tcPr>
            <w:tcW w:w="367" w:type="pct"/>
            <w:shd w:val="clear" w:color="auto" w:fill="CCEEFF"/>
            <w:noWrap/>
            <w:tcMar>
              <w:top w:w="0" w:type="dxa"/>
              <w:left w:w="0" w:type="dxa"/>
              <w:bottom w:w="0" w:type="dxa"/>
              <w:right w:w="0" w:type="dxa"/>
            </w:tcMar>
            <w:vAlign w:val="bottom"/>
            <w:hideMark/>
          </w:tcPr>
          <w:p w14:paraId="0F43236A"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1DB245DE"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5B2F2901" w14:textId="77777777" w:rsidR="00000000" w:rsidRDefault="001F1B20">
            <w:pPr>
              <w:pStyle w:val="a3"/>
              <w:spacing w:before="0" w:beforeAutospacing="0" w:after="0" w:afterAutospacing="0"/>
              <w:rPr>
                <w:sz w:val="20"/>
                <w:szCs w:val="20"/>
              </w:rPr>
            </w:pPr>
            <w:r>
              <w:rPr>
                <w:sz w:val="16"/>
                <w:szCs w:val="16"/>
              </w:rPr>
              <w:t>​</w:t>
            </w:r>
          </w:p>
        </w:tc>
        <w:tc>
          <w:tcPr>
            <w:tcW w:w="421" w:type="pct"/>
            <w:shd w:val="clear" w:color="auto" w:fill="CCEEFF"/>
            <w:noWrap/>
            <w:tcMar>
              <w:top w:w="0" w:type="dxa"/>
              <w:left w:w="0" w:type="dxa"/>
              <w:bottom w:w="0" w:type="dxa"/>
              <w:right w:w="0" w:type="dxa"/>
            </w:tcMar>
            <w:vAlign w:val="bottom"/>
            <w:hideMark/>
          </w:tcPr>
          <w:p w14:paraId="3B44FB45"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60685770"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1DEF4792" w14:textId="77777777" w:rsidR="00000000" w:rsidRDefault="001F1B20">
            <w:pPr>
              <w:pStyle w:val="a3"/>
              <w:spacing w:before="0" w:beforeAutospacing="0" w:after="0" w:afterAutospacing="0"/>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14:paraId="7F996462"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3AACF438"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1821E27C" w14:textId="77777777" w:rsidR="00000000" w:rsidRDefault="001F1B20">
            <w:pPr>
              <w:pStyle w:val="a3"/>
              <w:spacing w:before="0" w:beforeAutospacing="0" w:after="0" w:afterAutospacing="0"/>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14:paraId="66FA763A" w14:textId="77777777" w:rsidR="00000000" w:rsidRDefault="001F1B20">
            <w:pPr>
              <w:pStyle w:val="a3"/>
              <w:spacing w:before="0" w:beforeAutospacing="0" w:after="0" w:afterAutospacing="0"/>
              <w:ind w:right="60"/>
              <w:jc w:val="right"/>
              <w:rPr>
                <w:sz w:val="16"/>
                <w:szCs w:val="16"/>
              </w:rPr>
            </w:pPr>
            <w:r>
              <w:rPr>
                <w:sz w:val="16"/>
                <w:szCs w:val="16"/>
              </w:rPr>
              <w:t>—</w:t>
            </w:r>
          </w:p>
        </w:tc>
      </w:tr>
      <w:tr w:rsidR="00000000" w14:paraId="56CD988B" w14:textId="77777777">
        <w:trPr>
          <w:divId w:val="1901865854"/>
        </w:trPr>
        <w:tc>
          <w:tcPr>
            <w:tcW w:w="1845" w:type="pct"/>
            <w:tcMar>
              <w:top w:w="0" w:type="dxa"/>
              <w:left w:w="0" w:type="dxa"/>
              <w:bottom w:w="0" w:type="dxa"/>
              <w:right w:w="0" w:type="dxa"/>
            </w:tcMar>
            <w:vAlign w:val="bottom"/>
            <w:hideMark/>
          </w:tcPr>
          <w:p w14:paraId="75799F54" w14:textId="77777777" w:rsidR="00000000" w:rsidRDefault="001F1B20">
            <w:pPr>
              <w:pStyle w:val="a3"/>
              <w:spacing w:before="0" w:beforeAutospacing="0" w:after="0" w:afterAutospacing="0"/>
              <w:ind w:left="240"/>
              <w:rPr>
                <w:sz w:val="16"/>
                <w:szCs w:val="16"/>
              </w:rPr>
            </w:pPr>
            <w:r>
              <w:rPr>
                <w:sz w:val="16"/>
                <w:szCs w:val="16"/>
              </w:rPr>
              <w:t>Option exercises</w:t>
            </w:r>
          </w:p>
        </w:tc>
        <w:tc>
          <w:tcPr>
            <w:tcW w:w="76" w:type="pct"/>
            <w:noWrap/>
            <w:tcMar>
              <w:top w:w="0" w:type="dxa"/>
              <w:left w:w="0" w:type="dxa"/>
              <w:bottom w:w="0" w:type="dxa"/>
              <w:right w:w="0" w:type="dxa"/>
            </w:tcMar>
            <w:vAlign w:val="bottom"/>
            <w:hideMark/>
          </w:tcPr>
          <w:p w14:paraId="55E23D8B"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635FEA37"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71A92F52"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28959D9"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6A489373"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7D4D96C4"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249DD4F1" w14:textId="77777777" w:rsidR="00000000" w:rsidRDefault="001F1B20">
            <w:pPr>
              <w:pStyle w:val="a3"/>
              <w:spacing w:before="0" w:beforeAutospacing="0" w:after="0" w:afterAutospacing="0"/>
              <w:rPr>
                <w:sz w:val="20"/>
                <w:szCs w:val="20"/>
              </w:rPr>
            </w:pPr>
            <w:r>
              <w:rPr>
                <w:sz w:val="16"/>
                <w:szCs w:val="16"/>
              </w:rPr>
              <w:t>​</w:t>
            </w:r>
          </w:p>
        </w:tc>
        <w:tc>
          <w:tcPr>
            <w:tcW w:w="367" w:type="pct"/>
            <w:noWrap/>
            <w:tcMar>
              <w:top w:w="0" w:type="dxa"/>
              <w:left w:w="0" w:type="dxa"/>
              <w:bottom w:w="0" w:type="dxa"/>
              <w:right w:w="0" w:type="dxa"/>
            </w:tcMar>
            <w:vAlign w:val="bottom"/>
            <w:hideMark/>
          </w:tcPr>
          <w:p w14:paraId="55FEDF37" w14:textId="77777777" w:rsidR="00000000" w:rsidRDefault="001F1B20">
            <w:pPr>
              <w:pStyle w:val="a3"/>
              <w:spacing w:before="0" w:beforeAutospacing="0" w:after="0" w:afterAutospacing="0"/>
              <w:ind w:right="60"/>
              <w:jc w:val="right"/>
              <w:rPr>
                <w:sz w:val="16"/>
                <w:szCs w:val="16"/>
              </w:rPr>
            </w:pPr>
            <w:r>
              <w:rPr>
                <w:sz w:val="16"/>
                <w:szCs w:val="16"/>
              </w:rPr>
              <w:t>5</w:t>
            </w:r>
          </w:p>
        </w:tc>
        <w:tc>
          <w:tcPr>
            <w:tcW w:w="77" w:type="pct"/>
            <w:noWrap/>
            <w:tcMar>
              <w:top w:w="0" w:type="dxa"/>
              <w:left w:w="0" w:type="dxa"/>
              <w:bottom w:w="0" w:type="dxa"/>
              <w:right w:w="0" w:type="dxa"/>
            </w:tcMar>
            <w:vAlign w:val="bottom"/>
            <w:hideMark/>
          </w:tcPr>
          <w:p w14:paraId="2DC62DA1"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26D13B81" w14:textId="77777777" w:rsidR="00000000" w:rsidRDefault="001F1B20">
            <w:pPr>
              <w:pStyle w:val="a3"/>
              <w:spacing w:before="0" w:beforeAutospacing="0" w:after="0"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14:paraId="43E47850"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2EE87499"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26CDDBC3" w14:textId="77777777" w:rsidR="00000000" w:rsidRDefault="001F1B20">
            <w:pPr>
              <w:pStyle w:val="a3"/>
              <w:spacing w:before="0" w:beforeAutospacing="0" w:after="0" w:afterAutospacing="0"/>
              <w:rPr>
                <w:sz w:val="20"/>
                <w:szCs w:val="20"/>
              </w:rPr>
            </w:pPr>
            <w:r>
              <w:rPr>
                <w:sz w:val="16"/>
                <w:szCs w:val="16"/>
              </w:rPr>
              <w:t>​</w:t>
            </w:r>
          </w:p>
        </w:tc>
        <w:tc>
          <w:tcPr>
            <w:tcW w:w="390" w:type="pct"/>
            <w:noWrap/>
            <w:tcMar>
              <w:top w:w="0" w:type="dxa"/>
              <w:left w:w="0" w:type="dxa"/>
              <w:bottom w:w="0" w:type="dxa"/>
              <w:right w:w="0" w:type="dxa"/>
            </w:tcMar>
            <w:vAlign w:val="bottom"/>
            <w:hideMark/>
          </w:tcPr>
          <w:p w14:paraId="42749AEF"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0E68AD87"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60D5BA54" w14:textId="77777777" w:rsidR="00000000" w:rsidRDefault="001F1B20">
            <w:pPr>
              <w:pStyle w:val="a3"/>
              <w:spacing w:before="0" w:beforeAutospacing="0" w:after="0" w:afterAutospacing="0"/>
              <w:rPr>
                <w:sz w:val="20"/>
                <w:szCs w:val="20"/>
              </w:rPr>
            </w:pPr>
            <w:r>
              <w:rPr>
                <w:sz w:val="16"/>
                <w:szCs w:val="16"/>
              </w:rPr>
              <w:t>​</w:t>
            </w:r>
          </w:p>
        </w:tc>
        <w:tc>
          <w:tcPr>
            <w:tcW w:w="375" w:type="pct"/>
            <w:noWrap/>
            <w:tcMar>
              <w:top w:w="0" w:type="dxa"/>
              <w:left w:w="0" w:type="dxa"/>
              <w:bottom w:w="0" w:type="dxa"/>
              <w:right w:w="0" w:type="dxa"/>
            </w:tcMar>
            <w:vAlign w:val="bottom"/>
            <w:hideMark/>
          </w:tcPr>
          <w:p w14:paraId="025A21C1" w14:textId="77777777" w:rsidR="00000000" w:rsidRDefault="001F1B20">
            <w:pPr>
              <w:pStyle w:val="a3"/>
              <w:spacing w:before="0" w:beforeAutospacing="0" w:after="0" w:afterAutospacing="0"/>
              <w:ind w:right="60"/>
              <w:jc w:val="right"/>
              <w:rPr>
                <w:sz w:val="16"/>
                <w:szCs w:val="16"/>
              </w:rPr>
            </w:pPr>
            <w:r>
              <w:rPr>
                <w:sz w:val="16"/>
                <w:szCs w:val="16"/>
              </w:rPr>
              <w:t>5</w:t>
            </w:r>
          </w:p>
        </w:tc>
      </w:tr>
      <w:tr w:rsidR="00000000" w14:paraId="4C448A54" w14:textId="77777777">
        <w:trPr>
          <w:divId w:val="1901865854"/>
        </w:trPr>
        <w:tc>
          <w:tcPr>
            <w:tcW w:w="1845" w:type="pct"/>
            <w:shd w:val="clear" w:color="auto" w:fill="CCEEFF"/>
            <w:tcMar>
              <w:top w:w="0" w:type="dxa"/>
              <w:left w:w="0" w:type="dxa"/>
              <w:bottom w:w="0" w:type="dxa"/>
              <w:right w:w="0" w:type="dxa"/>
            </w:tcMar>
            <w:vAlign w:val="bottom"/>
            <w:hideMark/>
          </w:tcPr>
          <w:p w14:paraId="2861E584" w14:textId="77777777" w:rsidR="00000000" w:rsidRDefault="001F1B20">
            <w:pPr>
              <w:pStyle w:val="a3"/>
              <w:spacing w:before="0" w:beforeAutospacing="0" w:after="0" w:afterAutospacing="0"/>
              <w:ind w:left="240"/>
              <w:rPr>
                <w:sz w:val="16"/>
                <w:szCs w:val="16"/>
              </w:rPr>
            </w:pPr>
            <w:r>
              <w:rPr>
                <w:sz w:val="16"/>
                <w:szCs w:val="16"/>
              </w:rPr>
              <w:t>Repurchase of shares to satisfy tax withholding</w:t>
            </w:r>
          </w:p>
        </w:tc>
        <w:tc>
          <w:tcPr>
            <w:tcW w:w="76" w:type="pct"/>
            <w:shd w:val="clear" w:color="auto" w:fill="CCEEFF"/>
            <w:noWrap/>
            <w:tcMar>
              <w:top w:w="0" w:type="dxa"/>
              <w:left w:w="0" w:type="dxa"/>
              <w:bottom w:w="0" w:type="dxa"/>
              <w:right w:w="0" w:type="dxa"/>
            </w:tcMar>
            <w:vAlign w:val="bottom"/>
            <w:hideMark/>
          </w:tcPr>
          <w:p w14:paraId="4EAEBB57"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2055CFE6" w14:textId="77777777" w:rsidR="00000000" w:rsidRDefault="001F1B20">
            <w:pPr>
              <w:pStyle w:val="a3"/>
              <w:spacing w:before="0" w:beforeAutospacing="0" w:after="0" w:afterAutospacing="0"/>
              <w:jc w:val="right"/>
              <w:rPr>
                <w:sz w:val="16"/>
                <w:szCs w:val="16"/>
              </w:rPr>
            </w:pPr>
            <w:r>
              <w:rPr>
                <w:sz w:val="16"/>
                <w:szCs w:val="16"/>
              </w:rPr>
              <w:t>(501)</w:t>
            </w:r>
          </w:p>
        </w:tc>
        <w:tc>
          <w:tcPr>
            <w:tcW w:w="76" w:type="pct"/>
            <w:shd w:val="clear" w:color="auto" w:fill="CCEEFF"/>
            <w:noWrap/>
            <w:tcMar>
              <w:top w:w="0" w:type="dxa"/>
              <w:left w:w="0" w:type="dxa"/>
              <w:bottom w:w="0" w:type="dxa"/>
              <w:right w:w="0" w:type="dxa"/>
            </w:tcMar>
            <w:vAlign w:val="bottom"/>
            <w:hideMark/>
          </w:tcPr>
          <w:p w14:paraId="1715757C"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2D48E21A"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6016C0EE"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63F46138"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31429DBA" w14:textId="77777777" w:rsidR="00000000" w:rsidRDefault="001F1B20">
            <w:pPr>
              <w:pStyle w:val="a3"/>
              <w:spacing w:before="0" w:beforeAutospacing="0" w:after="0" w:afterAutospacing="0"/>
              <w:rPr>
                <w:sz w:val="20"/>
                <w:szCs w:val="20"/>
              </w:rPr>
            </w:pPr>
            <w:r>
              <w:rPr>
                <w:sz w:val="16"/>
                <w:szCs w:val="16"/>
              </w:rPr>
              <w:t>​</w:t>
            </w:r>
          </w:p>
        </w:tc>
        <w:tc>
          <w:tcPr>
            <w:tcW w:w="367" w:type="pct"/>
            <w:shd w:val="clear" w:color="auto" w:fill="CCEEFF"/>
            <w:noWrap/>
            <w:tcMar>
              <w:top w:w="0" w:type="dxa"/>
              <w:left w:w="0" w:type="dxa"/>
              <w:bottom w:w="0" w:type="dxa"/>
              <w:right w:w="0" w:type="dxa"/>
            </w:tcMar>
            <w:vAlign w:val="bottom"/>
            <w:hideMark/>
          </w:tcPr>
          <w:p w14:paraId="63A9B020" w14:textId="77777777" w:rsidR="00000000" w:rsidRDefault="001F1B20">
            <w:pPr>
              <w:pStyle w:val="a3"/>
              <w:spacing w:before="0" w:beforeAutospacing="0" w:after="0" w:afterAutospacing="0"/>
              <w:jc w:val="right"/>
              <w:rPr>
                <w:sz w:val="16"/>
                <w:szCs w:val="16"/>
              </w:rPr>
            </w:pPr>
            <w:r>
              <w:rPr>
                <w:sz w:val="16"/>
                <w:szCs w:val="16"/>
              </w:rPr>
              <w:t>(8,606)</w:t>
            </w:r>
          </w:p>
        </w:tc>
        <w:tc>
          <w:tcPr>
            <w:tcW w:w="77" w:type="pct"/>
            <w:shd w:val="clear" w:color="auto" w:fill="CCEEFF"/>
            <w:noWrap/>
            <w:tcMar>
              <w:top w:w="0" w:type="dxa"/>
              <w:left w:w="0" w:type="dxa"/>
              <w:bottom w:w="0" w:type="dxa"/>
              <w:right w:w="0" w:type="dxa"/>
            </w:tcMar>
            <w:vAlign w:val="bottom"/>
            <w:hideMark/>
          </w:tcPr>
          <w:p w14:paraId="7FD6A75E"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68DFC8FE" w14:textId="77777777" w:rsidR="00000000" w:rsidRDefault="001F1B20">
            <w:pPr>
              <w:pStyle w:val="a3"/>
              <w:spacing w:before="0" w:beforeAutospacing="0" w:after="0" w:afterAutospacing="0"/>
              <w:rPr>
                <w:sz w:val="20"/>
                <w:szCs w:val="20"/>
              </w:rPr>
            </w:pPr>
            <w:r>
              <w:rPr>
                <w:sz w:val="16"/>
                <w:szCs w:val="16"/>
              </w:rPr>
              <w:t>​</w:t>
            </w:r>
          </w:p>
        </w:tc>
        <w:tc>
          <w:tcPr>
            <w:tcW w:w="421" w:type="pct"/>
            <w:shd w:val="clear" w:color="auto" w:fill="CCEEFF"/>
            <w:noWrap/>
            <w:tcMar>
              <w:top w:w="0" w:type="dxa"/>
              <w:left w:w="0" w:type="dxa"/>
              <w:bottom w:w="0" w:type="dxa"/>
              <w:right w:w="0" w:type="dxa"/>
            </w:tcMar>
            <w:vAlign w:val="bottom"/>
            <w:hideMark/>
          </w:tcPr>
          <w:p w14:paraId="6C2E9E40"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5379DF41"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0576B0EF" w14:textId="77777777" w:rsidR="00000000" w:rsidRDefault="001F1B20">
            <w:pPr>
              <w:pStyle w:val="a3"/>
              <w:spacing w:before="0" w:beforeAutospacing="0" w:after="0" w:afterAutospacing="0"/>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14:paraId="356E7F04"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6B0B8D26"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3532DCB2" w14:textId="77777777" w:rsidR="00000000" w:rsidRDefault="001F1B20">
            <w:pPr>
              <w:pStyle w:val="a3"/>
              <w:spacing w:before="0" w:beforeAutospacing="0" w:after="0" w:afterAutospacing="0"/>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14:paraId="7B497619" w14:textId="77777777" w:rsidR="00000000" w:rsidRDefault="001F1B20">
            <w:pPr>
              <w:pStyle w:val="a3"/>
              <w:spacing w:before="0" w:beforeAutospacing="0" w:after="0" w:afterAutospacing="0"/>
              <w:jc w:val="right"/>
              <w:rPr>
                <w:sz w:val="16"/>
                <w:szCs w:val="16"/>
              </w:rPr>
            </w:pPr>
            <w:r>
              <w:rPr>
                <w:sz w:val="16"/>
                <w:szCs w:val="16"/>
              </w:rPr>
              <w:t>(8,606)</w:t>
            </w:r>
          </w:p>
        </w:tc>
      </w:tr>
      <w:tr w:rsidR="00000000" w14:paraId="7F8D7CF6" w14:textId="77777777">
        <w:trPr>
          <w:divId w:val="1901865854"/>
        </w:trPr>
        <w:tc>
          <w:tcPr>
            <w:tcW w:w="1845" w:type="pct"/>
            <w:tcMar>
              <w:top w:w="0" w:type="dxa"/>
              <w:left w:w="0" w:type="dxa"/>
              <w:bottom w:w="0" w:type="dxa"/>
              <w:right w:w="0" w:type="dxa"/>
            </w:tcMar>
            <w:vAlign w:val="bottom"/>
            <w:hideMark/>
          </w:tcPr>
          <w:p w14:paraId="7C7B8C0F" w14:textId="77777777" w:rsidR="00000000" w:rsidRDefault="001F1B20">
            <w:pPr>
              <w:pStyle w:val="a3"/>
              <w:spacing w:before="0" w:beforeAutospacing="0" w:after="0" w:afterAutospacing="0"/>
              <w:ind w:left="240"/>
              <w:rPr>
                <w:sz w:val="16"/>
                <w:szCs w:val="16"/>
              </w:rPr>
            </w:pPr>
            <w:r>
              <w:rPr>
                <w:sz w:val="16"/>
                <w:szCs w:val="16"/>
              </w:rPr>
              <w:t>Net unrealized loss on marketable securities</w:t>
            </w:r>
          </w:p>
        </w:tc>
        <w:tc>
          <w:tcPr>
            <w:tcW w:w="76" w:type="pct"/>
            <w:noWrap/>
            <w:tcMar>
              <w:top w:w="0" w:type="dxa"/>
              <w:left w:w="0" w:type="dxa"/>
              <w:bottom w:w="0" w:type="dxa"/>
              <w:right w:w="0" w:type="dxa"/>
            </w:tcMar>
            <w:vAlign w:val="bottom"/>
            <w:hideMark/>
          </w:tcPr>
          <w:p w14:paraId="2AB90998"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17B1E6A9"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1EEA9E17"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29BF90C7"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3521F384"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7287E4E5"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62650C24" w14:textId="77777777" w:rsidR="00000000" w:rsidRDefault="001F1B20">
            <w:pPr>
              <w:pStyle w:val="a3"/>
              <w:spacing w:before="0" w:beforeAutospacing="0" w:after="0" w:afterAutospacing="0"/>
              <w:rPr>
                <w:sz w:val="20"/>
                <w:szCs w:val="20"/>
              </w:rPr>
            </w:pPr>
            <w:r>
              <w:rPr>
                <w:sz w:val="16"/>
                <w:szCs w:val="16"/>
              </w:rPr>
              <w:t>​</w:t>
            </w:r>
          </w:p>
        </w:tc>
        <w:tc>
          <w:tcPr>
            <w:tcW w:w="367" w:type="pct"/>
            <w:noWrap/>
            <w:tcMar>
              <w:top w:w="0" w:type="dxa"/>
              <w:left w:w="0" w:type="dxa"/>
              <w:bottom w:w="0" w:type="dxa"/>
              <w:right w:w="0" w:type="dxa"/>
            </w:tcMar>
            <w:vAlign w:val="bottom"/>
            <w:hideMark/>
          </w:tcPr>
          <w:p w14:paraId="598FB118"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7889D4C2"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5AB41E05" w14:textId="77777777" w:rsidR="00000000" w:rsidRDefault="001F1B20">
            <w:pPr>
              <w:pStyle w:val="a3"/>
              <w:spacing w:before="0" w:beforeAutospacing="0" w:after="0"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14:paraId="4AF09649" w14:textId="77777777" w:rsidR="00000000" w:rsidRDefault="001F1B20">
            <w:pPr>
              <w:pStyle w:val="a3"/>
              <w:spacing w:before="0" w:beforeAutospacing="0" w:after="0" w:afterAutospacing="0"/>
              <w:jc w:val="right"/>
              <w:rPr>
                <w:sz w:val="16"/>
                <w:szCs w:val="16"/>
              </w:rPr>
            </w:pPr>
            <w:r>
              <w:rPr>
                <w:sz w:val="16"/>
                <w:szCs w:val="16"/>
              </w:rPr>
              <w:t>(33)</w:t>
            </w:r>
          </w:p>
        </w:tc>
        <w:tc>
          <w:tcPr>
            <w:tcW w:w="77" w:type="pct"/>
            <w:noWrap/>
            <w:tcMar>
              <w:top w:w="0" w:type="dxa"/>
              <w:left w:w="0" w:type="dxa"/>
              <w:bottom w:w="0" w:type="dxa"/>
              <w:right w:w="0" w:type="dxa"/>
            </w:tcMar>
            <w:vAlign w:val="bottom"/>
            <w:hideMark/>
          </w:tcPr>
          <w:p w14:paraId="0AC23AA6"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5850BAC2" w14:textId="77777777" w:rsidR="00000000" w:rsidRDefault="001F1B20">
            <w:pPr>
              <w:pStyle w:val="a3"/>
              <w:spacing w:before="0" w:beforeAutospacing="0" w:after="0" w:afterAutospacing="0"/>
              <w:rPr>
                <w:sz w:val="20"/>
                <w:szCs w:val="20"/>
              </w:rPr>
            </w:pPr>
            <w:r>
              <w:rPr>
                <w:sz w:val="16"/>
                <w:szCs w:val="16"/>
              </w:rPr>
              <w:t>​</w:t>
            </w:r>
          </w:p>
        </w:tc>
        <w:tc>
          <w:tcPr>
            <w:tcW w:w="390" w:type="pct"/>
            <w:noWrap/>
            <w:tcMar>
              <w:top w:w="0" w:type="dxa"/>
              <w:left w:w="0" w:type="dxa"/>
              <w:bottom w:w="0" w:type="dxa"/>
              <w:right w:w="0" w:type="dxa"/>
            </w:tcMar>
            <w:vAlign w:val="bottom"/>
            <w:hideMark/>
          </w:tcPr>
          <w:p w14:paraId="2C19971E"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6CC7304A"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30947148" w14:textId="77777777" w:rsidR="00000000" w:rsidRDefault="001F1B20">
            <w:pPr>
              <w:pStyle w:val="a3"/>
              <w:spacing w:before="0" w:beforeAutospacing="0" w:after="0" w:afterAutospacing="0"/>
              <w:rPr>
                <w:sz w:val="20"/>
                <w:szCs w:val="20"/>
              </w:rPr>
            </w:pPr>
            <w:r>
              <w:rPr>
                <w:sz w:val="16"/>
                <w:szCs w:val="16"/>
              </w:rPr>
              <w:t>​</w:t>
            </w:r>
          </w:p>
        </w:tc>
        <w:tc>
          <w:tcPr>
            <w:tcW w:w="375" w:type="pct"/>
            <w:noWrap/>
            <w:tcMar>
              <w:top w:w="0" w:type="dxa"/>
              <w:left w:w="0" w:type="dxa"/>
              <w:bottom w:w="0" w:type="dxa"/>
              <w:right w:w="0" w:type="dxa"/>
            </w:tcMar>
            <w:vAlign w:val="bottom"/>
            <w:hideMark/>
          </w:tcPr>
          <w:p w14:paraId="49CAAE4C" w14:textId="77777777" w:rsidR="00000000" w:rsidRDefault="001F1B20">
            <w:pPr>
              <w:pStyle w:val="a3"/>
              <w:spacing w:before="0" w:beforeAutospacing="0" w:after="0" w:afterAutospacing="0"/>
              <w:jc w:val="right"/>
              <w:rPr>
                <w:sz w:val="16"/>
                <w:szCs w:val="16"/>
              </w:rPr>
            </w:pPr>
            <w:r>
              <w:rPr>
                <w:sz w:val="16"/>
                <w:szCs w:val="16"/>
              </w:rPr>
              <w:t>(33)</w:t>
            </w:r>
          </w:p>
        </w:tc>
      </w:tr>
      <w:tr w:rsidR="00000000" w14:paraId="54120FBA" w14:textId="77777777">
        <w:trPr>
          <w:divId w:val="1901865854"/>
        </w:trPr>
        <w:tc>
          <w:tcPr>
            <w:tcW w:w="1845" w:type="pct"/>
            <w:shd w:val="clear" w:color="auto" w:fill="CCEEFF"/>
            <w:tcMar>
              <w:top w:w="0" w:type="dxa"/>
              <w:left w:w="0" w:type="dxa"/>
              <w:bottom w:w="0" w:type="dxa"/>
              <w:right w:w="0" w:type="dxa"/>
            </w:tcMar>
            <w:vAlign w:val="bottom"/>
            <w:hideMark/>
          </w:tcPr>
          <w:p w14:paraId="71FFE406" w14:textId="77777777" w:rsidR="00000000" w:rsidRDefault="001F1B20">
            <w:pPr>
              <w:pStyle w:val="a3"/>
              <w:spacing w:before="0" w:beforeAutospacing="0" w:after="0" w:afterAutospacing="0"/>
              <w:ind w:left="240"/>
              <w:rPr>
                <w:sz w:val="16"/>
                <w:szCs w:val="16"/>
              </w:rPr>
            </w:pPr>
            <w:r>
              <w:rPr>
                <w:sz w:val="16"/>
                <w:szCs w:val="16"/>
              </w:rPr>
              <w:t>Net loss</w:t>
            </w:r>
          </w:p>
        </w:tc>
        <w:tc>
          <w:tcPr>
            <w:tcW w:w="76" w:type="pct"/>
            <w:shd w:val="clear" w:color="auto" w:fill="CCEEFF"/>
            <w:noWrap/>
            <w:tcMar>
              <w:top w:w="0" w:type="dxa"/>
              <w:left w:w="0" w:type="dxa"/>
              <w:bottom w:w="0" w:type="dxa"/>
              <w:right w:w="0" w:type="dxa"/>
            </w:tcMar>
            <w:vAlign w:val="bottom"/>
            <w:hideMark/>
          </w:tcPr>
          <w:p w14:paraId="00DBA15C"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14:paraId="04C9FE8C"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5436F635" w14:textId="77777777" w:rsidR="00000000" w:rsidRDefault="001F1B2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14:paraId="5B90412D"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14:paraId="482147D8"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3FCE03E8" w14:textId="77777777" w:rsidR="00000000" w:rsidRDefault="001F1B20">
            <w:pPr>
              <w:pStyle w:val="a3"/>
              <w:spacing w:before="0" w:beforeAutospacing="0" w:after="0" w:afterAutospacing="0"/>
              <w:rPr>
                <w:sz w:val="20"/>
                <w:szCs w:val="20"/>
              </w:rPr>
            </w:pPr>
            <w:r>
              <w:rPr>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14:paraId="5D78BE56" w14:textId="77777777" w:rsidR="00000000" w:rsidRDefault="001F1B20">
            <w:pPr>
              <w:pStyle w:val="a3"/>
              <w:spacing w:before="0" w:beforeAutospacing="0" w:after="0" w:afterAutospacing="0"/>
              <w:rPr>
                <w:sz w:val="20"/>
                <w:szCs w:val="20"/>
              </w:rPr>
            </w:pPr>
            <w:r>
              <w:rPr>
                <w:sz w:val="16"/>
                <w:szCs w:val="16"/>
              </w:rPr>
              <w:t>​</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14:paraId="7C2AC806"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104885C5" w14:textId="77777777" w:rsidR="00000000" w:rsidRDefault="001F1B20">
            <w:pPr>
              <w:pStyle w:val="a3"/>
              <w:spacing w:before="0" w:beforeAutospacing="0" w:after="0" w:afterAutospacing="0"/>
              <w:rPr>
                <w:sz w:val="20"/>
                <w:szCs w:val="20"/>
              </w:rPr>
            </w:pPr>
            <w:r>
              <w:rPr>
                <w:sz w:val="16"/>
                <w:szCs w:val="16"/>
              </w:rPr>
              <w:t>​</w:t>
            </w:r>
          </w:p>
        </w:tc>
        <w:tc>
          <w:tcPr>
            <w:tcW w:w="107" w:type="pct"/>
            <w:tcBorders>
              <w:bottom w:val="single" w:sz="6" w:space="0" w:color="000000"/>
            </w:tcBorders>
            <w:shd w:val="clear" w:color="auto" w:fill="CCEEFF"/>
            <w:noWrap/>
            <w:tcMar>
              <w:top w:w="0" w:type="dxa"/>
              <w:left w:w="0" w:type="dxa"/>
              <w:bottom w:w="0" w:type="dxa"/>
              <w:right w:w="0" w:type="dxa"/>
            </w:tcMar>
            <w:vAlign w:val="bottom"/>
            <w:hideMark/>
          </w:tcPr>
          <w:p w14:paraId="49408625" w14:textId="77777777" w:rsidR="00000000" w:rsidRDefault="001F1B20">
            <w:pPr>
              <w:pStyle w:val="a3"/>
              <w:spacing w:before="0" w:beforeAutospacing="0" w:after="0" w:afterAutospacing="0"/>
              <w:rPr>
                <w:sz w:val="20"/>
                <w:szCs w:val="20"/>
              </w:rPr>
            </w:pPr>
            <w:r>
              <w:rPr>
                <w:sz w:val="16"/>
                <w:szCs w:val="16"/>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14:paraId="4B672064"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4E528C32" w14:textId="77777777" w:rsidR="00000000" w:rsidRDefault="001F1B20">
            <w:pPr>
              <w:pStyle w:val="a3"/>
              <w:spacing w:before="0" w:beforeAutospacing="0" w:after="0" w:afterAutospacing="0"/>
              <w:rPr>
                <w:sz w:val="20"/>
                <w:szCs w:val="20"/>
              </w:rPr>
            </w:pPr>
            <w:r>
              <w:rPr>
                <w:sz w:val="16"/>
                <w:szCs w:val="16"/>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14:paraId="4FD93B45" w14:textId="77777777" w:rsidR="00000000" w:rsidRDefault="001F1B20">
            <w:pPr>
              <w:pStyle w:val="a3"/>
              <w:spacing w:before="0" w:beforeAutospacing="0" w:after="0" w:afterAutospacing="0"/>
              <w:rPr>
                <w:sz w:val="20"/>
                <w:szCs w:val="20"/>
              </w:rPr>
            </w:pPr>
            <w:r>
              <w:rPr>
                <w:sz w:val="16"/>
                <w:szCs w:val="16"/>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14:paraId="5BC3AF7D" w14:textId="77777777" w:rsidR="00000000" w:rsidRDefault="001F1B20">
            <w:pPr>
              <w:pStyle w:val="a3"/>
              <w:spacing w:before="0" w:beforeAutospacing="0" w:after="0" w:afterAutospacing="0"/>
              <w:jc w:val="right"/>
              <w:rPr>
                <w:sz w:val="16"/>
                <w:szCs w:val="16"/>
              </w:rPr>
            </w:pPr>
            <w:r>
              <w:rPr>
                <w:sz w:val="16"/>
                <w:szCs w:val="16"/>
              </w:rPr>
              <w:t>(167,392)</w:t>
            </w:r>
          </w:p>
        </w:tc>
        <w:tc>
          <w:tcPr>
            <w:tcW w:w="77" w:type="pct"/>
            <w:shd w:val="clear" w:color="auto" w:fill="CCEEFF"/>
            <w:noWrap/>
            <w:tcMar>
              <w:top w:w="0" w:type="dxa"/>
              <w:left w:w="0" w:type="dxa"/>
              <w:bottom w:w="0" w:type="dxa"/>
              <w:right w:w="0" w:type="dxa"/>
            </w:tcMar>
            <w:vAlign w:val="bottom"/>
            <w:hideMark/>
          </w:tcPr>
          <w:p w14:paraId="7D303E0D" w14:textId="77777777" w:rsidR="00000000" w:rsidRDefault="001F1B20">
            <w:pPr>
              <w:pStyle w:val="a3"/>
              <w:spacing w:before="0" w:beforeAutospacing="0" w:after="0" w:afterAutospacing="0"/>
              <w:rPr>
                <w:sz w:val="20"/>
                <w:szCs w:val="20"/>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14:paraId="3EC96B4A" w14:textId="77777777" w:rsidR="00000000" w:rsidRDefault="001F1B20">
            <w:pPr>
              <w:pStyle w:val="a3"/>
              <w:spacing w:before="0" w:beforeAutospacing="0" w:after="0" w:afterAutospacing="0"/>
              <w:rPr>
                <w:sz w:val="20"/>
                <w:szCs w:val="20"/>
              </w:rPr>
            </w:pPr>
            <w:r>
              <w:rPr>
                <w:sz w:val="16"/>
                <w:szCs w:val="16"/>
              </w:rPr>
              <w:t>​</w:t>
            </w:r>
          </w:p>
        </w:tc>
        <w:tc>
          <w:tcPr>
            <w:tcW w:w="375" w:type="pct"/>
            <w:tcBorders>
              <w:bottom w:val="single" w:sz="6" w:space="0" w:color="000000"/>
            </w:tcBorders>
            <w:shd w:val="clear" w:color="auto" w:fill="CCEEFF"/>
            <w:noWrap/>
            <w:tcMar>
              <w:top w:w="0" w:type="dxa"/>
              <w:left w:w="0" w:type="dxa"/>
              <w:bottom w:w="0" w:type="dxa"/>
              <w:right w:w="0" w:type="dxa"/>
            </w:tcMar>
            <w:vAlign w:val="bottom"/>
            <w:hideMark/>
          </w:tcPr>
          <w:p w14:paraId="5025C562" w14:textId="77777777" w:rsidR="00000000" w:rsidRDefault="001F1B20">
            <w:pPr>
              <w:pStyle w:val="a3"/>
              <w:spacing w:before="0" w:beforeAutospacing="0" w:after="0" w:afterAutospacing="0"/>
              <w:jc w:val="right"/>
              <w:rPr>
                <w:sz w:val="16"/>
                <w:szCs w:val="16"/>
              </w:rPr>
            </w:pPr>
            <w:r>
              <w:rPr>
                <w:sz w:val="16"/>
                <w:szCs w:val="16"/>
              </w:rPr>
              <w:t>(167,392)</w:t>
            </w:r>
          </w:p>
        </w:tc>
      </w:tr>
      <w:tr w:rsidR="00000000" w14:paraId="22F95B5D" w14:textId="77777777">
        <w:trPr>
          <w:divId w:val="1901865854"/>
        </w:trPr>
        <w:tc>
          <w:tcPr>
            <w:tcW w:w="1845" w:type="pct"/>
            <w:tcMar>
              <w:top w:w="0" w:type="dxa"/>
              <w:left w:w="0" w:type="dxa"/>
              <w:bottom w:w="0" w:type="dxa"/>
              <w:right w:w="0" w:type="dxa"/>
            </w:tcMar>
            <w:vAlign w:val="bottom"/>
            <w:hideMark/>
          </w:tcPr>
          <w:p w14:paraId="53F22537" w14:textId="77777777" w:rsidR="00000000" w:rsidRDefault="001F1B20">
            <w:pPr>
              <w:pStyle w:val="a3"/>
              <w:spacing w:before="0" w:beforeAutospacing="0" w:after="0" w:afterAutospacing="0"/>
              <w:rPr>
                <w:sz w:val="16"/>
                <w:szCs w:val="16"/>
              </w:rPr>
            </w:pPr>
            <w:r>
              <w:rPr>
                <w:sz w:val="16"/>
                <w:szCs w:val="16"/>
              </w:rPr>
              <w:t>Balances at September 30, 2021</w:t>
            </w:r>
          </w:p>
        </w:tc>
        <w:tc>
          <w:tcPr>
            <w:tcW w:w="76" w:type="pct"/>
            <w:noWrap/>
            <w:tcMar>
              <w:top w:w="0" w:type="dxa"/>
              <w:left w:w="0" w:type="dxa"/>
              <w:bottom w:w="0" w:type="dxa"/>
              <w:right w:w="0" w:type="dxa"/>
            </w:tcMar>
            <w:vAlign w:val="bottom"/>
            <w:hideMark/>
          </w:tcPr>
          <w:p w14:paraId="0B8A963C"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double" w:sz="6" w:space="0" w:color="000000"/>
            </w:tcBorders>
            <w:noWrap/>
            <w:tcMar>
              <w:top w:w="0" w:type="dxa"/>
              <w:left w:w="0" w:type="dxa"/>
              <w:bottom w:w="0" w:type="dxa"/>
              <w:right w:w="0" w:type="dxa"/>
            </w:tcMar>
            <w:vAlign w:val="bottom"/>
            <w:hideMark/>
          </w:tcPr>
          <w:p w14:paraId="5EB23ACF" w14:textId="77777777" w:rsidR="00000000" w:rsidRDefault="001F1B20">
            <w:pPr>
              <w:pStyle w:val="a3"/>
              <w:spacing w:before="0" w:beforeAutospacing="0" w:after="0" w:afterAutospacing="0"/>
              <w:ind w:right="60"/>
              <w:jc w:val="right"/>
              <w:rPr>
                <w:sz w:val="16"/>
                <w:szCs w:val="16"/>
              </w:rPr>
            </w:pPr>
            <w:r>
              <w:rPr>
                <w:sz w:val="16"/>
                <w:szCs w:val="16"/>
              </w:rPr>
              <w:t>73,698</w:t>
            </w:r>
          </w:p>
        </w:tc>
        <w:tc>
          <w:tcPr>
            <w:tcW w:w="76" w:type="pct"/>
            <w:noWrap/>
            <w:tcMar>
              <w:top w:w="0" w:type="dxa"/>
              <w:left w:w="0" w:type="dxa"/>
              <w:bottom w:w="0" w:type="dxa"/>
              <w:right w:w="0" w:type="dxa"/>
            </w:tcMar>
            <w:vAlign w:val="bottom"/>
            <w:hideMark/>
          </w:tcPr>
          <w:p w14:paraId="76870E2F" w14:textId="77777777" w:rsidR="00000000" w:rsidRDefault="001F1B20">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14:paraId="36380BFF" w14:textId="77777777" w:rsidR="00000000" w:rsidRDefault="001F1B20">
            <w:pPr>
              <w:pStyle w:val="a3"/>
              <w:spacing w:before="0" w:beforeAutospacing="0" w:after="0" w:afterAutospacing="0"/>
              <w:rPr>
                <w:sz w:val="16"/>
                <w:szCs w:val="16"/>
              </w:rPr>
            </w:pPr>
            <w:r>
              <w:rPr>
                <w:sz w:val="16"/>
                <w:szCs w:val="16"/>
              </w:rPr>
              <w:t>$</w:t>
            </w:r>
          </w:p>
        </w:tc>
        <w:tc>
          <w:tcPr>
            <w:tcW w:w="343" w:type="pct"/>
            <w:tcBorders>
              <w:bottom w:val="double" w:sz="6" w:space="0" w:color="000000"/>
            </w:tcBorders>
            <w:noWrap/>
            <w:tcMar>
              <w:top w:w="0" w:type="dxa"/>
              <w:left w:w="0" w:type="dxa"/>
              <w:bottom w:w="0" w:type="dxa"/>
              <w:right w:w="0" w:type="dxa"/>
            </w:tcMar>
            <w:vAlign w:val="bottom"/>
            <w:hideMark/>
          </w:tcPr>
          <w:p w14:paraId="1F311745" w14:textId="77777777" w:rsidR="00000000" w:rsidRDefault="001F1B20">
            <w:pPr>
              <w:pStyle w:val="a3"/>
              <w:spacing w:before="0" w:beforeAutospacing="0" w:after="0" w:afterAutospacing="0"/>
              <w:ind w:right="60"/>
              <w:jc w:val="right"/>
              <w:rPr>
                <w:sz w:val="16"/>
                <w:szCs w:val="16"/>
              </w:rPr>
            </w:pPr>
            <w:r>
              <w:rPr>
                <w:sz w:val="16"/>
                <w:szCs w:val="16"/>
              </w:rPr>
              <w:t>1</w:t>
            </w:r>
          </w:p>
        </w:tc>
        <w:tc>
          <w:tcPr>
            <w:tcW w:w="77" w:type="pct"/>
            <w:noWrap/>
            <w:tcMar>
              <w:top w:w="0" w:type="dxa"/>
              <w:left w:w="0" w:type="dxa"/>
              <w:bottom w:w="0" w:type="dxa"/>
              <w:right w:w="0" w:type="dxa"/>
            </w:tcMar>
            <w:vAlign w:val="bottom"/>
            <w:hideMark/>
          </w:tcPr>
          <w:p w14:paraId="39567F8B" w14:textId="77777777" w:rsidR="00000000" w:rsidRDefault="001F1B20">
            <w:pPr>
              <w:pStyle w:val="a3"/>
              <w:spacing w:before="0" w:beforeAutospacing="0" w:after="0" w:afterAutospacing="0"/>
              <w:rPr>
                <w:sz w:val="20"/>
                <w:szCs w:val="20"/>
              </w:rPr>
            </w:pPr>
            <w:r>
              <w:rPr>
                <w:sz w:val="16"/>
                <w:szCs w:val="16"/>
              </w:rPr>
              <w:t>​</w:t>
            </w:r>
          </w:p>
        </w:tc>
        <w:tc>
          <w:tcPr>
            <w:tcW w:w="77" w:type="pct"/>
            <w:tcBorders>
              <w:bottom w:val="double" w:sz="6" w:space="0" w:color="000000"/>
            </w:tcBorders>
            <w:noWrap/>
            <w:tcMar>
              <w:top w:w="0" w:type="dxa"/>
              <w:left w:w="0" w:type="dxa"/>
              <w:bottom w:w="0" w:type="dxa"/>
              <w:right w:w="0" w:type="dxa"/>
            </w:tcMar>
            <w:vAlign w:val="bottom"/>
            <w:hideMark/>
          </w:tcPr>
          <w:p w14:paraId="4667CA4B" w14:textId="77777777" w:rsidR="00000000" w:rsidRDefault="001F1B20">
            <w:pPr>
              <w:pStyle w:val="a3"/>
              <w:spacing w:before="0" w:beforeAutospacing="0" w:after="0" w:afterAutospacing="0"/>
              <w:rPr>
                <w:sz w:val="16"/>
                <w:szCs w:val="16"/>
              </w:rPr>
            </w:pPr>
            <w:r>
              <w:rPr>
                <w:sz w:val="16"/>
                <w:szCs w:val="16"/>
              </w:rPr>
              <w:t>$</w:t>
            </w:r>
          </w:p>
        </w:tc>
        <w:tc>
          <w:tcPr>
            <w:tcW w:w="367" w:type="pct"/>
            <w:tcBorders>
              <w:bottom w:val="double" w:sz="6" w:space="0" w:color="000000"/>
            </w:tcBorders>
            <w:noWrap/>
            <w:tcMar>
              <w:top w:w="0" w:type="dxa"/>
              <w:left w:w="0" w:type="dxa"/>
              <w:bottom w:w="0" w:type="dxa"/>
              <w:right w:w="0" w:type="dxa"/>
            </w:tcMar>
            <w:vAlign w:val="bottom"/>
            <w:hideMark/>
          </w:tcPr>
          <w:p w14:paraId="16C86E13" w14:textId="77777777" w:rsidR="00000000" w:rsidRDefault="001F1B20">
            <w:pPr>
              <w:pStyle w:val="a3"/>
              <w:spacing w:before="0" w:beforeAutospacing="0" w:after="0" w:afterAutospacing="0"/>
              <w:ind w:right="60"/>
              <w:jc w:val="right"/>
              <w:rPr>
                <w:sz w:val="16"/>
                <w:szCs w:val="16"/>
              </w:rPr>
            </w:pPr>
            <w:r>
              <w:rPr>
                <w:sz w:val="16"/>
                <w:szCs w:val="16"/>
              </w:rPr>
              <w:t>1,370,402</w:t>
            </w:r>
          </w:p>
        </w:tc>
        <w:tc>
          <w:tcPr>
            <w:tcW w:w="77" w:type="pct"/>
            <w:noWrap/>
            <w:tcMar>
              <w:top w:w="0" w:type="dxa"/>
              <w:left w:w="0" w:type="dxa"/>
              <w:bottom w:w="0" w:type="dxa"/>
              <w:right w:w="0" w:type="dxa"/>
            </w:tcMar>
            <w:vAlign w:val="bottom"/>
            <w:hideMark/>
          </w:tcPr>
          <w:p w14:paraId="223385AD" w14:textId="77777777" w:rsidR="00000000" w:rsidRDefault="001F1B20">
            <w:pPr>
              <w:pStyle w:val="a3"/>
              <w:spacing w:before="0" w:beforeAutospacing="0" w:after="0" w:afterAutospacing="0"/>
              <w:rPr>
                <w:sz w:val="20"/>
                <w:szCs w:val="20"/>
              </w:rPr>
            </w:pPr>
            <w:r>
              <w:rPr>
                <w:sz w:val="16"/>
                <w:szCs w:val="16"/>
              </w:rPr>
              <w:t>​</w:t>
            </w:r>
          </w:p>
        </w:tc>
        <w:tc>
          <w:tcPr>
            <w:tcW w:w="107" w:type="pct"/>
            <w:tcBorders>
              <w:bottom w:val="double" w:sz="6" w:space="0" w:color="000000"/>
            </w:tcBorders>
            <w:noWrap/>
            <w:tcMar>
              <w:top w:w="0" w:type="dxa"/>
              <w:left w:w="0" w:type="dxa"/>
              <w:bottom w:w="0" w:type="dxa"/>
              <w:right w:w="0" w:type="dxa"/>
            </w:tcMar>
            <w:vAlign w:val="bottom"/>
            <w:hideMark/>
          </w:tcPr>
          <w:p w14:paraId="2D9C0F39" w14:textId="77777777" w:rsidR="00000000" w:rsidRDefault="001F1B20">
            <w:pPr>
              <w:pStyle w:val="a3"/>
              <w:spacing w:before="0" w:beforeAutospacing="0" w:after="0" w:afterAutospacing="0"/>
              <w:rPr>
                <w:sz w:val="16"/>
                <w:szCs w:val="16"/>
              </w:rPr>
            </w:pPr>
            <w:r>
              <w:rPr>
                <w:sz w:val="16"/>
                <w:szCs w:val="16"/>
              </w:rPr>
              <w:t>$</w:t>
            </w:r>
          </w:p>
        </w:tc>
        <w:tc>
          <w:tcPr>
            <w:tcW w:w="421" w:type="pct"/>
            <w:tcBorders>
              <w:bottom w:val="double" w:sz="6" w:space="0" w:color="000000"/>
            </w:tcBorders>
            <w:noWrap/>
            <w:tcMar>
              <w:top w:w="0" w:type="dxa"/>
              <w:left w:w="0" w:type="dxa"/>
              <w:bottom w:w="0" w:type="dxa"/>
              <w:right w:w="0" w:type="dxa"/>
            </w:tcMar>
            <w:vAlign w:val="bottom"/>
            <w:hideMark/>
          </w:tcPr>
          <w:p w14:paraId="5700BB39" w14:textId="77777777" w:rsidR="00000000" w:rsidRDefault="001F1B20">
            <w:pPr>
              <w:pStyle w:val="a3"/>
              <w:spacing w:before="0" w:beforeAutospacing="0" w:after="0" w:afterAutospacing="0"/>
              <w:ind w:right="60"/>
              <w:jc w:val="right"/>
              <w:rPr>
                <w:sz w:val="16"/>
                <w:szCs w:val="16"/>
              </w:rPr>
            </w:pPr>
            <w:r>
              <w:rPr>
                <w:sz w:val="16"/>
                <w:szCs w:val="16"/>
              </w:rPr>
              <w:t>14</w:t>
            </w:r>
          </w:p>
        </w:tc>
        <w:tc>
          <w:tcPr>
            <w:tcW w:w="77" w:type="pct"/>
            <w:noWrap/>
            <w:tcMar>
              <w:top w:w="0" w:type="dxa"/>
              <w:left w:w="0" w:type="dxa"/>
              <w:bottom w:w="0" w:type="dxa"/>
              <w:right w:w="0" w:type="dxa"/>
            </w:tcMar>
            <w:vAlign w:val="bottom"/>
            <w:hideMark/>
          </w:tcPr>
          <w:p w14:paraId="521B586A" w14:textId="77777777" w:rsidR="00000000" w:rsidRDefault="001F1B20">
            <w:pPr>
              <w:pStyle w:val="a3"/>
              <w:spacing w:before="0" w:beforeAutospacing="0" w:after="0" w:afterAutospacing="0"/>
              <w:rPr>
                <w:sz w:val="20"/>
                <w:szCs w:val="20"/>
              </w:rPr>
            </w:pPr>
            <w:r>
              <w:rPr>
                <w:sz w:val="16"/>
                <w:szCs w:val="16"/>
              </w:rPr>
              <w:t>​</w:t>
            </w:r>
          </w:p>
        </w:tc>
        <w:tc>
          <w:tcPr>
            <w:tcW w:w="91" w:type="pct"/>
            <w:tcBorders>
              <w:bottom w:val="double" w:sz="6" w:space="0" w:color="000000"/>
            </w:tcBorders>
            <w:noWrap/>
            <w:tcMar>
              <w:top w:w="0" w:type="dxa"/>
              <w:left w:w="0" w:type="dxa"/>
              <w:bottom w:w="0" w:type="dxa"/>
              <w:right w:w="0" w:type="dxa"/>
            </w:tcMar>
            <w:vAlign w:val="bottom"/>
            <w:hideMark/>
          </w:tcPr>
          <w:p w14:paraId="7E1BCB1F" w14:textId="77777777" w:rsidR="00000000" w:rsidRDefault="001F1B20">
            <w:pPr>
              <w:pStyle w:val="a3"/>
              <w:spacing w:before="0" w:beforeAutospacing="0" w:after="0" w:afterAutospacing="0"/>
              <w:rPr>
                <w:sz w:val="16"/>
                <w:szCs w:val="16"/>
              </w:rPr>
            </w:pPr>
            <w:r>
              <w:rPr>
                <w:sz w:val="16"/>
                <w:szCs w:val="16"/>
              </w:rPr>
              <w:t>$</w:t>
            </w:r>
          </w:p>
        </w:tc>
        <w:tc>
          <w:tcPr>
            <w:tcW w:w="390" w:type="pct"/>
            <w:tcBorders>
              <w:bottom w:val="double" w:sz="6" w:space="0" w:color="000000"/>
            </w:tcBorders>
            <w:noWrap/>
            <w:tcMar>
              <w:top w:w="0" w:type="dxa"/>
              <w:left w:w="0" w:type="dxa"/>
              <w:bottom w:w="0" w:type="dxa"/>
              <w:right w:w="0" w:type="dxa"/>
            </w:tcMar>
            <w:vAlign w:val="bottom"/>
            <w:hideMark/>
          </w:tcPr>
          <w:p w14:paraId="0B4C64B1" w14:textId="77777777" w:rsidR="00000000" w:rsidRDefault="001F1B20">
            <w:pPr>
              <w:pStyle w:val="a3"/>
              <w:spacing w:before="0" w:beforeAutospacing="0" w:after="0" w:afterAutospacing="0"/>
              <w:jc w:val="right"/>
              <w:rPr>
                <w:sz w:val="16"/>
                <w:szCs w:val="16"/>
              </w:rPr>
            </w:pPr>
            <w:r>
              <w:rPr>
                <w:sz w:val="16"/>
                <w:szCs w:val="16"/>
              </w:rPr>
              <w:t>(1,694,009)</w:t>
            </w:r>
          </w:p>
        </w:tc>
        <w:tc>
          <w:tcPr>
            <w:tcW w:w="77" w:type="pct"/>
            <w:noWrap/>
            <w:tcMar>
              <w:top w:w="0" w:type="dxa"/>
              <w:left w:w="0" w:type="dxa"/>
              <w:bottom w:w="0" w:type="dxa"/>
              <w:right w:w="0" w:type="dxa"/>
            </w:tcMar>
            <w:vAlign w:val="bottom"/>
            <w:hideMark/>
          </w:tcPr>
          <w:p w14:paraId="0CBF9AAB" w14:textId="77777777" w:rsidR="00000000" w:rsidRDefault="001F1B20">
            <w:pPr>
              <w:pStyle w:val="a3"/>
              <w:spacing w:before="0" w:beforeAutospacing="0" w:after="0" w:afterAutospacing="0"/>
              <w:rPr>
                <w:sz w:val="20"/>
                <w:szCs w:val="20"/>
              </w:rPr>
            </w:pPr>
            <w:r>
              <w:rPr>
                <w:sz w:val="16"/>
                <w:szCs w:val="16"/>
              </w:rPr>
              <w:t>​</w:t>
            </w:r>
          </w:p>
        </w:tc>
        <w:tc>
          <w:tcPr>
            <w:tcW w:w="96" w:type="pct"/>
            <w:tcBorders>
              <w:bottom w:val="double" w:sz="6" w:space="0" w:color="000000"/>
            </w:tcBorders>
            <w:noWrap/>
            <w:tcMar>
              <w:top w:w="0" w:type="dxa"/>
              <w:left w:w="0" w:type="dxa"/>
              <w:bottom w:w="0" w:type="dxa"/>
              <w:right w:w="0" w:type="dxa"/>
            </w:tcMar>
            <w:vAlign w:val="bottom"/>
            <w:hideMark/>
          </w:tcPr>
          <w:p w14:paraId="2D9D46B9" w14:textId="77777777" w:rsidR="00000000" w:rsidRDefault="001F1B20">
            <w:pPr>
              <w:pStyle w:val="a3"/>
              <w:spacing w:before="0" w:beforeAutospacing="0" w:after="0" w:afterAutospacing="0"/>
              <w:rPr>
                <w:sz w:val="16"/>
                <w:szCs w:val="16"/>
              </w:rPr>
            </w:pPr>
            <w:r>
              <w:rPr>
                <w:sz w:val="16"/>
                <w:szCs w:val="16"/>
              </w:rPr>
              <w:t>$</w:t>
            </w:r>
          </w:p>
        </w:tc>
        <w:tc>
          <w:tcPr>
            <w:tcW w:w="375" w:type="pct"/>
            <w:tcBorders>
              <w:bottom w:val="double" w:sz="6" w:space="0" w:color="000000"/>
            </w:tcBorders>
            <w:noWrap/>
            <w:tcMar>
              <w:top w:w="0" w:type="dxa"/>
              <w:left w:w="0" w:type="dxa"/>
              <w:bottom w:w="0" w:type="dxa"/>
              <w:right w:w="0" w:type="dxa"/>
            </w:tcMar>
            <w:vAlign w:val="bottom"/>
            <w:hideMark/>
          </w:tcPr>
          <w:p w14:paraId="05AEEE51" w14:textId="77777777" w:rsidR="00000000" w:rsidRDefault="001F1B20">
            <w:pPr>
              <w:pStyle w:val="a3"/>
              <w:spacing w:before="0" w:beforeAutospacing="0" w:after="0" w:afterAutospacing="0"/>
              <w:jc w:val="right"/>
              <w:rPr>
                <w:sz w:val="16"/>
                <w:szCs w:val="16"/>
              </w:rPr>
            </w:pPr>
            <w:r>
              <w:rPr>
                <w:sz w:val="16"/>
                <w:szCs w:val="16"/>
              </w:rPr>
              <w:t>(323,592)</w:t>
            </w:r>
          </w:p>
        </w:tc>
      </w:tr>
      <w:tr w:rsidR="00000000" w14:paraId="2C54E659" w14:textId="77777777">
        <w:trPr>
          <w:divId w:val="1901865854"/>
        </w:trPr>
        <w:tc>
          <w:tcPr>
            <w:tcW w:w="1845" w:type="pct"/>
            <w:tcMar>
              <w:top w:w="0" w:type="dxa"/>
              <w:left w:w="0" w:type="dxa"/>
              <w:bottom w:w="0" w:type="dxa"/>
              <w:right w:w="0" w:type="dxa"/>
            </w:tcMar>
            <w:vAlign w:val="bottom"/>
            <w:hideMark/>
          </w:tcPr>
          <w:p w14:paraId="5332D2A1"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FC74E24"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7C0DAB3E" w14:textId="77777777" w:rsidR="00000000" w:rsidRDefault="001F1B20">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336F6681"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53BC3BCD" w14:textId="77777777" w:rsidR="00000000" w:rsidRDefault="001F1B20">
            <w:pPr>
              <w:pStyle w:val="a3"/>
              <w:spacing w:before="0" w:beforeAutospacing="0" w:after="0" w:afterAutospacing="0"/>
              <w:jc w:val="center"/>
              <w:rPr>
                <w:sz w:val="20"/>
                <w:szCs w:val="20"/>
              </w:rPr>
            </w:pPr>
            <w:r>
              <w:rPr>
                <w:sz w:val="16"/>
                <w:szCs w:val="16"/>
              </w:rPr>
              <w:t>​</w:t>
            </w:r>
          </w:p>
        </w:tc>
        <w:tc>
          <w:tcPr>
            <w:tcW w:w="343" w:type="pct"/>
            <w:noWrap/>
            <w:tcMar>
              <w:top w:w="0" w:type="dxa"/>
              <w:left w:w="0" w:type="dxa"/>
              <w:bottom w:w="0" w:type="dxa"/>
              <w:right w:w="0" w:type="dxa"/>
            </w:tcMar>
            <w:vAlign w:val="bottom"/>
            <w:hideMark/>
          </w:tcPr>
          <w:p w14:paraId="774F189C"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30702384"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590F48C2" w14:textId="77777777" w:rsidR="00000000" w:rsidRDefault="001F1B20">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3A671118"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1F079EA9"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025E842D" w14:textId="77777777" w:rsidR="00000000" w:rsidRDefault="001F1B20">
            <w:pPr>
              <w:pStyle w:val="a3"/>
              <w:spacing w:before="0" w:beforeAutospacing="0" w:after="0"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14:paraId="7F017076"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75444EF6"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58961A18" w14:textId="77777777" w:rsidR="00000000" w:rsidRDefault="001F1B20">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1173E5C3"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2642118E"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4FA83267" w14:textId="77777777" w:rsidR="00000000" w:rsidRDefault="001F1B20">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02A26DA4" w14:textId="77777777" w:rsidR="00000000" w:rsidRDefault="001F1B20">
            <w:pPr>
              <w:pStyle w:val="a3"/>
              <w:spacing w:before="0" w:beforeAutospacing="0" w:after="0" w:afterAutospacing="0"/>
              <w:jc w:val="right"/>
              <w:rPr>
                <w:sz w:val="20"/>
                <w:szCs w:val="20"/>
              </w:rPr>
            </w:pPr>
            <w:r>
              <w:rPr>
                <w:sz w:val="16"/>
                <w:szCs w:val="16"/>
              </w:rPr>
              <w:t>​</w:t>
            </w:r>
          </w:p>
        </w:tc>
      </w:tr>
      <w:tr w:rsidR="00000000" w14:paraId="754E390A" w14:textId="77777777">
        <w:trPr>
          <w:divId w:val="1901865854"/>
        </w:trPr>
        <w:tc>
          <w:tcPr>
            <w:tcW w:w="1845" w:type="pct"/>
            <w:tcMar>
              <w:top w:w="0" w:type="dxa"/>
              <w:left w:w="0" w:type="dxa"/>
              <w:bottom w:w="0" w:type="dxa"/>
              <w:right w:w="0" w:type="dxa"/>
            </w:tcMar>
            <w:vAlign w:val="bottom"/>
            <w:hideMark/>
          </w:tcPr>
          <w:p w14:paraId="5015BFE5"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6D6FA3AF"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6EE75533"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BBC83A2"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A12AC4D" w14:textId="77777777" w:rsidR="00000000" w:rsidRDefault="001F1B20">
            <w:pPr>
              <w:pStyle w:val="a3"/>
              <w:spacing w:before="0" w:beforeAutospacing="0" w:after="0" w:afterAutospacing="0"/>
              <w:jc w:val="center"/>
              <w:rPr>
                <w:sz w:val="20"/>
                <w:szCs w:val="20"/>
              </w:rPr>
            </w:pPr>
            <w:r>
              <w:rPr>
                <w:sz w:val="16"/>
                <w:szCs w:val="16"/>
              </w:rPr>
              <w:t>​</w:t>
            </w:r>
          </w:p>
        </w:tc>
        <w:tc>
          <w:tcPr>
            <w:tcW w:w="343" w:type="pct"/>
            <w:noWrap/>
            <w:tcMar>
              <w:top w:w="0" w:type="dxa"/>
              <w:left w:w="0" w:type="dxa"/>
              <w:bottom w:w="0" w:type="dxa"/>
              <w:right w:w="0" w:type="dxa"/>
            </w:tcMar>
            <w:vAlign w:val="bottom"/>
            <w:hideMark/>
          </w:tcPr>
          <w:p w14:paraId="4968E6A1"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58649477"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25A07B3D" w14:textId="77777777" w:rsidR="00000000" w:rsidRDefault="001F1B20">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18A49D1E"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7E2C4616" w14:textId="77777777" w:rsidR="00000000" w:rsidRDefault="001F1B20">
            <w:pPr>
              <w:pStyle w:val="a3"/>
              <w:spacing w:before="0" w:beforeAutospacing="0" w:after="0" w:afterAutospacing="0"/>
              <w:rPr>
                <w:sz w:val="20"/>
                <w:szCs w:val="20"/>
              </w:rPr>
            </w:pPr>
            <w:r>
              <w:rPr>
                <w:sz w:val="16"/>
                <w:szCs w:val="16"/>
              </w:rPr>
              <w:t>​</w:t>
            </w:r>
          </w:p>
        </w:tc>
        <w:tc>
          <w:tcPr>
            <w:tcW w:w="529" w:type="pct"/>
            <w:gridSpan w:val="2"/>
            <w:noWrap/>
            <w:tcMar>
              <w:top w:w="0" w:type="dxa"/>
              <w:left w:w="0" w:type="dxa"/>
              <w:bottom w:w="0" w:type="dxa"/>
              <w:right w:w="0" w:type="dxa"/>
            </w:tcMar>
            <w:vAlign w:val="bottom"/>
            <w:hideMark/>
          </w:tcPr>
          <w:p w14:paraId="0389B10F" w14:textId="77777777" w:rsidR="00000000" w:rsidRDefault="001F1B20">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14:paraId="545A31B0" w14:textId="77777777" w:rsidR="00000000" w:rsidRDefault="001F1B2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23311158" w14:textId="77777777" w:rsidR="00000000" w:rsidRDefault="001F1B20">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2C731FBB"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57951CB4"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0E7B0215" w14:textId="77777777" w:rsidR="00000000" w:rsidRDefault="001F1B20">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200B8731" w14:textId="77777777" w:rsidR="00000000" w:rsidRDefault="001F1B20">
            <w:pPr>
              <w:pStyle w:val="a3"/>
              <w:spacing w:before="0" w:beforeAutospacing="0" w:after="0" w:afterAutospacing="0"/>
              <w:rPr>
                <w:sz w:val="20"/>
                <w:szCs w:val="20"/>
              </w:rPr>
            </w:pPr>
            <w:r>
              <w:rPr>
                <w:sz w:val="16"/>
                <w:szCs w:val="16"/>
              </w:rPr>
              <w:t>​</w:t>
            </w:r>
          </w:p>
        </w:tc>
      </w:tr>
      <w:tr w:rsidR="00000000" w14:paraId="015479AA" w14:textId="77777777">
        <w:trPr>
          <w:divId w:val="1901865854"/>
        </w:trPr>
        <w:tc>
          <w:tcPr>
            <w:tcW w:w="1845" w:type="pct"/>
            <w:tcMar>
              <w:top w:w="0" w:type="dxa"/>
              <w:left w:w="0" w:type="dxa"/>
              <w:bottom w:w="0" w:type="dxa"/>
              <w:right w:w="0" w:type="dxa"/>
            </w:tcMar>
            <w:vAlign w:val="bottom"/>
            <w:hideMark/>
          </w:tcPr>
          <w:p w14:paraId="54EF3775"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82F6309" w14:textId="77777777" w:rsidR="00000000" w:rsidRDefault="001F1B20">
            <w:pPr>
              <w:pStyle w:val="a3"/>
              <w:spacing w:before="0" w:beforeAutospacing="0" w:after="0" w:afterAutospacing="0"/>
              <w:rPr>
                <w:sz w:val="20"/>
                <w:szCs w:val="20"/>
              </w:rPr>
            </w:pPr>
            <w:r>
              <w:rPr>
                <w:sz w:val="16"/>
                <w:szCs w:val="16"/>
              </w:rPr>
              <w:t>​</w:t>
            </w:r>
          </w:p>
        </w:tc>
        <w:tc>
          <w:tcPr>
            <w:tcW w:w="343" w:type="pct"/>
            <w:tcMar>
              <w:top w:w="0" w:type="dxa"/>
              <w:left w:w="0" w:type="dxa"/>
              <w:bottom w:w="0" w:type="dxa"/>
              <w:right w:w="0" w:type="dxa"/>
            </w:tcMar>
            <w:vAlign w:val="bottom"/>
            <w:hideMark/>
          </w:tcPr>
          <w:p w14:paraId="4CF740D0"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447E3ECF"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3A3C5D79" w14:textId="77777777" w:rsidR="00000000" w:rsidRDefault="001F1B20">
            <w:pPr>
              <w:pStyle w:val="a3"/>
              <w:spacing w:before="0" w:beforeAutospacing="0" w:after="0" w:afterAutospacing="0"/>
              <w:jc w:val="center"/>
              <w:rPr>
                <w:sz w:val="20"/>
                <w:szCs w:val="20"/>
              </w:rPr>
            </w:pPr>
            <w:r>
              <w:rPr>
                <w:b/>
                <w:bCs/>
                <w:sz w:val="16"/>
                <w:szCs w:val="16"/>
              </w:rPr>
              <w:t>​</w:t>
            </w:r>
          </w:p>
        </w:tc>
        <w:tc>
          <w:tcPr>
            <w:tcW w:w="343" w:type="pct"/>
            <w:tcMar>
              <w:top w:w="0" w:type="dxa"/>
              <w:left w:w="0" w:type="dxa"/>
              <w:bottom w:w="0" w:type="dxa"/>
              <w:right w:w="0" w:type="dxa"/>
            </w:tcMar>
            <w:vAlign w:val="bottom"/>
            <w:hideMark/>
          </w:tcPr>
          <w:p w14:paraId="38DAAF5E" w14:textId="77777777" w:rsidR="00000000" w:rsidRDefault="001F1B20">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14:paraId="38867CC5" w14:textId="77777777" w:rsidR="00000000" w:rsidRDefault="001F1B20">
            <w:pPr>
              <w:pStyle w:val="a3"/>
              <w:spacing w:before="0" w:beforeAutospacing="0" w:after="0" w:afterAutospacing="0"/>
              <w:rPr>
                <w:sz w:val="20"/>
                <w:szCs w:val="20"/>
              </w:rPr>
            </w:pPr>
            <w:r>
              <w:rPr>
                <w:b/>
                <w:bCs/>
                <w:sz w:val="16"/>
                <w:szCs w:val="16"/>
              </w:rPr>
              <w:t>​</w:t>
            </w:r>
          </w:p>
        </w:tc>
        <w:tc>
          <w:tcPr>
            <w:tcW w:w="444" w:type="pct"/>
            <w:gridSpan w:val="2"/>
            <w:noWrap/>
            <w:tcMar>
              <w:top w:w="0" w:type="dxa"/>
              <w:left w:w="0" w:type="dxa"/>
              <w:bottom w:w="0" w:type="dxa"/>
              <w:right w:w="0" w:type="dxa"/>
            </w:tcMar>
            <w:vAlign w:val="bottom"/>
            <w:hideMark/>
          </w:tcPr>
          <w:p w14:paraId="1A6D6052" w14:textId="77777777" w:rsidR="00000000" w:rsidRDefault="001F1B20">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14:paraId="7114D997" w14:textId="77777777" w:rsidR="00000000" w:rsidRDefault="001F1B20">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14:paraId="47EC71B6" w14:textId="77777777" w:rsidR="00000000" w:rsidRDefault="001F1B20">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14:paraId="54D336B2" w14:textId="77777777" w:rsidR="00000000" w:rsidRDefault="001F1B20">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14:paraId="45E633DD" w14:textId="77777777" w:rsidR="00000000" w:rsidRDefault="001F1B20">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14:paraId="2B608006" w14:textId="77777777" w:rsidR="00000000" w:rsidRDefault="001F1B20">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14:paraId="301C3EBF" w14:textId="77777777" w:rsidR="00000000" w:rsidRDefault="001F1B20">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469FF3B0" w14:textId="77777777" w:rsidR="00000000" w:rsidRDefault="001F1B20">
            <w:pPr>
              <w:pStyle w:val="a3"/>
              <w:spacing w:before="0" w:beforeAutospacing="0" w:after="0" w:afterAutospacing="0"/>
              <w:jc w:val="center"/>
              <w:rPr>
                <w:sz w:val="16"/>
                <w:szCs w:val="16"/>
              </w:rPr>
            </w:pPr>
            <w:r>
              <w:rPr>
                <w:b/>
                <w:bCs/>
                <w:sz w:val="16"/>
                <w:szCs w:val="16"/>
              </w:rPr>
              <w:t>Total</w:t>
            </w:r>
          </w:p>
        </w:tc>
      </w:tr>
      <w:tr w:rsidR="00000000" w14:paraId="24A85191" w14:textId="77777777">
        <w:trPr>
          <w:divId w:val="1901865854"/>
        </w:trPr>
        <w:tc>
          <w:tcPr>
            <w:tcW w:w="1845" w:type="pct"/>
            <w:tcMar>
              <w:top w:w="0" w:type="dxa"/>
              <w:left w:w="0" w:type="dxa"/>
              <w:bottom w:w="0" w:type="dxa"/>
              <w:right w:w="0" w:type="dxa"/>
            </w:tcMar>
            <w:vAlign w:val="bottom"/>
            <w:hideMark/>
          </w:tcPr>
          <w:p w14:paraId="20CC1041"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F984882" w14:textId="77777777" w:rsidR="00000000" w:rsidRDefault="001F1B20">
            <w:pPr>
              <w:pStyle w:val="a3"/>
              <w:spacing w:before="0" w:beforeAutospacing="0" w:after="0" w:afterAutospacing="0"/>
              <w:rPr>
                <w:sz w:val="20"/>
                <w:szCs w:val="20"/>
              </w:rPr>
            </w:pPr>
            <w:r>
              <w:rPr>
                <w:sz w:val="16"/>
                <w:szCs w:val="16"/>
              </w:rPr>
              <w:t>​</w:t>
            </w:r>
          </w:p>
        </w:tc>
        <w:tc>
          <w:tcPr>
            <w:tcW w:w="840" w:type="pct"/>
            <w:gridSpan w:val="4"/>
            <w:tcBorders>
              <w:bottom w:val="single" w:sz="6" w:space="0" w:color="000000"/>
            </w:tcBorders>
            <w:noWrap/>
            <w:tcMar>
              <w:top w:w="0" w:type="dxa"/>
              <w:left w:w="0" w:type="dxa"/>
              <w:bottom w:w="0" w:type="dxa"/>
              <w:right w:w="0" w:type="dxa"/>
            </w:tcMar>
            <w:vAlign w:val="bottom"/>
            <w:hideMark/>
          </w:tcPr>
          <w:p w14:paraId="20227FBA" w14:textId="77777777" w:rsidR="00000000" w:rsidRDefault="001F1B20">
            <w:pPr>
              <w:pStyle w:val="a3"/>
              <w:spacing w:before="0" w:beforeAutospacing="0" w:after="0" w:afterAutospacing="0"/>
              <w:jc w:val="center"/>
              <w:rPr>
                <w:sz w:val="16"/>
                <w:szCs w:val="16"/>
              </w:rPr>
            </w:pPr>
            <w:r>
              <w:rPr>
                <w:b/>
                <w:bCs/>
                <w:sz w:val="16"/>
                <w:szCs w:val="16"/>
              </w:rPr>
              <w:t>Ordinary </w:t>
            </w:r>
            <w:r>
              <w:rPr>
                <w:b/>
                <w:bCs/>
                <w:sz w:val="16"/>
                <w:szCs w:val="16"/>
              </w:rPr>
              <w:t>Shares</w:t>
            </w:r>
          </w:p>
        </w:tc>
        <w:tc>
          <w:tcPr>
            <w:tcW w:w="77" w:type="pct"/>
            <w:tcMar>
              <w:top w:w="0" w:type="dxa"/>
              <w:left w:w="0" w:type="dxa"/>
              <w:bottom w:w="0" w:type="dxa"/>
              <w:right w:w="0" w:type="dxa"/>
            </w:tcMar>
            <w:vAlign w:val="bottom"/>
            <w:hideMark/>
          </w:tcPr>
          <w:p w14:paraId="668AD24B" w14:textId="77777777" w:rsidR="00000000" w:rsidRDefault="001F1B20">
            <w:pPr>
              <w:pStyle w:val="a3"/>
              <w:spacing w:before="0" w:beforeAutospacing="0" w:after="0" w:afterAutospacing="0"/>
              <w:rPr>
                <w:sz w:val="20"/>
                <w:szCs w:val="20"/>
              </w:rPr>
            </w:pPr>
            <w:r>
              <w:rPr>
                <w:b/>
                <w:bCs/>
                <w:sz w:val="16"/>
                <w:szCs w:val="16"/>
              </w:rPr>
              <w:t>​</w:t>
            </w:r>
          </w:p>
        </w:tc>
        <w:tc>
          <w:tcPr>
            <w:tcW w:w="444" w:type="pct"/>
            <w:gridSpan w:val="2"/>
            <w:noWrap/>
            <w:tcMar>
              <w:top w:w="0" w:type="dxa"/>
              <w:left w:w="0" w:type="dxa"/>
              <w:bottom w:w="0" w:type="dxa"/>
              <w:right w:w="0" w:type="dxa"/>
            </w:tcMar>
            <w:vAlign w:val="bottom"/>
            <w:hideMark/>
          </w:tcPr>
          <w:p w14:paraId="76B26B46" w14:textId="77777777" w:rsidR="00000000" w:rsidRDefault="001F1B20">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14:paraId="35CA4914" w14:textId="77777777" w:rsidR="00000000" w:rsidRDefault="001F1B20">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14:paraId="2C62466E" w14:textId="77777777" w:rsidR="00000000" w:rsidRDefault="001F1B20">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14:paraId="5134AC59" w14:textId="77777777" w:rsidR="00000000" w:rsidRDefault="001F1B20">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14:paraId="6CC4A99F" w14:textId="77777777" w:rsidR="00000000" w:rsidRDefault="001F1B20">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14:paraId="4FAC2A0D" w14:textId="77777777" w:rsidR="00000000" w:rsidRDefault="001F1B20">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1AD62724" w14:textId="77777777" w:rsidR="00000000" w:rsidRDefault="001F1B20">
            <w:pPr>
              <w:pStyle w:val="a3"/>
              <w:spacing w:before="0" w:beforeAutospacing="0" w:after="0" w:afterAutospacing="0"/>
              <w:jc w:val="center"/>
              <w:rPr>
                <w:sz w:val="16"/>
                <w:szCs w:val="16"/>
              </w:rPr>
            </w:pPr>
            <w:r>
              <w:rPr>
                <w:b/>
                <w:bCs/>
                <w:sz w:val="16"/>
                <w:szCs w:val="16"/>
              </w:rPr>
              <w:t>Shareholders'</w:t>
            </w:r>
          </w:p>
        </w:tc>
      </w:tr>
      <w:tr w:rsidR="00000000" w14:paraId="2D77508E" w14:textId="77777777">
        <w:trPr>
          <w:divId w:val="1901865854"/>
        </w:trPr>
        <w:tc>
          <w:tcPr>
            <w:tcW w:w="1845" w:type="pct"/>
            <w:tcMar>
              <w:top w:w="0" w:type="dxa"/>
              <w:left w:w="0" w:type="dxa"/>
              <w:bottom w:w="0" w:type="dxa"/>
              <w:right w:w="0" w:type="dxa"/>
            </w:tcMar>
            <w:vAlign w:val="bottom"/>
            <w:hideMark/>
          </w:tcPr>
          <w:p w14:paraId="684DF812"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1232C6EC"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single" w:sz="6" w:space="0" w:color="000000"/>
            </w:tcBorders>
            <w:noWrap/>
            <w:tcMar>
              <w:top w:w="0" w:type="dxa"/>
              <w:left w:w="0" w:type="dxa"/>
              <w:bottom w:w="0" w:type="dxa"/>
              <w:right w:w="0" w:type="dxa"/>
            </w:tcMar>
            <w:vAlign w:val="bottom"/>
            <w:hideMark/>
          </w:tcPr>
          <w:p w14:paraId="4106134B" w14:textId="77777777" w:rsidR="00000000" w:rsidRDefault="001F1B20">
            <w:pPr>
              <w:pStyle w:val="a3"/>
              <w:spacing w:before="0" w:beforeAutospacing="0" w:after="0" w:afterAutospacing="0"/>
              <w:jc w:val="center"/>
              <w:rPr>
                <w:sz w:val="16"/>
                <w:szCs w:val="16"/>
              </w:rPr>
            </w:pPr>
            <w:r>
              <w:rPr>
                <w:b/>
                <w:bCs/>
                <w:sz w:val="16"/>
                <w:szCs w:val="16"/>
              </w:rPr>
              <w:t>Shares</w:t>
            </w:r>
          </w:p>
        </w:tc>
        <w:tc>
          <w:tcPr>
            <w:tcW w:w="76" w:type="pct"/>
            <w:noWrap/>
            <w:tcMar>
              <w:top w:w="0" w:type="dxa"/>
              <w:left w:w="0" w:type="dxa"/>
              <w:bottom w:w="0" w:type="dxa"/>
              <w:right w:w="0" w:type="dxa"/>
            </w:tcMar>
            <w:vAlign w:val="bottom"/>
            <w:hideMark/>
          </w:tcPr>
          <w:p w14:paraId="211EE9A2" w14:textId="77777777" w:rsidR="00000000" w:rsidRDefault="001F1B20">
            <w:pPr>
              <w:pStyle w:val="a3"/>
              <w:spacing w:before="0" w:beforeAutospacing="0" w:after="0" w:afterAutospacing="0"/>
              <w:rPr>
                <w:sz w:val="16"/>
                <w:szCs w:val="16"/>
              </w:rPr>
            </w:pPr>
            <w:r>
              <w:rPr>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14:paraId="39F5A6F8" w14:textId="77777777" w:rsidR="00000000" w:rsidRDefault="001F1B20">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14:paraId="20135E00" w14:textId="77777777" w:rsidR="00000000" w:rsidRDefault="001F1B20">
            <w:pPr>
              <w:pStyle w:val="a3"/>
              <w:spacing w:before="0" w:beforeAutospacing="0" w:after="0" w:afterAutospacing="0"/>
              <w:rPr>
                <w:sz w:val="16"/>
                <w:szCs w:val="16"/>
              </w:rPr>
            </w:pPr>
            <w:r>
              <w:rPr>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14:paraId="2209DAAD" w14:textId="77777777" w:rsidR="00000000" w:rsidRDefault="001F1B20">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14:paraId="6F16ECEC" w14:textId="77777777" w:rsidR="00000000" w:rsidRDefault="001F1B20">
            <w:pPr>
              <w:pStyle w:val="a3"/>
              <w:spacing w:before="0" w:beforeAutospacing="0" w:after="0" w:afterAutospacing="0"/>
              <w:rPr>
                <w:sz w:val="16"/>
                <w:szCs w:val="16"/>
              </w:rPr>
            </w:pPr>
            <w:r>
              <w:rPr>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14:paraId="5D8BFDE9" w14:textId="77777777" w:rsidR="00000000" w:rsidRDefault="001F1B20">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14:paraId="5E98CE4D" w14:textId="77777777" w:rsidR="00000000" w:rsidRDefault="001F1B20">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14:paraId="272F4713" w14:textId="77777777" w:rsidR="00000000" w:rsidRDefault="001F1B20">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14:paraId="5BC67B58" w14:textId="77777777" w:rsidR="00000000" w:rsidRDefault="001F1B20">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14:paraId="6876B7D5" w14:textId="77777777" w:rsidR="00000000" w:rsidRDefault="001F1B20">
            <w:pPr>
              <w:pStyle w:val="a3"/>
              <w:spacing w:before="0" w:beforeAutospacing="0" w:after="0" w:afterAutospacing="0"/>
              <w:jc w:val="center"/>
              <w:rPr>
                <w:sz w:val="16"/>
                <w:szCs w:val="16"/>
              </w:rPr>
            </w:pPr>
            <w:r>
              <w:rPr>
                <w:b/>
                <w:bCs/>
                <w:sz w:val="16"/>
                <w:szCs w:val="16"/>
              </w:rPr>
              <w:t>Deficit</w:t>
            </w:r>
          </w:p>
        </w:tc>
      </w:tr>
      <w:tr w:rsidR="00000000" w14:paraId="5EBF8774" w14:textId="77777777">
        <w:trPr>
          <w:divId w:val="1901865854"/>
        </w:trPr>
        <w:tc>
          <w:tcPr>
            <w:tcW w:w="1845" w:type="pct"/>
            <w:shd w:val="clear" w:color="auto" w:fill="CCEEFF"/>
            <w:tcMar>
              <w:top w:w="0" w:type="dxa"/>
              <w:left w:w="0" w:type="dxa"/>
              <w:bottom w:w="0" w:type="dxa"/>
              <w:right w:w="0" w:type="dxa"/>
            </w:tcMar>
            <w:vAlign w:val="bottom"/>
            <w:hideMark/>
          </w:tcPr>
          <w:p w14:paraId="555A19D2" w14:textId="77777777" w:rsidR="00000000" w:rsidRDefault="001F1B20">
            <w:pPr>
              <w:pStyle w:val="a3"/>
              <w:spacing w:before="0" w:beforeAutospacing="0" w:after="0" w:afterAutospacing="0"/>
              <w:rPr>
                <w:sz w:val="16"/>
                <w:szCs w:val="16"/>
              </w:rPr>
            </w:pPr>
            <w:r>
              <w:rPr>
                <w:sz w:val="16"/>
                <w:szCs w:val="16"/>
              </w:rPr>
              <w:t>Balances at June 30, 2020</w:t>
            </w:r>
          </w:p>
        </w:tc>
        <w:tc>
          <w:tcPr>
            <w:tcW w:w="76" w:type="pct"/>
            <w:shd w:val="clear" w:color="auto" w:fill="CCEEFF"/>
            <w:noWrap/>
            <w:tcMar>
              <w:top w:w="0" w:type="dxa"/>
              <w:left w:w="0" w:type="dxa"/>
              <w:bottom w:w="0" w:type="dxa"/>
              <w:right w:w="0" w:type="dxa"/>
            </w:tcMar>
            <w:vAlign w:val="bottom"/>
            <w:hideMark/>
          </w:tcPr>
          <w:p w14:paraId="7C9D7D01"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40D188E6" w14:textId="77777777" w:rsidR="00000000" w:rsidRDefault="001F1B20">
            <w:pPr>
              <w:pStyle w:val="a3"/>
              <w:spacing w:before="0" w:beforeAutospacing="0" w:after="0" w:afterAutospacing="0"/>
              <w:ind w:right="60"/>
              <w:jc w:val="right"/>
              <w:rPr>
                <w:sz w:val="16"/>
                <w:szCs w:val="16"/>
              </w:rPr>
            </w:pPr>
            <w:r>
              <w:rPr>
                <w:sz w:val="16"/>
                <w:szCs w:val="16"/>
              </w:rPr>
              <w:t>63,515</w:t>
            </w:r>
          </w:p>
        </w:tc>
        <w:tc>
          <w:tcPr>
            <w:tcW w:w="76" w:type="pct"/>
            <w:shd w:val="clear" w:color="auto" w:fill="CCEEFF"/>
            <w:noWrap/>
            <w:tcMar>
              <w:top w:w="0" w:type="dxa"/>
              <w:left w:w="0" w:type="dxa"/>
              <w:bottom w:w="0" w:type="dxa"/>
              <w:right w:w="0" w:type="dxa"/>
            </w:tcMar>
            <w:vAlign w:val="bottom"/>
            <w:hideMark/>
          </w:tcPr>
          <w:p w14:paraId="417DAB02"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0D164232" w14:textId="77777777" w:rsidR="00000000" w:rsidRDefault="001F1B20">
            <w:pPr>
              <w:pStyle w:val="a3"/>
              <w:spacing w:before="0" w:beforeAutospacing="0" w:after="0"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14:paraId="29F6432B" w14:textId="77777777" w:rsidR="00000000" w:rsidRDefault="001F1B20">
            <w:pPr>
              <w:pStyle w:val="a3"/>
              <w:spacing w:before="0" w:beforeAutospacing="0" w:after="0" w:afterAutospacing="0"/>
              <w:ind w:right="6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14:paraId="677B9BA4"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0C0EC650" w14:textId="77777777" w:rsidR="00000000" w:rsidRDefault="001F1B20">
            <w:pPr>
              <w:pStyle w:val="a3"/>
              <w:spacing w:before="0" w:beforeAutospacing="0" w:after="0" w:afterAutospacing="0"/>
              <w:rPr>
                <w:sz w:val="16"/>
                <w:szCs w:val="16"/>
              </w:rPr>
            </w:pPr>
            <w:r>
              <w:rPr>
                <w:sz w:val="16"/>
                <w:szCs w:val="16"/>
              </w:rPr>
              <w:t>$</w:t>
            </w:r>
          </w:p>
        </w:tc>
        <w:tc>
          <w:tcPr>
            <w:tcW w:w="367" w:type="pct"/>
            <w:shd w:val="clear" w:color="auto" w:fill="CCEEFF"/>
            <w:noWrap/>
            <w:tcMar>
              <w:top w:w="0" w:type="dxa"/>
              <w:left w:w="0" w:type="dxa"/>
              <w:bottom w:w="0" w:type="dxa"/>
              <w:right w:w="0" w:type="dxa"/>
            </w:tcMar>
            <w:vAlign w:val="bottom"/>
            <w:hideMark/>
          </w:tcPr>
          <w:p w14:paraId="2DDA9579" w14:textId="77777777" w:rsidR="00000000" w:rsidRDefault="001F1B20">
            <w:pPr>
              <w:pStyle w:val="a3"/>
              <w:spacing w:before="0" w:beforeAutospacing="0" w:after="0" w:afterAutospacing="0"/>
              <w:rPr>
                <w:sz w:val="16"/>
                <w:szCs w:val="16"/>
              </w:rPr>
            </w:pPr>
            <w:r>
              <w:rPr>
                <w:sz w:val="16"/>
                <w:szCs w:val="16"/>
              </w:rPr>
              <w:t>1,191,923</w:t>
            </w:r>
          </w:p>
        </w:tc>
        <w:tc>
          <w:tcPr>
            <w:tcW w:w="77" w:type="pct"/>
            <w:shd w:val="clear" w:color="auto" w:fill="CCEEFF"/>
            <w:noWrap/>
            <w:tcMar>
              <w:top w:w="0" w:type="dxa"/>
              <w:left w:w="0" w:type="dxa"/>
              <w:bottom w:w="0" w:type="dxa"/>
              <w:right w:w="0" w:type="dxa"/>
            </w:tcMar>
            <w:vAlign w:val="bottom"/>
            <w:hideMark/>
          </w:tcPr>
          <w:p w14:paraId="35A51574"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1934DC75" w14:textId="77777777" w:rsidR="00000000" w:rsidRDefault="001F1B20">
            <w:pPr>
              <w:pStyle w:val="a3"/>
              <w:spacing w:before="0" w:beforeAutospacing="0" w:after="0" w:afterAutospacing="0"/>
              <w:rPr>
                <w:sz w:val="16"/>
                <w:szCs w:val="16"/>
              </w:rPr>
            </w:pPr>
            <w:r>
              <w:rPr>
                <w:sz w:val="16"/>
                <w:szCs w:val="16"/>
              </w:rPr>
              <w:t>$</w:t>
            </w:r>
          </w:p>
        </w:tc>
        <w:tc>
          <w:tcPr>
            <w:tcW w:w="421" w:type="pct"/>
            <w:shd w:val="clear" w:color="auto" w:fill="CCEEFF"/>
            <w:noWrap/>
            <w:tcMar>
              <w:top w:w="0" w:type="dxa"/>
              <w:left w:w="0" w:type="dxa"/>
              <w:bottom w:w="0" w:type="dxa"/>
              <w:right w:w="0" w:type="dxa"/>
            </w:tcMar>
            <w:vAlign w:val="bottom"/>
            <w:hideMark/>
          </w:tcPr>
          <w:p w14:paraId="1BFA3BC3" w14:textId="77777777" w:rsidR="00000000" w:rsidRDefault="001F1B20">
            <w:pPr>
              <w:pStyle w:val="a3"/>
              <w:spacing w:before="0" w:beforeAutospacing="0" w:after="0" w:afterAutospacing="0"/>
              <w:ind w:right="60"/>
              <w:jc w:val="right"/>
              <w:rPr>
                <w:sz w:val="16"/>
                <w:szCs w:val="16"/>
              </w:rPr>
            </w:pPr>
            <w:r>
              <w:rPr>
                <w:sz w:val="16"/>
                <w:szCs w:val="16"/>
              </w:rPr>
              <w:t>280</w:t>
            </w:r>
          </w:p>
        </w:tc>
        <w:tc>
          <w:tcPr>
            <w:tcW w:w="77" w:type="pct"/>
            <w:shd w:val="clear" w:color="auto" w:fill="CCEEFF"/>
            <w:noWrap/>
            <w:tcMar>
              <w:top w:w="0" w:type="dxa"/>
              <w:left w:w="0" w:type="dxa"/>
              <w:bottom w:w="0" w:type="dxa"/>
              <w:right w:w="0" w:type="dxa"/>
            </w:tcMar>
            <w:vAlign w:val="bottom"/>
            <w:hideMark/>
          </w:tcPr>
          <w:p w14:paraId="69D377B6"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70A47315" w14:textId="77777777" w:rsidR="00000000" w:rsidRDefault="001F1B20">
            <w:pPr>
              <w:pStyle w:val="a3"/>
              <w:spacing w:before="0" w:beforeAutospacing="0" w:after="0" w:afterAutospacing="0"/>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14:paraId="6FDFD108" w14:textId="77777777" w:rsidR="00000000" w:rsidRDefault="001F1B20">
            <w:pPr>
              <w:pStyle w:val="a3"/>
              <w:spacing w:before="0" w:beforeAutospacing="0" w:after="0" w:afterAutospacing="0"/>
              <w:jc w:val="right"/>
              <w:rPr>
                <w:sz w:val="16"/>
                <w:szCs w:val="16"/>
              </w:rPr>
            </w:pPr>
            <w:r>
              <w:rPr>
                <w:sz w:val="16"/>
                <w:szCs w:val="16"/>
              </w:rPr>
              <w:t>(1,394,540)</w:t>
            </w:r>
          </w:p>
        </w:tc>
        <w:tc>
          <w:tcPr>
            <w:tcW w:w="77" w:type="pct"/>
            <w:shd w:val="clear" w:color="auto" w:fill="CCEEFF"/>
            <w:noWrap/>
            <w:tcMar>
              <w:top w:w="0" w:type="dxa"/>
              <w:left w:w="0" w:type="dxa"/>
              <w:bottom w:w="0" w:type="dxa"/>
              <w:right w:w="0" w:type="dxa"/>
            </w:tcMar>
            <w:vAlign w:val="bottom"/>
            <w:hideMark/>
          </w:tcPr>
          <w:p w14:paraId="78630907"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0A5E4BC1" w14:textId="77777777" w:rsidR="00000000" w:rsidRDefault="001F1B20">
            <w:pPr>
              <w:pStyle w:val="a3"/>
              <w:spacing w:before="0" w:beforeAutospacing="0" w:after="0" w:afterAutospacing="0"/>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14:paraId="5E8CE87A" w14:textId="77777777" w:rsidR="00000000" w:rsidRDefault="001F1B20">
            <w:pPr>
              <w:pStyle w:val="a3"/>
              <w:spacing w:before="0" w:beforeAutospacing="0" w:after="0" w:afterAutospacing="0"/>
              <w:jc w:val="right"/>
              <w:rPr>
                <w:sz w:val="16"/>
                <w:szCs w:val="16"/>
              </w:rPr>
            </w:pPr>
            <w:r>
              <w:rPr>
                <w:sz w:val="16"/>
                <w:szCs w:val="16"/>
              </w:rPr>
              <w:t>(202,336)</w:t>
            </w:r>
          </w:p>
        </w:tc>
      </w:tr>
      <w:tr w:rsidR="00000000" w14:paraId="3D751CD3" w14:textId="77777777">
        <w:trPr>
          <w:divId w:val="1901865854"/>
        </w:trPr>
        <w:tc>
          <w:tcPr>
            <w:tcW w:w="1845" w:type="pct"/>
            <w:tcMar>
              <w:top w:w="0" w:type="dxa"/>
              <w:left w:w="0" w:type="dxa"/>
              <w:bottom w:w="0" w:type="dxa"/>
              <w:right w:w="0" w:type="dxa"/>
            </w:tcMar>
            <w:vAlign w:val="bottom"/>
            <w:hideMark/>
          </w:tcPr>
          <w:p w14:paraId="74BC65FF" w14:textId="77777777" w:rsidR="00000000" w:rsidRDefault="001F1B20">
            <w:pPr>
              <w:pStyle w:val="a3"/>
              <w:spacing w:before="0" w:beforeAutospacing="0" w:after="0" w:afterAutospacing="0"/>
              <w:ind w:left="240"/>
              <w:rPr>
                <w:sz w:val="16"/>
                <w:szCs w:val="16"/>
              </w:rPr>
            </w:pPr>
            <w:r>
              <w:rPr>
                <w:sz w:val="16"/>
                <w:szCs w:val="16"/>
              </w:rPr>
              <w:t>Employee share-based compensation expense</w:t>
            </w:r>
          </w:p>
        </w:tc>
        <w:tc>
          <w:tcPr>
            <w:tcW w:w="76" w:type="pct"/>
            <w:noWrap/>
            <w:tcMar>
              <w:top w:w="0" w:type="dxa"/>
              <w:left w:w="0" w:type="dxa"/>
              <w:bottom w:w="0" w:type="dxa"/>
              <w:right w:w="0" w:type="dxa"/>
            </w:tcMar>
            <w:vAlign w:val="bottom"/>
            <w:hideMark/>
          </w:tcPr>
          <w:p w14:paraId="7AA1E750"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3033D5AF"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4F996A86"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4B986940"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310A9C89"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7F23F6E7"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21C3F288" w14:textId="77777777" w:rsidR="00000000" w:rsidRDefault="001F1B20">
            <w:pPr>
              <w:pStyle w:val="a3"/>
              <w:spacing w:before="0" w:beforeAutospacing="0" w:after="0" w:afterAutospacing="0"/>
              <w:rPr>
                <w:sz w:val="20"/>
                <w:szCs w:val="20"/>
              </w:rPr>
            </w:pPr>
            <w:r>
              <w:rPr>
                <w:sz w:val="16"/>
                <w:szCs w:val="16"/>
              </w:rPr>
              <w:t>​</w:t>
            </w:r>
          </w:p>
        </w:tc>
        <w:tc>
          <w:tcPr>
            <w:tcW w:w="367" w:type="pct"/>
            <w:noWrap/>
            <w:tcMar>
              <w:top w:w="0" w:type="dxa"/>
              <w:left w:w="0" w:type="dxa"/>
              <w:bottom w:w="0" w:type="dxa"/>
              <w:right w:w="0" w:type="dxa"/>
            </w:tcMar>
            <w:vAlign w:val="bottom"/>
            <w:hideMark/>
          </w:tcPr>
          <w:p w14:paraId="753C138F" w14:textId="77777777" w:rsidR="00000000" w:rsidRDefault="001F1B20">
            <w:pPr>
              <w:pStyle w:val="a3"/>
              <w:spacing w:before="0" w:beforeAutospacing="0" w:after="0" w:afterAutospacing="0"/>
              <w:rPr>
                <w:sz w:val="16"/>
                <w:szCs w:val="16"/>
              </w:rPr>
            </w:pPr>
            <w:r>
              <w:rPr>
                <w:sz w:val="16"/>
                <w:szCs w:val="16"/>
              </w:rPr>
              <w:t>15,564</w:t>
            </w:r>
          </w:p>
        </w:tc>
        <w:tc>
          <w:tcPr>
            <w:tcW w:w="77" w:type="pct"/>
            <w:noWrap/>
            <w:tcMar>
              <w:top w:w="0" w:type="dxa"/>
              <w:left w:w="0" w:type="dxa"/>
              <w:bottom w:w="0" w:type="dxa"/>
              <w:right w:w="0" w:type="dxa"/>
            </w:tcMar>
            <w:vAlign w:val="bottom"/>
            <w:hideMark/>
          </w:tcPr>
          <w:p w14:paraId="1CC75215"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25A4B04B" w14:textId="77777777" w:rsidR="00000000" w:rsidRDefault="001F1B20">
            <w:pPr>
              <w:pStyle w:val="a3"/>
              <w:spacing w:before="0" w:beforeAutospacing="0" w:after="0"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14:paraId="3A0BFDB8"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791158D4"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2989A6D1" w14:textId="77777777" w:rsidR="00000000" w:rsidRDefault="001F1B20">
            <w:pPr>
              <w:pStyle w:val="a3"/>
              <w:spacing w:before="0" w:beforeAutospacing="0" w:after="0" w:afterAutospacing="0"/>
              <w:rPr>
                <w:sz w:val="20"/>
                <w:szCs w:val="20"/>
              </w:rPr>
            </w:pPr>
            <w:r>
              <w:rPr>
                <w:sz w:val="16"/>
                <w:szCs w:val="16"/>
              </w:rPr>
              <w:t>​</w:t>
            </w:r>
          </w:p>
        </w:tc>
        <w:tc>
          <w:tcPr>
            <w:tcW w:w="390" w:type="pct"/>
            <w:noWrap/>
            <w:tcMar>
              <w:top w:w="0" w:type="dxa"/>
              <w:left w:w="0" w:type="dxa"/>
              <w:bottom w:w="0" w:type="dxa"/>
              <w:right w:w="0" w:type="dxa"/>
            </w:tcMar>
            <w:vAlign w:val="bottom"/>
            <w:hideMark/>
          </w:tcPr>
          <w:p w14:paraId="20D165B0"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1C36C889"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7CB80110" w14:textId="77777777" w:rsidR="00000000" w:rsidRDefault="001F1B20">
            <w:pPr>
              <w:pStyle w:val="a3"/>
              <w:spacing w:before="0" w:beforeAutospacing="0" w:after="0" w:afterAutospacing="0"/>
              <w:rPr>
                <w:sz w:val="20"/>
                <w:szCs w:val="20"/>
              </w:rPr>
            </w:pPr>
            <w:r>
              <w:rPr>
                <w:sz w:val="16"/>
                <w:szCs w:val="16"/>
              </w:rPr>
              <w:t>​</w:t>
            </w:r>
          </w:p>
        </w:tc>
        <w:tc>
          <w:tcPr>
            <w:tcW w:w="375" w:type="pct"/>
            <w:noWrap/>
            <w:tcMar>
              <w:top w:w="0" w:type="dxa"/>
              <w:left w:w="0" w:type="dxa"/>
              <w:bottom w:w="0" w:type="dxa"/>
              <w:right w:w="0" w:type="dxa"/>
            </w:tcMar>
            <w:vAlign w:val="bottom"/>
            <w:hideMark/>
          </w:tcPr>
          <w:p w14:paraId="3A0DC616" w14:textId="77777777" w:rsidR="00000000" w:rsidRDefault="001F1B20">
            <w:pPr>
              <w:pStyle w:val="a3"/>
              <w:spacing w:before="0" w:beforeAutospacing="0" w:after="0" w:afterAutospacing="0"/>
              <w:ind w:right="60"/>
              <w:jc w:val="right"/>
              <w:rPr>
                <w:sz w:val="16"/>
                <w:szCs w:val="16"/>
              </w:rPr>
            </w:pPr>
            <w:r>
              <w:rPr>
                <w:sz w:val="16"/>
                <w:szCs w:val="16"/>
              </w:rPr>
              <w:t>15,564</w:t>
            </w:r>
          </w:p>
        </w:tc>
      </w:tr>
      <w:tr w:rsidR="00000000" w14:paraId="1032123D" w14:textId="77777777">
        <w:trPr>
          <w:divId w:val="1901865854"/>
        </w:trPr>
        <w:tc>
          <w:tcPr>
            <w:tcW w:w="1845" w:type="pct"/>
            <w:shd w:val="clear" w:color="auto" w:fill="CCEEFF"/>
            <w:tcMar>
              <w:top w:w="0" w:type="dxa"/>
              <w:left w:w="0" w:type="dxa"/>
              <w:bottom w:w="0" w:type="dxa"/>
              <w:right w:w="0" w:type="dxa"/>
            </w:tcMar>
            <w:vAlign w:val="bottom"/>
            <w:hideMark/>
          </w:tcPr>
          <w:p w14:paraId="50DF9488" w14:textId="77777777" w:rsidR="00000000" w:rsidRDefault="001F1B20">
            <w:pPr>
              <w:pStyle w:val="a3"/>
              <w:spacing w:before="0" w:beforeAutospacing="0" w:after="0" w:afterAutospacing="0"/>
              <w:ind w:left="240"/>
              <w:rPr>
                <w:sz w:val="16"/>
                <w:szCs w:val="16"/>
              </w:rPr>
            </w:pPr>
            <w:r>
              <w:rPr>
                <w:sz w:val="16"/>
                <w:szCs w:val="16"/>
              </w:rPr>
              <w:t>Issuance of restricted shares</w:t>
            </w:r>
          </w:p>
        </w:tc>
        <w:tc>
          <w:tcPr>
            <w:tcW w:w="76" w:type="pct"/>
            <w:shd w:val="clear" w:color="auto" w:fill="CCEEFF"/>
            <w:noWrap/>
            <w:tcMar>
              <w:top w:w="0" w:type="dxa"/>
              <w:left w:w="0" w:type="dxa"/>
              <w:bottom w:w="0" w:type="dxa"/>
              <w:right w:w="0" w:type="dxa"/>
            </w:tcMar>
            <w:vAlign w:val="bottom"/>
            <w:hideMark/>
          </w:tcPr>
          <w:p w14:paraId="2C5202FE"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61499F17" w14:textId="77777777" w:rsidR="00000000" w:rsidRDefault="001F1B20">
            <w:pPr>
              <w:pStyle w:val="a3"/>
              <w:spacing w:before="0" w:beforeAutospacing="0" w:after="0" w:afterAutospacing="0"/>
              <w:ind w:right="60"/>
              <w:jc w:val="right"/>
              <w:rPr>
                <w:sz w:val="16"/>
                <w:szCs w:val="16"/>
              </w:rPr>
            </w:pPr>
            <w:r>
              <w:rPr>
                <w:sz w:val="16"/>
                <w:szCs w:val="16"/>
              </w:rPr>
              <w:t>493</w:t>
            </w:r>
          </w:p>
        </w:tc>
        <w:tc>
          <w:tcPr>
            <w:tcW w:w="76" w:type="pct"/>
            <w:shd w:val="clear" w:color="auto" w:fill="CCEEFF"/>
            <w:noWrap/>
            <w:tcMar>
              <w:top w:w="0" w:type="dxa"/>
              <w:left w:w="0" w:type="dxa"/>
              <w:bottom w:w="0" w:type="dxa"/>
              <w:right w:w="0" w:type="dxa"/>
            </w:tcMar>
            <w:vAlign w:val="bottom"/>
            <w:hideMark/>
          </w:tcPr>
          <w:p w14:paraId="606926DF"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3D0519F8"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07C21A96"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3C8297A7"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7900AD1E" w14:textId="77777777" w:rsidR="00000000" w:rsidRDefault="001F1B20">
            <w:pPr>
              <w:pStyle w:val="a3"/>
              <w:spacing w:before="0" w:beforeAutospacing="0" w:after="0" w:afterAutospacing="0"/>
              <w:rPr>
                <w:sz w:val="20"/>
                <w:szCs w:val="20"/>
              </w:rPr>
            </w:pPr>
            <w:r>
              <w:rPr>
                <w:sz w:val="16"/>
                <w:szCs w:val="16"/>
              </w:rPr>
              <w:t>​</w:t>
            </w:r>
          </w:p>
        </w:tc>
        <w:tc>
          <w:tcPr>
            <w:tcW w:w="367" w:type="pct"/>
            <w:shd w:val="clear" w:color="auto" w:fill="CCEEFF"/>
            <w:noWrap/>
            <w:tcMar>
              <w:top w:w="0" w:type="dxa"/>
              <w:left w:w="0" w:type="dxa"/>
              <w:bottom w:w="0" w:type="dxa"/>
              <w:right w:w="0" w:type="dxa"/>
            </w:tcMar>
            <w:vAlign w:val="bottom"/>
            <w:hideMark/>
          </w:tcPr>
          <w:p w14:paraId="29FE54BB" w14:textId="77777777" w:rsidR="00000000" w:rsidRDefault="001F1B20">
            <w:pPr>
              <w:pStyle w:val="a3"/>
              <w:spacing w:before="0" w:beforeAutospacing="0" w:after="0" w:afterAutospacing="0"/>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1D055517"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709E0DF2" w14:textId="77777777" w:rsidR="00000000" w:rsidRDefault="001F1B20">
            <w:pPr>
              <w:pStyle w:val="a3"/>
              <w:spacing w:before="0" w:beforeAutospacing="0" w:after="0" w:afterAutospacing="0"/>
              <w:rPr>
                <w:sz w:val="20"/>
                <w:szCs w:val="20"/>
              </w:rPr>
            </w:pPr>
            <w:r>
              <w:rPr>
                <w:sz w:val="16"/>
                <w:szCs w:val="16"/>
              </w:rPr>
              <w:t>​</w:t>
            </w:r>
          </w:p>
        </w:tc>
        <w:tc>
          <w:tcPr>
            <w:tcW w:w="421" w:type="pct"/>
            <w:shd w:val="clear" w:color="auto" w:fill="CCEEFF"/>
            <w:noWrap/>
            <w:tcMar>
              <w:top w:w="0" w:type="dxa"/>
              <w:left w:w="0" w:type="dxa"/>
              <w:bottom w:w="0" w:type="dxa"/>
              <w:right w:w="0" w:type="dxa"/>
            </w:tcMar>
            <w:vAlign w:val="bottom"/>
            <w:hideMark/>
          </w:tcPr>
          <w:p w14:paraId="7A89FEC3"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1AFF76CD"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557D68F8" w14:textId="77777777" w:rsidR="00000000" w:rsidRDefault="001F1B20">
            <w:pPr>
              <w:pStyle w:val="a3"/>
              <w:spacing w:before="0" w:beforeAutospacing="0" w:after="0" w:afterAutospacing="0"/>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14:paraId="4730CB68"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35F84267"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1018394B" w14:textId="77777777" w:rsidR="00000000" w:rsidRDefault="001F1B20">
            <w:pPr>
              <w:pStyle w:val="a3"/>
              <w:spacing w:before="0" w:beforeAutospacing="0" w:after="0" w:afterAutospacing="0"/>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14:paraId="0C5ABDDA" w14:textId="77777777" w:rsidR="00000000" w:rsidRDefault="001F1B20">
            <w:pPr>
              <w:pStyle w:val="a3"/>
              <w:spacing w:before="0" w:beforeAutospacing="0" w:after="0" w:afterAutospacing="0"/>
              <w:ind w:right="60"/>
              <w:jc w:val="right"/>
              <w:rPr>
                <w:sz w:val="16"/>
                <w:szCs w:val="16"/>
              </w:rPr>
            </w:pPr>
            <w:r>
              <w:rPr>
                <w:sz w:val="16"/>
                <w:szCs w:val="16"/>
              </w:rPr>
              <w:t>—</w:t>
            </w:r>
          </w:p>
        </w:tc>
      </w:tr>
      <w:tr w:rsidR="00000000" w14:paraId="6BFB2FE2" w14:textId="77777777">
        <w:trPr>
          <w:divId w:val="1901865854"/>
        </w:trPr>
        <w:tc>
          <w:tcPr>
            <w:tcW w:w="1845" w:type="pct"/>
            <w:tcMar>
              <w:top w:w="0" w:type="dxa"/>
              <w:left w:w="0" w:type="dxa"/>
              <w:bottom w:w="0" w:type="dxa"/>
              <w:right w:w="0" w:type="dxa"/>
            </w:tcMar>
            <w:vAlign w:val="bottom"/>
            <w:hideMark/>
          </w:tcPr>
          <w:p w14:paraId="6BF270EB" w14:textId="77777777" w:rsidR="00000000" w:rsidRDefault="001F1B20">
            <w:pPr>
              <w:pStyle w:val="a3"/>
              <w:spacing w:before="0" w:beforeAutospacing="0" w:after="0" w:afterAutospacing="0"/>
              <w:ind w:left="240"/>
              <w:rPr>
                <w:sz w:val="16"/>
                <w:szCs w:val="16"/>
              </w:rPr>
            </w:pPr>
            <w:r>
              <w:rPr>
                <w:sz w:val="16"/>
                <w:szCs w:val="16"/>
              </w:rPr>
              <w:t>Option exercises</w:t>
            </w:r>
          </w:p>
        </w:tc>
        <w:tc>
          <w:tcPr>
            <w:tcW w:w="76" w:type="pct"/>
            <w:noWrap/>
            <w:tcMar>
              <w:top w:w="0" w:type="dxa"/>
              <w:left w:w="0" w:type="dxa"/>
              <w:bottom w:w="0" w:type="dxa"/>
              <w:right w:w="0" w:type="dxa"/>
            </w:tcMar>
            <w:vAlign w:val="bottom"/>
            <w:hideMark/>
          </w:tcPr>
          <w:p w14:paraId="4EE2E181"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70F1EEB2" w14:textId="77777777" w:rsidR="00000000" w:rsidRDefault="001F1B20">
            <w:pPr>
              <w:pStyle w:val="a3"/>
              <w:spacing w:before="0" w:beforeAutospacing="0" w:after="0" w:afterAutospacing="0"/>
              <w:ind w:right="60"/>
              <w:jc w:val="right"/>
              <w:rPr>
                <w:sz w:val="16"/>
                <w:szCs w:val="16"/>
              </w:rPr>
            </w:pPr>
            <w:r>
              <w:rPr>
                <w:sz w:val="16"/>
                <w:szCs w:val="16"/>
              </w:rPr>
              <w:t>2</w:t>
            </w:r>
          </w:p>
        </w:tc>
        <w:tc>
          <w:tcPr>
            <w:tcW w:w="76" w:type="pct"/>
            <w:noWrap/>
            <w:tcMar>
              <w:top w:w="0" w:type="dxa"/>
              <w:left w:w="0" w:type="dxa"/>
              <w:bottom w:w="0" w:type="dxa"/>
              <w:right w:w="0" w:type="dxa"/>
            </w:tcMar>
            <w:vAlign w:val="bottom"/>
            <w:hideMark/>
          </w:tcPr>
          <w:p w14:paraId="0C5F24E5"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9170CFB"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4459BDF8"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41D9A331"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55566F4F" w14:textId="77777777" w:rsidR="00000000" w:rsidRDefault="001F1B20">
            <w:pPr>
              <w:pStyle w:val="a3"/>
              <w:spacing w:before="0" w:beforeAutospacing="0" w:after="0" w:afterAutospacing="0"/>
              <w:rPr>
                <w:sz w:val="20"/>
                <w:szCs w:val="20"/>
              </w:rPr>
            </w:pPr>
            <w:r>
              <w:rPr>
                <w:sz w:val="16"/>
                <w:szCs w:val="16"/>
              </w:rPr>
              <w:t>​</w:t>
            </w:r>
          </w:p>
        </w:tc>
        <w:tc>
          <w:tcPr>
            <w:tcW w:w="367" w:type="pct"/>
            <w:noWrap/>
            <w:tcMar>
              <w:top w:w="0" w:type="dxa"/>
              <w:left w:w="0" w:type="dxa"/>
              <w:bottom w:w="0" w:type="dxa"/>
              <w:right w:w="0" w:type="dxa"/>
            </w:tcMar>
            <w:vAlign w:val="bottom"/>
            <w:hideMark/>
          </w:tcPr>
          <w:p w14:paraId="6FF901BD" w14:textId="77777777" w:rsidR="00000000" w:rsidRDefault="001F1B20">
            <w:pPr>
              <w:pStyle w:val="a3"/>
              <w:spacing w:before="0" w:beforeAutospacing="0" w:after="0" w:afterAutospacing="0"/>
              <w:rPr>
                <w:sz w:val="16"/>
                <w:szCs w:val="16"/>
              </w:rPr>
            </w:pPr>
            <w:r>
              <w:rPr>
                <w:sz w:val="16"/>
                <w:szCs w:val="16"/>
              </w:rPr>
              <w:t>24</w:t>
            </w:r>
          </w:p>
        </w:tc>
        <w:tc>
          <w:tcPr>
            <w:tcW w:w="77" w:type="pct"/>
            <w:noWrap/>
            <w:tcMar>
              <w:top w:w="0" w:type="dxa"/>
              <w:left w:w="0" w:type="dxa"/>
              <w:bottom w:w="0" w:type="dxa"/>
              <w:right w:w="0" w:type="dxa"/>
            </w:tcMar>
            <w:vAlign w:val="bottom"/>
            <w:hideMark/>
          </w:tcPr>
          <w:p w14:paraId="3EC499E9"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17514901" w14:textId="77777777" w:rsidR="00000000" w:rsidRDefault="001F1B20">
            <w:pPr>
              <w:pStyle w:val="a3"/>
              <w:spacing w:before="0" w:beforeAutospacing="0" w:after="0"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14:paraId="246A582C"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1EC55B4A"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144BEE6B" w14:textId="77777777" w:rsidR="00000000" w:rsidRDefault="001F1B20">
            <w:pPr>
              <w:pStyle w:val="a3"/>
              <w:spacing w:before="0" w:beforeAutospacing="0" w:after="0" w:afterAutospacing="0"/>
              <w:rPr>
                <w:sz w:val="20"/>
                <w:szCs w:val="20"/>
              </w:rPr>
            </w:pPr>
            <w:r>
              <w:rPr>
                <w:sz w:val="16"/>
                <w:szCs w:val="16"/>
              </w:rPr>
              <w:t>​</w:t>
            </w:r>
          </w:p>
        </w:tc>
        <w:tc>
          <w:tcPr>
            <w:tcW w:w="390" w:type="pct"/>
            <w:noWrap/>
            <w:tcMar>
              <w:top w:w="0" w:type="dxa"/>
              <w:left w:w="0" w:type="dxa"/>
              <w:bottom w:w="0" w:type="dxa"/>
              <w:right w:w="0" w:type="dxa"/>
            </w:tcMar>
            <w:vAlign w:val="bottom"/>
            <w:hideMark/>
          </w:tcPr>
          <w:p w14:paraId="40062BC1"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47C95D62"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13106361" w14:textId="77777777" w:rsidR="00000000" w:rsidRDefault="001F1B20">
            <w:pPr>
              <w:pStyle w:val="a3"/>
              <w:spacing w:before="0" w:beforeAutospacing="0" w:after="0" w:afterAutospacing="0"/>
              <w:rPr>
                <w:sz w:val="20"/>
                <w:szCs w:val="20"/>
              </w:rPr>
            </w:pPr>
            <w:r>
              <w:rPr>
                <w:sz w:val="16"/>
                <w:szCs w:val="16"/>
              </w:rPr>
              <w:t>​</w:t>
            </w:r>
          </w:p>
        </w:tc>
        <w:tc>
          <w:tcPr>
            <w:tcW w:w="375" w:type="pct"/>
            <w:noWrap/>
            <w:tcMar>
              <w:top w:w="0" w:type="dxa"/>
              <w:left w:w="0" w:type="dxa"/>
              <w:bottom w:w="0" w:type="dxa"/>
              <w:right w:w="0" w:type="dxa"/>
            </w:tcMar>
            <w:vAlign w:val="bottom"/>
            <w:hideMark/>
          </w:tcPr>
          <w:p w14:paraId="76C12D7E" w14:textId="77777777" w:rsidR="00000000" w:rsidRDefault="001F1B20">
            <w:pPr>
              <w:pStyle w:val="a3"/>
              <w:spacing w:before="0" w:beforeAutospacing="0" w:after="0" w:afterAutospacing="0"/>
              <w:ind w:right="60"/>
              <w:jc w:val="right"/>
              <w:rPr>
                <w:sz w:val="16"/>
                <w:szCs w:val="16"/>
              </w:rPr>
            </w:pPr>
            <w:r>
              <w:rPr>
                <w:sz w:val="16"/>
                <w:szCs w:val="16"/>
              </w:rPr>
              <w:t>24</w:t>
            </w:r>
          </w:p>
        </w:tc>
      </w:tr>
      <w:tr w:rsidR="00000000" w14:paraId="09A942D1" w14:textId="77777777">
        <w:trPr>
          <w:divId w:val="1901865854"/>
        </w:trPr>
        <w:tc>
          <w:tcPr>
            <w:tcW w:w="1845" w:type="pct"/>
            <w:shd w:val="clear" w:color="auto" w:fill="CCEEFF"/>
            <w:tcMar>
              <w:top w:w="0" w:type="dxa"/>
              <w:left w:w="0" w:type="dxa"/>
              <w:bottom w:w="0" w:type="dxa"/>
              <w:right w:w="0" w:type="dxa"/>
            </w:tcMar>
            <w:vAlign w:val="bottom"/>
            <w:hideMark/>
          </w:tcPr>
          <w:p w14:paraId="1E68EDB6" w14:textId="77777777" w:rsidR="00000000" w:rsidRDefault="001F1B20">
            <w:pPr>
              <w:pStyle w:val="a3"/>
              <w:spacing w:before="0" w:beforeAutospacing="0" w:after="0" w:afterAutospacing="0"/>
              <w:ind w:left="240"/>
              <w:rPr>
                <w:sz w:val="16"/>
                <w:szCs w:val="16"/>
              </w:rPr>
            </w:pPr>
            <w:r>
              <w:rPr>
                <w:sz w:val="16"/>
                <w:szCs w:val="16"/>
              </w:rPr>
              <w:t>Repurchase of shares to satisfy tax withholding</w:t>
            </w:r>
          </w:p>
        </w:tc>
        <w:tc>
          <w:tcPr>
            <w:tcW w:w="76" w:type="pct"/>
            <w:shd w:val="clear" w:color="auto" w:fill="CCEEFF"/>
            <w:noWrap/>
            <w:tcMar>
              <w:top w:w="0" w:type="dxa"/>
              <w:left w:w="0" w:type="dxa"/>
              <w:bottom w:w="0" w:type="dxa"/>
              <w:right w:w="0" w:type="dxa"/>
            </w:tcMar>
            <w:vAlign w:val="bottom"/>
            <w:hideMark/>
          </w:tcPr>
          <w:p w14:paraId="3A74154A"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12619E3D" w14:textId="77777777" w:rsidR="00000000" w:rsidRDefault="001F1B20">
            <w:pPr>
              <w:pStyle w:val="a3"/>
              <w:spacing w:before="0" w:beforeAutospacing="0" w:after="0" w:afterAutospacing="0"/>
              <w:jc w:val="right"/>
              <w:rPr>
                <w:sz w:val="16"/>
                <w:szCs w:val="16"/>
              </w:rPr>
            </w:pPr>
            <w:r>
              <w:rPr>
                <w:sz w:val="16"/>
                <w:szCs w:val="16"/>
              </w:rPr>
              <w:t>(54)</w:t>
            </w:r>
          </w:p>
        </w:tc>
        <w:tc>
          <w:tcPr>
            <w:tcW w:w="76" w:type="pct"/>
            <w:shd w:val="clear" w:color="auto" w:fill="CCEEFF"/>
            <w:noWrap/>
            <w:tcMar>
              <w:top w:w="0" w:type="dxa"/>
              <w:left w:w="0" w:type="dxa"/>
              <w:bottom w:w="0" w:type="dxa"/>
              <w:right w:w="0" w:type="dxa"/>
            </w:tcMar>
            <w:vAlign w:val="bottom"/>
            <w:hideMark/>
          </w:tcPr>
          <w:p w14:paraId="46004248"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12FB9FDF"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5A30EE13"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222A345B"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48275EA6" w14:textId="77777777" w:rsidR="00000000" w:rsidRDefault="001F1B20">
            <w:pPr>
              <w:pStyle w:val="a3"/>
              <w:spacing w:before="0" w:beforeAutospacing="0" w:after="0" w:afterAutospacing="0"/>
              <w:rPr>
                <w:sz w:val="20"/>
                <w:szCs w:val="20"/>
              </w:rPr>
            </w:pPr>
            <w:r>
              <w:rPr>
                <w:sz w:val="16"/>
                <w:szCs w:val="16"/>
              </w:rPr>
              <w:t>​</w:t>
            </w:r>
          </w:p>
        </w:tc>
        <w:tc>
          <w:tcPr>
            <w:tcW w:w="367" w:type="pct"/>
            <w:shd w:val="clear" w:color="auto" w:fill="CCEEFF"/>
            <w:noWrap/>
            <w:tcMar>
              <w:top w:w="0" w:type="dxa"/>
              <w:left w:w="0" w:type="dxa"/>
              <w:bottom w:w="0" w:type="dxa"/>
              <w:right w:w="0" w:type="dxa"/>
            </w:tcMar>
            <w:vAlign w:val="bottom"/>
            <w:hideMark/>
          </w:tcPr>
          <w:p w14:paraId="2966ED1C" w14:textId="77777777" w:rsidR="00000000" w:rsidRDefault="001F1B20">
            <w:pPr>
              <w:pStyle w:val="a3"/>
              <w:spacing w:before="0" w:beforeAutospacing="0" w:after="0" w:afterAutospacing="0"/>
              <w:rPr>
                <w:sz w:val="16"/>
                <w:szCs w:val="16"/>
              </w:rPr>
            </w:pPr>
            <w:r>
              <w:rPr>
                <w:sz w:val="16"/>
                <w:szCs w:val="16"/>
              </w:rPr>
              <w:t>(987)</w:t>
            </w:r>
          </w:p>
        </w:tc>
        <w:tc>
          <w:tcPr>
            <w:tcW w:w="77" w:type="pct"/>
            <w:shd w:val="clear" w:color="auto" w:fill="CCEEFF"/>
            <w:noWrap/>
            <w:tcMar>
              <w:top w:w="0" w:type="dxa"/>
              <w:left w:w="0" w:type="dxa"/>
              <w:bottom w:w="0" w:type="dxa"/>
              <w:right w:w="0" w:type="dxa"/>
            </w:tcMar>
            <w:vAlign w:val="bottom"/>
            <w:hideMark/>
          </w:tcPr>
          <w:p w14:paraId="6CA306BD"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45466A02" w14:textId="77777777" w:rsidR="00000000" w:rsidRDefault="001F1B20">
            <w:pPr>
              <w:pStyle w:val="a3"/>
              <w:spacing w:before="0" w:beforeAutospacing="0" w:after="0" w:afterAutospacing="0"/>
              <w:rPr>
                <w:sz w:val="20"/>
                <w:szCs w:val="20"/>
              </w:rPr>
            </w:pPr>
            <w:r>
              <w:rPr>
                <w:sz w:val="16"/>
                <w:szCs w:val="16"/>
              </w:rPr>
              <w:t>​</w:t>
            </w:r>
          </w:p>
        </w:tc>
        <w:tc>
          <w:tcPr>
            <w:tcW w:w="421" w:type="pct"/>
            <w:shd w:val="clear" w:color="auto" w:fill="CCEEFF"/>
            <w:noWrap/>
            <w:tcMar>
              <w:top w:w="0" w:type="dxa"/>
              <w:left w:w="0" w:type="dxa"/>
              <w:bottom w:w="0" w:type="dxa"/>
              <w:right w:w="0" w:type="dxa"/>
            </w:tcMar>
            <w:vAlign w:val="bottom"/>
            <w:hideMark/>
          </w:tcPr>
          <w:p w14:paraId="395DB78D"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5B577A7B"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4602ADDB" w14:textId="77777777" w:rsidR="00000000" w:rsidRDefault="001F1B20">
            <w:pPr>
              <w:pStyle w:val="a3"/>
              <w:spacing w:before="0" w:beforeAutospacing="0" w:after="0" w:afterAutospacing="0"/>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14:paraId="6FD476FC"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44E585E0"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344DC49B" w14:textId="77777777" w:rsidR="00000000" w:rsidRDefault="001F1B20">
            <w:pPr>
              <w:pStyle w:val="a3"/>
              <w:spacing w:before="0" w:beforeAutospacing="0" w:after="0" w:afterAutospacing="0"/>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14:paraId="267C4D2B" w14:textId="77777777" w:rsidR="00000000" w:rsidRDefault="001F1B20">
            <w:pPr>
              <w:pStyle w:val="a3"/>
              <w:spacing w:before="0" w:beforeAutospacing="0" w:after="0" w:afterAutospacing="0"/>
              <w:jc w:val="right"/>
              <w:rPr>
                <w:sz w:val="16"/>
                <w:szCs w:val="16"/>
              </w:rPr>
            </w:pPr>
            <w:r>
              <w:rPr>
                <w:sz w:val="16"/>
                <w:szCs w:val="16"/>
              </w:rPr>
              <w:t>(987)</w:t>
            </w:r>
          </w:p>
        </w:tc>
      </w:tr>
      <w:tr w:rsidR="00000000" w14:paraId="591A8E36" w14:textId="77777777">
        <w:trPr>
          <w:divId w:val="1901865854"/>
        </w:trPr>
        <w:tc>
          <w:tcPr>
            <w:tcW w:w="1845" w:type="pct"/>
            <w:tcMar>
              <w:top w:w="0" w:type="dxa"/>
              <w:left w:w="0" w:type="dxa"/>
              <w:bottom w:w="0" w:type="dxa"/>
              <w:right w:w="0" w:type="dxa"/>
            </w:tcMar>
            <w:vAlign w:val="bottom"/>
            <w:hideMark/>
          </w:tcPr>
          <w:p w14:paraId="3D74F762" w14:textId="77777777" w:rsidR="00000000" w:rsidRDefault="001F1B20">
            <w:pPr>
              <w:pStyle w:val="a3"/>
              <w:spacing w:before="0" w:beforeAutospacing="0" w:after="0" w:afterAutospacing="0"/>
              <w:ind w:left="240"/>
              <w:rPr>
                <w:sz w:val="16"/>
                <w:szCs w:val="16"/>
              </w:rPr>
            </w:pPr>
            <w:r>
              <w:rPr>
                <w:sz w:val="16"/>
                <w:szCs w:val="16"/>
              </w:rPr>
              <w:t>Net unrealized loss on marketable securities</w:t>
            </w:r>
          </w:p>
        </w:tc>
        <w:tc>
          <w:tcPr>
            <w:tcW w:w="76" w:type="pct"/>
            <w:noWrap/>
            <w:tcMar>
              <w:top w:w="0" w:type="dxa"/>
              <w:left w:w="0" w:type="dxa"/>
              <w:bottom w:w="0" w:type="dxa"/>
              <w:right w:w="0" w:type="dxa"/>
            </w:tcMar>
            <w:vAlign w:val="bottom"/>
            <w:hideMark/>
          </w:tcPr>
          <w:p w14:paraId="4B4351ED"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70AADD71"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65FE2AEA"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62C13E61"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2A82F43E"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7CE0C2AA"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5598F349" w14:textId="77777777" w:rsidR="00000000" w:rsidRDefault="001F1B20">
            <w:pPr>
              <w:pStyle w:val="a3"/>
              <w:spacing w:before="0" w:beforeAutospacing="0" w:after="0" w:afterAutospacing="0"/>
              <w:rPr>
                <w:sz w:val="20"/>
                <w:szCs w:val="20"/>
              </w:rPr>
            </w:pPr>
            <w:r>
              <w:rPr>
                <w:sz w:val="16"/>
                <w:szCs w:val="16"/>
              </w:rPr>
              <w:t>​</w:t>
            </w:r>
          </w:p>
        </w:tc>
        <w:tc>
          <w:tcPr>
            <w:tcW w:w="367" w:type="pct"/>
            <w:noWrap/>
            <w:tcMar>
              <w:top w:w="0" w:type="dxa"/>
              <w:left w:w="0" w:type="dxa"/>
              <w:bottom w:w="0" w:type="dxa"/>
              <w:right w:w="0" w:type="dxa"/>
            </w:tcMar>
            <w:vAlign w:val="bottom"/>
            <w:hideMark/>
          </w:tcPr>
          <w:p w14:paraId="67BA175A" w14:textId="77777777" w:rsidR="00000000" w:rsidRDefault="001F1B20">
            <w:pPr>
              <w:pStyle w:val="a3"/>
              <w:spacing w:before="0" w:beforeAutospacing="0" w:after="0" w:afterAutospacing="0"/>
              <w:rPr>
                <w:sz w:val="16"/>
                <w:szCs w:val="16"/>
              </w:rPr>
            </w:pPr>
            <w:r>
              <w:rPr>
                <w:sz w:val="16"/>
                <w:szCs w:val="16"/>
              </w:rPr>
              <w:t>—</w:t>
            </w:r>
          </w:p>
        </w:tc>
        <w:tc>
          <w:tcPr>
            <w:tcW w:w="77" w:type="pct"/>
            <w:noWrap/>
            <w:tcMar>
              <w:top w:w="0" w:type="dxa"/>
              <w:left w:w="0" w:type="dxa"/>
              <w:bottom w:w="0" w:type="dxa"/>
              <w:right w:w="0" w:type="dxa"/>
            </w:tcMar>
            <w:vAlign w:val="bottom"/>
            <w:hideMark/>
          </w:tcPr>
          <w:p w14:paraId="691EBDBF"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5B62315C" w14:textId="77777777" w:rsidR="00000000" w:rsidRDefault="001F1B20">
            <w:pPr>
              <w:pStyle w:val="a3"/>
              <w:spacing w:before="0" w:beforeAutospacing="0" w:after="0" w:afterAutospacing="0"/>
              <w:rPr>
                <w:sz w:val="20"/>
                <w:szCs w:val="20"/>
              </w:rPr>
            </w:pPr>
            <w:r>
              <w:rPr>
                <w:sz w:val="16"/>
                <w:szCs w:val="16"/>
              </w:rPr>
              <w:t>​</w:t>
            </w:r>
          </w:p>
        </w:tc>
        <w:tc>
          <w:tcPr>
            <w:tcW w:w="421" w:type="pct"/>
            <w:noWrap/>
            <w:tcMar>
              <w:top w:w="0" w:type="dxa"/>
              <w:left w:w="0" w:type="dxa"/>
              <w:bottom w:w="0" w:type="dxa"/>
              <w:right w:w="0" w:type="dxa"/>
            </w:tcMar>
            <w:vAlign w:val="bottom"/>
            <w:hideMark/>
          </w:tcPr>
          <w:p w14:paraId="610C829E" w14:textId="77777777" w:rsidR="00000000" w:rsidRDefault="001F1B20">
            <w:pPr>
              <w:pStyle w:val="a3"/>
              <w:spacing w:before="0" w:beforeAutospacing="0" w:after="0" w:afterAutospacing="0"/>
              <w:jc w:val="right"/>
              <w:rPr>
                <w:sz w:val="16"/>
                <w:szCs w:val="16"/>
              </w:rPr>
            </w:pPr>
            <w:r>
              <w:rPr>
                <w:sz w:val="16"/>
                <w:szCs w:val="16"/>
              </w:rPr>
              <w:t>(158)</w:t>
            </w:r>
          </w:p>
        </w:tc>
        <w:tc>
          <w:tcPr>
            <w:tcW w:w="77" w:type="pct"/>
            <w:noWrap/>
            <w:tcMar>
              <w:top w:w="0" w:type="dxa"/>
              <w:left w:w="0" w:type="dxa"/>
              <w:bottom w:w="0" w:type="dxa"/>
              <w:right w:w="0" w:type="dxa"/>
            </w:tcMar>
            <w:vAlign w:val="bottom"/>
            <w:hideMark/>
          </w:tcPr>
          <w:p w14:paraId="37FBCC54"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51DA7FB1" w14:textId="77777777" w:rsidR="00000000" w:rsidRDefault="001F1B20">
            <w:pPr>
              <w:pStyle w:val="a3"/>
              <w:spacing w:before="0" w:beforeAutospacing="0" w:after="0" w:afterAutospacing="0"/>
              <w:rPr>
                <w:sz w:val="20"/>
                <w:szCs w:val="20"/>
              </w:rPr>
            </w:pPr>
            <w:r>
              <w:rPr>
                <w:sz w:val="16"/>
                <w:szCs w:val="16"/>
              </w:rPr>
              <w:t>​</w:t>
            </w:r>
          </w:p>
        </w:tc>
        <w:tc>
          <w:tcPr>
            <w:tcW w:w="390" w:type="pct"/>
            <w:noWrap/>
            <w:tcMar>
              <w:top w:w="0" w:type="dxa"/>
              <w:left w:w="0" w:type="dxa"/>
              <w:bottom w:w="0" w:type="dxa"/>
              <w:right w:w="0" w:type="dxa"/>
            </w:tcMar>
            <w:vAlign w:val="bottom"/>
            <w:hideMark/>
          </w:tcPr>
          <w:p w14:paraId="46618696"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267507CE"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72B91F1B" w14:textId="77777777" w:rsidR="00000000" w:rsidRDefault="001F1B20">
            <w:pPr>
              <w:pStyle w:val="a3"/>
              <w:spacing w:before="0" w:beforeAutospacing="0" w:after="0" w:afterAutospacing="0"/>
              <w:rPr>
                <w:sz w:val="20"/>
                <w:szCs w:val="20"/>
              </w:rPr>
            </w:pPr>
            <w:r>
              <w:rPr>
                <w:sz w:val="16"/>
                <w:szCs w:val="16"/>
              </w:rPr>
              <w:t>​</w:t>
            </w:r>
          </w:p>
        </w:tc>
        <w:tc>
          <w:tcPr>
            <w:tcW w:w="375" w:type="pct"/>
            <w:noWrap/>
            <w:tcMar>
              <w:top w:w="0" w:type="dxa"/>
              <w:left w:w="0" w:type="dxa"/>
              <w:bottom w:w="0" w:type="dxa"/>
              <w:right w:w="0" w:type="dxa"/>
            </w:tcMar>
            <w:vAlign w:val="bottom"/>
            <w:hideMark/>
          </w:tcPr>
          <w:p w14:paraId="42EB54A1" w14:textId="77777777" w:rsidR="00000000" w:rsidRDefault="001F1B20">
            <w:pPr>
              <w:pStyle w:val="a3"/>
              <w:spacing w:before="0" w:beforeAutospacing="0" w:after="0" w:afterAutospacing="0"/>
              <w:jc w:val="right"/>
              <w:rPr>
                <w:sz w:val="16"/>
                <w:szCs w:val="16"/>
              </w:rPr>
            </w:pPr>
            <w:r>
              <w:rPr>
                <w:sz w:val="16"/>
                <w:szCs w:val="16"/>
              </w:rPr>
              <w:t>(158)</w:t>
            </w:r>
          </w:p>
        </w:tc>
      </w:tr>
      <w:tr w:rsidR="00000000" w14:paraId="34F3303D" w14:textId="77777777">
        <w:trPr>
          <w:divId w:val="1901865854"/>
        </w:trPr>
        <w:tc>
          <w:tcPr>
            <w:tcW w:w="1845" w:type="pct"/>
            <w:shd w:val="clear" w:color="auto" w:fill="CCEEFF"/>
            <w:tcMar>
              <w:top w:w="0" w:type="dxa"/>
              <w:left w:w="0" w:type="dxa"/>
              <w:bottom w:w="0" w:type="dxa"/>
              <w:right w:w="0" w:type="dxa"/>
            </w:tcMar>
            <w:vAlign w:val="bottom"/>
            <w:hideMark/>
          </w:tcPr>
          <w:p w14:paraId="6ACE92C5" w14:textId="77777777" w:rsidR="00000000" w:rsidRDefault="001F1B20">
            <w:pPr>
              <w:pStyle w:val="a3"/>
              <w:spacing w:before="0" w:beforeAutospacing="0" w:after="0" w:afterAutospacing="0"/>
              <w:ind w:left="240"/>
              <w:rPr>
                <w:sz w:val="16"/>
                <w:szCs w:val="16"/>
              </w:rPr>
            </w:pPr>
            <w:r>
              <w:rPr>
                <w:sz w:val="16"/>
                <w:szCs w:val="16"/>
              </w:rPr>
              <w:t>Net loss</w:t>
            </w:r>
          </w:p>
        </w:tc>
        <w:tc>
          <w:tcPr>
            <w:tcW w:w="76" w:type="pct"/>
            <w:shd w:val="clear" w:color="auto" w:fill="CCEEFF"/>
            <w:noWrap/>
            <w:tcMar>
              <w:top w:w="0" w:type="dxa"/>
              <w:left w:w="0" w:type="dxa"/>
              <w:bottom w:w="0" w:type="dxa"/>
              <w:right w:w="0" w:type="dxa"/>
            </w:tcMar>
            <w:vAlign w:val="bottom"/>
            <w:hideMark/>
          </w:tcPr>
          <w:p w14:paraId="11E171A7"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14:paraId="10D1BE4E"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597E775F" w14:textId="77777777" w:rsidR="00000000" w:rsidRDefault="001F1B2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14:paraId="63B66AD3"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14:paraId="682D0F65"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23B4815E" w14:textId="77777777" w:rsidR="00000000" w:rsidRDefault="001F1B20">
            <w:pPr>
              <w:pStyle w:val="a3"/>
              <w:spacing w:before="0" w:beforeAutospacing="0" w:after="0" w:afterAutospacing="0"/>
              <w:rPr>
                <w:sz w:val="20"/>
                <w:szCs w:val="20"/>
              </w:rPr>
            </w:pPr>
            <w:r>
              <w:rPr>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14:paraId="5ED3A74C" w14:textId="77777777" w:rsidR="00000000" w:rsidRDefault="001F1B20">
            <w:pPr>
              <w:pStyle w:val="a3"/>
              <w:spacing w:before="0" w:beforeAutospacing="0" w:after="0" w:afterAutospacing="0"/>
              <w:rPr>
                <w:sz w:val="20"/>
                <w:szCs w:val="20"/>
              </w:rPr>
            </w:pPr>
            <w:r>
              <w:rPr>
                <w:sz w:val="16"/>
                <w:szCs w:val="16"/>
              </w:rPr>
              <w:t>​</w:t>
            </w:r>
          </w:p>
        </w:tc>
        <w:tc>
          <w:tcPr>
            <w:tcW w:w="367" w:type="pct"/>
            <w:tcBorders>
              <w:bottom w:val="single" w:sz="6" w:space="0" w:color="000000"/>
            </w:tcBorders>
            <w:shd w:val="clear" w:color="auto" w:fill="CCEEFF"/>
            <w:noWrap/>
            <w:tcMar>
              <w:top w:w="0" w:type="dxa"/>
              <w:left w:w="0" w:type="dxa"/>
              <w:bottom w:w="0" w:type="dxa"/>
              <w:right w:w="0" w:type="dxa"/>
            </w:tcMar>
            <w:vAlign w:val="bottom"/>
            <w:hideMark/>
          </w:tcPr>
          <w:p w14:paraId="78C5F8A1" w14:textId="77777777" w:rsidR="00000000" w:rsidRDefault="001F1B20">
            <w:pPr>
              <w:pStyle w:val="a3"/>
              <w:spacing w:before="0" w:beforeAutospacing="0" w:after="0" w:afterAutospacing="0"/>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5DE03983" w14:textId="77777777" w:rsidR="00000000" w:rsidRDefault="001F1B20">
            <w:pPr>
              <w:pStyle w:val="a3"/>
              <w:spacing w:before="0" w:beforeAutospacing="0" w:after="0" w:afterAutospacing="0"/>
              <w:rPr>
                <w:sz w:val="20"/>
                <w:szCs w:val="20"/>
              </w:rPr>
            </w:pPr>
            <w:r>
              <w:rPr>
                <w:sz w:val="16"/>
                <w:szCs w:val="16"/>
              </w:rPr>
              <w:t>​</w:t>
            </w:r>
          </w:p>
        </w:tc>
        <w:tc>
          <w:tcPr>
            <w:tcW w:w="107" w:type="pct"/>
            <w:tcBorders>
              <w:bottom w:val="single" w:sz="6" w:space="0" w:color="000000"/>
            </w:tcBorders>
            <w:shd w:val="clear" w:color="auto" w:fill="CCEEFF"/>
            <w:noWrap/>
            <w:tcMar>
              <w:top w:w="0" w:type="dxa"/>
              <w:left w:w="0" w:type="dxa"/>
              <w:bottom w:w="0" w:type="dxa"/>
              <w:right w:w="0" w:type="dxa"/>
            </w:tcMar>
            <w:vAlign w:val="bottom"/>
            <w:hideMark/>
          </w:tcPr>
          <w:p w14:paraId="7E0B4EB2" w14:textId="77777777" w:rsidR="00000000" w:rsidRDefault="001F1B20">
            <w:pPr>
              <w:pStyle w:val="a3"/>
              <w:spacing w:before="0" w:beforeAutospacing="0" w:after="0" w:afterAutospacing="0"/>
              <w:rPr>
                <w:sz w:val="20"/>
                <w:szCs w:val="20"/>
              </w:rPr>
            </w:pPr>
            <w:r>
              <w:rPr>
                <w:sz w:val="16"/>
                <w:szCs w:val="16"/>
              </w:rPr>
              <w:t>​</w:t>
            </w:r>
          </w:p>
        </w:tc>
        <w:tc>
          <w:tcPr>
            <w:tcW w:w="421" w:type="pct"/>
            <w:tcBorders>
              <w:bottom w:val="single" w:sz="6" w:space="0" w:color="000000"/>
            </w:tcBorders>
            <w:shd w:val="clear" w:color="auto" w:fill="CCEEFF"/>
            <w:noWrap/>
            <w:tcMar>
              <w:top w:w="0" w:type="dxa"/>
              <w:left w:w="0" w:type="dxa"/>
              <w:bottom w:w="0" w:type="dxa"/>
              <w:right w:w="0" w:type="dxa"/>
            </w:tcMar>
            <w:vAlign w:val="bottom"/>
            <w:hideMark/>
          </w:tcPr>
          <w:p w14:paraId="12D70963"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5E8FE538" w14:textId="77777777" w:rsidR="00000000" w:rsidRDefault="001F1B20">
            <w:pPr>
              <w:pStyle w:val="a3"/>
              <w:spacing w:before="0" w:beforeAutospacing="0" w:after="0" w:afterAutospacing="0"/>
              <w:rPr>
                <w:sz w:val="20"/>
                <w:szCs w:val="20"/>
              </w:rPr>
            </w:pPr>
            <w:r>
              <w:rPr>
                <w:sz w:val="16"/>
                <w:szCs w:val="16"/>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14:paraId="51596F68" w14:textId="77777777" w:rsidR="00000000" w:rsidRDefault="001F1B20">
            <w:pPr>
              <w:pStyle w:val="a3"/>
              <w:spacing w:before="0" w:beforeAutospacing="0" w:after="0" w:afterAutospacing="0"/>
              <w:rPr>
                <w:sz w:val="20"/>
                <w:szCs w:val="20"/>
              </w:rPr>
            </w:pPr>
            <w:r>
              <w:rPr>
                <w:sz w:val="16"/>
                <w:szCs w:val="16"/>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14:paraId="6F13CF5B" w14:textId="77777777" w:rsidR="00000000" w:rsidRDefault="001F1B20">
            <w:pPr>
              <w:pStyle w:val="a3"/>
              <w:spacing w:before="0" w:beforeAutospacing="0" w:after="0" w:afterAutospacing="0"/>
              <w:jc w:val="right"/>
              <w:rPr>
                <w:sz w:val="16"/>
                <w:szCs w:val="16"/>
              </w:rPr>
            </w:pPr>
            <w:r>
              <w:rPr>
                <w:sz w:val="16"/>
                <w:szCs w:val="16"/>
              </w:rPr>
              <w:t>(73,643)</w:t>
            </w:r>
          </w:p>
        </w:tc>
        <w:tc>
          <w:tcPr>
            <w:tcW w:w="77" w:type="pct"/>
            <w:shd w:val="clear" w:color="auto" w:fill="CCEEFF"/>
            <w:noWrap/>
            <w:tcMar>
              <w:top w:w="0" w:type="dxa"/>
              <w:left w:w="0" w:type="dxa"/>
              <w:bottom w:w="0" w:type="dxa"/>
              <w:right w:w="0" w:type="dxa"/>
            </w:tcMar>
            <w:vAlign w:val="bottom"/>
            <w:hideMark/>
          </w:tcPr>
          <w:p w14:paraId="6606C972" w14:textId="77777777" w:rsidR="00000000" w:rsidRDefault="001F1B20">
            <w:pPr>
              <w:pStyle w:val="a3"/>
              <w:spacing w:before="0" w:beforeAutospacing="0" w:after="0" w:afterAutospacing="0"/>
              <w:rPr>
                <w:sz w:val="20"/>
                <w:szCs w:val="20"/>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14:paraId="2D6B1021" w14:textId="77777777" w:rsidR="00000000" w:rsidRDefault="001F1B20">
            <w:pPr>
              <w:pStyle w:val="a3"/>
              <w:spacing w:before="0" w:beforeAutospacing="0" w:after="0" w:afterAutospacing="0"/>
              <w:rPr>
                <w:sz w:val="20"/>
                <w:szCs w:val="20"/>
              </w:rPr>
            </w:pPr>
            <w:r>
              <w:rPr>
                <w:sz w:val="16"/>
                <w:szCs w:val="16"/>
              </w:rPr>
              <w:t>​</w:t>
            </w:r>
          </w:p>
        </w:tc>
        <w:tc>
          <w:tcPr>
            <w:tcW w:w="375" w:type="pct"/>
            <w:tcBorders>
              <w:bottom w:val="single" w:sz="6" w:space="0" w:color="000000"/>
            </w:tcBorders>
            <w:shd w:val="clear" w:color="auto" w:fill="CCEEFF"/>
            <w:noWrap/>
            <w:tcMar>
              <w:top w:w="0" w:type="dxa"/>
              <w:left w:w="0" w:type="dxa"/>
              <w:bottom w:w="0" w:type="dxa"/>
              <w:right w:w="0" w:type="dxa"/>
            </w:tcMar>
            <w:vAlign w:val="bottom"/>
            <w:hideMark/>
          </w:tcPr>
          <w:p w14:paraId="7F56832C" w14:textId="77777777" w:rsidR="00000000" w:rsidRDefault="001F1B20">
            <w:pPr>
              <w:pStyle w:val="a3"/>
              <w:spacing w:before="0" w:beforeAutospacing="0" w:after="0" w:afterAutospacing="0"/>
              <w:jc w:val="right"/>
              <w:rPr>
                <w:sz w:val="16"/>
                <w:szCs w:val="16"/>
              </w:rPr>
            </w:pPr>
            <w:r>
              <w:rPr>
                <w:sz w:val="16"/>
                <w:szCs w:val="16"/>
              </w:rPr>
              <w:t>(73,643)</w:t>
            </w:r>
          </w:p>
        </w:tc>
      </w:tr>
      <w:tr w:rsidR="00000000" w14:paraId="56E99D21" w14:textId="77777777">
        <w:trPr>
          <w:divId w:val="1901865854"/>
        </w:trPr>
        <w:tc>
          <w:tcPr>
            <w:tcW w:w="1845" w:type="pct"/>
            <w:tcMar>
              <w:top w:w="0" w:type="dxa"/>
              <w:left w:w="0" w:type="dxa"/>
              <w:bottom w:w="0" w:type="dxa"/>
              <w:right w:w="0" w:type="dxa"/>
            </w:tcMar>
            <w:vAlign w:val="bottom"/>
            <w:hideMark/>
          </w:tcPr>
          <w:p w14:paraId="708E545F" w14:textId="77777777" w:rsidR="00000000" w:rsidRDefault="001F1B20">
            <w:pPr>
              <w:pStyle w:val="a3"/>
              <w:spacing w:before="0" w:beforeAutospacing="0" w:after="0" w:afterAutospacing="0"/>
              <w:rPr>
                <w:sz w:val="16"/>
                <w:szCs w:val="16"/>
              </w:rPr>
            </w:pPr>
            <w:r>
              <w:rPr>
                <w:sz w:val="16"/>
                <w:szCs w:val="16"/>
              </w:rPr>
              <w:t>Balances at September 30, 2020</w:t>
            </w:r>
          </w:p>
        </w:tc>
        <w:tc>
          <w:tcPr>
            <w:tcW w:w="76" w:type="pct"/>
            <w:noWrap/>
            <w:tcMar>
              <w:top w:w="0" w:type="dxa"/>
              <w:left w:w="0" w:type="dxa"/>
              <w:bottom w:w="0" w:type="dxa"/>
              <w:right w:w="0" w:type="dxa"/>
            </w:tcMar>
            <w:vAlign w:val="bottom"/>
            <w:hideMark/>
          </w:tcPr>
          <w:p w14:paraId="1F47B3E7"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double" w:sz="6" w:space="0" w:color="000000"/>
            </w:tcBorders>
            <w:noWrap/>
            <w:tcMar>
              <w:top w:w="0" w:type="dxa"/>
              <w:left w:w="0" w:type="dxa"/>
              <w:bottom w:w="0" w:type="dxa"/>
              <w:right w:w="0" w:type="dxa"/>
            </w:tcMar>
            <w:vAlign w:val="bottom"/>
            <w:hideMark/>
          </w:tcPr>
          <w:p w14:paraId="1CCD7445" w14:textId="77777777" w:rsidR="00000000" w:rsidRDefault="001F1B20">
            <w:pPr>
              <w:pStyle w:val="a3"/>
              <w:spacing w:before="0" w:beforeAutospacing="0" w:after="0" w:afterAutospacing="0"/>
              <w:ind w:right="60"/>
              <w:jc w:val="right"/>
              <w:rPr>
                <w:sz w:val="16"/>
                <w:szCs w:val="16"/>
              </w:rPr>
            </w:pPr>
            <w:r>
              <w:rPr>
                <w:sz w:val="16"/>
                <w:szCs w:val="16"/>
              </w:rPr>
              <w:t>63,956</w:t>
            </w:r>
          </w:p>
        </w:tc>
        <w:tc>
          <w:tcPr>
            <w:tcW w:w="76" w:type="pct"/>
            <w:noWrap/>
            <w:tcMar>
              <w:top w:w="0" w:type="dxa"/>
              <w:left w:w="0" w:type="dxa"/>
              <w:bottom w:w="0" w:type="dxa"/>
              <w:right w:w="0" w:type="dxa"/>
            </w:tcMar>
            <w:vAlign w:val="bottom"/>
            <w:hideMark/>
          </w:tcPr>
          <w:p w14:paraId="10F23C42" w14:textId="77777777" w:rsidR="00000000" w:rsidRDefault="001F1B20">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14:paraId="37FE6481" w14:textId="77777777" w:rsidR="00000000" w:rsidRDefault="001F1B20">
            <w:pPr>
              <w:pStyle w:val="a3"/>
              <w:spacing w:before="0" w:beforeAutospacing="0" w:after="0" w:afterAutospacing="0"/>
              <w:rPr>
                <w:sz w:val="16"/>
                <w:szCs w:val="16"/>
              </w:rPr>
            </w:pPr>
            <w:r>
              <w:rPr>
                <w:sz w:val="16"/>
                <w:szCs w:val="16"/>
              </w:rPr>
              <w:t>$</w:t>
            </w:r>
          </w:p>
        </w:tc>
        <w:tc>
          <w:tcPr>
            <w:tcW w:w="343" w:type="pct"/>
            <w:tcBorders>
              <w:bottom w:val="double" w:sz="6" w:space="0" w:color="000000"/>
            </w:tcBorders>
            <w:noWrap/>
            <w:tcMar>
              <w:top w:w="0" w:type="dxa"/>
              <w:left w:w="0" w:type="dxa"/>
              <w:bottom w:w="0" w:type="dxa"/>
              <w:right w:w="0" w:type="dxa"/>
            </w:tcMar>
            <w:vAlign w:val="bottom"/>
            <w:hideMark/>
          </w:tcPr>
          <w:p w14:paraId="35626901" w14:textId="77777777" w:rsidR="00000000" w:rsidRDefault="001F1B20">
            <w:pPr>
              <w:pStyle w:val="a3"/>
              <w:spacing w:before="0" w:beforeAutospacing="0" w:after="0" w:afterAutospacing="0"/>
              <w:ind w:right="60"/>
              <w:jc w:val="right"/>
              <w:rPr>
                <w:sz w:val="16"/>
                <w:szCs w:val="16"/>
              </w:rPr>
            </w:pPr>
            <w:r>
              <w:rPr>
                <w:sz w:val="16"/>
                <w:szCs w:val="16"/>
              </w:rPr>
              <w:t>1</w:t>
            </w:r>
          </w:p>
        </w:tc>
        <w:tc>
          <w:tcPr>
            <w:tcW w:w="77" w:type="pct"/>
            <w:noWrap/>
            <w:tcMar>
              <w:top w:w="0" w:type="dxa"/>
              <w:left w:w="0" w:type="dxa"/>
              <w:bottom w:w="0" w:type="dxa"/>
              <w:right w:w="0" w:type="dxa"/>
            </w:tcMar>
            <w:vAlign w:val="bottom"/>
            <w:hideMark/>
          </w:tcPr>
          <w:p w14:paraId="1B63116C" w14:textId="77777777" w:rsidR="00000000" w:rsidRDefault="001F1B20">
            <w:pPr>
              <w:pStyle w:val="a3"/>
              <w:spacing w:before="0" w:beforeAutospacing="0" w:after="0" w:afterAutospacing="0"/>
              <w:rPr>
                <w:sz w:val="20"/>
                <w:szCs w:val="20"/>
              </w:rPr>
            </w:pPr>
            <w:r>
              <w:rPr>
                <w:sz w:val="16"/>
                <w:szCs w:val="16"/>
              </w:rPr>
              <w:t>​</w:t>
            </w:r>
          </w:p>
        </w:tc>
        <w:tc>
          <w:tcPr>
            <w:tcW w:w="77" w:type="pct"/>
            <w:tcBorders>
              <w:bottom w:val="double" w:sz="6" w:space="0" w:color="000000"/>
            </w:tcBorders>
            <w:noWrap/>
            <w:tcMar>
              <w:top w:w="0" w:type="dxa"/>
              <w:left w:w="0" w:type="dxa"/>
              <w:bottom w:w="0" w:type="dxa"/>
              <w:right w:w="0" w:type="dxa"/>
            </w:tcMar>
            <w:vAlign w:val="bottom"/>
            <w:hideMark/>
          </w:tcPr>
          <w:p w14:paraId="42A02FB4" w14:textId="77777777" w:rsidR="00000000" w:rsidRDefault="001F1B20">
            <w:pPr>
              <w:pStyle w:val="a3"/>
              <w:spacing w:before="0" w:beforeAutospacing="0" w:after="0" w:afterAutospacing="0"/>
              <w:rPr>
                <w:sz w:val="16"/>
                <w:szCs w:val="16"/>
              </w:rPr>
            </w:pPr>
            <w:r>
              <w:rPr>
                <w:sz w:val="16"/>
                <w:szCs w:val="16"/>
              </w:rPr>
              <w:t>$</w:t>
            </w:r>
          </w:p>
        </w:tc>
        <w:tc>
          <w:tcPr>
            <w:tcW w:w="367" w:type="pct"/>
            <w:tcBorders>
              <w:bottom w:val="double" w:sz="6" w:space="0" w:color="000000"/>
            </w:tcBorders>
            <w:noWrap/>
            <w:tcMar>
              <w:top w:w="0" w:type="dxa"/>
              <w:left w:w="0" w:type="dxa"/>
              <w:bottom w:w="0" w:type="dxa"/>
              <w:right w:w="0" w:type="dxa"/>
            </w:tcMar>
            <w:vAlign w:val="bottom"/>
            <w:hideMark/>
          </w:tcPr>
          <w:p w14:paraId="1652F392" w14:textId="77777777" w:rsidR="00000000" w:rsidRDefault="001F1B20">
            <w:pPr>
              <w:pStyle w:val="a3"/>
              <w:spacing w:before="0" w:beforeAutospacing="0" w:after="0" w:afterAutospacing="0"/>
              <w:rPr>
                <w:sz w:val="16"/>
                <w:szCs w:val="16"/>
              </w:rPr>
            </w:pPr>
            <w:r>
              <w:rPr>
                <w:sz w:val="16"/>
                <w:szCs w:val="16"/>
              </w:rPr>
              <w:t>1,206,524</w:t>
            </w:r>
          </w:p>
        </w:tc>
        <w:tc>
          <w:tcPr>
            <w:tcW w:w="77" w:type="pct"/>
            <w:noWrap/>
            <w:tcMar>
              <w:top w:w="0" w:type="dxa"/>
              <w:left w:w="0" w:type="dxa"/>
              <w:bottom w:w="0" w:type="dxa"/>
              <w:right w:w="0" w:type="dxa"/>
            </w:tcMar>
            <w:vAlign w:val="bottom"/>
            <w:hideMark/>
          </w:tcPr>
          <w:p w14:paraId="0756E017" w14:textId="77777777" w:rsidR="00000000" w:rsidRDefault="001F1B20">
            <w:pPr>
              <w:pStyle w:val="a3"/>
              <w:spacing w:before="0" w:beforeAutospacing="0" w:after="0" w:afterAutospacing="0"/>
              <w:rPr>
                <w:sz w:val="20"/>
                <w:szCs w:val="20"/>
              </w:rPr>
            </w:pPr>
            <w:r>
              <w:rPr>
                <w:sz w:val="16"/>
                <w:szCs w:val="16"/>
              </w:rPr>
              <w:t>​</w:t>
            </w:r>
          </w:p>
        </w:tc>
        <w:tc>
          <w:tcPr>
            <w:tcW w:w="107" w:type="pct"/>
            <w:tcBorders>
              <w:bottom w:val="double" w:sz="6" w:space="0" w:color="000000"/>
            </w:tcBorders>
            <w:noWrap/>
            <w:tcMar>
              <w:top w:w="0" w:type="dxa"/>
              <w:left w:w="0" w:type="dxa"/>
              <w:bottom w:w="0" w:type="dxa"/>
              <w:right w:w="0" w:type="dxa"/>
            </w:tcMar>
            <w:vAlign w:val="bottom"/>
            <w:hideMark/>
          </w:tcPr>
          <w:p w14:paraId="2ADF80BD" w14:textId="77777777" w:rsidR="00000000" w:rsidRDefault="001F1B20">
            <w:pPr>
              <w:pStyle w:val="a3"/>
              <w:spacing w:before="0" w:beforeAutospacing="0" w:after="0" w:afterAutospacing="0"/>
              <w:rPr>
                <w:sz w:val="16"/>
                <w:szCs w:val="16"/>
              </w:rPr>
            </w:pPr>
            <w:r>
              <w:rPr>
                <w:sz w:val="16"/>
                <w:szCs w:val="16"/>
              </w:rPr>
              <w:t>$</w:t>
            </w:r>
          </w:p>
        </w:tc>
        <w:tc>
          <w:tcPr>
            <w:tcW w:w="421" w:type="pct"/>
            <w:tcBorders>
              <w:bottom w:val="double" w:sz="6" w:space="0" w:color="000000"/>
            </w:tcBorders>
            <w:noWrap/>
            <w:tcMar>
              <w:top w:w="0" w:type="dxa"/>
              <w:left w:w="0" w:type="dxa"/>
              <w:bottom w:w="0" w:type="dxa"/>
              <w:right w:w="0" w:type="dxa"/>
            </w:tcMar>
            <w:vAlign w:val="bottom"/>
            <w:hideMark/>
          </w:tcPr>
          <w:p w14:paraId="5B5A96D8" w14:textId="77777777" w:rsidR="00000000" w:rsidRDefault="001F1B20">
            <w:pPr>
              <w:pStyle w:val="a3"/>
              <w:spacing w:before="0" w:beforeAutospacing="0" w:after="0" w:afterAutospacing="0"/>
              <w:ind w:right="60"/>
              <w:jc w:val="right"/>
              <w:rPr>
                <w:sz w:val="16"/>
                <w:szCs w:val="16"/>
              </w:rPr>
            </w:pPr>
            <w:r>
              <w:rPr>
                <w:sz w:val="16"/>
                <w:szCs w:val="16"/>
              </w:rPr>
              <w:t>122</w:t>
            </w:r>
          </w:p>
        </w:tc>
        <w:tc>
          <w:tcPr>
            <w:tcW w:w="77" w:type="pct"/>
            <w:noWrap/>
            <w:tcMar>
              <w:top w:w="0" w:type="dxa"/>
              <w:left w:w="0" w:type="dxa"/>
              <w:bottom w:w="0" w:type="dxa"/>
              <w:right w:w="0" w:type="dxa"/>
            </w:tcMar>
            <w:vAlign w:val="bottom"/>
            <w:hideMark/>
          </w:tcPr>
          <w:p w14:paraId="3D59C18C" w14:textId="77777777" w:rsidR="00000000" w:rsidRDefault="001F1B20">
            <w:pPr>
              <w:pStyle w:val="a3"/>
              <w:spacing w:before="0" w:beforeAutospacing="0" w:after="0" w:afterAutospacing="0"/>
              <w:rPr>
                <w:sz w:val="20"/>
                <w:szCs w:val="20"/>
              </w:rPr>
            </w:pPr>
            <w:r>
              <w:rPr>
                <w:sz w:val="16"/>
                <w:szCs w:val="16"/>
              </w:rPr>
              <w:t>​</w:t>
            </w:r>
          </w:p>
        </w:tc>
        <w:tc>
          <w:tcPr>
            <w:tcW w:w="91" w:type="pct"/>
            <w:tcBorders>
              <w:bottom w:val="double" w:sz="6" w:space="0" w:color="000000"/>
            </w:tcBorders>
            <w:noWrap/>
            <w:tcMar>
              <w:top w:w="0" w:type="dxa"/>
              <w:left w:w="0" w:type="dxa"/>
              <w:bottom w:w="0" w:type="dxa"/>
              <w:right w:w="0" w:type="dxa"/>
            </w:tcMar>
            <w:vAlign w:val="bottom"/>
            <w:hideMark/>
          </w:tcPr>
          <w:p w14:paraId="3762F2F9" w14:textId="77777777" w:rsidR="00000000" w:rsidRDefault="001F1B20">
            <w:pPr>
              <w:pStyle w:val="a3"/>
              <w:spacing w:before="0" w:beforeAutospacing="0" w:after="0" w:afterAutospacing="0"/>
              <w:rPr>
                <w:sz w:val="16"/>
                <w:szCs w:val="16"/>
              </w:rPr>
            </w:pPr>
            <w:r>
              <w:rPr>
                <w:sz w:val="16"/>
                <w:szCs w:val="16"/>
              </w:rPr>
              <w:t>$</w:t>
            </w:r>
          </w:p>
        </w:tc>
        <w:tc>
          <w:tcPr>
            <w:tcW w:w="390" w:type="pct"/>
            <w:tcBorders>
              <w:bottom w:val="double" w:sz="6" w:space="0" w:color="000000"/>
            </w:tcBorders>
            <w:noWrap/>
            <w:tcMar>
              <w:top w:w="0" w:type="dxa"/>
              <w:left w:w="0" w:type="dxa"/>
              <w:bottom w:w="0" w:type="dxa"/>
              <w:right w:w="0" w:type="dxa"/>
            </w:tcMar>
            <w:vAlign w:val="bottom"/>
            <w:hideMark/>
          </w:tcPr>
          <w:p w14:paraId="6A100F80" w14:textId="77777777" w:rsidR="00000000" w:rsidRDefault="001F1B20">
            <w:pPr>
              <w:pStyle w:val="a3"/>
              <w:spacing w:before="0" w:beforeAutospacing="0" w:after="0" w:afterAutospacing="0"/>
              <w:jc w:val="right"/>
              <w:rPr>
                <w:sz w:val="16"/>
                <w:szCs w:val="16"/>
              </w:rPr>
            </w:pPr>
            <w:r>
              <w:rPr>
                <w:sz w:val="16"/>
                <w:szCs w:val="16"/>
              </w:rPr>
              <w:t>(1,468,183)</w:t>
            </w:r>
          </w:p>
        </w:tc>
        <w:tc>
          <w:tcPr>
            <w:tcW w:w="77" w:type="pct"/>
            <w:noWrap/>
            <w:tcMar>
              <w:top w:w="0" w:type="dxa"/>
              <w:left w:w="0" w:type="dxa"/>
              <w:bottom w:w="0" w:type="dxa"/>
              <w:right w:w="0" w:type="dxa"/>
            </w:tcMar>
            <w:vAlign w:val="bottom"/>
            <w:hideMark/>
          </w:tcPr>
          <w:p w14:paraId="052F8190" w14:textId="77777777" w:rsidR="00000000" w:rsidRDefault="001F1B20">
            <w:pPr>
              <w:pStyle w:val="a3"/>
              <w:spacing w:before="0" w:beforeAutospacing="0" w:after="0" w:afterAutospacing="0"/>
              <w:rPr>
                <w:sz w:val="20"/>
                <w:szCs w:val="20"/>
              </w:rPr>
            </w:pPr>
            <w:r>
              <w:rPr>
                <w:sz w:val="16"/>
                <w:szCs w:val="16"/>
              </w:rPr>
              <w:t>​</w:t>
            </w:r>
          </w:p>
        </w:tc>
        <w:tc>
          <w:tcPr>
            <w:tcW w:w="96" w:type="pct"/>
            <w:tcBorders>
              <w:bottom w:val="double" w:sz="6" w:space="0" w:color="000000"/>
            </w:tcBorders>
            <w:noWrap/>
            <w:tcMar>
              <w:top w:w="0" w:type="dxa"/>
              <w:left w:w="0" w:type="dxa"/>
              <w:bottom w:w="0" w:type="dxa"/>
              <w:right w:w="0" w:type="dxa"/>
            </w:tcMar>
            <w:vAlign w:val="bottom"/>
            <w:hideMark/>
          </w:tcPr>
          <w:p w14:paraId="0A8A1F8C" w14:textId="77777777" w:rsidR="00000000" w:rsidRDefault="001F1B20">
            <w:pPr>
              <w:pStyle w:val="a3"/>
              <w:spacing w:before="0" w:beforeAutospacing="0" w:after="0" w:afterAutospacing="0"/>
              <w:rPr>
                <w:sz w:val="16"/>
                <w:szCs w:val="16"/>
              </w:rPr>
            </w:pPr>
            <w:r>
              <w:rPr>
                <w:sz w:val="16"/>
                <w:szCs w:val="16"/>
              </w:rPr>
              <w:t>$</w:t>
            </w:r>
          </w:p>
        </w:tc>
        <w:tc>
          <w:tcPr>
            <w:tcW w:w="375" w:type="pct"/>
            <w:tcBorders>
              <w:bottom w:val="double" w:sz="6" w:space="0" w:color="000000"/>
            </w:tcBorders>
            <w:noWrap/>
            <w:tcMar>
              <w:top w:w="0" w:type="dxa"/>
              <w:left w:w="0" w:type="dxa"/>
              <w:bottom w:w="0" w:type="dxa"/>
              <w:right w:w="0" w:type="dxa"/>
            </w:tcMar>
            <w:vAlign w:val="bottom"/>
            <w:hideMark/>
          </w:tcPr>
          <w:p w14:paraId="6FE8F41B" w14:textId="77777777" w:rsidR="00000000" w:rsidRDefault="001F1B20">
            <w:pPr>
              <w:pStyle w:val="a3"/>
              <w:spacing w:before="0" w:beforeAutospacing="0" w:after="0" w:afterAutospacing="0"/>
              <w:jc w:val="right"/>
              <w:rPr>
                <w:sz w:val="16"/>
                <w:szCs w:val="16"/>
              </w:rPr>
            </w:pPr>
            <w:r>
              <w:rPr>
                <w:sz w:val="16"/>
                <w:szCs w:val="16"/>
              </w:rPr>
              <w:t>(261,536)</w:t>
            </w:r>
          </w:p>
        </w:tc>
      </w:tr>
      <w:tr w:rsidR="00000000" w14:paraId="393BB788" w14:textId="77777777">
        <w:trPr>
          <w:divId w:val="1901865854"/>
        </w:trPr>
        <w:tc>
          <w:tcPr>
            <w:tcW w:w="1845" w:type="pct"/>
            <w:tcMar>
              <w:top w:w="0" w:type="dxa"/>
              <w:left w:w="0" w:type="dxa"/>
              <w:bottom w:w="0" w:type="dxa"/>
              <w:right w:w="0" w:type="dxa"/>
            </w:tcMar>
            <w:vAlign w:val="bottom"/>
            <w:hideMark/>
          </w:tcPr>
          <w:p w14:paraId="5B3DD56D"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6E3199A6"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7FE07A73" w14:textId="77777777" w:rsidR="00000000" w:rsidRDefault="001F1B20">
            <w:pPr>
              <w:pStyle w:val="a3"/>
              <w:spacing w:before="0" w:beforeAutospacing="0" w:after="0" w:afterAutospacing="0"/>
              <w:jc w:val="right"/>
              <w:rPr>
                <w:sz w:val="20"/>
                <w:szCs w:val="20"/>
              </w:rPr>
            </w:pPr>
            <w:r>
              <w:rPr>
                <w:sz w:val="16"/>
                <w:szCs w:val="16"/>
              </w:rPr>
              <w:t>​</w:t>
            </w:r>
          </w:p>
        </w:tc>
        <w:tc>
          <w:tcPr>
            <w:tcW w:w="76" w:type="pct"/>
            <w:noWrap/>
            <w:tcMar>
              <w:top w:w="0" w:type="dxa"/>
              <w:left w:w="0" w:type="dxa"/>
              <w:bottom w:w="0" w:type="dxa"/>
              <w:right w:w="0" w:type="dxa"/>
            </w:tcMar>
            <w:vAlign w:val="bottom"/>
            <w:hideMark/>
          </w:tcPr>
          <w:p w14:paraId="61C68570"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17F9F6AD" w14:textId="77777777" w:rsidR="00000000" w:rsidRDefault="001F1B20">
            <w:pPr>
              <w:pStyle w:val="a3"/>
              <w:spacing w:before="0" w:beforeAutospacing="0" w:after="0" w:afterAutospacing="0"/>
              <w:jc w:val="center"/>
              <w:rPr>
                <w:sz w:val="20"/>
                <w:szCs w:val="20"/>
              </w:rPr>
            </w:pPr>
            <w:r>
              <w:rPr>
                <w:sz w:val="16"/>
                <w:szCs w:val="16"/>
              </w:rPr>
              <w:t>​</w:t>
            </w:r>
          </w:p>
        </w:tc>
        <w:tc>
          <w:tcPr>
            <w:tcW w:w="343" w:type="pct"/>
            <w:noWrap/>
            <w:tcMar>
              <w:top w:w="0" w:type="dxa"/>
              <w:left w:w="0" w:type="dxa"/>
              <w:bottom w:w="0" w:type="dxa"/>
              <w:right w:w="0" w:type="dxa"/>
            </w:tcMar>
            <w:vAlign w:val="bottom"/>
            <w:hideMark/>
          </w:tcPr>
          <w:p w14:paraId="6B790E48"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1E25CC48"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2B1A9DD4" w14:textId="77777777" w:rsidR="00000000" w:rsidRDefault="001F1B20">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3725A648"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3A68F0F2"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66F0571E" w14:textId="77777777" w:rsidR="00000000" w:rsidRDefault="001F1B20">
            <w:pPr>
              <w:pStyle w:val="a3"/>
              <w:spacing w:before="0" w:beforeAutospacing="0" w:after="0" w:afterAutospacing="0"/>
              <w:jc w:val="center"/>
              <w:rPr>
                <w:sz w:val="20"/>
                <w:szCs w:val="20"/>
              </w:rPr>
            </w:pPr>
            <w:r>
              <w:rPr>
                <w:sz w:val="16"/>
                <w:szCs w:val="16"/>
              </w:rPr>
              <w:t>​</w:t>
            </w:r>
          </w:p>
        </w:tc>
        <w:tc>
          <w:tcPr>
            <w:tcW w:w="421" w:type="pct"/>
            <w:noWrap/>
            <w:tcMar>
              <w:top w:w="0" w:type="dxa"/>
              <w:left w:w="0" w:type="dxa"/>
              <w:bottom w:w="0" w:type="dxa"/>
              <w:right w:w="0" w:type="dxa"/>
            </w:tcMar>
            <w:vAlign w:val="bottom"/>
            <w:hideMark/>
          </w:tcPr>
          <w:p w14:paraId="2D4B069F"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3249CABE"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53F3B1B7" w14:textId="77777777" w:rsidR="00000000" w:rsidRDefault="001F1B20">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46F59963" w14:textId="77777777" w:rsidR="00000000" w:rsidRDefault="001F1B20">
            <w:pPr>
              <w:pStyle w:val="a3"/>
              <w:spacing w:before="0" w:beforeAutospacing="0" w:after="0"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14:paraId="570A57FC"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42DE4367" w14:textId="77777777" w:rsidR="00000000" w:rsidRDefault="001F1B20">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63CC8CA0" w14:textId="77777777" w:rsidR="00000000" w:rsidRDefault="001F1B20">
            <w:pPr>
              <w:pStyle w:val="a3"/>
              <w:spacing w:before="0" w:beforeAutospacing="0" w:after="0" w:afterAutospacing="0"/>
              <w:jc w:val="right"/>
              <w:rPr>
                <w:sz w:val="20"/>
                <w:szCs w:val="20"/>
              </w:rPr>
            </w:pPr>
            <w:r>
              <w:rPr>
                <w:sz w:val="16"/>
                <w:szCs w:val="16"/>
              </w:rPr>
              <w:t>​</w:t>
            </w:r>
          </w:p>
        </w:tc>
      </w:tr>
      <w:tr w:rsidR="00000000" w14:paraId="68742565" w14:textId="77777777">
        <w:trPr>
          <w:divId w:val="1901865854"/>
        </w:trPr>
        <w:tc>
          <w:tcPr>
            <w:tcW w:w="1845" w:type="pct"/>
            <w:tcMar>
              <w:top w:w="0" w:type="dxa"/>
              <w:left w:w="0" w:type="dxa"/>
              <w:bottom w:w="0" w:type="dxa"/>
              <w:right w:w="0" w:type="dxa"/>
            </w:tcMar>
            <w:vAlign w:val="bottom"/>
            <w:hideMark/>
          </w:tcPr>
          <w:p w14:paraId="42FCBB57" w14:textId="77777777" w:rsidR="00000000" w:rsidRDefault="001F1B20">
            <w:pPr>
              <w:pStyle w:val="a3"/>
              <w:spacing w:before="0" w:beforeAutospacing="0" w:after="0" w:afterAutospacing="0"/>
              <w:rPr>
                <w:sz w:val="20"/>
                <w:szCs w:val="20"/>
              </w:rPr>
            </w:pPr>
            <w:r>
              <w:rPr>
                <w:sz w:val="16"/>
                <w:szCs w:val="16"/>
              </w:rPr>
              <w:lastRenderedPageBreak/>
              <w:t>​</w:t>
            </w:r>
          </w:p>
        </w:tc>
        <w:tc>
          <w:tcPr>
            <w:tcW w:w="76" w:type="pct"/>
            <w:noWrap/>
            <w:tcMar>
              <w:top w:w="0" w:type="dxa"/>
              <w:left w:w="0" w:type="dxa"/>
              <w:bottom w:w="0" w:type="dxa"/>
              <w:right w:w="0" w:type="dxa"/>
            </w:tcMar>
            <w:vAlign w:val="bottom"/>
            <w:hideMark/>
          </w:tcPr>
          <w:p w14:paraId="74ABD7C3" w14:textId="77777777" w:rsidR="00000000" w:rsidRDefault="001F1B20">
            <w:pPr>
              <w:pStyle w:val="a3"/>
              <w:spacing w:before="0" w:beforeAutospacing="0" w:after="0"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14:paraId="7F8147E6"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1DB050B2"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1014862C" w14:textId="77777777" w:rsidR="00000000" w:rsidRDefault="001F1B20">
            <w:pPr>
              <w:pStyle w:val="a3"/>
              <w:spacing w:before="0" w:beforeAutospacing="0" w:after="0" w:afterAutospacing="0"/>
              <w:jc w:val="center"/>
              <w:rPr>
                <w:sz w:val="20"/>
                <w:szCs w:val="20"/>
              </w:rPr>
            </w:pPr>
            <w:r>
              <w:rPr>
                <w:sz w:val="16"/>
                <w:szCs w:val="16"/>
              </w:rPr>
              <w:t>​</w:t>
            </w:r>
          </w:p>
        </w:tc>
        <w:tc>
          <w:tcPr>
            <w:tcW w:w="343" w:type="pct"/>
            <w:noWrap/>
            <w:tcMar>
              <w:top w:w="0" w:type="dxa"/>
              <w:left w:w="0" w:type="dxa"/>
              <w:bottom w:w="0" w:type="dxa"/>
              <w:right w:w="0" w:type="dxa"/>
            </w:tcMar>
            <w:vAlign w:val="bottom"/>
            <w:hideMark/>
          </w:tcPr>
          <w:p w14:paraId="7E6C00BA"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1064C8FF"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057FA7FF" w14:textId="77777777" w:rsidR="00000000" w:rsidRDefault="001F1B20">
            <w:pPr>
              <w:pStyle w:val="a3"/>
              <w:spacing w:before="0" w:beforeAutospacing="0" w:after="0" w:afterAutospacing="0"/>
              <w:jc w:val="center"/>
              <w:rPr>
                <w:sz w:val="20"/>
                <w:szCs w:val="20"/>
              </w:rPr>
            </w:pPr>
            <w:r>
              <w:rPr>
                <w:sz w:val="16"/>
                <w:szCs w:val="16"/>
              </w:rPr>
              <w:t>​</w:t>
            </w:r>
          </w:p>
        </w:tc>
        <w:tc>
          <w:tcPr>
            <w:tcW w:w="367" w:type="pct"/>
            <w:noWrap/>
            <w:tcMar>
              <w:top w:w="0" w:type="dxa"/>
              <w:left w:w="0" w:type="dxa"/>
              <w:bottom w:w="0" w:type="dxa"/>
              <w:right w:w="0" w:type="dxa"/>
            </w:tcMar>
            <w:vAlign w:val="bottom"/>
            <w:hideMark/>
          </w:tcPr>
          <w:p w14:paraId="0D5C8E72"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32D176B8" w14:textId="77777777" w:rsidR="00000000" w:rsidRDefault="001F1B20">
            <w:pPr>
              <w:pStyle w:val="a3"/>
              <w:spacing w:before="0" w:beforeAutospacing="0" w:after="0" w:afterAutospacing="0"/>
              <w:rPr>
                <w:sz w:val="20"/>
                <w:szCs w:val="20"/>
              </w:rPr>
            </w:pPr>
            <w:r>
              <w:rPr>
                <w:sz w:val="16"/>
                <w:szCs w:val="16"/>
              </w:rPr>
              <w:t>​</w:t>
            </w:r>
          </w:p>
        </w:tc>
        <w:tc>
          <w:tcPr>
            <w:tcW w:w="529" w:type="pct"/>
            <w:gridSpan w:val="2"/>
            <w:noWrap/>
            <w:tcMar>
              <w:top w:w="0" w:type="dxa"/>
              <w:left w:w="0" w:type="dxa"/>
              <w:bottom w:w="0" w:type="dxa"/>
              <w:right w:w="0" w:type="dxa"/>
            </w:tcMar>
            <w:vAlign w:val="bottom"/>
            <w:hideMark/>
          </w:tcPr>
          <w:p w14:paraId="28C43960" w14:textId="77777777" w:rsidR="00000000" w:rsidRDefault="001F1B20">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14:paraId="0AD9EB20" w14:textId="77777777" w:rsidR="00000000" w:rsidRDefault="001F1B20">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14:paraId="651DD688" w14:textId="77777777" w:rsidR="00000000" w:rsidRDefault="001F1B20">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14:paraId="44BC0A2E"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7CDF5A54"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1F993DA1" w14:textId="77777777" w:rsidR="00000000" w:rsidRDefault="001F1B20">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14:paraId="54DE1FBB" w14:textId="77777777" w:rsidR="00000000" w:rsidRDefault="001F1B20">
            <w:pPr>
              <w:pStyle w:val="a3"/>
              <w:spacing w:before="0" w:beforeAutospacing="0" w:after="0" w:afterAutospacing="0"/>
              <w:rPr>
                <w:sz w:val="20"/>
                <w:szCs w:val="20"/>
              </w:rPr>
            </w:pPr>
            <w:r>
              <w:rPr>
                <w:sz w:val="16"/>
                <w:szCs w:val="16"/>
              </w:rPr>
              <w:t>​</w:t>
            </w:r>
          </w:p>
        </w:tc>
      </w:tr>
      <w:tr w:rsidR="00000000" w14:paraId="343C4E34" w14:textId="77777777">
        <w:trPr>
          <w:divId w:val="1901865854"/>
        </w:trPr>
        <w:tc>
          <w:tcPr>
            <w:tcW w:w="1845" w:type="pct"/>
            <w:tcMar>
              <w:top w:w="0" w:type="dxa"/>
              <w:left w:w="0" w:type="dxa"/>
              <w:bottom w:w="0" w:type="dxa"/>
              <w:right w:w="0" w:type="dxa"/>
            </w:tcMar>
            <w:vAlign w:val="bottom"/>
            <w:hideMark/>
          </w:tcPr>
          <w:p w14:paraId="4ACB7313"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A0A8281" w14:textId="77777777" w:rsidR="00000000" w:rsidRDefault="001F1B20">
            <w:pPr>
              <w:pStyle w:val="a3"/>
              <w:spacing w:before="0" w:beforeAutospacing="0" w:after="0" w:afterAutospacing="0"/>
              <w:rPr>
                <w:sz w:val="20"/>
                <w:szCs w:val="20"/>
              </w:rPr>
            </w:pPr>
            <w:r>
              <w:rPr>
                <w:sz w:val="16"/>
                <w:szCs w:val="16"/>
              </w:rPr>
              <w:t>​</w:t>
            </w:r>
          </w:p>
        </w:tc>
        <w:tc>
          <w:tcPr>
            <w:tcW w:w="343" w:type="pct"/>
            <w:tcMar>
              <w:top w:w="0" w:type="dxa"/>
              <w:left w:w="0" w:type="dxa"/>
              <w:bottom w:w="0" w:type="dxa"/>
              <w:right w:w="0" w:type="dxa"/>
            </w:tcMar>
            <w:vAlign w:val="bottom"/>
            <w:hideMark/>
          </w:tcPr>
          <w:p w14:paraId="003D9092"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54DFCE56" w14:textId="77777777" w:rsidR="00000000" w:rsidRDefault="001F1B20">
            <w:pPr>
              <w:pStyle w:val="a3"/>
              <w:spacing w:before="0" w:beforeAutospacing="0" w:after="0" w:afterAutospacing="0"/>
              <w:jc w:val="center"/>
              <w:rPr>
                <w:sz w:val="20"/>
                <w:szCs w:val="20"/>
              </w:rPr>
            </w:pPr>
            <w:r>
              <w:rPr>
                <w:b/>
                <w:bCs/>
                <w:sz w:val="16"/>
                <w:szCs w:val="16"/>
              </w:rPr>
              <w:t>​</w:t>
            </w:r>
          </w:p>
        </w:tc>
        <w:tc>
          <w:tcPr>
            <w:tcW w:w="76" w:type="pct"/>
            <w:tcMar>
              <w:top w:w="0" w:type="dxa"/>
              <w:left w:w="0" w:type="dxa"/>
              <w:bottom w:w="0" w:type="dxa"/>
              <w:right w:w="0" w:type="dxa"/>
            </w:tcMar>
            <w:vAlign w:val="bottom"/>
            <w:hideMark/>
          </w:tcPr>
          <w:p w14:paraId="28FB93E9" w14:textId="77777777" w:rsidR="00000000" w:rsidRDefault="001F1B20">
            <w:pPr>
              <w:pStyle w:val="a3"/>
              <w:spacing w:before="0" w:beforeAutospacing="0" w:after="0" w:afterAutospacing="0"/>
              <w:jc w:val="center"/>
              <w:rPr>
                <w:sz w:val="20"/>
                <w:szCs w:val="20"/>
              </w:rPr>
            </w:pPr>
            <w:r>
              <w:rPr>
                <w:b/>
                <w:bCs/>
                <w:sz w:val="16"/>
                <w:szCs w:val="16"/>
              </w:rPr>
              <w:t>​</w:t>
            </w:r>
          </w:p>
        </w:tc>
        <w:tc>
          <w:tcPr>
            <w:tcW w:w="343" w:type="pct"/>
            <w:tcMar>
              <w:top w:w="0" w:type="dxa"/>
              <w:left w:w="0" w:type="dxa"/>
              <w:bottom w:w="0" w:type="dxa"/>
              <w:right w:w="0" w:type="dxa"/>
            </w:tcMar>
            <w:vAlign w:val="bottom"/>
            <w:hideMark/>
          </w:tcPr>
          <w:p w14:paraId="56660B43" w14:textId="77777777" w:rsidR="00000000" w:rsidRDefault="001F1B20">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14:paraId="23CAFD55" w14:textId="77777777" w:rsidR="00000000" w:rsidRDefault="001F1B20">
            <w:pPr>
              <w:pStyle w:val="a3"/>
              <w:spacing w:before="0" w:beforeAutospacing="0" w:after="0" w:afterAutospacing="0"/>
              <w:rPr>
                <w:sz w:val="20"/>
                <w:szCs w:val="20"/>
              </w:rPr>
            </w:pPr>
            <w:r>
              <w:rPr>
                <w:b/>
                <w:bCs/>
                <w:sz w:val="16"/>
                <w:szCs w:val="16"/>
              </w:rPr>
              <w:t>​</w:t>
            </w:r>
          </w:p>
        </w:tc>
        <w:tc>
          <w:tcPr>
            <w:tcW w:w="444" w:type="pct"/>
            <w:gridSpan w:val="2"/>
            <w:noWrap/>
            <w:tcMar>
              <w:top w:w="0" w:type="dxa"/>
              <w:left w:w="0" w:type="dxa"/>
              <w:bottom w:w="0" w:type="dxa"/>
              <w:right w:w="0" w:type="dxa"/>
            </w:tcMar>
            <w:vAlign w:val="bottom"/>
            <w:hideMark/>
          </w:tcPr>
          <w:p w14:paraId="3D656040" w14:textId="77777777" w:rsidR="00000000" w:rsidRDefault="001F1B20">
            <w:pPr>
              <w:pStyle w:val="a3"/>
              <w:spacing w:before="0" w:beforeAutospacing="0" w:after="0" w:afterAutospacing="0"/>
              <w:jc w:val="center"/>
              <w:rPr>
                <w:sz w:val="16"/>
                <w:szCs w:val="16"/>
              </w:rPr>
            </w:pPr>
            <w:r>
              <w:rPr>
                <w:b/>
                <w:bCs/>
                <w:sz w:val="16"/>
                <w:szCs w:val="16"/>
              </w:rPr>
              <w:t>Additional</w:t>
            </w:r>
          </w:p>
        </w:tc>
        <w:tc>
          <w:tcPr>
            <w:tcW w:w="77" w:type="pct"/>
            <w:tcMar>
              <w:top w:w="0" w:type="dxa"/>
              <w:left w:w="0" w:type="dxa"/>
              <w:bottom w:w="0" w:type="dxa"/>
              <w:right w:w="0" w:type="dxa"/>
            </w:tcMar>
            <w:vAlign w:val="bottom"/>
            <w:hideMark/>
          </w:tcPr>
          <w:p w14:paraId="752A3DD4" w14:textId="77777777" w:rsidR="00000000" w:rsidRDefault="001F1B20">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14:paraId="7092F243" w14:textId="77777777" w:rsidR="00000000" w:rsidRDefault="001F1B20">
            <w:pPr>
              <w:pStyle w:val="a3"/>
              <w:spacing w:before="0" w:beforeAutospacing="0" w:after="0" w:afterAutospacing="0"/>
              <w:jc w:val="center"/>
              <w:rPr>
                <w:sz w:val="16"/>
                <w:szCs w:val="16"/>
              </w:rPr>
            </w:pPr>
            <w:r>
              <w:rPr>
                <w:b/>
                <w:bCs/>
                <w:sz w:val="16"/>
                <w:szCs w:val="16"/>
              </w:rPr>
              <w:t>Other</w:t>
            </w:r>
          </w:p>
        </w:tc>
        <w:tc>
          <w:tcPr>
            <w:tcW w:w="77" w:type="pct"/>
            <w:tcMar>
              <w:top w:w="0" w:type="dxa"/>
              <w:left w:w="0" w:type="dxa"/>
              <w:bottom w:w="0" w:type="dxa"/>
              <w:right w:w="0" w:type="dxa"/>
            </w:tcMar>
            <w:vAlign w:val="bottom"/>
            <w:hideMark/>
          </w:tcPr>
          <w:p w14:paraId="5064E51B" w14:textId="77777777" w:rsidR="00000000" w:rsidRDefault="001F1B20">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14:paraId="49B624E2" w14:textId="77777777" w:rsidR="00000000" w:rsidRDefault="001F1B20">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14:paraId="6BB1D767" w14:textId="77777777" w:rsidR="00000000" w:rsidRDefault="001F1B20">
            <w:pPr>
              <w:pStyle w:val="a3"/>
              <w:spacing w:before="0" w:beforeAutospacing="0" w:after="0" w:afterAutospacing="0"/>
              <w:jc w:val="center"/>
              <w:rPr>
                <w:sz w:val="20"/>
                <w:szCs w:val="20"/>
              </w:rPr>
            </w:pPr>
            <w:r>
              <w:rPr>
                <w:b/>
                <w:bCs/>
                <w:sz w:val="16"/>
                <w:szCs w:val="16"/>
              </w:rPr>
              <w:t>​</w:t>
            </w:r>
          </w:p>
        </w:tc>
        <w:tc>
          <w:tcPr>
            <w:tcW w:w="77" w:type="pct"/>
            <w:tcMar>
              <w:top w:w="0" w:type="dxa"/>
              <w:left w:w="0" w:type="dxa"/>
              <w:bottom w:w="0" w:type="dxa"/>
              <w:right w:w="0" w:type="dxa"/>
            </w:tcMar>
            <w:vAlign w:val="bottom"/>
            <w:hideMark/>
          </w:tcPr>
          <w:p w14:paraId="20A17A70" w14:textId="77777777" w:rsidR="00000000" w:rsidRDefault="001F1B20">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6DE2E371" w14:textId="77777777" w:rsidR="00000000" w:rsidRDefault="001F1B20">
            <w:pPr>
              <w:pStyle w:val="a3"/>
              <w:spacing w:before="0" w:beforeAutospacing="0" w:after="0" w:afterAutospacing="0"/>
              <w:jc w:val="center"/>
              <w:rPr>
                <w:sz w:val="16"/>
                <w:szCs w:val="16"/>
              </w:rPr>
            </w:pPr>
            <w:r>
              <w:rPr>
                <w:b/>
                <w:bCs/>
                <w:sz w:val="16"/>
                <w:szCs w:val="16"/>
              </w:rPr>
              <w:t>Total</w:t>
            </w:r>
          </w:p>
        </w:tc>
      </w:tr>
      <w:tr w:rsidR="00000000" w14:paraId="7C238C9F" w14:textId="77777777">
        <w:trPr>
          <w:divId w:val="1901865854"/>
        </w:trPr>
        <w:tc>
          <w:tcPr>
            <w:tcW w:w="1845" w:type="pct"/>
            <w:tcMar>
              <w:top w:w="0" w:type="dxa"/>
              <w:left w:w="0" w:type="dxa"/>
              <w:bottom w:w="0" w:type="dxa"/>
              <w:right w:w="0" w:type="dxa"/>
            </w:tcMar>
            <w:vAlign w:val="bottom"/>
            <w:hideMark/>
          </w:tcPr>
          <w:p w14:paraId="0890E6F4"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9F8CBC0" w14:textId="77777777" w:rsidR="00000000" w:rsidRDefault="001F1B20">
            <w:pPr>
              <w:pStyle w:val="a3"/>
              <w:spacing w:before="0" w:beforeAutospacing="0" w:after="0" w:afterAutospacing="0"/>
              <w:rPr>
                <w:sz w:val="20"/>
                <w:szCs w:val="20"/>
              </w:rPr>
            </w:pPr>
            <w:r>
              <w:rPr>
                <w:sz w:val="16"/>
                <w:szCs w:val="16"/>
              </w:rPr>
              <w:t>​</w:t>
            </w:r>
          </w:p>
        </w:tc>
        <w:tc>
          <w:tcPr>
            <w:tcW w:w="840" w:type="pct"/>
            <w:gridSpan w:val="4"/>
            <w:tcBorders>
              <w:bottom w:val="single" w:sz="6" w:space="0" w:color="000000"/>
            </w:tcBorders>
            <w:noWrap/>
            <w:tcMar>
              <w:top w:w="0" w:type="dxa"/>
              <w:left w:w="0" w:type="dxa"/>
              <w:bottom w:w="0" w:type="dxa"/>
              <w:right w:w="0" w:type="dxa"/>
            </w:tcMar>
            <w:vAlign w:val="bottom"/>
            <w:hideMark/>
          </w:tcPr>
          <w:p w14:paraId="18AD4591" w14:textId="77777777" w:rsidR="00000000" w:rsidRDefault="001F1B20">
            <w:pPr>
              <w:pStyle w:val="a3"/>
              <w:spacing w:before="0" w:beforeAutospacing="0" w:after="0" w:afterAutospacing="0"/>
              <w:jc w:val="center"/>
              <w:rPr>
                <w:sz w:val="16"/>
                <w:szCs w:val="16"/>
              </w:rPr>
            </w:pPr>
            <w:r>
              <w:rPr>
                <w:b/>
                <w:bCs/>
                <w:sz w:val="16"/>
                <w:szCs w:val="16"/>
              </w:rPr>
              <w:t>Ordinary </w:t>
            </w:r>
            <w:r>
              <w:rPr>
                <w:b/>
                <w:bCs/>
                <w:sz w:val="16"/>
                <w:szCs w:val="16"/>
              </w:rPr>
              <w:t>Shares</w:t>
            </w:r>
          </w:p>
        </w:tc>
        <w:tc>
          <w:tcPr>
            <w:tcW w:w="77" w:type="pct"/>
            <w:tcMar>
              <w:top w:w="0" w:type="dxa"/>
              <w:left w:w="0" w:type="dxa"/>
              <w:bottom w:w="0" w:type="dxa"/>
              <w:right w:w="0" w:type="dxa"/>
            </w:tcMar>
            <w:vAlign w:val="bottom"/>
            <w:hideMark/>
          </w:tcPr>
          <w:p w14:paraId="4A5283B9" w14:textId="77777777" w:rsidR="00000000" w:rsidRDefault="001F1B20">
            <w:pPr>
              <w:pStyle w:val="a3"/>
              <w:spacing w:before="0" w:beforeAutospacing="0" w:after="0" w:afterAutospacing="0"/>
              <w:rPr>
                <w:sz w:val="20"/>
                <w:szCs w:val="20"/>
              </w:rPr>
            </w:pPr>
            <w:r>
              <w:rPr>
                <w:b/>
                <w:bCs/>
                <w:sz w:val="16"/>
                <w:szCs w:val="16"/>
              </w:rPr>
              <w:t>​</w:t>
            </w:r>
          </w:p>
        </w:tc>
        <w:tc>
          <w:tcPr>
            <w:tcW w:w="444" w:type="pct"/>
            <w:gridSpan w:val="2"/>
            <w:noWrap/>
            <w:tcMar>
              <w:top w:w="0" w:type="dxa"/>
              <w:left w:w="0" w:type="dxa"/>
              <w:bottom w:w="0" w:type="dxa"/>
              <w:right w:w="0" w:type="dxa"/>
            </w:tcMar>
            <w:vAlign w:val="bottom"/>
            <w:hideMark/>
          </w:tcPr>
          <w:p w14:paraId="5A9424F3" w14:textId="77777777" w:rsidR="00000000" w:rsidRDefault="001F1B20">
            <w:pPr>
              <w:pStyle w:val="a3"/>
              <w:spacing w:before="0" w:beforeAutospacing="0" w:after="0" w:afterAutospacing="0"/>
              <w:jc w:val="center"/>
              <w:rPr>
                <w:sz w:val="16"/>
                <w:szCs w:val="16"/>
              </w:rPr>
            </w:pPr>
            <w:r>
              <w:rPr>
                <w:b/>
                <w:bCs/>
                <w:sz w:val="16"/>
                <w:szCs w:val="16"/>
              </w:rPr>
              <w:t>Paid-In</w:t>
            </w:r>
          </w:p>
        </w:tc>
        <w:tc>
          <w:tcPr>
            <w:tcW w:w="77" w:type="pct"/>
            <w:tcMar>
              <w:top w:w="0" w:type="dxa"/>
              <w:left w:w="0" w:type="dxa"/>
              <w:bottom w:w="0" w:type="dxa"/>
              <w:right w:w="0" w:type="dxa"/>
            </w:tcMar>
            <w:vAlign w:val="bottom"/>
            <w:hideMark/>
          </w:tcPr>
          <w:p w14:paraId="005A68D4" w14:textId="77777777" w:rsidR="00000000" w:rsidRDefault="001F1B20">
            <w:pPr>
              <w:pStyle w:val="a3"/>
              <w:spacing w:before="0" w:beforeAutospacing="0" w:after="0" w:afterAutospacing="0"/>
              <w:rPr>
                <w:sz w:val="20"/>
                <w:szCs w:val="20"/>
              </w:rPr>
            </w:pPr>
            <w:r>
              <w:rPr>
                <w:b/>
                <w:bCs/>
                <w:sz w:val="16"/>
                <w:szCs w:val="16"/>
              </w:rPr>
              <w:t>​</w:t>
            </w:r>
          </w:p>
        </w:tc>
        <w:tc>
          <w:tcPr>
            <w:tcW w:w="529" w:type="pct"/>
            <w:gridSpan w:val="2"/>
            <w:noWrap/>
            <w:tcMar>
              <w:top w:w="0" w:type="dxa"/>
              <w:left w:w="0" w:type="dxa"/>
              <w:bottom w:w="0" w:type="dxa"/>
              <w:right w:w="0" w:type="dxa"/>
            </w:tcMar>
            <w:vAlign w:val="bottom"/>
            <w:hideMark/>
          </w:tcPr>
          <w:p w14:paraId="27744BBC" w14:textId="77777777" w:rsidR="00000000" w:rsidRDefault="001F1B20">
            <w:pPr>
              <w:pStyle w:val="a3"/>
              <w:spacing w:before="0" w:beforeAutospacing="0" w:after="0" w:afterAutospacing="0"/>
              <w:jc w:val="center"/>
              <w:rPr>
                <w:sz w:val="16"/>
                <w:szCs w:val="16"/>
              </w:rPr>
            </w:pPr>
            <w:r>
              <w:rPr>
                <w:b/>
                <w:bCs/>
                <w:sz w:val="16"/>
                <w:szCs w:val="16"/>
              </w:rPr>
              <w:t>Comprehensive</w:t>
            </w:r>
          </w:p>
        </w:tc>
        <w:tc>
          <w:tcPr>
            <w:tcW w:w="77" w:type="pct"/>
            <w:tcMar>
              <w:top w:w="0" w:type="dxa"/>
              <w:left w:w="0" w:type="dxa"/>
              <w:bottom w:w="0" w:type="dxa"/>
              <w:right w:w="0" w:type="dxa"/>
            </w:tcMar>
            <w:vAlign w:val="bottom"/>
            <w:hideMark/>
          </w:tcPr>
          <w:p w14:paraId="338A200D" w14:textId="77777777" w:rsidR="00000000" w:rsidRDefault="001F1B20">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14:paraId="54FC4FCA" w14:textId="77777777" w:rsidR="00000000" w:rsidRDefault="001F1B20">
            <w:pPr>
              <w:pStyle w:val="a3"/>
              <w:spacing w:before="0" w:beforeAutospacing="0" w:after="0" w:afterAutospacing="0"/>
              <w:jc w:val="center"/>
              <w:rPr>
                <w:sz w:val="16"/>
                <w:szCs w:val="16"/>
              </w:rPr>
            </w:pPr>
            <w:r>
              <w:rPr>
                <w:b/>
                <w:bCs/>
                <w:sz w:val="16"/>
                <w:szCs w:val="16"/>
              </w:rPr>
              <w:t>Accumulated</w:t>
            </w:r>
          </w:p>
        </w:tc>
        <w:tc>
          <w:tcPr>
            <w:tcW w:w="77" w:type="pct"/>
            <w:tcMar>
              <w:top w:w="0" w:type="dxa"/>
              <w:left w:w="0" w:type="dxa"/>
              <w:bottom w:w="0" w:type="dxa"/>
              <w:right w:w="0" w:type="dxa"/>
            </w:tcMar>
            <w:vAlign w:val="bottom"/>
            <w:hideMark/>
          </w:tcPr>
          <w:p w14:paraId="6E8DD3A5" w14:textId="77777777" w:rsidR="00000000" w:rsidRDefault="001F1B20">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14:paraId="51FD43EC" w14:textId="77777777" w:rsidR="00000000" w:rsidRDefault="001F1B20">
            <w:pPr>
              <w:pStyle w:val="a3"/>
              <w:spacing w:before="0" w:beforeAutospacing="0" w:after="0" w:afterAutospacing="0"/>
              <w:jc w:val="center"/>
              <w:rPr>
                <w:sz w:val="16"/>
                <w:szCs w:val="16"/>
              </w:rPr>
            </w:pPr>
            <w:r>
              <w:rPr>
                <w:b/>
                <w:bCs/>
                <w:sz w:val="16"/>
                <w:szCs w:val="16"/>
              </w:rPr>
              <w:t>Shareholders'</w:t>
            </w:r>
          </w:p>
        </w:tc>
      </w:tr>
      <w:tr w:rsidR="00000000" w14:paraId="60DBD492" w14:textId="77777777">
        <w:trPr>
          <w:divId w:val="1901865854"/>
        </w:trPr>
        <w:tc>
          <w:tcPr>
            <w:tcW w:w="1845" w:type="pct"/>
            <w:tcMar>
              <w:top w:w="0" w:type="dxa"/>
              <w:left w:w="0" w:type="dxa"/>
              <w:bottom w:w="0" w:type="dxa"/>
              <w:right w:w="0" w:type="dxa"/>
            </w:tcMar>
            <w:vAlign w:val="bottom"/>
            <w:hideMark/>
          </w:tcPr>
          <w:p w14:paraId="7AD6B26F"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19884423"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single" w:sz="6" w:space="0" w:color="000000"/>
            </w:tcBorders>
            <w:noWrap/>
            <w:tcMar>
              <w:top w:w="0" w:type="dxa"/>
              <w:left w:w="0" w:type="dxa"/>
              <w:bottom w:w="0" w:type="dxa"/>
              <w:right w:w="0" w:type="dxa"/>
            </w:tcMar>
            <w:vAlign w:val="bottom"/>
            <w:hideMark/>
          </w:tcPr>
          <w:p w14:paraId="1BAAB747" w14:textId="77777777" w:rsidR="00000000" w:rsidRDefault="001F1B20">
            <w:pPr>
              <w:pStyle w:val="a3"/>
              <w:spacing w:before="0" w:beforeAutospacing="0" w:after="0" w:afterAutospacing="0"/>
              <w:jc w:val="center"/>
              <w:rPr>
                <w:sz w:val="16"/>
                <w:szCs w:val="16"/>
              </w:rPr>
            </w:pPr>
            <w:r>
              <w:rPr>
                <w:b/>
                <w:bCs/>
                <w:sz w:val="16"/>
                <w:szCs w:val="16"/>
              </w:rPr>
              <w:t>Shares</w:t>
            </w:r>
          </w:p>
        </w:tc>
        <w:tc>
          <w:tcPr>
            <w:tcW w:w="76" w:type="pct"/>
            <w:noWrap/>
            <w:tcMar>
              <w:top w:w="0" w:type="dxa"/>
              <w:left w:w="0" w:type="dxa"/>
              <w:bottom w:w="0" w:type="dxa"/>
              <w:right w:w="0" w:type="dxa"/>
            </w:tcMar>
            <w:vAlign w:val="bottom"/>
            <w:hideMark/>
          </w:tcPr>
          <w:p w14:paraId="7F45D9FC" w14:textId="77777777" w:rsidR="00000000" w:rsidRDefault="001F1B20">
            <w:pPr>
              <w:pStyle w:val="a3"/>
              <w:spacing w:before="0" w:beforeAutospacing="0" w:after="0" w:afterAutospacing="0"/>
              <w:rPr>
                <w:sz w:val="16"/>
                <w:szCs w:val="16"/>
              </w:rPr>
            </w:pPr>
            <w:r>
              <w:rPr>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14:paraId="35C8856B" w14:textId="77777777" w:rsidR="00000000" w:rsidRDefault="001F1B20">
            <w:pPr>
              <w:pStyle w:val="a3"/>
              <w:spacing w:before="0" w:beforeAutospacing="0" w:after="0" w:afterAutospacing="0"/>
              <w:jc w:val="center"/>
              <w:rPr>
                <w:sz w:val="16"/>
                <w:szCs w:val="16"/>
              </w:rPr>
            </w:pPr>
            <w:r>
              <w:rPr>
                <w:b/>
                <w:bCs/>
                <w:sz w:val="16"/>
                <w:szCs w:val="16"/>
              </w:rPr>
              <w:t>Amount</w:t>
            </w:r>
          </w:p>
        </w:tc>
        <w:tc>
          <w:tcPr>
            <w:tcW w:w="77" w:type="pct"/>
            <w:noWrap/>
            <w:tcMar>
              <w:top w:w="0" w:type="dxa"/>
              <w:left w:w="0" w:type="dxa"/>
              <w:bottom w:w="0" w:type="dxa"/>
              <w:right w:w="0" w:type="dxa"/>
            </w:tcMar>
            <w:vAlign w:val="bottom"/>
            <w:hideMark/>
          </w:tcPr>
          <w:p w14:paraId="68B330DC" w14:textId="77777777" w:rsidR="00000000" w:rsidRDefault="001F1B20">
            <w:pPr>
              <w:pStyle w:val="a3"/>
              <w:spacing w:before="0" w:beforeAutospacing="0" w:after="0" w:afterAutospacing="0"/>
              <w:rPr>
                <w:sz w:val="16"/>
                <w:szCs w:val="16"/>
              </w:rPr>
            </w:pPr>
            <w:r>
              <w:rPr>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14:paraId="3D6663B4" w14:textId="77777777" w:rsidR="00000000" w:rsidRDefault="001F1B20">
            <w:pPr>
              <w:pStyle w:val="a3"/>
              <w:spacing w:before="0" w:beforeAutospacing="0" w:after="0" w:afterAutospacing="0"/>
              <w:jc w:val="center"/>
              <w:rPr>
                <w:sz w:val="16"/>
                <w:szCs w:val="16"/>
              </w:rPr>
            </w:pPr>
            <w:r>
              <w:rPr>
                <w:b/>
                <w:bCs/>
                <w:sz w:val="16"/>
                <w:szCs w:val="16"/>
              </w:rPr>
              <w:t>Capital</w:t>
            </w:r>
          </w:p>
        </w:tc>
        <w:tc>
          <w:tcPr>
            <w:tcW w:w="77" w:type="pct"/>
            <w:noWrap/>
            <w:tcMar>
              <w:top w:w="0" w:type="dxa"/>
              <w:left w:w="0" w:type="dxa"/>
              <w:bottom w:w="0" w:type="dxa"/>
              <w:right w:w="0" w:type="dxa"/>
            </w:tcMar>
            <w:vAlign w:val="bottom"/>
            <w:hideMark/>
          </w:tcPr>
          <w:p w14:paraId="1C0BCCEE" w14:textId="77777777" w:rsidR="00000000" w:rsidRDefault="001F1B20">
            <w:pPr>
              <w:pStyle w:val="a3"/>
              <w:spacing w:before="0" w:beforeAutospacing="0" w:after="0" w:afterAutospacing="0"/>
              <w:rPr>
                <w:sz w:val="16"/>
                <w:szCs w:val="16"/>
              </w:rPr>
            </w:pPr>
            <w:r>
              <w:rPr>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14:paraId="0BC18674" w14:textId="77777777" w:rsidR="00000000" w:rsidRDefault="001F1B20">
            <w:pPr>
              <w:pStyle w:val="a3"/>
              <w:spacing w:before="0" w:beforeAutospacing="0" w:after="0" w:afterAutospacing="0"/>
              <w:jc w:val="center"/>
              <w:rPr>
                <w:sz w:val="16"/>
                <w:szCs w:val="16"/>
              </w:rPr>
            </w:pPr>
            <w:r>
              <w:rPr>
                <w:b/>
                <w:bCs/>
                <w:sz w:val="16"/>
                <w:szCs w:val="16"/>
              </w:rPr>
              <w:t>Income (Loss)</w:t>
            </w:r>
          </w:p>
        </w:tc>
        <w:tc>
          <w:tcPr>
            <w:tcW w:w="77" w:type="pct"/>
            <w:noWrap/>
            <w:tcMar>
              <w:top w:w="0" w:type="dxa"/>
              <w:left w:w="0" w:type="dxa"/>
              <w:bottom w:w="0" w:type="dxa"/>
              <w:right w:w="0" w:type="dxa"/>
            </w:tcMar>
            <w:vAlign w:val="bottom"/>
            <w:hideMark/>
          </w:tcPr>
          <w:p w14:paraId="1A4FC844" w14:textId="77777777" w:rsidR="00000000" w:rsidRDefault="001F1B20">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14:paraId="01C28E0E" w14:textId="77777777" w:rsidR="00000000" w:rsidRDefault="001F1B20">
            <w:pPr>
              <w:pStyle w:val="a3"/>
              <w:spacing w:before="0" w:beforeAutospacing="0" w:after="0" w:afterAutospacing="0"/>
              <w:jc w:val="center"/>
              <w:rPr>
                <w:sz w:val="16"/>
                <w:szCs w:val="16"/>
              </w:rPr>
            </w:pPr>
            <w:r>
              <w:rPr>
                <w:b/>
                <w:bCs/>
                <w:sz w:val="16"/>
                <w:szCs w:val="16"/>
              </w:rPr>
              <w:t>Deficit</w:t>
            </w:r>
          </w:p>
        </w:tc>
        <w:tc>
          <w:tcPr>
            <w:tcW w:w="77" w:type="pct"/>
            <w:noWrap/>
            <w:tcMar>
              <w:top w:w="0" w:type="dxa"/>
              <w:left w:w="0" w:type="dxa"/>
              <w:bottom w:w="0" w:type="dxa"/>
              <w:right w:w="0" w:type="dxa"/>
            </w:tcMar>
            <w:vAlign w:val="bottom"/>
            <w:hideMark/>
          </w:tcPr>
          <w:p w14:paraId="1FD06F27" w14:textId="77777777" w:rsidR="00000000" w:rsidRDefault="001F1B20">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14:paraId="1A44EA43" w14:textId="77777777" w:rsidR="00000000" w:rsidRDefault="001F1B20">
            <w:pPr>
              <w:pStyle w:val="a3"/>
              <w:spacing w:before="0" w:beforeAutospacing="0" w:after="0" w:afterAutospacing="0"/>
              <w:jc w:val="center"/>
              <w:rPr>
                <w:sz w:val="16"/>
                <w:szCs w:val="16"/>
              </w:rPr>
            </w:pPr>
            <w:r>
              <w:rPr>
                <w:b/>
                <w:bCs/>
                <w:sz w:val="16"/>
                <w:szCs w:val="16"/>
              </w:rPr>
              <w:t>Deficit</w:t>
            </w:r>
          </w:p>
        </w:tc>
      </w:tr>
      <w:tr w:rsidR="00000000" w14:paraId="041040E9" w14:textId="77777777">
        <w:trPr>
          <w:divId w:val="1901865854"/>
        </w:trPr>
        <w:tc>
          <w:tcPr>
            <w:tcW w:w="1845" w:type="pct"/>
            <w:shd w:val="clear" w:color="auto" w:fill="CCEEFF"/>
            <w:tcMar>
              <w:top w:w="0" w:type="dxa"/>
              <w:left w:w="0" w:type="dxa"/>
              <w:bottom w:w="0" w:type="dxa"/>
              <w:right w:w="0" w:type="dxa"/>
            </w:tcMar>
            <w:vAlign w:val="bottom"/>
            <w:hideMark/>
          </w:tcPr>
          <w:p w14:paraId="6C76C2C6" w14:textId="77777777" w:rsidR="00000000" w:rsidRDefault="001F1B20">
            <w:pPr>
              <w:pStyle w:val="a3"/>
              <w:spacing w:before="0" w:beforeAutospacing="0" w:after="0" w:afterAutospacing="0"/>
              <w:rPr>
                <w:sz w:val="16"/>
                <w:szCs w:val="16"/>
              </w:rPr>
            </w:pPr>
            <w:r>
              <w:rPr>
                <w:sz w:val="16"/>
                <w:szCs w:val="16"/>
              </w:rPr>
              <w:t>Balances at December 31, 2019</w:t>
            </w:r>
          </w:p>
        </w:tc>
        <w:tc>
          <w:tcPr>
            <w:tcW w:w="76" w:type="pct"/>
            <w:shd w:val="clear" w:color="auto" w:fill="CCEEFF"/>
            <w:noWrap/>
            <w:tcMar>
              <w:top w:w="0" w:type="dxa"/>
              <w:left w:w="0" w:type="dxa"/>
              <w:bottom w:w="0" w:type="dxa"/>
              <w:right w:w="0" w:type="dxa"/>
            </w:tcMar>
            <w:vAlign w:val="bottom"/>
            <w:hideMark/>
          </w:tcPr>
          <w:p w14:paraId="231B08B0"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tcMar>
              <w:top w:w="0" w:type="dxa"/>
              <w:left w:w="0" w:type="dxa"/>
              <w:bottom w:w="0" w:type="dxa"/>
              <w:right w:w="0" w:type="dxa"/>
            </w:tcMar>
            <w:vAlign w:val="bottom"/>
            <w:hideMark/>
          </w:tcPr>
          <w:p w14:paraId="5F290AFF" w14:textId="77777777" w:rsidR="00000000" w:rsidRDefault="001F1B20">
            <w:pPr>
              <w:pStyle w:val="a3"/>
              <w:spacing w:before="0" w:beforeAutospacing="0" w:after="0" w:afterAutospacing="0"/>
              <w:ind w:right="60"/>
              <w:jc w:val="right"/>
              <w:rPr>
                <w:sz w:val="16"/>
                <w:szCs w:val="16"/>
              </w:rPr>
            </w:pPr>
            <w:r>
              <w:rPr>
                <w:sz w:val="16"/>
                <w:szCs w:val="16"/>
              </w:rPr>
              <w:t>57,015</w:t>
            </w:r>
          </w:p>
        </w:tc>
        <w:tc>
          <w:tcPr>
            <w:tcW w:w="76" w:type="pct"/>
            <w:shd w:val="clear" w:color="auto" w:fill="CCEEFF"/>
            <w:noWrap/>
            <w:tcMar>
              <w:top w:w="0" w:type="dxa"/>
              <w:left w:w="0" w:type="dxa"/>
              <w:bottom w:w="0" w:type="dxa"/>
              <w:right w:w="0" w:type="dxa"/>
            </w:tcMar>
            <w:vAlign w:val="bottom"/>
            <w:hideMark/>
          </w:tcPr>
          <w:p w14:paraId="4497C848"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0DEB3E5D" w14:textId="77777777" w:rsidR="00000000" w:rsidRDefault="001F1B20">
            <w:pPr>
              <w:pStyle w:val="a3"/>
              <w:spacing w:before="0" w:beforeAutospacing="0" w:after="0" w:afterAutospacing="0"/>
              <w:jc w:val="center"/>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14C41ED9" w14:textId="77777777" w:rsidR="00000000" w:rsidRDefault="001F1B20">
            <w:pPr>
              <w:pStyle w:val="a3"/>
              <w:spacing w:before="0" w:beforeAutospacing="0" w:after="0" w:afterAutospacing="0"/>
              <w:ind w:right="60"/>
              <w:jc w:val="right"/>
              <w:rPr>
                <w:sz w:val="16"/>
                <w:szCs w:val="16"/>
              </w:rPr>
            </w:pPr>
            <w:r>
              <w:rPr>
                <w:sz w:val="16"/>
                <w:szCs w:val="16"/>
              </w:rPr>
              <w:t>1</w:t>
            </w:r>
          </w:p>
        </w:tc>
        <w:tc>
          <w:tcPr>
            <w:tcW w:w="77" w:type="pct"/>
            <w:shd w:val="clear" w:color="auto" w:fill="CCEEFF"/>
            <w:noWrap/>
            <w:tcMar>
              <w:top w:w="0" w:type="dxa"/>
              <w:left w:w="0" w:type="dxa"/>
              <w:bottom w:w="0" w:type="dxa"/>
              <w:right w:w="0" w:type="dxa"/>
            </w:tcMar>
            <w:vAlign w:val="bottom"/>
            <w:hideMark/>
          </w:tcPr>
          <w:p w14:paraId="42E032FD"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2E10EAAE" w14:textId="77777777" w:rsidR="00000000" w:rsidRDefault="001F1B20">
            <w:pPr>
              <w:pStyle w:val="a3"/>
              <w:spacing w:before="0" w:beforeAutospacing="0" w:after="0" w:afterAutospacing="0"/>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5A07D5B9" w14:textId="77777777" w:rsidR="00000000" w:rsidRDefault="001F1B20">
            <w:pPr>
              <w:pStyle w:val="a3"/>
              <w:spacing w:before="0" w:beforeAutospacing="0" w:after="0" w:afterAutospacing="0"/>
              <w:ind w:right="60"/>
              <w:jc w:val="right"/>
              <w:rPr>
                <w:sz w:val="16"/>
                <w:szCs w:val="16"/>
              </w:rPr>
            </w:pPr>
            <w:r>
              <w:rPr>
                <w:sz w:val="16"/>
                <w:szCs w:val="16"/>
              </w:rPr>
              <w:t>1,024,614</w:t>
            </w:r>
          </w:p>
        </w:tc>
        <w:tc>
          <w:tcPr>
            <w:tcW w:w="77" w:type="pct"/>
            <w:shd w:val="clear" w:color="auto" w:fill="CCEEFF"/>
            <w:noWrap/>
            <w:tcMar>
              <w:top w:w="0" w:type="dxa"/>
              <w:left w:w="0" w:type="dxa"/>
              <w:bottom w:w="0" w:type="dxa"/>
              <w:right w:w="0" w:type="dxa"/>
            </w:tcMar>
            <w:vAlign w:val="bottom"/>
            <w:hideMark/>
          </w:tcPr>
          <w:p w14:paraId="799F031A"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64470809" w14:textId="77777777" w:rsidR="00000000" w:rsidRDefault="001F1B20">
            <w:pPr>
              <w:pStyle w:val="a3"/>
              <w:spacing w:before="0" w:beforeAutospacing="0" w:after="0" w:afterAutospacing="0"/>
              <w:rPr>
                <w:sz w:val="20"/>
                <w:szCs w:val="20"/>
              </w:rPr>
            </w:pPr>
            <w:r>
              <w:rPr>
                <w:sz w:val="16"/>
                <w:szCs w:val="16"/>
              </w:rPr>
              <w:t>​</w:t>
            </w:r>
          </w:p>
        </w:tc>
        <w:tc>
          <w:tcPr>
            <w:tcW w:w="421" w:type="pct"/>
            <w:shd w:val="clear" w:color="auto" w:fill="CCEEFF"/>
            <w:noWrap/>
            <w:tcMar>
              <w:top w:w="0" w:type="dxa"/>
              <w:left w:w="0" w:type="dxa"/>
              <w:bottom w:w="0" w:type="dxa"/>
              <w:right w:w="0" w:type="dxa"/>
            </w:tcMar>
            <w:vAlign w:val="bottom"/>
            <w:hideMark/>
          </w:tcPr>
          <w:p w14:paraId="140C2A66" w14:textId="77777777" w:rsidR="00000000" w:rsidRDefault="001F1B20">
            <w:pPr>
              <w:pStyle w:val="a3"/>
              <w:spacing w:before="0" w:beforeAutospacing="0" w:after="0" w:afterAutospacing="0"/>
              <w:ind w:right="60"/>
              <w:jc w:val="right"/>
              <w:rPr>
                <w:sz w:val="16"/>
                <w:szCs w:val="16"/>
              </w:rPr>
            </w:pPr>
            <w:r>
              <w:rPr>
                <w:sz w:val="16"/>
                <w:szCs w:val="16"/>
              </w:rPr>
              <w:t>145</w:t>
            </w:r>
          </w:p>
        </w:tc>
        <w:tc>
          <w:tcPr>
            <w:tcW w:w="77" w:type="pct"/>
            <w:shd w:val="clear" w:color="auto" w:fill="CCEEFF"/>
            <w:noWrap/>
            <w:tcMar>
              <w:top w:w="0" w:type="dxa"/>
              <w:left w:w="0" w:type="dxa"/>
              <w:bottom w:w="0" w:type="dxa"/>
              <w:right w:w="0" w:type="dxa"/>
            </w:tcMar>
            <w:vAlign w:val="bottom"/>
            <w:hideMark/>
          </w:tcPr>
          <w:p w14:paraId="31C33876"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2959E38E" w14:textId="77777777" w:rsidR="00000000" w:rsidRDefault="001F1B20">
            <w:pPr>
              <w:pStyle w:val="a3"/>
              <w:spacing w:before="0" w:beforeAutospacing="0" w:after="0" w:afterAutospacing="0"/>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14:paraId="787B8C82" w14:textId="77777777" w:rsidR="00000000" w:rsidRDefault="001F1B20">
            <w:pPr>
              <w:pStyle w:val="a3"/>
              <w:spacing w:before="0" w:beforeAutospacing="0" w:after="0" w:afterAutospacing="0"/>
              <w:jc w:val="right"/>
              <w:rPr>
                <w:sz w:val="16"/>
                <w:szCs w:val="16"/>
              </w:rPr>
            </w:pPr>
            <w:r>
              <w:rPr>
                <w:sz w:val="16"/>
                <w:szCs w:val="16"/>
              </w:rPr>
              <w:t>(1,248,600)</w:t>
            </w:r>
          </w:p>
        </w:tc>
        <w:tc>
          <w:tcPr>
            <w:tcW w:w="77" w:type="pct"/>
            <w:shd w:val="clear" w:color="auto" w:fill="CCEEFF"/>
            <w:noWrap/>
            <w:tcMar>
              <w:top w:w="0" w:type="dxa"/>
              <w:left w:w="0" w:type="dxa"/>
              <w:bottom w:w="0" w:type="dxa"/>
              <w:right w:w="0" w:type="dxa"/>
            </w:tcMar>
            <w:vAlign w:val="bottom"/>
            <w:hideMark/>
          </w:tcPr>
          <w:p w14:paraId="36CA53D5"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0AFEEEEB" w14:textId="77777777" w:rsidR="00000000" w:rsidRDefault="001F1B20">
            <w:pPr>
              <w:pStyle w:val="a3"/>
              <w:spacing w:before="0" w:beforeAutospacing="0" w:after="0" w:afterAutospacing="0"/>
              <w:rPr>
                <w:sz w:val="16"/>
                <w:szCs w:val="16"/>
              </w:rPr>
            </w:pPr>
            <w:r>
              <w:rPr>
                <w:sz w:val="16"/>
                <w:szCs w:val="16"/>
              </w:rPr>
              <w:t>$</w:t>
            </w:r>
          </w:p>
        </w:tc>
        <w:tc>
          <w:tcPr>
            <w:tcW w:w="375" w:type="pct"/>
            <w:shd w:val="clear" w:color="auto" w:fill="CCEEFF"/>
            <w:tcMar>
              <w:top w:w="0" w:type="dxa"/>
              <w:left w:w="0" w:type="dxa"/>
              <w:bottom w:w="0" w:type="dxa"/>
              <w:right w:w="0" w:type="dxa"/>
            </w:tcMar>
            <w:vAlign w:val="bottom"/>
            <w:hideMark/>
          </w:tcPr>
          <w:p w14:paraId="71206D5B" w14:textId="77777777" w:rsidR="00000000" w:rsidRDefault="001F1B20">
            <w:pPr>
              <w:pStyle w:val="a3"/>
              <w:spacing w:before="0" w:beforeAutospacing="0" w:after="0" w:afterAutospacing="0"/>
              <w:jc w:val="right"/>
              <w:rPr>
                <w:sz w:val="16"/>
                <w:szCs w:val="16"/>
              </w:rPr>
            </w:pPr>
            <w:r>
              <w:rPr>
                <w:sz w:val="16"/>
                <w:szCs w:val="16"/>
              </w:rPr>
              <w:t>(223,840)</w:t>
            </w:r>
          </w:p>
        </w:tc>
      </w:tr>
      <w:tr w:rsidR="00000000" w14:paraId="5DE1BFBF" w14:textId="77777777">
        <w:trPr>
          <w:divId w:val="1901865854"/>
        </w:trPr>
        <w:tc>
          <w:tcPr>
            <w:tcW w:w="1845" w:type="pct"/>
            <w:tcMar>
              <w:top w:w="0" w:type="dxa"/>
              <w:left w:w="0" w:type="dxa"/>
              <w:bottom w:w="0" w:type="dxa"/>
              <w:right w:w="0" w:type="dxa"/>
            </w:tcMar>
            <w:vAlign w:val="bottom"/>
            <w:hideMark/>
          </w:tcPr>
          <w:p w14:paraId="7E96E011" w14:textId="77777777" w:rsidR="00000000" w:rsidRDefault="001F1B20">
            <w:pPr>
              <w:pStyle w:val="a3"/>
              <w:spacing w:before="0" w:beforeAutospacing="0" w:after="0" w:afterAutospacing="0"/>
              <w:ind w:left="240"/>
              <w:rPr>
                <w:sz w:val="16"/>
                <w:szCs w:val="16"/>
              </w:rPr>
            </w:pPr>
            <w:r>
              <w:rPr>
                <w:sz w:val="16"/>
                <w:szCs w:val="16"/>
              </w:rPr>
              <w:t>Net proceeds from sale of ordinary shares</w:t>
            </w:r>
          </w:p>
        </w:tc>
        <w:tc>
          <w:tcPr>
            <w:tcW w:w="76" w:type="pct"/>
            <w:noWrap/>
            <w:tcMar>
              <w:top w:w="0" w:type="dxa"/>
              <w:left w:w="0" w:type="dxa"/>
              <w:bottom w:w="0" w:type="dxa"/>
              <w:right w:w="0" w:type="dxa"/>
            </w:tcMar>
            <w:vAlign w:val="bottom"/>
            <w:hideMark/>
          </w:tcPr>
          <w:p w14:paraId="7D1ED991" w14:textId="77777777" w:rsidR="00000000" w:rsidRDefault="001F1B20">
            <w:pPr>
              <w:pStyle w:val="a3"/>
              <w:spacing w:before="0" w:beforeAutospacing="0" w:after="0" w:afterAutospacing="0"/>
              <w:rPr>
                <w:sz w:val="20"/>
                <w:szCs w:val="20"/>
              </w:rPr>
            </w:pPr>
            <w:r>
              <w:rPr>
                <w:sz w:val="16"/>
                <w:szCs w:val="16"/>
              </w:rPr>
              <w:t>​</w:t>
            </w:r>
          </w:p>
        </w:tc>
        <w:tc>
          <w:tcPr>
            <w:tcW w:w="343" w:type="pct"/>
            <w:tcMar>
              <w:top w:w="0" w:type="dxa"/>
              <w:left w:w="0" w:type="dxa"/>
              <w:bottom w:w="0" w:type="dxa"/>
              <w:right w:w="0" w:type="dxa"/>
            </w:tcMar>
            <w:vAlign w:val="bottom"/>
            <w:hideMark/>
          </w:tcPr>
          <w:p w14:paraId="238D975F" w14:textId="77777777" w:rsidR="00000000" w:rsidRDefault="001F1B20">
            <w:pPr>
              <w:pStyle w:val="a3"/>
              <w:spacing w:before="0" w:beforeAutospacing="0" w:after="0" w:afterAutospacing="0"/>
              <w:ind w:right="60"/>
              <w:jc w:val="right"/>
              <w:rPr>
                <w:sz w:val="16"/>
                <w:szCs w:val="16"/>
              </w:rPr>
            </w:pPr>
            <w:r>
              <w:rPr>
                <w:sz w:val="16"/>
                <w:szCs w:val="16"/>
              </w:rPr>
              <w:t>5,500</w:t>
            </w:r>
          </w:p>
        </w:tc>
        <w:tc>
          <w:tcPr>
            <w:tcW w:w="76" w:type="pct"/>
            <w:noWrap/>
            <w:tcMar>
              <w:top w:w="0" w:type="dxa"/>
              <w:left w:w="0" w:type="dxa"/>
              <w:bottom w:w="0" w:type="dxa"/>
              <w:right w:w="0" w:type="dxa"/>
            </w:tcMar>
            <w:vAlign w:val="bottom"/>
            <w:hideMark/>
          </w:tcPr>
          <w:p w14:paraId="09F4EF8E"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1496DE79" w14:textId="77777777" w:rsidR="00000000" w:rsidRDefault="001F1B20">
            <w:pPr>
              <w:pStyle w:val="a3"/>
              <w:spacing w:before="0" w:beforeAutospacing="0" w:after="0" w:afterAutospacing="0"/>
              <w:jc w:val="center"/>
              <w:rPr>
                <w:sz w:val="20"/>
                <w:szCs w:val="20"/>
              </w:rPr>
            </w:pPr>
            <w:r>
              <w:rPr>
                <w:sz w:val="16"/>
                <w:szCs w:val="16"/>
              </w:rPr>
              <w:t>​</w:t>
            </w:r>
          </w:p>
        </w:tc>
        <w:tc>
          <w:tcPr>
            <w:tcW w:w="343" w:type="pct"/>
            <w:noWrap/>
            <w:tcMar>
              <w:top w:w="0" w:type="dxa"/>
              <w:left w:w="0" w:type="dxa"/>
              <w:bottom w:w="0" w:type="dxa"/>
              <w:right w:w="0" w:type="dxa"/>
            </w:tcMar>
            <w:vAlign w:val="bottom"/>
            <w:hideMark/>
          </w:tcPr>
          <w:p w14:paraId="7AE19129"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3A8ABD7E"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77945E51" w14:textId="77777777" w:rsidR="00000000" w:rsidRDefault="001F1B20">
            <w:pPr>
              <w:pStyle w:val="a3"/>
              <w:spacing w:before="0" w:beforeAutospacing="0" w:after="0" w:afterAutospacing="0"/>
              <w:rPr>
                <w:sz w:val="20"/>
                <w:szCs w:val="20"/>
              </w:rPr>
            </w:pPr>
            <w:r>
              <w:rPr>
                <w:sz w:val="16"/>
                <w:szCs w:val="16"/>
              </w:rPr>
              <w:t>​</w:t>
            </w:r>
          </w:p>
        </w:tc>
        <w:tc>
          <w:tcPr>
            <w:tcW w:w="367" w:type="pct"/>
            <w:tcMar>
              <w:top w:w="0" w:type="dxa"/>
              <w:left w:w="0" w:type="dxa"/>
              <w:bottom w:w="0" w:type="dxa"/>
              <w:right w:w="0" w:type="dxa"/>
            </w:tcMar>
            <w:vAlign w:val="bottom"/>
            <w:hideMark/>
          </w:tcPr>
          <w:p w14:paraId="11F33793" w14:textId="77777777" w:rsidR="00000000" w:rsidRDefault="001F1B20">
            <w:pPr>
              <w:pStyle w:val="a3"/>
              <w:spacing w:before="0" w:beforeAutospacing="0" w:after="0" w:afterAutospacing="0"/>
              <w:ind w:right="60"/>
              <w:jc w:val="right"/>
              <w:rPr>
                <w:sz w:val="16"/>
                <w:szCs w:val="16"/>
              </w:rPr>
            </w:pPr>
            <w:r>
              <w:rPr>
                <w:sz w:val="16"/>
                <w:szCs w:val="16"/>
              </w:rPr>
              <w:t>139,915</w:t>
            </w:r>
          </w:p>
        </w:tc>
        <w:tc>
          <w:tcPr>
            <w:tcW w:w="77" w:type="pct"/>
            <w:noWrap/>
            <w:tcMar>
              <w:top w:w="0" w:type="dxa"/>
              <w:left w:w="0" w:type="dxa"/>
              <w:bottom w:w="0" w:type="dxa"/>
              <w:right w:w="0" w:type="dxa"/>
            </w:tcMar>
            <w:vAlign w:val="bottom"/>
            <w:hideMark/>
          </w:tcPr>
          <w:p w14:paraId="3AA7B67A"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4F104960" w14:textId="77777777" w:rsidR="00000000" w:rsidRDefault="001F1B20">
            <w:pPr>
              <w:pStyle w:val="a3"/>
              <w:spacing w:before="0" w:beforeAutospacing="0" w:after="0" w:afterAutospacing="0"/>
              <w:rPr>
                <w:sz w:val="20"/>
                <w:szCs w:val="20"/>
              </w:rPr>
            </w:pPr>
            <w:r>
              <w:rPr>
                <w:sz w:val="16"/>
                <w:szCs w:val="16"/>
              </w:rPr>
              <w:t>​</w:t>
            </w:r>
          </w:p>
        </w:tc>
        <w:tc>
          <w:tcPr>
            <w:tcW w:w="421" w:type="pct"/>
            <w:tcMar>
              <w:top w:w="0" w:type="dxa"/>
              <w:left w:w="0" w:type="dxa"/>
              <w:bottom w:w="0" w:type="dxa"/>
              <w:right w:w="0" w:type="dxa"/>
            </w:tcMar>
            <w:vAlign w:val="bottom"/>
            <w:hideMark/>
          </w:tcPr>
          <w:p w14:paraId="3EDBC6A9"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1061129F"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77140D57" w14:textId="77777777" w:rsidR="00000000" w:rsidRDefault="001F1B20">
            <w:pPr>
              <w:pStyle w:val="a3"/>
              <w:spacing w:before="0" w:beforeAutospacing="0" w:after="0" w:afterAutospacing="0"/>
              <w:rPr>
                <w:sz w:val="20"/>
                <w:szCs w:val="20"/>
              </w:rPr>
            </w:pPr>
            <w:r>
              <w:rPr>
                <w:sz w:val="16"/>
                <w:szCs w:val="16"/>
              </w:rPr>
              <w:t>​</w:t>
            </w:r>
          </w:p>
        </w:tc>
        <w:tc>
          <w:tcPr>
            <w:tcW w:w="390" w:type="pct"/>
            <w:tcMar>
              <w:top w:w="0" w:type="dxa"/>
              <w:left w:w="0" w:type="dxa"/>
              <w:bottom w:w="0" w:type="dxa"/>
              <w:right w:w="0" w:type="dxa"/>
            </w:tcMar>
            <w:vAlign w:val="bottom"/>
            <w:hideMark/>
          </w:tcPr>
          <w:p w14:paraId="5750A98E"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4C859C9A"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3CD5AEFD" w14:textId="77777777" w:rsidR="00000000" w:rsidRDefault="001F1B20">
            <w:pPr>
              <w:pStyle w:val="a3"/>
              <w:spacing w:before="0" w:beforeAutospacing="0" w:after="0" w:afterAutospacing="0"/>
              <w:rPr>
                <w:sz w:val="20"/>
                <w:szCs w:val="20"/>
              </w:rPr>
            </w:pPr>
            <w:r>
              <w:rPr>
                <w:sz w:val="16"/>
                <w:szCs w:val="16"/>
              </w:rPr>
              <w:t>​</w:t>
            </w:r>
          </w:p>
        </w:tc>
        <w:tc>
          <w:tcPr>
            <w:tcW w:w="375" w:type="pct"/>
            <w:tcMar>
              <w:top w:w="0" w:type="dxa"/>
              <w:left w:w="0" w:type="dxa"/>
              <w:bottom w:w="0" w:type="dxa"/>
              <w:right w:w="0" w:type="dxa"/>
            </w:tcMar>
            <w:vAlign w:val="bottom"/>
            <w:hideMark/>
          </w:tcPr>
          <w:p w14:paraId="6CA70117" w14:textId="77777777" w:rsidR="00000000" w:rsidRDefault="001F1B20">
            <w:pPr>
              <w:pStyle w:val="a3"/>
              <w:spacing w:before="0" w:beforeAutospacing="0" w:after="0" w:afterAutospacing="0"/>
              <w:ind w:right="60"/>
              <w:jc w:val="right"/>
              <w:rPr>
                <w:sz w:val="16"/>
                <w:szCs w:val="16"/>
              </w:rPr>
            </w:pPr>
            <w:r>
              <w:rPr>
                <w:sz w:val="16"/>
                <w:szCs w:val="16"/>
              </w:rPr>
              <w:t>139,915</w:t>
            </w:r>
          </w:p>
        </w:tc>
      </w:tr>
      <w:tr w:rsidR="00000000" w14:paraId="4753ABD2" w14:textId="77777777">
        <w:trPr>
          <w:divId w:val="1901865854"/>
        </w:trPr>
        <w:tc>
          <w:tcPr>
            <w:tcW w:w="1845" w:type="pct"/>
            <w:shd w:val="clear" w:color="auto" w:fill="CCEEFF"/>
            <w:tcMar>
              <w:top w:w="0" w:type="dxa"/>
              <w:left w:w="0" w:type="dxa"/>
              <w:bottom w:w="0" w:type="dxa"/>
              <w:right w:w="0" w:type="dxa"/>
            </w:tcMar>
            <w:vAlign w:val="bottom"/>
            <w:hideMark/>
          </w:tcPr>
          <w:p w14:paraId="3885EDE9" w14:textId="77777777" w:rsidR="00000000" w:rsidRDefault="001F1B20">
            <w:pPr>
              <w:pStyle w:val="a3"/>
              <w:spacing w:before="0" w:beforeAutospacing="0" w:after="0" w:afterAutospacing="0"/>
              <w:ind w:left="240"/>
              <w:rPr>
                <w:sz w:val="16"/>
                <w:szCs w:val="16"/>
              </w:rPr>
            </w:pPr>
            <w:r>
              <w:rPr>
                <w:sz w:val="16"/>
                <w:szCs w:val="16"/>
              </w:rPr>
              <w:t>Proceeds from ESPP purchases</w:t>
            </w:r>
          </w:p>
        </w:tc>
        <w:tc>
          <w:tcPr>
            <w:tcW w:w="76" w:type="pct"/>
            <w:shd w:val="clear" w:color="auto" w:fill="CCEEFF"/>
            <w:noWrap/>
            <w:tcMar>
              <w:top w:w="0" w:type="dxa"/>
              <w:left w:w="0" w:type="dxa"/>
              <w:bottom w:w="0" w:type="dxa"/>
              <w:right w:w="0" w:type="dxa"/>
            </w:tcMar>
            <w:vAlign w:val="bottom"/>
            <w:hideMark/>
          </w:tcPr>
          <w:p w14:paraId="0504D03A"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tcMar>
              <w:top w:w="0" w:type="dxa"/>
              <w:left w:w="0" w:type="dxa"/>
              <w:bottom w:w="0" w:type="dxa"/>
              <w:right w:w="0" w:type="dxa"/>
            </w:tcMar>
            <w:vAlign w:val="bottom"/>
            <w:hideMark/>
          </w:tcPr>
          <w:p w14:paraId="24B4E69D" w14:textId="77777777" w:rsidR="00000000" w:rsidRDefault="001F1B20">
            <w:pPr>
              <w:pStyle w:val="a3"/>
              <w:spacing w:before="0" w:beforeAutospacing="0" w:after="0" w:afterAutospacing="0"/>
              <w:ind w:right="60"/>
              <w:jc w:val="right"/>
              <w:rPr>
                <w:sz w:val="16"/>
                <w:szCs w:val="16"/>
              </w:rPr>
            </w:pPr>
            <w:r>
              <w:rPr>
                <w:sz w:val="16"/>
                <w:szCs w:val="16"/>
              </w:rPr>
              <w:t>168</w:t>
            </w:r>
          </w:p>
        </w:tc>
        <w:tc>
          <w:tcPr>
            <w:tcW w:w="76" w:type="pct"/>
            <w:shd w:val="clear" w:color="auto" w:fill="CCEEFF"/>
            <w:noWrap/>
            <w:tcMar>
              <w:top w:w="0" w:type="dxa"/>
              <w:left w:w="0" w:type="dxa"/>
              <w:bottom w:w="0" w:type="dxa"/>
              <w:right w:w="0" w:type="dxa"/>
            </w:tcMar>
            <w:vAlign w:val="bottom"/>
            <w:hideMark/>
          </w:tcPr>
          <w:p w14:paraId="4AFFC896"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51BEFB22" w14:textId="77777777" w:rsidR="00000000" w:rsidRDefault="001F1B20">
            <w:pPr>
              <w:pStyle w:val="a3"/>
              <w:spacing w:before="0" w:beforeAutospacing="0" w:after="0" w:afterAutospacing="0"/>
              <w:jc w:val="center"/>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26B51C9F"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0D17CE5D"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65548E04" w14:textId="77777777" w:rsidR="00000000" w:rsidRDefault="001F1B20">
            <w:pPr>
              <w:pStyle w:val="a3"/>
              <w:spacing w:before="0" w:beforeAutospacing="0" w:after="0" w:afterAutospacing="0"/>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77D90D2F" w14:textId="77777777" w:rsidR="00000000" w:rsidRDefault="001F1B20">
            <w:pPr>
              <w:pStyle w:val="a3"/>
              <w:spacing w:before="0" w:beforeAutospacing="0" w:after="0" w:afterAutospacing="0"/>
              <w:ind w:right="60"/>
              <w:jc w:val="right"/>
              <w:rPr>
                <w:sz w:val="16"/>
                <w:szCs w:val="16"/>
              </w:rPr>
            </w:pPr>
            <w:r>
              <w:rPr>
                <w:sz w:val="16"/>
                <w:szCs w:val="16"/>
              </w:rPr>
              <w:t>2,545</w:t>
            </w:r>
          </w:p>
        </w:tc>
        <w:tc>
          <w:tcPr>
            <w:tcW w:w="77" w:type="pct"/>
            <w:shd w:val="clear" w:color="auto" w:fill="CCEEFF"/>
            <w:noWrap/>
            <w:tcMar>
              <w:top w:w="0" w:type="dxa"/>
              <w:left w:w="0" w:type="dxa"/>
              <w:bottom w:w="0" w:type="dxa"/>
              <w:right w:w="0" w:type="dxa"/>
            </w:tcMar>
            <w:vAlign w:val="bottom"/>
            <w:hideMark/>
          </w:tcPr>
          <w:p w14:paraId="5CDBCD31"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775BBA39" w14:textId="77777777" w:rsidR="00000000" w:rsidRDefault="001F1B20">
            <w:pPr>
              <w:pStyle w:val="a3"/>
              <w:spacing w:before="0" w:beforeAutospacing="0" w:after="0" w:afterAutospacing="0"/>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14:paraId="15040C5A"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575AA50C"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4B7A9AB8" w14:textId="77777777" w:rsidR="00000000" w:rsidRDefault="001F1B20">
            <w:pPr>
              <w:pStyle w:val="a3"/>
              <w:spacing w:before="0" w:beforeAutospacing="0" w:after="0" w:afterAutospacing="0"/>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398E6B1F"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27B05BC8"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33BDC121" w14:textId="77777777" w:rsidR="00000000" w:rsidRDefault="001F1B20">
            <w:pPr>
              <w:pStyle w:val="a3"/>
              <w:spacing w:before="0" w:beforeAutospacing="0" w:after="0" w:afterAutospacing="0"/>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11A6CEAE" w14:textId="77777777" w:rsidR="00000000" w:rsidRDefault="001F1B20">
            <w:pPr>
              <w:pStyle w:val="a3"/>
              <w:spacing w:before="0" w:beforeAutospacing="0" w:after="0" w:afterAutospacing="0"/>
              <w:ind w:right="60"/>
              <w:jc w:val="right"/>
              <w:rPr>
                <w:sz w:val="16"/>
                <w:szCs w:val="16"/>
              </w:rPr>
            </w:pPr>
            <w:r>
              <w:rPr>
                <w:sz w:val="16"/>
                <w:szCs w:val="16"/>
              </w:rPr>
              <w:t>2,545</w:t>
            </w:r>
          </w:p>
        </w:tc>
      </w:tr>
      <w:tr w:rsidR="00000000" w14:paraId="209F8F77" w14:textId="77777777">
        <w:trPr>
          <w:divId w:val="1901865854"/>
        </w:trPr>
        <w:tc>
          <w:tcPr>
            <w:tcW w:w="1845" w:type="pct"/>
            <w:tcMar>
              <w:top w:w="0" w:type="dxa"/>
              <w:left w:w="0" w:type="dxa"/>
              <w:bottom w:w="0" w:type="dxa"/>
              <w:right w:w="0" w:type="dxa"/>
            </w:tcMar>
            <w:vAlign w:val="bottom"/>
            <w:hideMark/>
          </w:tcPr>
          <w:p w14:paraId="6FF3837C" w14:textId="77777777" w:rsidR="00000000" w:rsidRDefault="001F1B20">
            <w:pPr>
              <w:pStyle w:val="a3"/>
              <w:spacing w:before="0" w:beforeAutospacing="0" w:after="0" w:afterAutospacing="0"/>
              <w:ind w:left="240"/>
              <w:rPr>
                <w:sz w:val="16"/>
                <w:szCs w:val="16"/>
              </w:rPr>
            </w:pPr>
            <w:r>
              <w:rPr>
                <w:sz w:val="16"/>
                <w:szCs w:val="16"/>
              </w:rPr>
              <w:t>Employee share-based compensation expense</w:t>
            </w:r>
          </w:p>
        </w:tc>
        <w:tc>
          <w:tcPr>
            <w:tcW w:w="76" w:type="pct"/>
            <w:noWrap/>
            <w:tcMar>
              <w:top w:w="0" w:type="dxa"/>
              <w:left w:w="0" w:type="dxa"/>
              <w:bottom w:w="0" w:type="dxa"/>
              <w:right w:w="0" w:type="dxa"/>
            </w:tcMar>
            <w:vAlign w:val="bottom"/>
            <w:hideMark/>
          </w:tcPr>
          <w:p w14:paraId="6C0810F9" w14:textId="77777777" w:rsidR="00000000" w:rsidRDefault="001F1B20">
            <w:pPr>
              <w:pStyle w:val="a3"/>
              <w:spacing w:before="0" w:beforeAutospacing="0" w:after="0" w:afterAutospacing="0"/>
              <w:rPr>
                <w:sz w:val="20"/>
                <w:szCs w:val="20"/>
              </w:rPr>
            </w:pPr>
            <w:r>
              <w:rPr>
                <w:sz w:val="16"/>
                <w:szCs w:val="16"/>
              </w:rPr>
              <w:t>​</w:t>
            </w:r>
          </w:p>
        </w:tc>
        <w:tc>
          <w:tcPr>
            <w:tcW w:w="343" w:type="pct"/>
            <w:tcMar>
              <w:top w:w="0" w:type="dxa"/>
              <w:left w:w="0" w:type="dxa"/>
              <w:bottom w:w="0" w:type="dxa"/>
              <w:right w:w="0" w:type="dxa"/>
            </w:tcMar>
            <w:vAlign w:val="bottom"/>
            <w:hideMark/>
          </w:tcPr>
          <w:p w14:paraId="0C801413"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288EDADF"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0B6F58CF" w14:textId="77777777" w:rsidR="00000000" w:rsidRDefault="001F1B20">
            <w:pPr>
              <w:pStyle w:val="a3"/>
              <w:spacing w:before="0" w:beforeAutospacing="0" w:after="0" w:afterAutospacing="0"/>
              <w:jc w:val="center"/>
              <w:rPr>
                <w:sz w:val="20"/>
                <w:szCs w:val="20"/>
              </w:rPr>
            </w:pPr>
            <w:r>
              <w:rPr>
                <w:sz w:val="16"/>
                <w:szCs w:val="16"/>
              </w:rPr>
              <w:t>​</w:t>
            </w:r>
          </w:p>
        </w:tc>
        <w:tc>
          <w:tcPr>
            <w:tcW w:w="343" w:type="pct"/>
            <w:noWrap/>
            <w:tcMar>
              <w:top w:w="0" w:type="dxa"/>
              <w:left w:w="0" w:type="dxa"/>
              <w:bottom w:w="0" w:type="dxa"/>
              <w:right w:w="0" w:type="dxa"/>
            </w:tcMar>
            <w:vAlign w:val="bottom"/>
            <w:hideMark/>
          </w:tcPr>
          <w:p w14:paraId="49AEAEBA"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4D71F1E2"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27593C8D" w14:textId="77777777" w:rsidR="00000000" w:rsidRDefault="001F1B20">
            <w:pPr>
              <w:pStyle w:val="a3"/>
              <w:spacing w:before="0" w:beforeAutospacing="0" w:after="0" w:afterAutospacing="0"/>
              <w:rPr>
                <w:sz w:val="20"/>
                <w:szCs w:val="20"/>
              </w:rPr>
            </w:pPr>
            <w:r>
              <w:rPr>
                <w:sz w:val="16"/>
                <w:szCs w:val="16"/>
              </w:rPr>
              <w:t>​</w:t>
            </w:r>
          </w:p>
        </w:tc>
        <w:tc>
          <w:tcPr>
            <w:tcW w:w="367" w:type="pct"/>
            <w:tcMar>
              <w:top w:w="0" w:type="dxa"/>
              <w:left w:w="0" w:type="dxa"/>
              <w:bottom w:w="0" w:type="dxa"/>
              <w:right w:w="0" w:type="dxa"/>
            </w:tcMar>
            <w:vAlign w:val="bottom"/>
            <w:hideMark/>
          </w:tcPr>
          <w:p w14:paraId="2574B1B6" w14:textId="77777777" w:rsidR="00000000" w:rsidRDefault="001F1B20">
            <w:pPr>
              <w:pStyle w:val="a3"/>
              <w:spacing w:before="0" w:beforeAutospacing="0" w:after="0" w:afterAutospacing="0"/>
              <w:ind w:right="60"/>
              <w:jc w:val="right"/>
              <w:rPr>
                <w:sz w:val="16"/>
                <w:szCs w:val="16"/>
              </w:rPr>
            </w:pPr>
            <w:r>
              <w:rPr>
                <w:sz w:val="16"/>
                <w:szCs w:val="16"/>
              </w:rPr>
              <w:t>47,425</w:t>
            </w:r>
          </w:p>
        </w:tc>
        <w:tc>
          <w:tcPr>
            <w:tcW w:w="77" w:type="pct"/>
            <w:noWrap/>
            <w:tcMar>
              <w:top w:w="0" w:type="dxa"/>
              <w:left w:w="0" w:type="dxa"/>
              <w:bottom w:w="0" w:type="dxa"/>
              <w:right w:w="0" w:type="dxa"/>
            </w:tcMar>
            <w:vAlign w:val="bottom"/>
            <w:hideMark/>
          </w:tcPr>
          <w:p w14:paraId="08D24759"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0607C59A" w14:textId="77777777" w:rsidR="00000000" w:rsidRDefault="001F1B20">
            <w:pPr>
              <w:pStyle w:val="a3"/>
              <w:spacing w:before="0" w:beforeAutospacing="0" w:after="0" w:afterAutospacing="0"/>
              <w:rPr>
                <w:sz w:val="20"/>
                <w:szCs w:val="20"/>
              </w:rPr>
            </w:pPr>
            <w:r>
              <w:rPr>
                <w:sz w:val="16"/>
                <w:szCs w:val="16"/>
              </w:rPr>
              <w:t>​</w:t>
            </w:r>
          </w:p>
        </w:tc>
        <w:tc>
          <w:tcPr>
            <w:tcW w:w="421" w:type="pct"/>
            <w:tcMar>
              <w:top w:w="0" w:type="dxa"/>
              <w:left w:w="0" w:type="dxa"/>
              <w:bottom w:w="0" w:type="dxa"/>
              <w:right w:w="0" w:type="dxa"/>
            </w:tcMar>
            <w:vAlign w:val="bottom"/>
            <w:hideMark/>
          </w:tcPr>
          <w:p w14:paraId="7334551F"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39B27E99"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0FAF82A2" w14:textId="77777777" w:rsidR="00000000" w:rsidRDefault="001F1B20">
            <w:pPr>
              <w:pStyle w:val="a3"/>
              <w:spacing w:before="0" w:beforeAutospacing="0" w:after="0" w:afterAutospacing="0"/>
              <w:rPr>
                <w:sz w:val="20"/>
                <w:szCs w:val="20"/>
              </w:rPr>
            </w:pPr>
            <w:r>
              <w:rPr>
                <w:sz w:val="16"/>
                <w:szCs w:val="16"/>
              </w:rPr>
              <w:t>​</w:t>
            </w:r>
          </w:p>
        </w:tc>
        <w:tc>
          <w:tcPr>
            <w:tcW w:w="390" w:type="pct"/>
            <w:tcMar>
              <w:top w:w="0" w:type="dxa"/>
              <w:left w:w="0" w:type="dxa"/>
              <w:bottom w:w="0" w:type="dxa"/>
              <w:right w:w="0" w:type="dxa"/>
            </w:tcMar>
            <w:vAlign w:val="bottom"/>
            <w:hideMark/>
          </w:tcPr>
          <w:p w14:paraId="5B334C87"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5A0BC26A"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102E4184" w14:textId="77777777" w:rsidR="00000000" w:rsidRDefault="001F1B20">
            <w:pPr>
              <w:pStyle w:val="a3"/>
              <w:spacing w:before="0" w:beforeAutospacing="0" w:after="0" w:afterAutospacing="0"/>
              <w:rPr>
                <w:sz w:val="20"/>
                <w:szCs w:val="20"/>
              </w:rPr>
            </w:pPr>
            <w:r>
              <w:rPr>
                <w:sz w:val="16"/>
                <w:szCs w:val="16"/>
              </w:rPr>
              <w:t>​</w:t>
            </w:r>
          </w:p>
        </w:tc>
        <w:tc>
          <w:tcPr>
            <w:tcW w:w="375" w:type="pct"/>
            <w:tcMar>
              <w:top w:w="0" w:type="dxa"/>
              <w:left w:w="0" w:type="dxa"/>
              <w:bottom w:w="0" w:type="dxa"/>
              <w:right w:w="0" w:type="dxa"/>
            </w:tcMar>
            <w:vAlign w:val="bottom"/>
            <w:hideMark/>
          </w:tcPr>
          <w:p w14:paraId="599412BC" w14:textId="77777777" w:rsidR="00000000" w:rsidRDefault="001F1B20">
            <w:pPr>
              <w:pStyle w:val="a3"/>
              <w:spacing w:before="0" w:beforeAutospacing="0" w:after="0" w:afterAutospacing="0"/>
              <w:ind w:right="60"/>
              <w:jc w:val="right"/>
              <w:rPr>
                <w:sz w:val="16"/>
                <w:szCs w:val="16"/>
              </w:rPr>
            </w:pPr>
            <w:r>
              <w:rPr>
                <w:sz w:val="16"/>
                <w:szCs w:val="16"/>
              </w:rPr>
              <w:t>47,425</w:t>
            </w:r>
          </w:p>
        </w:tc>
      </w:tr>
      <w:tr w:rsidR="00000000" w14:paraId="7530667F" w14:textId="77777777">
        <w:trPr>
          <w:divId w:val="1901865854"/>
        </w:trPr>
        <w:tc>
          <w:tcPr>
            <w:tcW w:w="1845" w:type="pct"/>
            <w:shd w:val="clear" w:color="auto" w:fill="CCEEFF"/>
            <w:tcMar>
              <w:top w:w="0" w:type="dxa"/>
              <w:left w:w="0" w:type="dxa"/>
              <w:bottom w:w="0" w:type="dxa"/>
              <w:right w:w="0" w:type="dxa"/>
            </w:tcMar>
            <w:vAlign w:val="bottom"/>
            <w:hideMark/>
          </w:tcPr>
          <w:p w14:paraId="244F818D" w14:textId="77777777" w:rsidR="00000000" w:rsidRDefault="001F1B20">
            <w:pPr>
              <w:pStyle w:val="a3"/>
              <w:spacing w:before="0" w:beforeAutospacing="0" w:after="0" w:afterAutospacing="0"/>
              <w:ind w:left="240"/>
              <w:rPr>
                <w:sz w:val="16"/>
                <w:szCs w:val="16"/>
              </w:rPr>
            </w:pPr>
            <w:r>
              <w:rPr>
                <w:sz w:val="16"/>
                <w:szCs w:val="16"/>
              </w:rPr>
              <w:t>Issuance of restricted shares</w:t>
            </w:r>
          </w:p>
        </w:tc>
        <w:tc>
          <w:tcPr>
            <w:tcW w:w="76" w:type="pct"/>
            <w:shd w:val="clear" w:color="auto" w:fill="CCEEFF"/>
            <w:noWrap/>
            <w:tcMar>
              <w:top w:w="0" w:type="dxa"/>
              <w:left w:w="0" w:type="dxa"/>
              <w:bottom w:w="0" w:type="dxa"/>
              <w:right w:w="0" w:type="dxa"/>
            </w:tcMar>
            <w:vAlign w:val="bottom"/>
            <w:hideMark/>
          </w:tcPr>
          <w:p w14:paraId="1929D657"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tcMar>
              <w:top w:w="0" w:type="dxa"/>
              <w:left w:w="0" w:type="dxa"/>
              <w:bottom w:w="0" w:type="dxa"/>
              <w:right w:w="0" w:type="dxa"/>
            </w:tcMar>
            <w:vAlign w:val="bottom"/>
            <w:hideMark/>
          </w:tcPr>
          <w:p w14:paraId="75109275" w14:textId="77777777" w:rsidR="00000000" w:rsidRDefault="001F1B20">
            <w:pPr>
              <w:pStyle w:val="a3"/>
              <w:spacing w:before="0" w:beforeAutospacing="0" w:after="0" w:afterAutospacing="0"/>
              <w:ind w:right="60"/>
              <w:jc w:val="right"/>
              <w:rPr>
                <w:sz w:val="16"/>
                <w:szCs w:val="16"/>
              </w:rPr>
            </w:pPr>
            <w:r>
              <w:rPr>
                <w:sz w:val="16"/>
                <w:szCs w:val="16"/>
              </w:rPr>
              <w:t>1,590</w:t>
            </w:r>
          </w:p>
        </w:tc>
        <w:tc>
          <w:tcPr>
            <w:tcW w:w="76" w:type="pct"/>
            <w:shd w:val="clear" w:color="auto" w:fill="CCEEFF"/>
            <w:noWrap/>
            <w:tcMar>
              <w:top w:w="0" w:type="dxa"/>
              <w:left w:w="0" w:type="dxa"/>
              <w:bottom w:w="0" w:type="dxa"/>
              <w:right w:w="0" w:type="dxa"/>
            </w:tcMar>
            <w:vAlign w:val="bottom"/>
            <w:hideMark/>
          </w:tcPr>
          <w:p w14:paraId="17CF7DF4"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0E1FBF67" w14:textId="77777777" w:rsidR="00000000" w:rsidRDefault="001F1B20">
            <w:pPr>
              <w:pStyle w:val="a3"/>
              <w:spacing w:before="0" w:beforeAutospacing="0" w:after="0" w:afterAutospacing="0"/>
              <w:jc w:val="center"/>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72FE8A03"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2A018CC1"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18817EBD" w14:textId="77777777" w:rsidR="00000000" w:rsidRDefault="001F1B20">
            <w:pPr>
              <w:pStyle w:val="a3"/>
              <w:spacing w:before="0" w:beforeAutospacing="0" w:after="0" w:afterAutospacing="0"/>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3AE7DC19"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6BF370D7"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753CC610" w14:textId="77777777" w:rsidR="00000000" w:rsidRDefault="001F1B20">
            <w:pPr>
              <w:pStyle w:val="a3"/>
              <w:spacing w:before="0" w:beforeAutospacing="0" w:after="0" w:afterAutospacing="0"/>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14:paraId="37874BA0"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5C6CFDAF"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5C4D0421" w14:textId="77777777" w:rsidR="00000000" w:rsidRDefault="001F1B20">
            <w:pPr>
              <w:pStyle w:val="a3"/>
              <w:spacing w:before="0" w:beforeAutospacing="0" w:after="0" w:afterAutospacing="0"/>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11A452DD"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680B98D6"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1FF33E8F" w14:textId="77777777" w:rsidR="00000000" w:rsidRDefault="001F1B20">
            <w:pPr>
              <w:pStyle w:val="a3"/>
              <w:spacing w:before="0" w:beforeAutospacing="0" w:after="0" w:afterAutospacing="0"/>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51B3AE3E" w14:textId="77777777" w:rsidR="00000000" w:rsidRDefault="001F1B20">
            <w:pPr>
              <w:pStyle w:val="a3"/>
              <w:spacing w:before="0" w:beforeAutospacing="0" w:after="0" w:afterAutospacing="0"/>
              <w:ind w:right="60"/>
              <w:jc w:val="right"/>
              <w:rPr>
                <w:sz w:val="16"/>
                <w:szCs w:val="16"/>
              </w:rPr>
            </w:pPr>
            <w:r>
              <w:rPr>
                <w:sz w:val="16"/>
                <w:szCs w:val="16"/>
              </w:rPr>
              <w:t>—</w:t>
            </w:r>
          </w:p>
        </w:tc>
      </w:tr>
      <w:tr w:rsidR="00000000" w14:paraId="51FC5CC0" w14:textId="77777777">
        <w:trPr>
          <w:divId w:val="1901865854"/>
        </w:trPr>
        <w:tc>
          <w:tcPr>
            <w:tcW w:w="1845" w:type="pct"/>
            <w:tcMar>
              <w:top w:w="0" w:type="dxa"/>
              <w:left w:w="0" w:type="dxa"/>
              <w:bottom w:w="0" w:type="dxa"/>
              <w:right w:w="0" w:type="dxa"/>
            </w:tcMar>
            <w:vAlign w:val="bottom"/>
            <w:hideMark/>
          </w:tcPr>
          <w:p w14:paraId="5CD91E81" w14:textId="77777777" w:rsidR="00000000" w:rsidRDefault="001F1B20">
            <w:pPr>
              <w:pStyle w:val="a3"/>
              <w:spacing w:before="0" w:beforeAutospacing="0" w:after="0" w:afterAutospacing="0"/>
              <w:ind w:left="240"/>
              <w:rPr>
                <w:sz w:val="16"/>
                <w:szCs w:val="16"/>
              </w:rPr>
            </w:pPr>
            <w:r>
              <w:rPr>
                <w:sz w:val="16"/>
                <w:szCs w:val="16"/>
              </w:rPr>
              <w:t>Option exercises</w:t>
            </w:r>
          </w:p>
        </w:tc>
        <w:tc>
          <w:tcPr>
            <w:tcW w:w="76" w:type="pct"/>
            <w:noWrap/>
            <w:tcMar>
              <w:top w:w="0" w:type="dxa"/>
              <w:left w:w="0" w:type="dxa"/>
              <w:bottom w:w="0" w:type="dxa"/>
              <w:right w:w="0" w:type="dxa"/>
            </w:tcMar>
            <w:vAlign w:val="bottom"/>
            <w:hideMark/>
          </w:tcPr>
          <w:p w14:paraId="10742B2F" w14:textId="77777777" w:rsidR="00000000" w:rsidRDefault="001F1B20">
            <w:pPr>
              <w:pStyle w:val="a3"/>
              <w:spacing w:before="0" w:beforeAutospacing="0" w:after="0" w:afterAutospacing="0"/>
              <w:rPr>
                <w:sz w:val="20"/>
                <w:szCs w:val="20"/>
              </w:rPr>
            </w:pPr>
            <w:r>
              <w:rPr>
                <w:sz w:val="16"/>
                <w:szCs w:val="16"/>
              </w:rPr>
              <w:t>​</w:t>
            </w:r>
          </w:p>
        </w:tc>
        <w:tc>
          <w:tcPr>
            <w:tcW w:w="343" w:type="pct"/>
            <w:tcMar>
              <w:top w:w="0" w:type="dxa"/>
              <w:left w:w="0" w:type="dxa"/>
              <w:bottom w:w="0" w:type="dxa"/>
              <w:right w:w="0" w:type="dxa"/>
            </w:tcMar>
            <w:vAlign w:val="bottom"/>
            <w:hideMark/>
          </w:tcPr>
          <w:p w14:paraId="53A96844" w14:textId="77777777" w:rsidR="00000000" w:rsidRDefault="001F1B20">
            <w:pPr>
              <w:pStyle w:val="a3"/>
              <w:spacing w:before="0" w:beforeAutospacing="0" w:after="0" w:afterAutospacing="0"/>
              <w:ind w:right="60"/>
              <w:jc w:val="right"/>
              <w:rPr>
                <w:sz w:val="16"/>
                <w:szCs w:val="16"/>
              </w:rPr>
            </w:pPr>
            <w:r>
              <w:rPr>
                <w:sz w:val="16"/>
                <w:szCs w:val="16"/>
              </w:rPr>
              <w:t>43</w:t>
            </w:r>
          </w:p>
        </w:tc>
        <w:tc>
          <w:tcPr>
            <w:tcW w:w="76" w:type="pct"/>
            <w:noWrap/>
            <w:tcMar>
              <w:top w:w="0" w:type="dxa"/>
              <w:left w:w="0" w:type="dxa"/>
              <w:bottom w:w="0" w:type="dxa"/>
              <w:right w:w="0" w:type="dxa"/>
            </w:tcMar>
            <w:vAlign w:val="bottom"/>
            <w:hideMark/>
          </w:tcPr>
          <w:p w14:paraId="2511C967"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36683FF2" w14:textId="77777777" w:rsidR="00000000" w:rsidRDefault="001F1B20">
            <w:pPr>
              <w:pStyle w:val="a3"/>
              <w:spacing w:before="0" w:beforeAutospacing="0" w:after="0" w:afterAutospacing="0"/>
              <w:jc w:val="center"/>
              <w:rPr>
                <w:sz w:val="20"/>
                <w:szCs w:val="20"/>
              </w:rPr>
            </w:pPr>
            <w:r>
              <w:rPr>
                <w:sz w:val="16"/>
                <w:szCs w:val="16"/>
              </w:rPr>
              <w:t>​</w:t>
            </w:r>
          </w:p>
        </w:tc>
        <w:tc>
          <w:tcPr>
            <w:tcW w:w="343" w:type="pct"/>
            <w:noWrap/>
            <w:tcMar>
              <w:top w:w="0" w:type="dxa"/>
              <w:left w:w="0" w:type="dxa"/>
              <w:bottom w:w="0" w:type="dxa"/>
              <w:right w:w="0" w:type="dxa"/>
            </w:tcMar>
            <w:vAlign w:val="bottom"/>
            <w:hideMark/>
          </w:tcPr>
          <w:p w14:paraId="586A0459"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7635B793"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05D07C2A" w14:textId="77777777" w:rsidR="00000000" w:rsidRDefault="001F1B20">
            <w:pPr>
              <w:pStyle w:val="a3"/>
              <w:spacing w:before="0" w:beforeAutospacing="0" w:after="0" w:afterAutospacing="0"/>
              <w:rPr>
                <w:sz w:val="20"/>
                <w:szCs w:val="20"/>
              </w:rPr>
            </w:pPr>
            <w:r>
              <w:rPr>
                <w:sz w:val="16"/>
                <w:szCs w:val="16"/>
              </w:rPr>
              <w:t>​</w:t>
            </w:r>
          </w:p>
        </w:tc>
        <w:tc>
          <w:tcPr>
            <w:tcW w:w="367" w:type="pct"/>
            <w:tcMar>
              <w:top w:w="0" w:type="dxa"/>
              <w:left w:w="0" w:type="dxa"/>
              <w:bottom w:w="0" w:type="dxa"/>
              <w:right w:w="0" w:type="dxa"/>
            </w:tcMar>
            <w:vAlign w:val="bottom"/>
            <w:hideMark/>
          </w:tcPr>
          <w:p w14:paraId="2A38112E" w14:textId="77777777" w:rsidR="00000000" w:rsidRDefault="001F1B20">
            <w:pPr>
              <w:pStyle w:val="a3"/>
              <w:spacing w:before="0" w:beforeAutospacing="0" w:after="0" w:afterAutospacing="0"/>
              <w:ind w:right="60"/>
              <w:jc w:val="right"/>
              <w:rPr>
                <w:sz w:val="16"/>
                <w:szCs w:val="16"/>
              </w:rPr>
            </w:pPr>
            <w:r>
              <w:rPr>
                <w:sz w:val="16"/>
                <w:szCs w:val="16"/>
              </w:rPr>
              <w:t>960</w:t>
            </w:r>
          </w:p>
        </w:tc>
        <w:tc>
          <w:tcPr>
            <w:tcW w:w="77" w:type="pct"/>
            <w:noWrap/>
            <w:tcMar>
              <w:top w:w="0" w:type="dxa"/>
              <w:left w:w="0" w:type="dxa"/>
              <w:bottom w:w="0" w:type="dxa"/>
              <w:right w:w="0" w:type="dxa"/>
            </w:tcMar>
            <w:vAlign w:val="bottom"/>
            <w:hideMark/>
          </w:tcPr>
          <w:p w14:paraId="43F7D4D9"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15AD5915" w14:textId="77777777" w:rsidR="00000000" w:rsidRDefault="001F1B20">
            <w:pPr>
              <w:pStyle w:val="a3"/>
              <w:spacing w:before="0" w:beforeAutospacing="0" w:after="0" w:afterAutospacing="0"/>
              <w:rPr>
                <w:sz w:val="20"/>
                <w:szCs w:val="20"/>
              </w:rPr>
            </w:pPr>
            <w:r>
              <w:rPr>
                <w:sz w:val="16"/>
                <w:szCs w:val="16"/>
              </w:rPr>
              <w:t>​</w:t>
            </w:r>
          </w:p>
        </w:tc>
        <w:tc>
          <w:tcPr>
            <w:tcW w:w="421" w:type="pct"/>
            <w:tcMar>
              <w:top w:w="0" w:type="dxa"/>
              <w:left w:w="0" w:type="dxa"/>
              <w:bottom w:w="0" w:type="dxa"/>
              <w:right w:w="0" w:type="dxa"/>
            </w:tcMar>
            <w:vAlign w:val="bottom"/>
            <w:hideMark/>
          </w:tcPr>
          <w:p w14:paraId="363F42B6"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33EF0FEB"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75426F01" w14:textId="77777777" w:rsidR="00000000" w:rsidRDefault="001F1B20">
            <w:pPr>
              <w:pStyle w:val="a3"/>
              <w:spacing w:before="0" w:beforeAutospacing="0" w:after="0" w:afterAutospacing="0"/>
              <w:rPr>
                <w:sz w:val="20"/>
                <w:szCs w:val="20"/>
              </w:rPr>
            </w:pPr>
            <w:r>
              <w:rPr>
                <w:sz w:val="16"/>
                <w:szCs w:val="16"/>
              </w:rPr>
              <w:t>​</w:t>
            </w:r>
          </w:p>
        </w:tc>
        <w:tc>
          <w:tcPr>
            <w:tcW w:w="390" w:type="pct"/>
            <w:tcMar>
              <w:top w:w="0" w:type="dxa"/>
              <w:left w:w="0" w:type="dxa"/>
              <w:bottom w:w="0" w:type="dxa"/>
              <w:right w:w="0" w:type="dxa"/>
            </w:tcMar>
            <w:vAlign w:val="bottom"/>
            <w:hideMark/>
          </w:tcPr>
          <w:p w14:paraId="10A961E4"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4D1D2A4A"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72EC3724" w14:textId="77777777" w:rsidR="00000000" w:rsidRDefault="001F1B20">
            <w:pPr>
              <w:pStyle w:val="a3"/>
              <w:spacing w:before="0" w:beforeAutospacing="0" w:after="0" w:afterAutospacing="0"/>
              <w:rPr>
                <w:sz w:val="20"/>
                <w:szCs w:val="20"/>
              </w:rPr>
            </w:pPr>
            <w:r>
              <w:rPr>
                <w:sz w:val="16"/>
                <w:szCs w:val="16"/>
              </w:rPr>
              <w:t>​</w:t>
            </w:r>
          </w:p>
        </w:tc>
        <w:tc>
          <w:tcPr>
            <w:tcW w:w="375" w:type="pct"/>
            <w:tcMar>
              <w:top w:w="0" w:type="dxa"/>
              <w:left w:w="0" w:type="dxa"/>
              <w:bottom w:w="0" w:type="dxa"/>
              <w:right w:w="0" w:type="dxa"/>
            </w:tcMar>
            <w:vAlign w:val="bottom"/>
            <w:hideMark/>
          </w:tcPr>
          <w:p w14:paraId="6B0C4D3F" w14:textId="77777777" w:rsidR="00000000" w:rsidRDefault="001F1B20">
            <w:pPr>
              <w:pStyle w:val="a3"/>
              <w:spacing w:before="0" w:beforeAutospacing="0" w:after="0" w:afterAutospacing="0"/>
              <w:ind w:right="60"/>
              <w:jc w:val="right"/>
              <w:rPr>
                <w:sz w:val="16"/>
                <w:szCs w:val="16"/>
              </w:rPr>
            </w:pPr>
            <w:r>
              <w:rPr>
                <w:sz w:val="16"/>
                <w:szCs w:val="16"/>
              </w:rPr>
              <w:t>960</w:t>
            </w:r>
          </w:p>
        </w:tc>
      </w:tr>
      <w:tr w:rsidR="00000000" w14:paraId="7AEE2F1F" w14:textId="77777777">
        <w:trPr>
          <w:divId w:val="1901865854"/>
        </w:trPr>
        <w:tc>
          <w:tcPr>
            <w:tcW w:w="1845" w:type="pct"/>
            <w:shd w:val="clear" w:color="auto" w:fill="CCEEFF"/>
            <w:tcMar>
              <w:top w:w="0" w:type="dxa"/>
              <w:left w:w="0" w:type="dxa"/>
              <w:bottom w:w="0" w:type="dxa"/>
              <w:right w:w="0" w:type="dxa"/>
            </w:tcMar>
            <w:vAlign w:val="bottom"/>
            <w:hideMark/>
          </w:tcPr>
          <w:p w14:paraId="597F1D1F" w14:textId="77777777" w:rsidR="00000000" w:rsidRDefault="001F1B20">
            <w:pPr>
              <w:pStyle w:val="a3"/>
              <w:spacing w:before="0" w:beforeAutospacing="0" w:after="0" w:afterAutospacing="0"/>
              <w:ind w:left="240"/>
              <w:rPr>
                <w:sz w:val="16"/>
                <w:szCs w:val="16"/>
              </w:rPr>
            </w:pPr>
            <w:r>
              <w:rPr>
                <w:sz w:val="16"/>
                <w:szCs w:val="16"/>
              </w:rPr>
              <w:t>Repurchase of shares to satisfy tax withholding</w:t>
            </w:r>
          </w:p>
        </w:tc>
        <w:tc>
          <w:tcPr>
            <w:tcW w:w="76" w:type="pct"/>
            <w:shd w:val="clear" w:color="auto" w:fill="CCEEFF"/>
            <w:noWrap/>
            <w:tcMar>
              <w:top w:w="0" w:type="dxa"/>
              <w:left w:w="0" w:type="dxa"/>
              <w:bottom w:w="0" w:type="dxa"/>
              <w:right w:w="0" w:type="dxa"/>
            </w:tcMar>
            <w:vAlign w:val="bottom"/>
            <w:hideMark/>
          </w:tcPr>
          <w:p w14:paraId="7C8D1343" w14:textId="77777777" w:rsidR="00000000" w:rsidRDefault="001F1B20">
            <w:pPr>
              <w:pStyle w:val="a3"/>
              <w:spacing w:before="0" w:beforeAutospacing="0" w:after="0" w:afterAutospacing="0"/>
              <w:rPr>
                <w:sz w:val="20"/>
                <w:szCs w:val="20"/>
              </w:rPr>
            </w:pPr>
            <w:r>
              <w:rPr>
                <w:sz w:val="16"/>
                <w:szCs w:val="16"/>
              </w:rPr>
              <w:t>​</w:t>
            </w:r>
          </w:p>
        </w:tc>
        <w:tc>
          <w:tcPr>
            <w:tcW w:w="343" w:type="pct"/>
            <w:shd w:val="clear" w:color="auto" w:fill="CCEEFF"/>
            <w:tcMar>
              <w:top w:w="0" w:type="dxa"/>
              <w:left w:w="0" w:type="dxa"/>
              <w:bottom w:w="0" w:type="dxa"/>
              <w:right w:w="0" w:type="dxa"/>
            </w:tcMar>
            <w:vAlign w:val="bottom"/>
            <w:hideMark/>
          </w:tcPr>
          <w:p w14:paraId="4B28EBD9" w14:textId="77777777" w:rsidR="00000000" w:rsidRDefault="001F1B20">
            <w:pPr>
              <w:pStyle w:val="a3"/>
              <w:spacing w:before="0" w:beforeAutospacing="0" w:after="0" w:afterAutospacing="0"/>
              <w:jc w:val="right"/>
              <w:rPr>
                <w:sz w:val="16"/>
                <w:szCs w:val="16"/>
              </w:rPr>
            </w:pPr>
            <w:r>
              <w:rPr>
                <w:sz w:val="16"/>
                <w:szCs w:val="16"/>
              </w:rPr>
              <w:t>(360)</w:t>
            </w:r>
          </w:p>
        </w:tc>
        <w:tc>
          <w:tcPr>
            <w:tcW w:w="76" w:type="pct"/>
            <w:shd w:val="clear" w:color="auto" w:fill="CCEEFF"/>
            <w:noWrap/>
            <w:tcMar>
              <w:top w:w="0" w:type="dxa"/>
              <w:left w:w="0" w:type="dxa"/>
              <w:bottom w:w="0" w:type="dxa"/>
              <w:right w:w="0" w:type="dxa"/>
            </w:tcMar>
            <w:vAlign w:val="bottom"/>
            <w:hideMark/>
          </w:tcPr>
          <w:p w14:paraId="7BECBD11" w14:textId="77777777" w:rsidR="00000000" w:rsidRDefault="001F1B2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14:paraId="441E4231" w14:textId="77777777" w:rsidR="00000000" w:rsidRDefault="001F1B20">
            <w:pPr>
              <w:pStyle w:val="a3"/>
              <w:spacing w:before="0" w:beforeAutospacing="0" w:after="0" w:afterAutospacing="0"/>
              <w:jc w:val="center"/>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14:paraId="57DE25F2"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00628E15" w14:textId="77777777" w:rsidR="00000000" w:rsidRDefault="001F1B20">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14:paraId="5FF174F3" w14:textId="77777777" w:rsidR="00000000" w:rsidRDefault="001F1B20">
            <w:pPr>
              <w:pStyle w:val="a3"/>
              <w:spacing w:before="0" w:beforeAutospacing="0" w:after="0" w:afterAutospacing="0"/>
              <w:rPr>
                <w:sz w:val="20"/>
                <w:szCs w:val="20"/>
              </w:rPr>
            </w:pPr>
            <w:r>
              <w:rPr>
                <w:sz w:val="16"/>
                <w:szCs w:val="16"/>
              </w:rPr>
              <w:t>​</w:t>
            </w:r>
          </w:p>
        </w:tc>
        <w:tc>
          <w:tcPr>
            <w:tcW w:w="367" w:type="pct"/>
            <w:shd w:val="clear" w:color="auto" w:fill="CCEEFF"/>
            <w:tcMar>
              <w:top w:w="0" w:type="dxa"/>
              <w:left w:w="0" w:type="dxa"/>
              <w:bottom w:w="0" w:type="dxa"/>
              <w:right w:w="0" w:type="dxa"/>
            </w:tcMar>
            <w:vAlign w:val="bottom"/>
            <w:hideMark/>
          </w:tcPr>
          <w:p w14:paraId="4D206665" w14:textId="77777777" w:rsidR="00000000" w:rsidRDefault="001F1B20">
            <w:pPr>
              <w:pStyle w:val="a3"/>
              <w:spacing w:before="0" w:beforeAutospacing="0" w:after="0" w:afterAutospacing="0"/>
              <w:jc w:val="right"/>
              <w:rPr>
                <w:sz w:val="16"/>
                <w:szCs w:val="16"/>
              </w:rPr>
            </w:pPr>
            <w:r>
              <w:rPr>
                <w:sz w:val="16"/>
                <w:szCs w:val="16"/>
              </w:rPr>
              <w:t>(8,935)</w:t>
            </w:r>
          </w:p>
        </w:tc>
        <w:tc>
          <w:tcPr>
            <w:tcW w:w="77" w:type="pct"/>
            <w:shd w:val="clear" w:color="auto" w:fill="CCEEFF"/>
            <w:noWrap/>
            <w:tcMar>
              <w:top w:w="0" w:type="dxa"/>
              <w:left w:w="0" w:type="dxa"/>
              <w:bottom w:w="0" w:type="dxa"/>
              <w:right w:w="0" w:type="dxa"/>
            </w:tcMar>
            <w:vAlign w:val="bottom"/>
            <w:hideMark/>
          </w:tcPr>
          <w:p w14:paraId="6F0509EE" w14:textId="77777777" w:rsidR="00000000" w:rsidRDefault="001F1B20">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14:paraId="2F5AD61D" w14:textId="77777777" w:rsidR="00000000" w:rsidRDefault="001F1B20">
            <w:pPr>
              <w:pStyle w:val="a3"/>
              <w:spacing w:before="0" w:beforeAutospacing="0" w:after="0" w:afterAutospacing="0"/>
              <w:rPr>
                <w:sz w:val="20"/>
                <w:szCs w:val="20"/>
              </w:rPr>
            </w:pPr>
            <w:r>
              <w:rPr>
                <w:sz w:val="16"/>
                <w:szCs w:val="16"/>
              </w:rPr>
              <w:t>​</w:t>
            </w:r>
          </w:p>
        </w:tc>
        <w:tc>
          <w:tcPr>
            <w:tcW w:w="421" w:type="pct"/>
            <w:shd w:val="clear" w:color="auto" w:fill="CCEEFF"/>
            <w:tcMar>
              <w:top w:w="0" w:type="dxa"/>
              <w:left w:w="0" w:type="dxa"/>
              <w:bottom w:w="0" w:type="dxa"/>
              <w:right w:w="0" w:type="dxa"/>
            </w:tcMar>
            <w:vAlign w:val="bottom"/>
            <w:hideMark/>
          </w:tcPr>
          <w:p w14:paraId="4AD4EAAE"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653BEE60" w14:textId="77777777" w:rsidR="00000000" w:rsidRDefault="001F1B20">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14:paraId="4734B88F" w14:textId="77777777" w:rsidR="00000000" w:rsidRDefault="001F1B20">
            <w:pPr>
              <w:pStyle w:val="a3"/>
              <w:spacing w:before="0" w:beforeAutospacing="0" w:after="0" w:afterAutospacing="0"/>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14:paraId="4C991E10"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29233D08" w14:textId="77777777" w:rsidR="00000000" w:rsidRDefault="001F1B20">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14:paraId="47E920FD" w14:textId="77777777" w:rsidR="00000000" w:rsidRDefault="001F1B20">
            <w:pPr>
              <w:pStyle w:val="a3"/>
              <w:spacing w:before="0" w:beforeAutospacing="0" w:after="0" w:afterAutospacing="0"/>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14:paraId="55A375E1" w14:textId="77777777" w:rsidR="00000000" w:rsidRDefault="001F1B20">
            <w:pPr>
              <w:pStyle w:val="a3"/>
              <w:spacing w:before="0" w:beforeAutospacing="0" w:after="0" w:afterAutospacing="0"/>
              <w:jc w:val="right"/>
              <w:rPr>
                <w:sz w:val="16"/>
                <w:szCs w:val="16"/>
              </w:rPr>
            </w:pPr>
            <w:r>
              <w:rPr>
                <w:sz w:val="16"/>
                <w:szCs w:val="16"/>
              </w:rPr>
              <w:t>(8,935)</w:t>
            </w:r>
          </w:p>
        </w:tc>
      </w:tr>
      <w:tr w:rsidR="00000000" w14:paraId="19751BED" w14:textId="77777777">
        <w:trPr>
          <w:divId w:val="1901865854"/>
        </w:trPr>
        <w:tc>
          <w:tcPr>
            <w:tcW w:w="1845" w:type="pct"/>
            <w:tcMar>
              <w:top w:w="0" w:type="dxa"/>
              <w:left w:w="0" w:type="dxa"/>
              <w:bottom w:w="0" w:type="dxa"/>
              <w:right w:w="0" w:type="dxa"/>
            </w:tcMar>
            <w:vAlign w:val="bottom"/>
            <w:hideMark/>
          </w:tcPr>
          <w:p w14:paraId="1E92B82B" w14:textId="77777777" w:rsidR="00000000" w:rsidRDefault="001F1B20">
            <w:pPr>
              <w:pStyle w:val="a3"/>
              <w:spacing w:before="0" w:beforeAutospacing="0" w:after="0" w:afterAutospacing="0"/>
              <w:ind w:left="240"/>
              <w:rPr>
                <w:sz w:val="16"/>
                <w:szCs w:val="16"/>
              </w:rPr>
            </w:pPr>
            <w:r>
              <w:rPr>
                <w:sz w:val="16"/>
                <w:szCs w:val="16"/>
              </w:rPr>
              <w:t>Net unrealized loss on marketable securities</w:t>
            </w:r>
          </w:p>
        </w:tc>
        <w:tc>
          <w:tcPr>
            <w:tcW w:w="76" w:type="pct"/>
            <w:noWrap/>
            <w:tcMar>
              <w:top w:w="0" w:type="dxa"/>
              <w:left w:w="0" w:type="dxa"/>
              <w:bottom w:w="0" w:type="dxa"/>
              <w:right w:w="0" w:type="dxa"/>
            </w:tcMar>
            <w:vAlign w:val="bottom"/>
            <w:hideMark/>
          </w:tcPr>
          <w:p w14:paraId="7DAFFF7E" w14:textId="77777777" w:rsidR="00000000" w:rsidRDefault="001F1B20">
            <w:pPr>
              <w:pStyle w:val="a3"/>
              <w:spacing w:before="0" w:beforeAutospacing="0" w:after="0" w:afterAutospacing="0"/>
              <w:rPr>
                <w:sz w:val="20"/>
                <w:szCs w:val="20"/>
              </w:rPr>
            </w:pPr>
            <w:r>
              <w:rPr>
                <w:sz w:val="16"/>
                <w:szCs w:val="16"/>
              </w:rPr>
              <w:t>​</w:t>
            </w:r>
          </w:p>
        </w:tc>
        <w:tc>
          <w:tcPr>
            <w:tcW w:w="343" w:type="pct"/>
            <w:tcMar>
              <w:top w:w="0" w:type="dxa"/>
              <w:left w:w="0" w:type="dxa"/>
              <w:bottom w:w="0" w:type="dxa"/>
              <w:right w:w="0" w:type="dxa"/>
            </w:tcMar>
            <w:vAlign w:val="bottom"/>
            <w:hideMark/>
          </w:tcPr>
          <w:p w14:paraId="63E9759D"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noWrap/>
            <w:tcMar>
              <w:top w:w="0" w:type="dxa"/>
              <w:left w:w="0" w:type="dxa"/>
              <w:bottom w:w="0" w:type="dxa"/>
              <w:right w:w="0" w:type="dxa"/>
            </w:tcMar>
            <w:vAlign w:val="bottom"/>
            <w:hideMark/>
          </w:tcPr>
          <w:p w14:paraId="0E51F728" w14:textId="77777777" w:rsidR="00000000" w:rsidRDefault="001F1B2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14:paraId="79837B51" w14:textId="77777777" w:rsidR="00000000" w:rsidRDefault="001F1B20">
            <w:pPr>
              <w:pStyle w:val="a3"/>
              <w:spacing w:before="0" w:beforeAutospacing="0" w:after="0" w:afterAutospacing="0"/>
              <w:jc w:val="center"/>
              <w:rPr>
                <w:sz w:val="20"/>
                <w:szCs w:val="20"/>
              </w:rPr>
            </w:pPr>
            <w:r>
              <w:rPr>
                <w:sz w:val="16"/>
                <w:szCs w:val="16"/>
              </w:rPr>
              <w:t>​</w:t>
            </w:r>
          </w:p>
        </w:tc>
        <w:tc>
          <w:tcPr>
            <w:tcW w:w="343" w:type="pct"/>
            <w:noWrap/>
            <w:tcMar>
              <w:top w:w="0" w:type="dxa"/>
              <w:left w:w="0" w:type="dxa"/>
              <w:bottom w:w="0" w:type="dxa"/>
              <w:right w:w="0" w:type="dxa"/>
            </w:tcMar>
            <w:vAlign w:val="bottom"/>
            <w:hideMark/>
          </w:tcPr>
          <w:p w14:paraId="441EBEB2"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6A869EA2" w14:textId="77777777" w:rsidR="00000000" w:rsidRDefault="001F1B20">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14:paraId="4980A33D" w14:textId="77777777" w:rsidR="00000000" w:rsidRDefault="001F1B20">
            <w:pPr>
              <w:pStyle w:val="a3"/>
              <w:spacing w:before="0" w:beforeAutospacing="0" w:after="0" w:afterAutospacing="0"/>
              <w:rPr>
                <w:sz w:val="20"/>
                <w:szCs w:val="20"/>
              </w:rPr>
            </w:pPr>
            <w:r>
              <w:rPr>
                <w:sz w:val="16"/>
                <w:szCs w:val="16"/>
              </w:rPr>
              <w:t>​</w:t>
            </w:r>
          </w:p>
        </w:tc>
        <w:tc>
          <w:tcPr>
            <w:tcW w:w="367" w:type="pct"/>
            <w:tcMar>
              <w:top w:w="0" w:type="dxa"/>
              <w:left w:w="0" w:type="dxa"/>
              <w:bottom w:w="0" w:type="dxa"/>
              <w:right w:w="0" w:type="dxa"/>
            </w:tcMar>
            <w:vAlign w:val="bottom"/>
            <w:hideMark/>
          </w:tcPr>
          <w:p w14:paraId="670334B3"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01099331" w14:textId="77777777" w:rsidR="00000000" w:rsidRDefault="001F1B20">
            <w:pPr>
              <w:pStyle w:val="a3"/>
              <w:spacing w:before="0" w:beforeAutospacing="0" w:after="0"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14:paraId="6760824F" w14:textId="77777777" w:rsidR="00000000" w:rsidRDefault="001F1B20">
            <w:pPr>
              <w:pStyle w:val="a3"/>
              <w:spacing w:before="0" w:beforeAutospacing="0" w:after="0" w:afterAutospacing="0"/>
              <w:rPr>
                <w:sz w:val="20"/>
                <w:szCs w:val="20"/>
              </w:rPr>
            </w:pPr>
            <w:r>
              <w:rPr>
                <w:sz w:val="16"/>
                <w:szCs w:val="16"/>
              </w:rPr>
              <w:t>​</w:t>
            </w:r>
          </w:p>
        </w:tc>
        <w:tc>
          <w:tcPr>
            <w:tcW w:w="421" w:type="pct"/>
            <w:tcMar>
              <w:top w:w="0" w:type="dxa"/>
              <w:left w:w="0" w:type="dxa"/>
              <w:bottom w:w="0" w:type="dxa"/>
              <w:right w:w="0" w:type="dxa"/>
            </w:tcMar>
            <w:vAlign w:val="bottom"/>
            <w:hideMark/>
          </w:tcPr>
          <w:p w14:paraId="7C7403C9" w14:textId="77777777" w:rsidR="00000000" w:rsidRDefault="001F1B20">
            <w:pPr>
              <w:pStyle w:val="a3"/>
              <w:spacing w:before="0" w:beforeAutospacing="0" w:after="0" w:afterAutospacing="0"/>
              <w:jc w:val="right"/>
              <w:rPr>
                <w:sz w:val="16"/>
                <w:szCs w:val="16"/>
              </w:rPr>
            </w:pPr>
            <w:r>
              <w:rPr>
                <w:sz w:val="16"/>
                <w:szCs w:val="16"/>
              </w:rPr>
              <w:t>(23)</w:t>
            </w:r>
          </w:p>
        </w:tc>
        <w:tc>
          <w:tcPr>
            <w:tcW w:w="77" w:type="pct"/>
            <w:noWrap/>
            <w:tcMar>
              <w:top w:w="0" w:type="dxa"/>
              <w:left w:w="0" w:type="dxa"/>
              <w:bottom w:w="0" w:type="dxa"/>
              <w:right w:w="0" w:type="dxa"/>
            </w:tcMar>
            <w:vAlign w:val="bottom"/>
            <w:hideMark/>
          </w:tcPr>
          <w:p w14:paraId="09C241B1" w14:textId="77777777" w:rsidR="00000000" w:rsidRDefault="001F1B20">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14:paraId="7C5EC697" w14:textId="77777777" w:rsidR="00000000" w:rsidRDefault="001F1B20">
            <w:pPr>
              <w:pStyle w:val="a3"/>
              <w:spacing w:before="0" w:beforeAutospacing="0" w:after="0" w:afterAutospacing="0"/>
              <w:rPr>
                <w:sz w:val="20"/>
                <w:szCs w:val="20"/>
              </w:rPr>
            </w:pPr>
            <w:r>
              <w:rPr>
                <w:sz w:val="16"/>
                <w:szCs w:val="16"/>
              </w:rPr>
              <w:t>​</w:t>
            </w:r>
          </w:p>
        </w:tc>
        <w:tc>
          <w:tcPr>
            <w:tcW w:w="390" w:type="pct"/>
            <w:tcMar>
              <w:top w:w="0" w:type="dxa"/>
              <w:left w:w="0" w:type="dxa"/>
              <w:bottom w:w="0" w:type="dxa"/>
              <w:right w:w="0" w:type="dxa"/>
            </w:tcMar>
            <w:vAlign w:val="bottom"/>
            <w:hideMark/>
          </w:tcPr>
          <w:p w14:paraId="5AF57DE6"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14:paraId="16EBC1E4" w14:textId="77777777" w:rsidR="00000000" w:rsidRDefault="001F1B20">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6D79F96E" w14:textId="77777777" w:rsidR="00000000" w:rsidRDefault="001F1B20">
            <w:pPr>
              <w:pStyle w:val="a3"/>
              <w:spacing w:before="0" w:beforeAutospacing="0" w:after="0" w:afterAutospacing="0"/>
              <w:rPr>
                <w:sz w:val="20"/>
                <w:szCs w:val="20"/>
              </w:rPr>
            </w:pPr>
            <w:r>
              <w:rPr>
                <w:sz w:val="16"/>
                <w:szCs w:val="16"/>
              </w:rPr>
              <w:t>​</w:t>
            </w:r>
          </w:p>
        </w:tc>
        <w:tc>
          <w:tcPr>
            <w:tcW w:w="375" w:type="pct"/>
            <w:tcMar>
              <w:top w:w="0" w:type="dxa"/>
              <w:left w:w="0" w:type="dxa"/>
              <w:bottom w:w="0" w:type="dxa"/>
              <w:right w:w="0" w:type="dxa"/>
            </w:tcMar>
            <w:vAlign w:val="bottom"/>
            <w:hideMark/>
          </w:tcPr>
          <w:p w14:paraId="7B62D43D" w14:textId="77777777" w:rsidR="00000000" w:rsidRDefault="001F1B20">
            <w:pPr>
              <w:pStyle w:val="a3"/>
              <w:spacing w:before="0" w:beforeAutospacing="0" w:after="0" w:afterAutospacing="0"/>
              <w:jc w:val="right"/>
              <w:rPr>
                <w:sz w:val="16"/>
                <w:szCs w:val="16"/>
              </w:rPr>
            </w:pPr>
            <w:r>
              <w:rPr>
                <w:sz w:val="16"/>
                <w:szCs w:val="16"/>
              </w:rPr>
              <w:t>(23)</w:t>
            </w:r>
          </w:p>
        </w:tc>
      </w:tr>
      <w:tr w:rsidR="00000000" w14:paraId="6D2217CD" w14:textId="77777777">
        <w:trPr>
          <w:divId w:val="1901865854"/>
        </w:trPr>
        <w:tc>
          <w:tcPr>
            <w:tcW w:w="1845" w:type="pct"/>
            <w:shd w:val="clear" w:color="auto" w:fill="CCEEFF"/>
            <w:tcMar>
              <w:top w:w="0" w:type="dxa"/>
              <w:left w:w="0" w:type="dxa"/>
              <w:bottom w:w="0" w:type="dxa"/>
              <w:right w:w="0" w:type="dxa"/>
            </w:tcMar>
            <w:vAlign w:val="bottom"/>
            <w:hideMark/>
          </w:tcPr>
          <w:p w14:paraId="3CBD1F00" w14:textId="77777777" w:rsidR="00000000" w:rsidRDefault="001F1B20">
            <w:pPr>
              <w:pStyle w:val="a3"/>
              <w:spacing w:before="0" w:beforeAutospacing="0" w:after="0" w:afterAutospacing="0"/>
              <w:ind w:left="240"/>
              <w:rPr>
                <w:sz w:val="16"/>
                <w:szCs w:val="16"/>
              </w:rPr>
            </w:pPr>
            <w:r>
              <w:rPr>
                <w:sz w:val="16"/>
                <w:szCs w:val="16"/>
              </w:rPr>
              <w:t>Net loss</w:t>
            </w:r>
          </w:p>
        </w:tc>
        <w:tc>
          <w:tcPr>
            <w:tcW w:w="76" w:type="pct"/>
            <w:shd w:val="clear" w:color="auto" w:fill="CCEEFF"/>
            <w:noWrap/>
            <w:tcMar>
              <w:top w:w="0" w:type="dxa"/>
              <w:left w:w="0" w:type="dxa"/>
              <w:bottom w:w="0" w:type="dxa"/>
              <w:right w:w="0" w:type="dxa"/>
            </w:tcMar>
            <w:vAlign w:val="bottom"/>
            <w:hideMark/>
          </w:tcPr>
          <w:p w14:paraId="3E5B1CEA"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single" w:sz="6" w:space="0" w:color="000000"/>
            </w:tcBorders>
            <w:shd w:val="clear" w:color="auto" w:fill="CCEEFF"/>
            <w:tcMar>
              <w:top w:w="0" w:type="dxa"/>
              <w:left w:w="0" w:type="dxa"/>
              <w:bottom w:w="0" w:type="dxa"/>
              <w:right w:w="0" w:type="dxa"/>
            </w:tcMar>
            <w:vAlign w:val="bottom"/>
            <w:hideMark/>
          </w:tcPr>
          <w:p w14:paraId="487115A6" w14:textId="77777777" w:rsidR="00000000" w:rsidRDefault="001F1B20">
            <w:pPr>
              <w:pStyle w:val="a3"/>
              <w:spacing w:before="0" w:beforeAutospacing="0" w:after="0" w:afterAutospacing="0"/>
              <w:ind w:right="60"/>
              <w:jc w:val="right"/>
              <w:rPr>
                <w:sz w:val="16"/>
                <w:szCs w:val="16"/>
              </w:rPr>
            </w:pPr>
            <w:r>
              <w:rPr>
                <w:sz w:val="16"/>
                <w:szCs w:val="16"/>
              </w:rPr>
              <w:t>—</w:t>
            </w:r>
          </w:p>
        </w:tc>
        <w:tc>
          <w:tcPr>
            <w:tcW w:w="76" w:type="pct"/>
            <w:shd w:val="clear" w:color="auto" w:fill="CCEEFF"/>
            <w:noWrap/>
            <w:tcMar>
              <w:top w:w="0" w:type="dxa"/>
              <w:left w:w="0" w:type="dxa"/>
              <w:bottom w:w="0" w:type="dxa"/>
              <w:right w:w="0" w:type="dxa"/>
            </w:tcMar>
            <w:vAlign w:val="bottom"/>
            <w:hideMark/>
          </w:tcPr>
          <w:p w14:paraId="35585693" w14:textId="77777777" w:rsidR="00000000" w:rsidRDefault="001F1B2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14:paraId="18FE1401" w14:textId="77777777" w:rsidR="00000000" w:rsidRDefault="001F1B20">
            <w:pPr>
              <w:pStyle w:val="a3"/>
              <w:spacing w:before="0" w:beforeAutospacing="0" w:after="0" w:afterAutospacing="0"/>
              <w:jc w:val="center"/>
              <w:rPr>
                <w:sz w:val="20"/>
                <w:szCs w:val="20"/>
              </w:rPr>
            </w:pPr>
            <w:r>
              <w:rPr>
                <w:sz w:val="16"/>
                <w:szCs w:val="16"/>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14:paraId="66523298"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7A6BCEF3" w14:textId="77777777" w:rsidR="00000000" w:rsidRDefault="001F1B20">
            <w:pPr>
              <w:pStyle w:val="a3"/>
              <w:spacing w:before="0" w:beforeAutospacing="0" w:after="0" w:afterAutospacing="0"/>
              <w:rPr>
                <w:sz w:val="20"/>
                <w:szCs w:val="20"/>
              </w:rPr>
            </w:pPr>
            <w:r>
              <w:rPr>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14:paraId="14EF4966" w14:textId="77777777" w:rsidR="00000000" w:rsidRDefault="001F1B20">
            <w:pPr>
              <w:pStyle w:val="a3"/>
              <w:spacing w:before="0" w:beforeAutospacing="0" w:after="0" w:afterAutospacing="0"/>
              <w:rPr>
                <w:sz w:val="20"/>
                <w:szCs w:val="20"/>
              </w:rPr>
            </w:pPr>
            <w:r>
              <w:rPr>
                <w:sz w:val="16"/>
                <w:szCs w:val="16"/>
              </w:rPr>
              <w:t>​</w:t>
            </w:r>
          </w:p>
        </w:tc>
        <w:tc>
          <w:tcPr>
            <w:tcW w:w="367" w:type="pct"/>
            <w:tcBorders>
              <w:bottom w:val="single" w:sz="6" w:space="0" w:color="000000"/>
            </w:tcBorders>
            <w:shd w:val="clear" w:color="auto" w:fill="CCEEFF"/>
            <w:tcMar>
              <w:top w:w="0" w:type="dxa"/>
              <w:left w:w="0" w:type="dxa"/>
              <w:bottom w:w="0" w:type="dxa"/>
              <w:right w:w="0" w:type="dxa"/>
            </w:tcMar>
            <w:vAlign w:val="bottom"/>
            <w:hideMark/>
          </w:tcPr>
          <w:p w14:paraId="3ADF911E"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2DCEF52E" w14:textId="77777777" w:rsidR="00000000" w:rsidRDefault="001F1B20">
            <w:pPr>
              <w:pStyle w:val="a3"/>
              <w:spacing w:before="0" w:beforeAutospacing="0" w:after="0" w:afterAutospacing="0"/>
              <w:rPr>
                <w:sz w:val="20"/>
                <w:szCs w:val="20"/>
              </w:rPr>
            </w:pPr>
            <w:r>
              <w:rPr>
                <w:sz w:val="16"/>
                <w:szCs w:val="16"/>
              </w:rPr>
              <w:t>​</w:t>
            </w:r>
          </w:p>
        </w:tc>
        <w:tc>
          <w:tcPr>
            <w:tcW w:w="107" w:type="pct"/>
            <w:tcBorders>
              <w:bottom w:val="single" w:sz="6" w:space="0" w:color="000000"/>
            </w:tcBorders>
            <w:shd w:val="clear" w:color="auto" w:fill="CCEEFF"/>
            <w:noWrap/>
            <w:tcMar>
              <w:top w:w="0" w:type="dxa"/>
              <w:left w:w="0" w:type="dxa"/>
              <w:bottom w:w="0" w:type="dxa"/>
              <w:right w:w="0" w:type="dxa"/>
            </w:tcMar>
            <w:vAlign w:val="bottom"/>
            <w:hideMark/>
          </w:tcPr>
          <w:p w14:paraId="77A0B1E9" w14:textId="77777777" w:rsidR="00000000" w:rsidRDefault="001F1B20">
            <w:pPr>
              <w:pStyle w:val="a3"/>
              <w:spacing w:before="0" w:beforeAutospacing="0" w:after="0" w:afterAutospacing="0"/>
              <w:rPr>
                <w:sz w:val="20"/>
                <w:szCs w:val="20"/>
              </w:rPr>
            </w:pPr>
            <w:r>
              <w:rPr>
                <w:sz w:val="16"/>
                <w:szCs w:val="16"/>
              </w:rPr>
              <w:t>​</w:t>
            </w:r>
          </w:p>
        </w:tc>
        <w:tc>
          <w:tcPr>
            <w:tcW w:w="421" w:type="pct"/>
            <w:tcBorders>
              <w:bottom w:val="single" w:sz="6" w:space="0" w:color="000000"/>
            </w:tcBorders>
            <w:shd w:val="clear" w:color="auto" w:fill="CCEEFF"/>
            <w:tcMar>
              <w:top w:w="0" w:type="dxa"/>
              <w:left w:w="0" w:type="dxa"/>
              <w:bottom w:w="0" w:type="dxa"/>
              <w:right w:w="0" w:type="dxa"/>
            </w:tcMar>
            <w:vAlign w:val="bottom"/>
            <w:hideMark/>
          </w:tcPr>
          <w:p w14:paraId="6AD62D6E" w14:textId="77777777" w:rsidR="00000000" w:rsidRDefault="001F1B20">
            <w:pPr>
              <w:pStyle w:val="a3"/>
              <w:spacing w:before="0" w:beforeAutospacing="0" w:after="0" w:afterAutospacing="0"/>
              <w:ind w:right="60"/>
              <w:jc w:val="right"/>
              <w:rPr>
                <w:sz w:val="16"/>
                <w:szCs w:val="16"/>
              </w:rPr>
            </w:pPr>
            <w:r>
              <w:rPr>
                <w:sz w:val="16"/>
                <w:szCs w:val="16"/>
              </w:rPr>
              <w:t>—</w:t>
            </w:r>
          </w:p>
        </w:tc>
        <w:tc>
          <w:tcPr>
            <w:tcW w:w="77" w:type="pct"/>
            <w:shd w:val="clear" w:color="auto" w:fill="CCEEFF"/>
            <w:noWrap/>
            <w:tcMar>
              <w:top w:w="0" w:type="dxa"/>
              <w:left w:w="0" w:type="dxa"/>
              <w:bottom w:w="0" w:type="dxa"/>
              <w:right w:w="0" w:type="dxa"/>
            </w:tcMar>
            <w:vAlign w:val="bottom"/>
            <w:hideMark/>
          </w:tcPr>
          <w:p w14:paraId="3599C37B" w14:textId="77777777" w:rsidR="00000000" w:rsidRDefault="001F1B20">
            <w:pPr>
              <w:pStyle w:val="a3"/>
              <w:spacing w:before="0" w:beforeAutospacing="0" w:after="0" w:afterAutospacing="0"/>
              <w:rPr>
                <w:sz w:val="20"/>
                <w:szCs w:val="20"/>
              </w:rPr>
            </w:pPr>
            <w:r>
              <w:rPr>
                <w:sz w:val="16"/>
                <w:szCs w:val="16"/>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14:paraId="66ED1C86" w14:textId="77777777" w:rsidR="00000000" w:rsidRDefault="001F1B20">
            <w:pPr>
              <w:pStyle w:val="a3"/>
              <w:spacing w:before="0" w:beforeAutospacing="0" w:after="0" w:afterAutospacing="0"/>
              <w:rPr>
                <w:sz w:val="20"/>
                <w:szCs w:val="20"/>
              </w:rPr>
            </w:pPr>
            <w:r>
              <w:rPr>
                <w:sz w:val="16"/>
                <w:szCs w:val="16"/>
              </w:rPr>
              <w:t>​</w:t>
            </w:r>
          </w:p>
        </w:tc>
        <w:tc>
          <w:tcPr>
            <w:tcW w:w="390" w:type="pct"/>
            <w:tcBorders>
              <w:bottom w:val="single" w:sz="6" w:space="0" w:color="000000"/>
            </w:tcBorders>
            <w:shd w:val="clear" w:color="auto" w:fill="CCEEFF"/>
            <w:tcMar>
              <w:top w:w="0" w:type="dxa"/>
              <w:left w:w="0" w:type="dxa"/>
              <w:bottom w:w="0" w:type="dxa"/>
              <w:right w:w="0" w:type="dxa"/>
            </w:tcMar>
            <w:vAlign w:val="bottom"/>
            <w:hideMark/>
          </w:tcPr>
          <w:p w14:paraId="316C2E87" w14:textId="77777777" w:rsidR="00000000" w:rsidRDefault="001F1B20">
            <w:pPr>
              <w:pStyle w:val="a3"/>
              <w:spacing w:before="0" w:beforeAutospacing="0" w:after="0" w:afterAutospacing="0"/>
              <w:jc w:val="right"/>
              <w:rPr>
                <w:sz w:val="16"/>
                <w:szCs w:val="16"/>
              </w:rPr>
            </w:pPr>
            <w:r>
              <w:rPr>
                <w:sz w:val="16"/>
                <w:szCs w:val="16"/>
              </w:rPr>
              <w:t>(219,583)</w:t>
            </w:r>
          </w:p>
        </w:tc>
        <w:tc>
          <w:tcPr>
            <w:tcW w:w="77" w:type="pct"/>
            <w:shd w:val="clear" w:color="auto" w:fill="CCEEFF"/>
            <w:noWrap/>
            <w:tcMar>
              <w:top w:w="0" w:type="dxa"/>
              <w:left w:w="0" w:type="dxa"/>
              <w:bottom w:w="0" w:type="dxa"/>
              <w:right w:w="0" w:type="dxa"/>
            </w:tcMar>
            <w:vAlign w:val="bottom"/>
            <w:hideMark/>
          </w:tcPr>
          <w:p w14:paraId="1E41AF76" w14:textId="77777777" w:rsidR="00000000" w:rsidRDefault="001F1B20">
            <w:pPr>
              <w:pStyle w:val="a3"/>
              <w:spacing w:before="0" w:beforeAutospacing="0" w:after="0" w:afterAutospacing="0"/>
              <w:rPr>
                <w:sz w:val="20"/>
                <w:szCs w:val="20"/>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14:paraId="58F5011B" w14:textId="77777777" w:rsidR="00000000" w:rsidRDefault="001F1B20">
            <w:pPr>
              <w:pStyle w:val="a3"/>
              <w:spacing w:before="0" w:beforeAutospacing="0" w:after="0" w:afterAutospacing="0"/>
              <w:rPr>
                <w:sz w:val="20"/>
                <w:szCs w:val="20"/>
              </w:rPr>
            </w:pPr>
            <w:r>
              <w:rPr>
                <w:sz w:val="16"/>
                <w:szCs w:val="16"/>
              </w:rPr>
              <w:t>​</w:t>
            </w:r>
          </w:p>
        </w:tc>
        <w:tc>
          <w:tcPr>
            <w:tcW w:w="375" w:type="pct"/>
            <w:tcBorders>
              <w:bottom w:val="single" w:sz="6" w:space="0" w:color="000000"/>
            </w:tcBorders>
            <w:shd w:val="clear" w:color="auto" w:fill="CCEEFF"/>
            <w:tcMar>
              <w:top w:w="0" w:type="dxa"/>
              <w:left w:w="0" w:type="dxa"/>
              <w:bottom w:w="0" w:type="dxa"/>
              <w:right w:w="0" w:type="dxa"/>
            </w:tcMar>
            <w:vAlign w:val="bottom"/>
            <w:hideMark/>
          </w:tcPr>
          <w:p w14:paraId="4A384E56" w14:textId="77777777" w:rsidR="00000000" w:rsidRDefault="001F1B20">
            <w:pPr>
              <w:pStyle w:val="a3"/>
              <w:spacing w:before="0" w:beforeAutospacing="0" w:after="0" w:afterAutospacing="0"/>
              <w:jc w:val="right"/>
              <w:rPr>
                <w:sz w:val="16"/>
                <w:szCs w:val="16"/>
              </w:rPr>
            </w:pPr>
            <w:r>
              <w:rPr>
                <w:sz w:val="16"/>
                <w:szCs w:val="16"/>
              </w:rPr>
              <w:t>(219,583)</w:t>
            </w:r>
          </w:p>
        </w:tc>
      </w:tr>
      <w:tr w:rsidR="00000000" w14:paraId="17A67B65" w14:textId="77777777">
        <w:trPr>
          <w:divId w:val="1901865854"/>
        </w:trPr>
        <w:tc>
          <w:tcPr>
            <w:tcW w:w="1845" w:type="pct"/>
            <w:tcMar>
              <w:top w:w="0" w:type="dxa"/>
              <w:left w:w="0" w:type="dxa"/>
              <w:bottom w:w="0" w:type="dxa"/>
              <w:right w:w="0" w:type="dxa"/>
            </w:tcMar>
            <w:vAlign w:val="bottom"/>
            <w:hideMark/>
          </w:tcPr>
          <w:p w14:paraId="4FF7F627" w14:textId="77777777" w:rsidR="00000000" w:rsidRDefault="001F1B20">
            <w:pPr>
              <w:pStyle w:val="a3"/>
              <w:spacing w:before="0" w:beforeAutospacing="0" w:after="0" w:afterAutospacing="0"/>
              <w:rPr>
                <w:sz w:val="16"/>
                <w:szCs w:val="16"/>
              </w:rPr>
            </w:pPr>
            <w:r>
              <w:rPr>
                <w:sz w:val="16"/>
                <w:szCs w:val="16"/>
              </w:rPr>
              <w:t>Balances at September 30, 2020</w:t>
            </w:r>
          </w:p>
        </w:tc>
        <w:tc>
          <w:tcPr>
            <w:tcW w:w="76" w:type="pct"/>
            <w:noWrap/>
            <w:tcMar>
              <w:top w:w="0" w:type="dxa"/>
              <w:left w:w="0" w:type="dxa"/>
              <w:bottom w:w="0" w:type="dxa"/>
              <w:right w:w="0" w:type="dxa"/>
            </w:tcMar>
            <w:vAlign w:val="bottom"/>
            <w:hideMark/>
          </w:tcPr>
          <w:p w14:paraId="76AB188C" w14:textId="77777777" w:rsidR="00000000" w:rsidRDefault="001F1B20">
            <w:pPr>
              <w:pStyle w:val="a3"/>
              <w:spacing w:before="0" w:beforeAutospacing="0" w:after="0" w:afterAutospacing="0"/>
              <w:rPr>
                <w:sz w:val="20"/>
                <w:szCs w:val="20"/>
              </w:rPr>
            </w:pPr>
            <w:r>
              <w:rPr>
                <w:sz w:val="16"/>
                <w:szCs w:val="16"/>
              </w:rPr>
              <w:t>​</w:t>
            </w:r>
          </w:p>
        </w:tc>
        <w:tc>
          <w:tcPr>
            <w:tcW w:w="343" w:type="pct"/>
            <w:tcBorders>
              <w:bottom w:val="double" w:sz="6" w:space="0" w:color="000000"/>
            </w:tcBorders>
            <w:noWrap/>
            <w:tcMar>
              <w:top w:w="0" w:type="dxa"/>
              <w:left w:w="0" w:type="dxa"/>
              <w:bottom w:w="0" w:type="dxa"/>
              <w:right w:w="0" w:type="dxa"/>
            </w:tcMar>
            <w:vAlign w:val="bottom"/>
            <w:hideMark/>
          </w:tcPr>
          <w:p w14:paraId="1CD99FA8" w14:textId="77777777" w:rsidR="00000000" w:rsidRDefault="001F1B20">
            <w:pPr>
              <w:pStyle w:val="a3"/>
              <w:spacing w:before="0" w:beforeAutospacing="0" w:after="0" w:afterAutospacing="0"/>
              <w:ind w:right="60"/>
              <w:jc w:val="right"/>
              <w:rPr>
                <w:sz w:val="16"/>
                <w:szCs w:val="16"/>
              </w:rPr>
            </w:pPr>
            <w:r>
              <w:rPr>
                <w:sz w:val="16"/>
                <w:szCs w:val="16"/>
              </w:rPr>
              <w:t>63,956</w:t>
            </w:r>
          </w:p>
        </w:tc>
        <w:tc>
          <w:tcPr>
            <w:tcW w:w="76" w:type="pct"/>
            <w:noWrap/>
            <w:tcMar>
              <w:top w:w="0" w:type="dxa"/>
              <w:left w:w="0" w:type="dxa"/>
              <w:bottom w:w="0" w:type="dxa"/>
              <w:right w:w="0" w:type="dxa"/>
            </w:tcMar>
            <w:vAlign w:val="bottom"/>
            <w:hideMark/>
          </w:tcPr>
          <w:p w14:paraId="63CEBFFA" w14:textId="77777777" w:rsidR="00000000" w:rsidRDefault="001F1B20">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14:paraId="0DA7D2C2" w14:textId="77777777" w:rsidR="00000000" w:rsidRDefault="001F1B20">
            <w:pPr>
              <w:pStyle w:val="a3"/>
              <w:spacing w:before="0" w:beforeAutospacing="0" w:after="0" w:afterAutospacing="0"/>
              <w:rPr>
                <w:sz w:val="16"/>
                <w:szCs w:val="16"/>
              </w:rPr>
            </w:pPr>
            <w:r>
              <w:rPr>
                <w:sz w:val="16"/>
                <w:szCs w:val="16"/>
              </w:rPr>
              <w:t>$</w:t>
            </w:r>
          </w:p>
        </w:tc>
        <w:tc>
          <w:tcPr>
            <w:tcW w:w="343" w:type="pct"/>
            <w:tcBorders>
              <w:bottom w:val="double" w:sz="6" w:space="0" w:color="000000"/>
            </w:tcBorders>
            <w:noWrap/>
            <w:tcMar>
              <w:top w:w="0" w:type="dxa"/>
              <w:left w:w="0" w:type="dxa"/>
              <w:bottom w:w="0" w:type="dxa"/>
              <w:right w:w="0" w:type="dxa"/>
            </w:tcMar>
            <w:vAlign w:val="bottom"/>
            <w:hideMark/>
          </w:tcPr>
          <w:p w14:paraId="7A4D1665" w14:textId="77777777" w:rsidR="00000000" w:rsidRDefault="001F1B20">
            <w:pPr>
              <w:pStyle w:val="a3"/>
              <w:spacing w:before="0" w:beforeAutospacing="0" w:after="0" w:afterAutospacing="0"/>
              <w:ind w:right="60"/>
              <w:jc w:val="right"/>
              <w:rPr>
                <w:sz w:val="16"/>
                <w:szCs w:val="16"/>
              </w:rPr>
            </w:pPr>
            <w:r>
              <w:rPr>
                <w:sz w:val="16"/>
                <w:szCs w:val="16"/>
              </w:rPr>
              <w:t>1</w:t>
            </w:r>
          </w:p>
        </w:tc>
        <w:tc>
          <w:tcPr>
            <w:tcW w:w="77" w:type="pct"/>
            <w:noWrap/>
            <w:tcMar>
              <w:top w:w="0" w:type="dxa"/>
              <w:left w:w="0" w:type="dxa"/>
              <w:bottom w:w="0" w:type="dxa"/>
              <w:right w:w="0" w:type="dxa"/>
            </w:tcMar>
            <w:vAlign w:val="bottom"/>
            <w:hideMark/>
          </w:tcPr>
          <w:p w14:paraId="7A610A30" w14:textId="77777777" w:rsidR="00000000" w:rsidRDefault="001F1B20">
            <w:pPr>
              <w:pStyle w:val="a3"/>
              <w:spacing w:before="0" w:beforeAutospacing="0" w:after="0" w:afterAutospacing="0"/>
              <w:rPr>
                <w:sz w:val="20"/>
                <w:szCs w:val="20"/>
              </w:rPr>
            </w:pPr>
            <w:r>
              <w:rPr>
                <w:sz w:val="16"/>
                <w:szCs w:val="16"/>
              </w:rPr>
              <w:t>​</w:t>
            </w:r>
          </w:p>
        </w:tc>
        <w:tc>
          <w:tcPr>
            <w:tcW w:w="77" w:type="pct"/>
            <w:tcBorders>
              <w:bottom w:val="double" w:sz="6" w:space="0" w:color="000000"/>
            </w:tcBorders>
            <w:noWrap/>
            <w:tcMar>
              <w:top w:w="0" w:type="dxa"/>
              <w:left w:w="0" w:type="dxa"/>
              <w:bottom w:w="0" w:type="dxa"/>
              <w:right w:w="0" w:type="dxa"/>
            </w:tcMar>
            <w:vAlign w:val="bottom"/>
            <w:hideMark/>
          </w:tcPr>
          <w:p w14:paraId="77D0CA0C" w14:textId="77777777" w:rsidR="00000000" w:rsidRDefault="001F1B20">
            <w:pPr>
              <w:pStyle w:val="a3"/>
              <w:spacing w:before="0" w:beforeAutospacing="0" w:after="0" w:afterAutospacing="0"/>
              <w:rPr>
                <w:sz w:val="16"/>
                <w:szCs w:val="16"/>
              </w:rPr>
            </w:pPr>
            <w:r>
              <w:rPr>
                <w:sz w:val="16"/>
                <w:szCs w:val="16"/>
              </w:rPr>
              <w:t>$</w:t>
            </w:r>
          </w:p>
        </w:tc>
        <w:tc>
          <w:tcPr>
            <w:tcW w:w="367" w:type="pct"/>
            <w:tcBorders>
              <w:bottom w:val="double" w:sz="6" w:space="0" w:color="000000"/>
            </w:tcBorders>
            <w:noWrap/>
            <w:tcMar>
              <w:top w:w="0" w:type="dxa"/>
              <w:left w:w="0" w:type="dxa"/>
              <w:bottom w:w="0" w:type="dxa"/>
              <w:right w:w="0" w:type="dxa"/>
            </w:tcMar>
            <w:vAlign w:val="bottom"/>
            <w:hideMark/>
          </w:tcPr>
          <w:p w14:paraId="1FE41CE2" w14:textId="77777777" w:rsidR="00000000" w:rsidRDefault="001F1B20">
            <w:pPr>
              <w:pStyle w:val="a3"/>
              <w:spacing w:before="0" w:beforeAutospacing="0" w:after="0" w:afterAutospacing="0"/>
              <w:ind w:right="60"/>
              <w:jc w:val="right"/>
              <w:rPr>
                <w:sz w:val="16"/>
                <w:szCs w:val="16"/>
              </w:rPr>
            </w:pPr>
            <w:r>
              <w:rPr>
                <w:sz w:val="16"/>
                <w:szCs w:val="16"/>
              </w:rPr>
              <w:t>1,206,524</w:t>
            </w:r>
          </w:p>
        </w:tc>
        <w:tc>
          <w:tcPr>
            <w:tcW w:w="77" w:type="pct"/>
            <w:noWrap/>
            <w:tcMar>
              <w:top w:w="0" w:type="dxa"/>
              <w:left w:w="0" w:type="dxa"/>
              <w:bottom w:w="0" w:type="dxa"/>
              <w:right w:w="0" w:type="dxa"/>
            </w:tcMar>
            <w:vAlign w:val="bottom"/>
            <w:hideMark/>
          </w:tcPr>
          <w:p w14:paraId="0D34BA95" w14:textId="77777777" w:rsidR="00000000" w:rsidRDefault="001F1B20">
            <w:pPr>
              <w:pStyle w:val="a3"/>
              <w:spacing w:before="0" w:beforeAutospacing="0" w:after="0" w:afterAutospacing="0"/>
              <w:rPr>
                <w:sz w:val="20"/>
                <w:szCs w:val="20"/>
              </w:rPr>
            </w:pPr>
            <w:r>
              <w:rPr>
                <w:sz w:val="16"/>
                <w:szCs w:val="16"/>
              </w:rPr>
              <w:t>​</w:t>
            </w:r>
          </w:p>
        </w:tc>
        <w:tc>
          <w:tcPr>
            <w:tcW w:w="107" w:type="pct"/>
            <w:tcBorders>
              <w:bottom w:val="double" w:sz="6" w:space="0" w:color="000000"/>
            </w:tcBorders>
            <w:noWrap/>
            <w:tcMar>
              <w:top w:w="0" w:type="dxa"/>
              <w:left w:w="0" w:type="dxa"/>
              <w:bottom w:w="0" w:type="dxa"/>
              <w:right w:w="0" w:type="dxa"/>
            </w:tcMar>
            <w:vAlign w:val="bottom"/>
            <w:hideMark/>
          </w:tcPr>
          <w:p w14:paraId="3AE6AD9C" w14:textId="77777777" w:rsidR="00000000" w:rsidRDefault="001F1B20">
            <w:pPr>
              <w:pStyle w:val="a3"/>
              <w:spacing w:before="0" w:beforeAutospacing="0" w:after="0" w:afterAutospacing="0"/>
              <w:rPr>
                <w:sz w:val="16"/>
                <w:szCs w:val="16"/>
              </w:rPr>
            </w:pPr>
            <w:r>
              <w:rPr>
                <w:sz w:val="16"/>
                <w:szCs w:val="16"/>
              </w:rPr>
              <w:t>$</w:t>
            </w:r>
          </w:p>
        </w:tc>
        <w:tc>
          <w:tcPr>
            <w:tcW w:w="421" w:type="pct"/>
            <w:tcBorders>
              <w:bottom w:val="double" w:sz="6" w:space="0" w:color="000000"/>
            </w:tcBorders>
            <w:noWrap/>
            <w:tcMar>
              <w:top w:w="0" w:type="dxa"/>
              <w:left w:w="0" w:type="dxa"/>
              <w:bottom w:w="0" w:type="dxa"/>
              <w:right w:w="0" w:type="dxa"/>
            </w:tcMar>
            <w:vAlign w:val="bottom"/>
            <w:hideMark/>
          </w:tcPr>
          <w:p w14:paraId="3E9F1E73" w14:textId="77777777" w:rsidR="00000000" w:rsidRDefault="001F1B20">
            <w:pPr>
              <w:pStyle w:val="a3"/>
              <w:spacing w:before="0" w:beforeAutospacing="0" w:after="0" w:afterAutospacing="0"/>
              <w:ind w:right="60"/>
              <w:jc w:val="right"/>
              <w:rPr>
                <w:sz w:val="16"/>
                <w:szCs w:val="16"/>
              </w:rPr>
            </w:pPr>
            <w:r>
              <w:rPr>
                <w:sz w:val="16"/>
                <w:szCs w:val="16"/>
              </w:rPr>
              <w:t>122</w:t>
            </w:r>
          </w:p>
        </w:tc>
        <w:tc>
          <w:tcPr>
            <w:tcW w:w="77" w:type="pct"/>
            <w:noWrap/>
            <w:tcMar>
              <w:top w:w="0" w:type="dxa"/>
              <w:left w:w="0" w:type="dxa"/>
              <w:bottom w:w="0" w:type="dxa"/>
              <w:right w:w="0" w:type="dxa"/>
            </w:tcMar>
            <w:vAlign w:val="bottom"/>
            <w:hideMark/>
          </w:tcPr>
          <w:p w14:paraId="79600760" w14:textId="77777777" w:rsidR="00000000" w:rsidRDefault="001F1B20">
            <w:pPr>
              <w:pStyle w:val="a3"/>
              <w:spacing w:before="0" w:beforeAutospacing="0" w:after="0" w:afterAutospacing="0"/>
              <w:rPr>
                <w:sz w:val="20"/>
                <w:szCs w:val="20"/>
              </w:rPr>
            </w:pPr>
            <w:r>
              <w:rPr>
                <w:sz w:val="16"/>
                <w:szCs w:val="16"/>
              </w:rPr>
              <w:t>​</w:t>
            </w:r>
          </w:p>
        </w:tc>
        <w:tc>
          <w:tcPr>
            <w:tcW w:w="91" w:type="pct"/>
            <w:tcBorders>
              <w:bottom w:val="double" w:sz="6" w:space="0" w:color="000000"/>
            </w:tcBorders>
            <w:noWrap/>
            <w:tcMar>
              <w:top w:w="0" w:type="dxa"/>
              <w:left w:w="0" w:type="dxa"/>
              <w:bottom w:w="0" w:type="dxa"/>
              <w:right w:w="0" w:type="dxa"/>
            </w:tcMar>
            <w:vAlign w:val="bottom"/>
            <w:hideMark/>
          </w:tcPr>
          <w:p w14:paraId="7407F9C3" w14:textId="77777777" w:rsidR="00000000" w:rsidRDefault="001F1B20">
            <w:pPr>
              <w:pStyle w:val="a3"/>
              <w:spacing w:before="0" w:beforeAutospacing="0" w:after="0" w:afterAutospacing="0"/>
              <w:rPr>
                <w:sz w:val="16"/>
                <w:szCs w:val="16"/>
              </w:rPr>
            </w:pPr>
            <w:r>
              <w:rPr>
                <w:sz w:val="16"/>
                <w:szCs w:val="16"/>
              </w:rPr>
              <w:t>$</w:t>
            </w:r>
          </w:p>
        </w:tc>
        <w:tc>
          <w:tcPr>
            <w:tcW w:w="390" w:type="pct"/>
            <w:tcBorders>
              <w:bottom w:val="double" w:sz="6" w:space="0" w:color="000000"/>
            </w:tcBorders>
            <w:noWrap/>
            <w:tcMar>
              <w:top w:w="0" w:type="dxa"/>
              <w:left w:w="0" w:type="dxa"/>
              <w:bottom w:w="0" w:type="dxa"/>
              <w:right w:w="0" w:type="dxa"/>
            </w:tcMar>
            <w:vAlign w:val="bottom"/>
            <w:hideMark/>
          </w:tcPr>
          <w:p w14:paraId="7105B2D6" w14:textId="77777777" w:rsidR="00000000" w:rsidRDefault="001F1B20">
            <w:pPr>
              <w:pStyle w:val="a3"/>
              <w:spacing w:before="0" w:beforeAutospacing="0" w:after="0" w:afterAutospacing="0"/>
              <w:jc w:val="right"/>
              <w:rPr>
                <w:sz w:val="16"/>
                <w:szCs w:val="16"/>
              </w:rPr>
            </w:pPr>
            <w:r>
              <w:rPr>
                <w:sz w:val="16"/>
                <w:szCs w:val="16"/>
              </w:rPr>
              <w:t>(1,468,183)</w:t>
            </w:r>
          </w:p>
        </w:tc>
        <w:tc>
          <w:tcPr>
            <w:tcW w:w="77" w:type="pct"/>
            <w:noWrap/>
            <w:tcMar>
              <w:top w:w="0" w:type="dxa"/>
              <w:left w:w="0" w:type="dxa"/>
              <w:bottom w:w="0" w:type="dxa"/>
              <w:right w:w="0" w:type="dxa"/>
            </w:tcMar>
            <w:vAlign w:val="bottom"/>
            <w:hideMark/>
          </w:tcPr>
          <w:p w14:paraId="02AAA578" w14:textId="77777777" w:rsidR="00000000" w:rsidRDefault="001F1B20">
            <w:pPr>
              <w:pStyle w:val="a3"/>
              <w:spacing w:before="0" w:beforeAutospacing="0" w:after="0" w:afterAutospacing="0"/>
              <w:rPr>
                <w:sz w:val="20"/>
                <w:szCs w:val="20"/>
              </w:rPr>
            </w:pPr>
            <w:r>
              <w:rPr>
                <w:sz w:val="16"/>
                <w:szCs w:val="16"/>
              </w:rPr>
              <w:t>​</w:t>
            </w:r>
          </w:p>
        </w:tc>
        <w:tc>
          <w:tcPr>
            <w:tcW w:w="96" w:type="pct"/>
            <w:tcBorders>
              <w:bottom w:val="double" w:sz="6" w:space="0" w:color="000000"/>
            </w:tcBorders>
            <w:noWrap/>
            <w:tcMar>
              <w:top w:w="0" w:type="dxa"/>
              <w:left w:w="0" w:type="dxa"/>
              <w:bottom w:w="0" w:type="dxa"/>
              <w:right w:w="0" w:type="dxa"/>
            </w:tcMar>
            <w:vAlign w:val="bottom"/>
            <w:hideMark/>
          </w:tcPr>
          <w:p w14:paraId="679AAB75" w14:textId="77777777" w:rsidR="00000000" w:rsidRDefault="001F1B20">
            <w:pPr>
              <w:pStyle w:val="a3"/>
              <w:spacing w:before="0" w:beforeAutospacing="0" w:after="0" w:afterAutospacing="0"/>
              <w:rPr>
                <w:sz w:val="16"/>
                <w:szCs w:val="16"/>
              </w:rPr>
            </w:pPr>
            <w:r>
              <w:rPr>
                <w:sz w:val="16"/>
                <w:szCs w:val="16"/>
              </w:rPr>
              <w:t>$</w:t>
            </w:r>
          </w:p>
        </w:tc>
        <w:tc>
          <w:tcPr>
            <w:tcW w:w="375" w:type="pct"/>
            <w:tcBorders>
              <w:bottom w:val="double" w:sz="6" w:space="0" w:color="000000"/>
            </w:tcBorders>
            <w:noWrap/>
            <w:tcMar>
              <w:top w:w="0" w:type="dxa"/>
              <w:left w:w="0" w:type="dxa"/>
              <w:bottom w:w="0" w:type="dxa"/>
              <w:right w:w="0" w:type="dxa"/>
            </w:tcMar>
            <w:vAlign w:val="bottom"/>
            <w:hideMark/>
          </w:tcPr>
          <w:p w14:paraId="33B0908F" w14:textId="77777777" w:rsidR="00000000" w:rsidRDefault="001F1B20">
            <w:pPr>
              <w:pStyle w:val="a3"/>
              <w:spacing w:before="0" w:beforeAutospacing="0" w:after="0" w:afterAutospacing="0"/>
              <w:jc w:val="right"/>
              <w:rPr>
                <w:sz w:val="16"/>
                <w:szCs w:val="16"/>
              </w:rPr>
            </w:pPr>
            <w:r>
              <w:rPr>
                <w:sz w:val="16"/>
                <w:szCs w:val="16"/>
              </w:rPr>
              <w:t>(261,536)</w:t>
            </w:r>
          </w:p>
        </w:tc>
      </w:tr>
    </w:tbl>
    <w:p w14:paraId="68D88311" w14:textId="77777777" w:rsidR="00000000" w:rsidRDefault="001F1B20">
      <w:pPr>
        <w:pStyle w:val="a3"/>
        <w:spacing w:before="60" w:beforeAutospacing="0" w:after="0" w:afterAutospacing="0"/>
        <w:ind w:firstLine="720"/>
        <w:jc w:val="center"/>
        <w:divId w:val="1901865854"/>
        <w:rPr>
          <w:sz w:val="20"/>
          <w:szCs w:val="20"/>
        </w:rPr>
      </w:pPr>
      <w:r>
        <w:rPr>
          <w:i/>
          <w:iCs/>
          <w:sz w:val="20"/>
          <w:szCs w:val="20"/>
        </w:rPr>
        <w:t>​</w:t>
      </w:r>
    </w:p>
    <w:p w14:paraId="552917EA" w14:textId="77777777" w:rsidR="00000000" w:rsidRDefault="001F1B20">
      <w:pPr>
        <w:pStyle w:val="a3"/>
        <w:spacing w:before="60" w:beforeAutospacing="0" w:after="0" w:afterAutospacing="0"/>
        <w:ind w:firstLine="720"/>
        <w:jc w:val="center"/>
        <w:divId w:val="1901865854"/>
        <w:rPr>
          <w:sz w:val="20"/>
          <w:szCs w:val="20"/>
        </w:rPr>
      </w:pPr>
      <w:r>
        <w:rPr>
          <w:i/>
          <w:iCs/>
          <w:sz w:val="20"/>
          <w:szCs w:val="20"/>
        </w:rPr>
        <w:t>See accompanying notes to condensed consolidated financial statements.</w:t>
      </w:r>
    </w:p>
    <w:p w14:paraId="248745B3" w14:textId="77777777" w:rsidR="00000000" w:rsidRDefault="001F1B20">
      <w:pPr>
        <w:pStyle w:val="a3"/>
        <w:spacing w:before="360" w:beforeAutospacing="0" w:after="0" w:afterAutospacing="0"/>
        <w:jc w:val="center"/>
        <w:divId w:val="162862749"/>
        <w:rPr>
          <w:sz w:val="20"/>
          <w:szCs w:val="20"/>
        </w:rPr>
      </w:pPr>
      <w:r>
        <w:rPr>
          <w:sz w:val="20"/>
          <w:szCs w:val="20"/>
        </w:rPr>
        <w:t>5</w:t>
      </w:r>
    </w:p>
    <w:p w14:paraId="7489A7C2" w14:textId="77777777" w:rsidR="00000000" w:rsidRDefault="001F1B20">
      <w:pPr>
        <w:pStyle w:val="a3"/>
        <w:spacing w:before="0" w:beforeAutospacing="0" w:after="600" w:afterAutospacing="0"/>
        <w:divId w:val="913854109"/>
        <w:rPr>
          <w:sz w:val="20"/>
          <w:szCs w:val="20"/>
        </w:rPr>
      </w:pPr>
      <w:hyperlink w:anchor="TOC" w:history="1">
        <w:r>
          <w:rPr>
            <w:rStyle w:val="a4"/>
            <w:sz w:val="20"/>
            <w:szCs w:val="20"/>
          </w:rPr>
          <w:t>Table of Contents</w:t>
        </w:r>
      </w:hyperlink>
    </w:p>
    <w:p w14:paraId="5FF5C578" w14:textId="77777777" w:rsidR="00000000" w:rsidRDefault="001F1B20">
      <w:pPr>
        <w:pStyle w:val="a3"/>
        <w:spacing w:before="0" w:beforeAutospacing="0" w:after="0" w:afterAutospacing="0"/>
        <w:jc w:val="center"/>
        <w:divId w:val="1392729739"/>
        <w:rPr>
          <w:sz w:val="20"/>
          <w:szCs w:val="20"/>
        </w:rPr>
      </w:pPr>
      <w:r>
        <w:rPr>
          <w:b/>
          <w:bCs/>
          <w:sz w:val="20"/>
          <w:szCs w:val="20"/>
        </w:rPr>
        <w:t>THERAVANCE BIOPHARMA, INC.</w:t>
      </w:r>
    </w:p>
    <w:p w14:paraId="72A58081" w14:textId="77777777" w:rsidR="00000000" w:rsidRDefault="001F1B20">
      <w:pPr>
        <w:pStyle w:val="a3"/>
        <w:spacing w:before="0" w:beforeAutospacing="0" w:after="0" w:afterAutospacing="0"/>
        <w:jc w:val="center"/>
        <w:divId w:val="1392729739"/>
        <w:rPr>
          <w:sz w:val="20"/>
          <w:szCs w:val="20"/>
        </w:rPr>
      </w:pPr>
      <w:r>
        <w:rPr>
          <w:b/>
          <w:bCs/>
          <w:sz w:val="20"/>
          <w:szCs w:val="20"/>
        </w:rPr>
        <w:t>CONDENSED CONSOLIDATED STATEMENTS OF CASH FLOWS</w:t>
      </w:r>
    </w:p>
    <w:p w14:paraId="523FD4FD" w14:textId="77777777" w:rsidR="00000000" w:rsidRDefault="001F1B20">
      <w:pPr>
        <w:pStyle w:val="a3"/>
        <w:spacing w:before="0" w:beforeAutospacing="0" w:after="0" w:afterAutospacing="0"/>
        <w:jc w:val="center"/>
        <w:divId w:val="1392729739"/>
        <w:rPr>
          <w:sz w:val="20"/>
          <w:szCs w:val="20"/>
        </w:rPr>
      </w:pPr>
      <w:r>
        <w:rPr>
          <w:b/>
          <w:bCs/>
          <w:sz w:val="20"/>
          <w:szCs w:val="20"/>
        </w:rPr>
        <w:t>(Unaudited)</w:t>
      </w:r>
    </w:p>
    <w:p w14:paraId="75DADF20" w14:textId="77777777" w:rsidR="00000000" w:rsidRDefault="001F1B20">
      <w:pPr>
        <w:pStyle w:val="a3"/>
        <w:spacing w:before="0" w:beforeAutospacing="0" w:after="0" w:afterAutospacing="0"/>
        <w:jc w:val="center"/>
        <w:divId w:val="1392729739"/>
        <w:rPr>
          <w:sz w:val="20"/>
          <w:szCs w:val="20"/>
        </w:rPr>
      </w:pPr>
      <w:r>
        <w:rPr>
          <w:b/>
          <w:bCs/>
          <w:sz w:val="20"/>
          <w:szCs w:val="20"/>
        </w:rPr>
        <w:t>(In thousands)</w:t>
      </w:r>
    </w:p>
    <w:p w14:paraId="68AEBA12" w14:textId="77777777" w:rsidR="00000000" w:rsidRDefault="001F1B20">
      <w:pPr>
        <w:pStyle w:val="a3"/>
        <w:spacing w:before="0" w:beforeAutospacing="0" w:after="0" w:afterAutospacing="0"/>
        <w:divId w:val="1392729739"/>
        <w:rPr>
          <w:sz w:val="20"/>
          <w:szCs w:val="20"/>
        </w:rPr>
      </w:pPr>
      <w:r>
        <w:rPr>
          <w:sz w:val="16"/>
          <w:szCs w:val="16"/>
        </w:rPr>
        <w:t>​</w:t>
      </w:r>
    </w:p>
    <w:tbl>
      <w:tblPr>
        <w:tblW w:w="5000" w:type="pct"/>
        <w:tblCellMar>
          <w:top w:w="15" w:type="dxa"/>
          <w:left w:w="0" w:type="dxa"/>
          <w:bottom w:w="15" w:type="dxa"/>
          <w:right w:w="0" w:type="dxa"/>
        </w:tblCellMar>
        <w:tblLook w:val="04A0" w:firstRow="1" w:lastRow="0" w:firstColumn="1" w:lastColumn="0" w:noHBand="0" w:noVBand="1"/>
      </w:tblPr>
      <w:tblGrid>
        <w:gridCol w:w="5920"/>
        <w:gridCol w:w="211"/>
        <w:gridCol w:w="143"/>
        <w:gridCol w:w="837"/>
        <w:gridCol w:w="211"/>
        <w:gridCol w:w="143"/>
        <w:gridCol w:w="841"/>
      </w:tblGrid>
      <w:tr w:rsidR="00000000" w14:paraId="7E12D57D" w14:textId="77777777">
        <w:trPr>
          <w:divId w:val="1392729739"/>
          <w:trHeight w:val="20"/>
        </w:trPr>
        <w:tc>
          <w:tcPr>
            <w:tcW w:w="3562" w:type="pct"/>
            <w:tcMar>
              <w:top w:w="0" w:type="dxa"/>
              <w:left w:w="0" w:type="dxa"/>
              <w:bottom w:w="0" w:type="dxa"/>
              <w:right w:w="0" w:type="dxa"/>
            </w:tcMar>
            <w:hideMark/>
          </w:tcPr>
          <w:p w14:paraId="122530AA" w14:textId="77777777" w:rsidR="00000000" w:rsidRDefault="001F1B20">
            <w:pPr>
              <w:pStyle w:val="a3"/>
              <w:spacing w:before="0" w:beforeAutospacing="0" w:after="0" w:afterAutospacing="0"/>
              <w:divId w:val="2038432246"/>
              <w:rPr>
                <w:sz w:val="20"/>
                <w:szCs w:val="20"/>
              </w:rPr>
            </w:pPr>
            <w:r>
              <w:rPr>
                <w:sz w:val="2"/>
                <w:szCs w:val="2"/>
              </w:rPr>
              <w:t>​</w:t>
            </w:r>
          </w:p>
        </w:tc>
        <w:tc>
          <w:tcPr>
            <w:tcW w:w="127" w:type="pct"/>
            <w:noWrap/>
            <w:tcMar>
              <w:top w:w="0" w:type="dxa"/>
              <w:left w:w="0" w:type="dxa"/>
              <w:bottom w:w="0" w:type="dxa"/>
              <w:right w:w="0" w:type="dxa"/>
            </w:tcMar>
            <w:vAlign w:val="bottom"/>
            <w:hideMark/>
          </w:tcPr>
          <w:p w14:paraId="37C8A15B" w14:textId="77777777" w:rsidR="00000000" w:rsidRDefault="001F1B20">
            <w:pPr>
              <w:pStyle w:val="a3"/>
              <w:spacing w:before="0" w:beforeAutospacing="0" w:after="0" w:afterAutospacing="0"/>
              <w:divId w:val="156508052"/>
              <w:rPr>
                <w:sz w:val="20"/>
                <w:szCs w:val="20"/>
              </w:rPr>
            </w:pPr>
            <w:r>
              <w:rPr>
                <w:sz w:val="2"/>
                <w:szCs w:val="2"/>
              </w:rPr>
              <w:t>​</w:t>
            </w:r>
          </w:p>
        </w:tc>
        <w:tc>
          <w:tcPr>
            <w:tcW w:w="86" w:type="pct"/>
            <w:noWrap/>
            <w:tcMar>
              <w:top w:w="0" w:type="dxa"/>
              <w:left w:w="0" w:type="dxa"/>
              <w:bottom w:w="0" w:type="dxa"/>
              <w:right w:w="0" w:type="dxa"/>
            </w:tcMar>
            <w:vAlign w:val="bottom"/>
            <w:hideMark/>
          </w:tcPr>
          <w:p w14:paraId="26E2F15C" w14:textId="77777777" w:rsidR="00000000" w:rsidRDefault="001F1B20">
            <w:pPr>
              <w:pStyle w:val="a3"/>
              <w:spacing w:before="0" w:beforeAutospacing="0" w:after="0" w:afterAutospacing="0"/>
              <w:divId w:val="1974408603"/>
              <w:rPr>
                <w:sz w:val="20"/>
                <w:szCs w:val="20"/>
              </w:rPr>
            </w:pPr>
            <w:r>
              <w:rPr>
                <w:sz w:val="2"/>
                <w:szCs w:val="2"/>
              </w:rPr>
              <w:t>​</w:t>
            </w:r>
          </w:p>
        </w:tc>
        <w:tc>
          <w:tcPr>
            <w:tcW w:w="503" w:type="pct"/>
            <w:noWrap/>
            <w:tcMar>
              <w:top w:w="0" w:type="dxa"/>
              <w:left w:w="0" w:type="dxa"/>
              <w:bottom w:w="0" w:type="dxa"/>
              <w:right w:w="0" w:type="dxa"/>
            </w:tcMar>
            <w:vAlign w:val="bottom"/>
            <w:hideMark/>
          </w:tcPr>
          <w:p w14:paraId="6B520CF8" w14:textId="77777777" w:rsidR="00000000" w:rsidRDefault="001F1B20">
            <w:pPr>
              <w:pStyle w:val="a3"/>
              <w:spacing w:before="0" w:beforeAutospacing="0" w:after="0" w:afterAutospacing="0"/>
              <w:divId w:val="449981494"/>
              <w:rPr>
                <w:sz w:val="20"/>
                <w:szCs w:val="20"/>
              </w:rPr>
            </w:pPr>
            <w:r>
              <w:rPr>
                <w:sz w:val="2"/>
                <w:szCs w:val="2"/>
              </w:rPr>
              <w:t>​</w:t>
            </w:r>
          </w:p>
        </w:tc>
        <w:tc>
          <w:tcPr>
            <w:tcW w:w="127" w:type="pct"/>
            <w:noWrap/>
            <w:tcMar>
              <w:top w:w="0" w:type="dxa"/>
              <w:left w:w="0" w:type="dxa"/>
              <w:bottom w:w="0" w:type="dxa"/>
              <w:right w:w="0" w:type="dxa"/>
            </w:tcMar>
            <w:vAlign w:val="bottom"/>
            <w:hideMark/>
          </w:tcPr>
          <w:p w14:paraId="45C868ED" w14:textId="77777777" w:rsidR="00000000" w:rsidRDefault="001F1B20">
            <w:pPr>
              <w:pStyle w:val="a3"/>
              <w:spacing w:before="0" w:beforeAutospacing="0" w:after="0" w:afterAutospacing="0"/>
              <w:divId w:val="710424875"/>
              <w:rPr>
                <w:sz w:val="20"/>
                <w:szCs w:val="20"/>
              </w:rPr>
            </w:pPr>
            <w:r>
              <w:rPr>
                <w:sz w:val="2"/>
                <w:szCs w:val="2"/>
              </w:rPr>
              <w:t>​</w:t>
            </w:r>
          </w:p>
        </w:tc>
        <w:tc>
          <w:tcPr>
            <w:tcW w:w="86" w:type="pct"/>
            <w:noWrap/>
            <w:tcMar>
              <w:top w:w="0" w:type="dxa"/>
              <w:left w:w="0" w:type="dxa"/>
              <w:bottom w:w="0" w:type="dxa"/>
              <w:right w:w="0" w:type="dxa"/>
            </w:tcMar>
            <w:vAlign w:val="bottom"/>
            <w:hideMark/>
          </w:tcPr>
          <w:p w14:paraId="346E160E" w14:textId="77777777" w:rsidR="00000000" w:rsidRDefault="001F1B20">
            <w:pPr>
              <w:pStyle w:val="a3"/>
              <w:spacing w:before="0" w:beforeAutospacing="0" w:after="0" w:afterAutospacing="0"/>
              <w:divId w:val="1522552374"/>
              <w:rPr>
                <w:sz w:val="20"/>
                <w:szCs w:val="20"/>
              </w:rPr>
            </w:pPr>
            <w:r>
              <w:rPr>
                <w:sz w:val="2"/>
                <w:szCs w:val="2"/>
              </w:rPr>
              <w:t>​</w:t>
            </w:r>
          </w:p>
        </w:tc>
        <w:tc>
          <w:tcPr>
            <w:tcW w:w="503" w:type="pct"/>
            <w:noWrap/>
            <w:tcMar>
              <w:top w:w="0" w:type="dxa"/>
              <w:left w:w="0" w:type="dxa"/>
              <w:bottom w:w="0" w:type="dxa"/>
              <w:right w:w="0" w:type="dxa"/>
            </w:tcMar>
            <w:vAlign w:val="bottom"/>
            <w:hideMark/>
          </w:tcPr>
          <w:p w14:paraId="7E50D546" w14:textId="77777777" w:rsidR="00000000" w:rsidRDefault="001F1B20">
            <w:pPr>
              <w:pStyle w:val="a3"/>
              <w:spacing w:before="0" w:beforeAutospacing="0" w:after="0" w:afterAutospacing="0"/>
              <w:divId w:val="1673727650"/>
              <w:rPr>
                <w:sz w:val="20"/>
                <w:szCs w:val="20"/>
              </w:rPr>
            </w:pPr>
            <w:r>
              <w:rPr>
                <w:sz w:val="2"/>
                <w:szCs w:val="2"/>
              </w:rPr>
              <w:t>​</w:t>
            </w:r>
          </w:p>
        </w:tc>
      </w:tr>
      <w:tr w:rsidR="00000000" w14:paraId="437B5608" w14:textId="77777777">
        <w:trPr>
          <w:divId w:val="1392729739"/>
        </w:trPr>
        <w:tc>
          <w:tcPr>
            <w:tcW w:w="3562" w:type="pct"/>
            <w:noWrap/>
            <w:tcMar>
              <w:top w:w="0" w:type="dxa"/>
              <w:left w:w="0" w:type="dxa"/>
              <w:bottom w:w="0" w:type="dxa"/>
              <w:right w:w="0" w:type="dxa"/>
            </w:tcMar>
            <w:vAlign w:val="bottom"/>
            <w:hideMark/>
          </w:tcPr>
          <w:p w14:paraId="33950E61" w14:textId="77777777" w:rsidR="00000000" w:rsidRDefault="001F1B20">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14:paraId="78555D5A" w14:textId="77777777" w:rsidR="00000000" w:rsidRDefault="001F1B20">
            <w:pPr>
              <w:pStyle w:val="a3"/>
              <w:spacing w:before="0" w:beforeAutospacing="0" w:after="0" w:afterAutospacing="0"/>
              <w:rPr>
                <w:sz w:val="20"/>
                <w:szCs w:val="20"/>
              </w:rPr>
            </w:pPr>
            <w:r>
              <w:rPr>
                <w:b/>
                <w:bCs/>
                <w:sz w:val="15"/>
                <w:szCs w:val="15"/>
              </w:rPr>
              <w:t>​</w:t>
            </w:r>
          </w:p>
        </w:tc>
        <w:tc>
          <w:tcPr>
            <w:tcW w:w="1309" w:type="pct"/>
            <w:gridSpan w:val="5"/>
            <w:noWrap/>
            <w:tcMar>
              <w:top w:w="0" w:type="dxa"/>
              <w:left w:w="0" w:type="dxa"/>
              <w:bottom w:w="0" w:type="dxa"/>
              <w:right w:w="0" w:type="dxa"/>
            </w:tcMar>
            <w:vAlign w:val="bottom"/>
            <w:hideMark/>
          </w:tcPr>
          <w:p w14:paraId="7DEB35C9" w14:textId="77777777" w:rsidR="00000000" w:rsidRDefault="001F1B20">
            <w:pPr>
              <w:pStyle w:val="a3"/>
              <w:spacing w:before="0" w:beforeAutospacing="0" w:after="0" w:afterAutospacing="0"/>
              <w:jc w:val="center"/>
              <w:rPr>
                <w:sz w:val="14"/>
                <w:szCs w:val="14"/>
              </w:rPr>
            </w:pPr>
            <w:r>
              <w:rPr>
                <w:b/>
                <w:bCs/>
                <w:sz w:val="15"/>
                <w:szCs w:val="15"/>
              </w:rPr>
              <w:t xml:space="preserve">Nine Months Ended </w:t>
            </w:r>
          </w:p>
        </w:tc>
      </w:tr>
      <w:tr w:rsidR="00000000" w14:paraId="554471FE" w14:textId="77777777">
        <w:trPr>
          <w:divId w:val="1392729739"/>
        </w:trPr>
        <w:tc>
          <w:tcPr>
            <w:tcW w:w="3562" w:type="pct"/>
            <w:noWrap/>
            <w:tcMar>
              <w:top w:w="0" w:type="dxa"/>
              <w:left w:w="0" w:type="dxa"/>
              <w:bottom w:w="0" w:type="dxa"/>
              <w:right w:w="0" w:type="dxa"/>
            </w:tcMar>
            <w:vAlign w:val="bottom"/>
            <w:hideMark/>
          </w:tcPr>
          <w:p w14:paraId="6DA04E0A" w14:textId="77777777" w:rsidR="00000000" w:rsidRDefault="001F1B20">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14:paraId="39DECD5E" w14:textId="77777777" w:rsidR="00000000" w:rsidRDefault="001F1B20">
            <w:pPr>
              <w:pStyle w:val="a3"/>
              <w:spacing w:before="0" w:beforeAutospacing="0" w:after="0" w:afterAutospacing="0"/>
              <w:rPr>
                <w:sz w:val="20"/>
                <w:szCs w:val="20"/>
              </w:rPr>
            </w:pPr>
            <w:r>
              <w:rPr>
                <w:b/>
                <w:bCs/>
                <w:sz w:val="15"/>
                <w:szCs w:val="15"/>
              </w:rPr>
              <w:t>​</w:t>
            </w:r>
          </w:p>
        </w:tc>
        <w:tc>
          <w:tcPr>
            <w:tcW w:w="1309" w:type="pct"/>
            <w:gridSpan w:val="5"/>
            <w:tcBorders>
              <w:bottom w:val="single" w:sz="6" w:space="0" w:color="000000"/>
            </w:tcBorders>
            <w:noWrap/>
            <w:tcMar>
              <w:top w:w="0" w:type="dxa"/>
              <w:left w:w="0" w:type="dxa"/>
              <w:bottom w:w="0" w:type="dxa"/>
              <w:right w:w="0" w:type="dxa"/>
            </w:tcMar>
            <w:vAlign w:val="bottom"/>
            <w:hideMark/>
          </w:tcPr>
          <w:p w14:paraId="3379732E" w14:textId="77777777" w:rsidR="00000000" w:rsidRDefault="001F1B20">
            <w:pPr>
              <w:pStyle w:val="a3"/>
              <w:spacing w:before="0" w:beforeAutospacing="0" w:after="0" w:afterAutospacing="0"/>
              <w:jc w:val="center"/>
              <w:rPr>
                <w:sz w:val="14"/>
                <w:szCs w:val="14"/>
              </w:rPr>
            </w:pPr>
            <w:r>
              <w:rPr>
                <w:b/>
                <w:bCs/>
                <w:sz w:val="15"/>
                <w:szCs w:val="15"/>
              </w:rPr>
              <w:t>September 30, </w:t>
            </w:r>
          </w:p>
        </w:tc>
      </w:tr>
      <w:tr w:rsidR="00000000" w14:paraId="6E1FBAB3" w14:textId="77777777">
        <w:trPr>
          <w:divId w:val="1392729739"/>
        </w:trPr>
        <w:tc>
          <w:tcPr>
            <w:tcW w:w="3562" w:type="pct"/>
            <w:noWrap/>
            <w:tcMar>
              <w:top w:w="0" w:type="dxa"/>
              <w:left w:w="0" w:type="dxa"/>
              <w:bottom w:w="0" w:type="dxa"/>
              <w:right w:w="0" w:type="dxa"/>
            </w:tcMar>
            <w:vAlign w:val="bottom"/>
            <w:hideMark/>
          </w:tcPr>
          <w:p w14:paraId="3DD605A6" w14:textId="77777777" w:rsidR="00000000" w:rsidRDefault="001F1B20">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14:paraId="56A38C1E" w14:textId="77777777" w:rsidR="00000000" w:rsidRDefault="001F1B20">
            <w:pPr>
              <w:pStyle w:val="a3"/>
              <w:spacing w:before="0" w:beforeAutospacing="0" w:after="0" w:afterAutospacing="0"/>
              <w:rPr>
                <w:sz w:val="14"/>
                <w:szCs w:val="14"/>
              </w:rPr>
            </w:pPr>
            <w:r>
              <w:rPr>
                <w:b/>
                <w:bCs/>
                <w:sz w:val="15"/>
                <w:szCs w:val="15"/>
              </w:rPr>
              <w:t>    </w:t>
            </w:r>
          </w:p>
        </w:tc>
        <w:tc>
          <w:tcPr>
            <w:tcW w:w="590" w:type="pct"/>
            <w:gridSpan w:val="2"/>
            <w:tcBorders>
              <w:bottom w:val="single" w:sz="6" w:space="0" w:color="000000"/>
            </w:tcBorders>
            <w:noWrap/>
            <w:tcMar>
              <w:top w:w="0" w:type="dxa"/>
              <w:left w:w="0" w:type="dxa"/>
              <w:bottom w:w="0" w:type="dxa"/>
              <w:right w:w="0" w:type="dxa"/>
            </w:tcMar>
            <w:vAlign w:val="bottom"/>
            <w:hideMark/>
          </w:tcPr>
          <w:p w14:paraId="5B433A6E" w14:textId="77777777" w:rsidR="00000000" w:rsidRDefault="001F1B20">
            <w:pPr>
              <w:pStyle w:val="a3"/>
              <w:spacing w:before="0" w:beforeAutospacing="0" w:after="0" w:afterAutospacing="0"/>
              <w:jc w:val="center"/>
              <w:rPr>
                <w:sz w:val="14"/>
                <w:szCs w:val="14"/>
              </w:rPr>
            </w:pPr>
            <w:r>
              <w:rPr>
                <w:b/>
                <w:bCs/>
                <w:sz w:val="15"/>
                <w:szCs w:val="15"/>
              </w:rPr>
              <w:t>2021</w:t>
            </w:r>
          </w:p>
        </w:tc>
        <w:tc>
          <w:tcPr>
            <w:tcW w:w="127" w:type="pct"/>
            <w:noWrap/>
            <w:tcMar>
              <w:top w:w="0" w:type="dxa"/>
              <w:left w:w="0" w:type="dxa"/>
              <w:bottom w:w="0" w:type="dxa"/>
              <w:right w:w="0" w:type="dxa"/>
            </w:tcMar>
            <w:vAlign w:val="bottom"/>
            <w:hideMark/>
          </w:tcPr>
          <w:p w14:paraId="3D257E81" w14:textId="77777777" w:rsidR="00000000" w:rsidRDefault="001F1B20">
            <w:pPr>
              <w:pStyle w:val="a3"/>
              <w:spacing w:before="0" w:beforeAutospacing="0" w:after="0" w:afterAutospacing="0"/>
              <w:rPr>
                <w:sz w:val="14"/>
                <w:szCs w:val="14"/>
              </w:rPr>
            </w:pPr>
            <w:r>
              <w:rPr>
                <w:b/>
                <w:bCs/>
                <w:sz w:val="15"/>
                <w:szCs w:val="15"/>
              </w:rPr>
              <w:t>    </w:t>
            </w:r>
          </w:p>
        </w:tc>
        <w:tc>
          <w:tcPr>
            <w:tcW w:w="590" w:type="pct"/>
            <w:gridSpan w:val="2"/>
            <w:tcBorders>
              <w:bottom w:val="single" w:sz="6" w:space="0" w:color="000000"/>
            </w:tcBorders>
            <w:noWrap/>
            <w:tcMar>
              <w:top w:w="0" w:type="dxa"/>
              <w:left w:w="0" w:type="dxa"/>
              <w:bottom w:w="0" w:type="dxa"/>
              <w:right w:w="0" w:type="dxa"/>
            </w:tcMar>
            <w:vAlign w:val="bottom"/>
            <w:hideMark/>
          </w:tcPr>
          <w:p w14:paraId="6272EDF5" w14:textId="77777777" w:rsidR="00000000" w:rsidRDefault="001F1B20">
            <w:pPr>
              <w:pStyle w:val="a3"/>
              <w:spacing w:before="0" w:beforeAutospacing="0" w:after="0" w:afterAutospacing="0"/>
              <w:jc w:val="center"/>
              <w:rPr>
                <w:sz w:val="14"/>
                <w:szCs w:val="14"/>
              </w:rPr>
            </w:pPr>
            <w:r>
              <w:rPr>
                <w:b/>
                <w:bCs/>
                <w:sz w:val="15"/>
                <w:szCs w:val="15"/>
              </w:rPr>
              <w:t>2020</w:t>
            </w:r>
          </w:p>
        </w:tc>
      </w:tr>
      <w:tr w:rsidR="00000000" w14:paraId="00186DCF" w14:textId="77777777">
        <w:trPr>
          <w:divId w:val="1392729739"/>
        </w:trPr>
        <w:tc>
          <w:tcPr>
            <w:tcW w:w="3562" w:type="pct"/>
            <w:shd w:val="clear" w:color="auto" w:fill="CCEEFF"/>
            <w:tcMar>
              <w:top w:w="0" w:type="dxa"/>
              <w:left w:w="0" w:type="dxa"/>
              <w:bottom w:w="0" w:type="dxa"/>
              <w:right w:w="0" w:type="dxa"/>
            </w:tcMar>
            <w:hideMark/>
          </w:tcPr>
          <w:p w14:paraId="524A580B" w14:textId="77777777" w:rsidR="00000000" w:rsidRDefault="001F1B20">
            <w:pPr>
              <w:pStyle w:val="a3"/>
              <w:spacing w:before="0" w:beforeAutospacing="0" w:after="0" w:afterAutospacing="0"/>
              <w:rPr>
                <w:sz w:val="14"/>
                <w:szCs w:val="14"/>
              </w:rPr>
            </w:pPr>
            <w:r>
              <w:rPr>
                <w:b/>
                <w:bCs/>
                <w:sz w:val="15"/>
                <w:szCs w:val="15"/>
              </w:rPr>
              <w:t>Operating activities</w:t>
            </w:r>
          </w:p>
        </w:tc>
        <w:tc>
          <w:tcPr>
            <w:tcW w:w="127" w:type="pct"/>
            <w:shd w:val="clear" w:color="auto" w:fill="CCEEFF"/>
            <w:noWrap/>
            <w:tcMar>
              <w:top w:w="0" w:type="dxa"/>
              <w:left w:w="0" w:type="dxa"/>
              <w:bottom w:w="0" w:type="dxa"/>
              <w:right w:w="0" w:type="dxa"/>
            </w:tcMar>
            <w:vAlign w:val="bottom"/>
            <w:hideMark/>
          </w:tcPr>
          <w:p w14:paraId="092070F2"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3C99AA50"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6E2793F4" w14:textId="77777777" w:rsidR="00000000" w:rsidRDefault="001F1B20">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7F63F01F"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37FFD876"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6D2002CD" w14:textId="77777777" w:rsidR="00000000" w:rsidRDefault="001F1B20">
            <w:pPr>
              <w:pStyle w:val="a3"/>
              <w:spacing w:before="0" w:beforeAutospacing="0" w:after="0" w:afterAutospacing="0"/>
              <w:rPr>
                <w:sz w:val="20"/>
                <w:szCs w:val="20"/>
              </w:rPr>
            </w:pPr>
            <w:r>
              <w:rPr>
                <w:sz w:val="15"/>
                <w:szCs w:val="15"/>
              </w:rPr>
              <w:t>​</w:t>
            </w:r>
          </w:p>
        </w:tc>
      </w:tr>
      <w:tr w:rsidR="00000000" w14:paraId="4E8E6D2F" w14:textId="77777777">
        <w:trPr>
          <w:divId w:val="1392729739"/>
        </w:trPr>
        <w:tc>
          <w:tcPr>
            <w:tcW w:w="3562" w:type="pct"/>
            <w:tcMar>
              <w:top w:w="0" w:type="dxa"/>
              <w:left w:w="0" w:type="dxa"/>
              <w:bottom w:w="0" w:type="dxa"/>
              <w:right w:w="0" w:type="dxa"/>
            </w:tcMar>
            <w:hideMark/>
          </w:tcPr>
          <w:p w14:paraId="44395113" w14:textId="77777777" w:rsidR="00000000" w:rsidRDefault="001F1B20">
            <w:pPr>
              <w:pStyle w:val="a3"/>
              <w:spacing w:before="0" w:beforeAutospacing="0" w:after="0" w:afterAutospacing="0"/>
              <w:rPr>
                <w:sz w:val="14"/>
                <w:szCs w:val="14"/>
              </w:rPr>
            </w:pPr>
            <w:r>
              <w:rPr>
                <w:sz w:val="15"/>
                <w:szCs w:val="15"/>
              </w:rPr>
              <w:t xml:space="preserve">Net loss </w:t>
            </w:r>
          </w:p>
        </w:tc>
        <w:tc>
          <w:tcPr>
            <w:tcW w:w="127" w:type="pct"/>
            <w:noWrap/>
            <w:tcMar>
              <w:top w:w="0" w:type="dxa"/>
              <w:left w:w="0" w:type="dxa"/>
              <w:bottom w:w="0" w:type="dxa"/>
              <w:right w:w="0" w:type="dxa"/>
            </w:tcMar>
            <w:vAlign w:val="bottom"/>
            <w:hideMark/>
          </w:tcPr>
          <w:p w14:paraId="65E82C8E"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17022538" w14:textId="77777777" w:rsidR="00000000" w:rsidRDefault="001F1B20">
            <w:pPr>
              <w:pStyle w:val="a3"/>
              <w:spacing w:before="0" w:beforeAutospacing="0" w:after="0" w:afterAutospacing="0"/>
              <w:rPr>
                <w:sz w:val="14"/>
                <w:szCs w:val="14"/>
              </w:rPr>
            </w:pPr>
            <w:r>
              <w:rPr>
                <w:sz w:val="15"/>
                <w:szCs w:val="15"/>
              </w:rPr>
              <w:t>$</w:t>
            </w:r>
          </w:p>
        </w:tc>
        <w:tc>
          <w:tcPr>
            <w:tcW w:w="503" w:type="pct"/>
            <w:noWrap/>
            <w:tcMar>
              <w:top w:w="0" w:type="dxa"/>
              <w:left w:w="0" w:type="dxa"/>
              <w:bottom w:w="0" w:type="dxa"/>
              <w:right w:w="0" w:type="dxa"/>
            </w:tcMar>
            <w:vAlign w:val="bottom"/>
            <w:hideMark/>
          </w:tcPr>
          <w:p w14:paraId="485AA2D2" w14:textId="77777777" w:rsidR="00000000" w:rsidRDefault="001F1B20">
            <w:pPr>
              <w:pStyle w:val="a3"/>
              <w:spacing w:before="0" w:beforeAutospacing="0" w:after="0" w:afterAutospacing="0"/>
              <w:jc w:val="right"/>
              <w:rPr>
                <w:sz w:val="14"/>
                <w:szCs w:val="14"/>
              </w:rPr>
            </w:pPr>
            <w:r>
              <w:rPr>
                <w:sz w:val="15"/>
                <w:szCs w:val="15"/>
              </w:rPr>
              <w:t>(167,392)</w:t>
            </w:r>
          </w:p>
        </w:tc>
        <w:tc>
          <w:tcPr>
            <w:tcW w:w="127" w:type="pct"/>
            <w:noWrap/>
            <w:tcMar>
              <w:top w:w="0" w:type="dxa"/>
              <w:left w:w="0" w:type="dxa"/>
              <w:bottom w:w="0" w:type="dxa"/>
              <w:right w:w="0" w:type="dxa"/>
            </w:tcMar>
            <w:vAlign w:val="bottom"/>
            <w:hideMark/>
          </w:tcPr>
          <w:p w14:paraId="58252515"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240C8BD2" w14:textId="77777777" w:rsidR="00000000" w:rsidRDefault="001F1B20">
            <w:pPr>
              <w:pStyle w:val="a3"/>
              <w:spacing w:before="0" w:beforeAutospacing="0" w:after="0" w:afterAutospacing="0"/>
              <w:rPr>
                <w:sz w:val="14"/>
                <w:szCs w:val="14"/>
              </w:rPr>
            </w:pPr>
            <w:r>
              <w:rPr>
                <w:sz w:val="15"/>
                <w:szCs w:val="15"/>
              </w:rPr>
              <w:t>$</w:t>
            </w:r>
          </w:p>
        </w:tc>
        <w:tc>
          <w:tcPr>
            <w:tcW w:w="503" w:type="pct"/>
            <w:noWrap/>
            <w:tcMar>
              <w:top w:w="0" w:type="dxa"/>
              <w:left w:w="0" w:type="dxa"/>
              <w:bottom w:w="0" w:type="dxa"/>
              <w:right w:w="0" w:type="dxa"/>
            </w:tcMar>
            <w:vAlign w:val="bottom"/>
            <w:hideMark/>
          </w:tcPr>
          <w:p w14:paraId="105CAE11" w14:textId="77777777" w:rsidR="00000000" w:rsidRDefault="001F1B20">
            <w:pPr>
              <w:pStyle w:val="a3"/>
              <w:spacing w:before="0" w:beforeAutospacing="0" w:after="0" w:afterAutospacing="0"/>
              <w:jc w:val="right"/>
              <w:rPr>
                <w:sz w:val="14"/>
                <w:szCs w:val="14"/>
              </w:rPr>
            </w:pPr>
            <w:r>
              <w:rPr>
                <w:sz w:val="15"/>
                <w:szCs w:val="15"/>
              </w:rPr>
              <w:t>(219,583)</w:t>
            </w:r>
          </w:p>
        </w:tc>
      </w:tr>
      <w:tr w:rsidR="00000000" w14:paraId="266637E2" w14:textId="77777777">
        <w:trPr>
          <w:divId w:val="1392729739"/>
        </w:trPr>
        <w:tc>
          <w:tcPr>
            <w:tcW w:w="3562" w:type="pct"/>
            <w:shd w:val="clear" w:color="auto" w:fill="CCEEFF"/>
            <w:tcMar>
              <w:top w:w="0" w:type="dxa"/>
              <w:left w:w="0" w:type="dxa"/>
              <w:bottom w:w="0" w:type="dxa"/>
              <w:right w:w="0" w:type="dxa"/>
            </w:tcMar>
            <w:hideMark/>
          </w:tcPr>
          <w:p w14:paraId="48FF87F4" w14:textId="77777777" w:rsidR="00000000" w:rsidRDefault="001F1B20">
            <w:pPr>
              <w:pStyle w:val="a3"/>
              <w:spacing w:before="0" w:beforeAutospacing="0" w:after="0" w:afterAutospacing="0"/>
              <w:rPr>
                <w:sz w:val="14"/>
                <w:szCs w:val="14"/>
              </w:rPr>
            </w:pPr>
            <w:r>
              <w:rPr>
                <w:sz w:val="15"/>
                <w:szCs w:val="15"/>
              </w:rPr>
              <w:t>Adjustments to reconcile net loss to net cash used in operating activities:</w:t>
            </w:r>
          </w:p>
        </w:tc>
        <w:tc>
          <w:tcPr>
            <w:tcW w:w="127" w:type="pct"/>
            <w:shd w:val="clear" w:color="auto" w:fill="CCEEFF"/>
            <w:noWrap/>
            <w:tcMar>
              <w:top w:w="0" w:type="dxa"/>
              <w:left w:w="0" w:type="dxa"/>
              <w:bottom w:w="0" w:type="dxa"/>
              <w:right w:w="0" w:type="dxa"/>
            </w:tcMar>
            <w:vAlign w:val="bottom"/>
            <w:hideMark/>
          </w:tcPr>
          <w:p w14:paraId="0E0F7A5A"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02D598F4"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57597C57" w14:textId="77777777" w:rsidR="00000000" w:rsidRDefault="001F1B20">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1F03FC30"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76EE7B1A"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35F58118" w14:textId="77777777" w:rsidR="00000000" w:rsidRDefault="001F1B20">
            <w:pPr>
              <w:pStyle w:val="a3"/>
              <w:spacing w:before="0" w:beforeAutospacing="0" w:after="0" w:afterAutospacing="0"/>
              <w:jc w:val="right"/>
              <w:rPr>
                <w:sz w:val="20"/>
                <w:szCs w:val="20"/>
              </w:rPr>
            </w:pPr>
            <w:r>
              <w:rPr>
                <w:sz w:val="15"/>
                <w:szCs w:val="15"/>
              </w:rPr>
              <w:t>​</w:t>
            </w:r>
          </w:p>
        </w:tc>
      </w:tr>
      <w:tr w:rsidR="00000000" w14:paraId="4E8ECD3E" w14:textId="77777777">
        <w:trPr>
          <w:divId w:val="1392729739"/>
        </w:trPr>
        <w:tc>
          <w:tcPr>
            <w:tcW w:w="3562" w:type="pct"/>
            <w:tcMar>
              <w:top w:w="0" w:type="dxa"/>
              <w:left w:w="0" w:type="dxa"/>
              <w:bottom w:w="0" w:type="dxa"/>
              <w:right w:w="0" w:type="dxa"/>
            </w:tcMar>
            <w:hideMark/>
          </w:tcPr>
          <w:p w14:paraId="3A7A9B7D" w14:textId="77777777" w:rsidR="00000000" w:rsidRDefault="001F1B20">
            <w:pPr>
              <w:pStyle w:val="a3"/>
              <w:spacing w:before="0" w:beforeAutospacing="0" w:after="0" w:afterAutospacing="0"/>
              <w:ind w:left="240"/>
              <w:rPr>
                <w:sz w:val="14"/>
                <w:szCs w:val="14"/>
              </w:rPr>
            </w:pPr>
            <w:r>
              <w:rPr>
                <w:sz w:val="15"/>
                <w:szCs w:val="15"/>
              </w:rPr>
              <w:t>Depreciation and amortization</w:t>
            </w:r>
          </w:p>
        </w:tc>
        <w:tc>
          <w:tcPr>
            <w:tcW w:w="127" w:type="pct"/>
            <w:noWrap/>
            <w:tcMar>
              <w:top w:w="0" w:type="dxa"/>
              <w:left w:w="0" w:type="dxa"/>
              <w:bottom w:w="0" w:type="dxa"/>
              <w:right w:w="0" w:type="dxa"/>
            </w:tcMar>
            <w:vAlign w:val="bottom"/>
            <w:hideMark/>
          </w:tcPr>
          <w:p w14:paraId="0CABE1B4"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38FE8152"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16B3F2D8" w14:textId="77777777" w:rsidR="00000000" w:rsidRDefault="001F1B20">
            <w:pPr>
              <w:pStyle w:val="a3"/>
              <w:spacing w:before="0" w:beforeAutospacing="0" w:after="0" w:afterAutospacing="0"/>
              <w:ind w:right="45"/>
              <w:jc w:val="right"/>
              <w:rPr>
                <w:sz w:val="14"/>
                <w:szCs w:val="14"/>
              </w:rPr>
            </w:pPr>
            <w:r>
              <w:rPr>
                <w:sz w:val="15"/>
                <w:szCs w:val="15"/>
              </w:rPr>
              <w:t>4,551</w:t>
            </w:r>
          </w:p>
        </w:tc>
        <w:tc>
          <w:tcPr>
            <w:tcW w:w="127" w:type="pct"/>
            <w:noWrap/>
            <w:tcMar>
              <w:top w:w="0" w:type="dxa"/>
              <w:left w:w="0" w:type="dxa"/>
              <w:bottom w:w="0" w:type="dxa"/>
              <w:right w:w="0" w:type="dxa"/>
            </w:tcMar>
            <w:vAlign w:val="bottom"/>
            <w:hideMark/>
          </w:tcPr>
          <w:p w14:paraId="107809F6"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6822CC66"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1A086170" w14:textId="77777777" w:rsidR="00000000" w:rsidRDefault="001F1B20">
            <w:pPr>
              <w:pStyle w:val="a3"/>
              <w:spacing w:before="0" w:beforeAutospacing="0" w:after="0" w:afterAutospacing="0"/>
              <w:ind w:right="45"/>
              <w:jc w:val="right"/>
              <w:rPr>
                <w:sz w:val="14"/>
                <w:szCs w:val="14"/>
              </w:rPr>
            </w:pPr>
            <w:r>
              <w:rPr>
                <w:sz w:val="15"/>
                <w:szCs w:val="15"/>
              </w:rPr>
              <w:t>5,394</w:t>
            </w:r>
          </w:p>
        </w:tc>
      </w:tr>
      <w:tr w:rsidR="00000000" w14:paraId="38E339A8" w14:textId="77777777">
        <w:trPr>
          <w:divId w:val="1392729739"/>
        </w:trPr>
        <w:tc>
          <w:tcPr>
            <w:tcW w:w="3562" w:type="pct"/>
            <w:shd w:val="clear" w:color="auto" w:fill="CCEEFF"/>
            <w:tcMar>
              <w:top w:w="0" w:type="dxa"/>
              <w:left w:w="0" w:type="dxa"/>
              <w:bottom w:w="0" w:type="dxa"/>
              <w:right w:w="0" w:type="dxa"/>
            </w:tcMar>
            <w:hideMark/>
          </w:tcPr>
          <w:p w14:paraId="5764AF45" w14:textId="77777777" w:rsidR="00000000" w:rsidRDefault="001F1B20">
            <w:pPr>
              <w:pStyle w:val="a3"/>
              <w:spacing w:before="0" w:beforeAutospacing="0" w:after="0" w:afterAutospacing="0"/>
              <w:ind w:left="240"/>
              <w:rPr>
                <w:sz w:val="14"/>
                <w:szCs w:val="14"/>
              </w:rPr>
            </w:pPr>
            <w:r>
              <w:rPr>
                <w:sz w:val="15"/>
                <w:szCs w:val="15"/>
              </w:rPr>
              <w:t>Amortization and accretion income, net</w:t>
            </w:r>
          </w:p>
        </w:tc>
        <w:tc>
          <w:tcPr>
            <w:tcW w:w="127" w:type="pct"/>
            <w:shd w:val="clear" w:color="auto" w:fill="CCEEFF"/>
            <w:noWrap/>
            <w:tcMar>
              <w:top w:w="0" w:type="dxa"/>
              <w:left w:w="0" w:type="dxa"/>
              <w:bottom w:w="0" w:type="dxa"/>
              <w:right w:w="0" w:type="dxa"/>
            </w:tcMar>
            <w:vAlign w:val="bottom"/>
            <w:hideMark/>
          </w:tcPr>
          <w:p w14:paraId="4CA4CB8C"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69219FC2"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49FAD6E1" w14:textId="77777777" w:rsidR="00000000" w:rsidRDefault="001F1B20">
            <w:pPr>
              <w:pStyle w:val="a3"/>
              <w:spacing w:before="0" w:beforeAutospacing="0" w:after="0" w:afterAutospacing="0"/>
              <w:ind w:right="45"/>
              <w:jc w:val="right"/>
              <w:rPr>
                <w:sz w:val="14"/>
                <w:szCs w:val="14"/>
              </w:rPr>
            </w:pPr>
            <w:r>
              <w:rPr>
                <w:sz w:val="15"/>
                <w:szCs w:val="15"/>
              </w:rPr>
              <w:t>9</w:t>
            </w:r>
          </w:p>
        </w:tc>
        <w:tc>
          <w:tcPr>
            <w:tcW w:w="127" w:type="pct"/>
            <w:shd w:val="clear" w:color="auto" w:fill="CCEEFF"/>
            <w:noWrap/>
            <w:tcMar>
              <w:top w:w="0" w:type="dxa"/>
              <w:left w:w="0" w:type="dxa"/>
              <w:bottom w:w="0" w:type="dxa"/>
              <w:right w:w="0" w:type="dxa"/>
            </w:tcMar>
            <w:vAlign w:val="bottom"/>
            <w:hideMark/>
          </w:tcPr>
          <w:p w14:paraId="371243D0"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52C066BE"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3A325B3E" w14:textId="77777777" w:rsidR="00000000" w:rsidRDefault="001F1B20">
            <w:pPr>
              <w:pStyle w:val="a3"/>
              <w:spacing w:before="0" w:beforeAutospacing="0" w:after="0" w:afterAutospacing="0"/>
              <w:jc w:val="right"/>
              <w:rPr>
                <w:sz w:val="14"/>
                <w:szCs w:val="14"/>
              </w:rPr>
            </w:pPr>
            <w:r>
              <w:rPr>
                <w:sz w:val="15"/>
                <w:szCs w:val="15"/>
              </w:rPr>
              <w:t>(1,023)</w:t>
            </w:r>
          </w:p>
        </w:tc>
      </w:tr>
      <w:tr w:rsidR="00000000" w14:paraId="4B27BFE0" w14:textId="77777777">
        <w:trPr>
          <w:divId w:val="1392729739"/>
        </w:trPr>
        <w:tc>
          <w:tcPr>
            <w:tcW w:w="3562" w:type="pct"/>
            <w:tcMar>
              <w:top w:w="0" w:type="dxa"/>
              <w:left w:w="0" w:type="dxa"/>
              <w:bottom w:w="0" w:type="dxa"/>
              <w:right w:w="0" w:type="dxa"/>
            </w:tcMar>
            <w:hideMark/>
          </w:tcPr>
          <w:p w14:paraId="0027BD99" w14:textId="77777777" w:rsidR="00000000" w:rsidRDefault="001F1B20">
            <w:pPr>
              <w:pStyle w:val="a3"/>
              <w:spacing w:before="0" w:beforeAutospacing="0" w:after="0" w:afterAutospacing="0"/>
              <w:ind w:left="240"/>
              <w:rPr>
                <w:sz w:val="14"/>
                <w:szCs w:val="14"/>
              </w:rPr>
            </w:pPr>
            <w:r>
              <w:rPr>
                <w:sz w:val="15"/>
                <w:szCs w:val="15"/>
              </w:rPr>
              <w:t xml:space="preserve">Share-based compensation </w:t>
            </w:r>
          </w:p>
        </w:tc>
        <w:tc>
          <w:tcPr>
            <w:tcW w:w="127" w:type="pct"/>
            <w:noWrap/>
            <w:tcMar>
              <w:top w:w="0" w:type="dxa"/>
              <w:left w:w="0" w:type="dxa"/>
              <w:bottom w:w="0" w:type="dxa"/>
              <w:right w:w="0" w:type="dxa"/>
            </w:tcMar>
            <w:vAlign w:val="bottom"/>
            <w:hideMark/>
          </w:tcPr>
          <w:p w14:paraId="0FA148B6"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396F3573"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7A6261FC" w14:textId="77777777" w:rsidR="00000000" w:rsidRDefault="001F1B20">
            <w:pPr>
              <w:pStyle w:val="a3"/>
              <w:spacing w:before="0" w:beforeAutospacing="0" w:after="0" w:afterAutospacing="0"/>
              <w:ind w:right="45"/>
              <w:jc w:val="right"/>
              <w:rPr>
                <w:sz w:val="14"/>
                <w:szCs w:val="14"/>
              </w:rPr>
            </w:pPr>
            <w:r>
              <w:rPr>
                <w:sz w:val="15"/>
                <w:szCs w:val="15"/>
              </w:rPr>
              <w:t>45,143</w:t>
            </w:r>
          </w:p>
        </w:tc>
        <w:tc>
          <w:tcPr>
            <w:tcW w:w="127" w:type="pct"/>
            <w:noWrap/>
            <w:tcMar>
              <w:top w:w="0" w:type="dxa"/>
              <w:left w:w="0" w:type="dxa"/>
              <w:bottom w:w="0" w:type="dxa"/>
              <w:right w:w="0" w:type="dxa"/>
            </w:tcMar>
            <w:vAlign w:val="bottom"/>
            <w:hideMark/>
          </w:tcPr>
          <w:p w14:paraId="2B55F177"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1B1D31E2"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4A0F61CD" w14:textId="77777777" w:rsidR="00000000" w:rsidRDefault="001F1B20">
            <w:pPr>
              <w:pStyle w:val="a3"/>
              <w:spacing w:before="0" w:beforeAutospacing="0" w:after="0" w:afterAutospacing="0"/>
              <w:ind w:right="45"/>
              <w:jc w:val="right"/>
              <w:rPr>
                <w:sz w:val="14"/>
                <w:szCs w:val="14"/>
              </w:rPr>
            </w:pPr>
            <w:r>
              <w:rPr>
                <w:sz w:val="15"/>
                <w:szCs w:val="15"/>
              </w:rPr>
              <w:t>47,425</w:t>
            </w:r>
          </w:p>
        </w:tc>
      </w:tr>
      <w:tr w:rsidR="00000000" w14:paraId="710EBB62" w14:textId="77777777">
        <w:trPr>
          <w:divId w:val="1392729739"/>
        </w:trPr>
        <w:tc>
          <w:tcPr>
            <w:tcW w:w="3562" w:type="pct"/>
            <w:shd w:val="clear" w:color="auto" w:fill="CCEEFF"/>
            <w:tcMar>
              <w:top w:w="0" w:type="dxa"/>
              <w:left w:w="0" w:type="dxa"/>
              <w:bottom w:w="0" w:type="dxa"/>
              <w:right w:w="0" w:type="dxa"/>
            </w:tcMar>
            <w:hideMark/>
          </w:tcPr>
          <w:p w14:paraId="4EF8DC60" w14:textId="77777777" w:rsidR="00000000" w:rsidRDefault="001F1B20">
            <w:pPr>
              <w:pStyle w:val="a3"/>
              <w:spacing w:before="0" w:beforeAutospacing="0" w:after="0" w:afterAutospacing="0"/>
              <w:ind w:left="240"/>
              <w:rPr>
                <w:sz w:val="14"/>
                <w:szCs w:val="14"/>
              </w:rPr>
            </w:pPr>
            <w:r>
              <w:rPr>
                <w:sz w:val="15"/>
                <w:szCs w:val="15"/>
              </w:rPr>
              <w:t>Amortization of right-of-use assets</w:t>
            </w:r>
          </w:p>
        </w:tc>
        <w:tc>
          <w:tcPr>
            <w:tcW w:w="127" w:type="pct"/>
            <w:shd w:val="clear" w:color="auto" w:fill="CCEEFF"/>
            <w:noWrap/>
            <w:tcMar>
              <w:top w:w="0" w:type="dxa"/>
              <w:left w:w="0" w:type="dxa"/>
              <w:bottom w:w="0" w:type="dxa"/>
              <w:right w:w="0" w:type="dxa"/>
            </w:tcMar>
            <w:vAlign w:val="bottom"/>
            <w:hideMark/>
          </w:tcPr>
          <w:p w14:paraId="3C2B2D36"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5F723E64"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3CD070FF" w14:textId="77777777" w:rsidR="00000000" w:rsidRDefault="001F1B20">
            <w:pPr>
              <w:pStyle w:val="a3"/>
              <w:spacing w:before="0" w:beforeAutospacing="0" w:after="0" w:afterAutospacing="0"/>
              <w:ind w:right="45"/>
              <w:jc w:val="right"/>
              <w:rPr>
                <w:sz w:val="14"/>
                <w:szCs w:val="14"/>
              </w:rPr>
            </w:pPr>
            <w:r>
              <w:rPr>
                <w:sz w:val="15"/>
                <w:szCs w:val="15"/>
              </w:rPr>
              <w:t>2,758</w:t>
            </w:r>
          </w:p>
        </w:tc>
        <w:tc>
          <w:tcPr>
            <w:tcW w:w="127" w:type="pct"/>
            <w:shd w:val="clear" w:color="auto" w:fill="CCEEFF"/>
            <w:noWrap/>
            <w:tcMar>
              <w:top w:w="0" w:type="dxa"/>
              <w:left w:w="0" w:type="dxa"/>
              <w:bottom w:w="0" w:type="dxa"/>
              <w:right w:w="0" w:type="dxa"/>
            </w:tcMar>
            <w:vAlign w:val="bottom"/>
            <w:hideMark/>
          </w:tcPr>
          <w:p w14:paraId="238BCB58"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4504A73D"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5E90B8CF" w14:textId="77777777" w:rsidR="00000000" w:rsidRDefault="001F1B20">
            <w:pPr>
              <w:pStyle w:val="a3"/>
              <w:spacing w:before="0" w:beforeAutospacing="0" w:after="0" w:afterAutospacing="0"/>
              <w:ind w:right="45"/>
              <w:jc w:val="right"/>
              <w:rPr>
                <w:sz w:val="14"/>
                <w:szCs w:val="14"/>
              </w:rPr>
            </w:pPr>
            <w:r>
              <w:rPr>
                <w:sz w:val="15"/>
                <w:szCs w:val="15"/>
              </w:rPr>
              <w:t>2,213</w:t>
            </w:r>
          </w:p>
        </w:tc>
      </w:tr>
      <w:tr w:rsidR="00000000" w14:paraId="504261FD" w14:textId="77777777">
        <w:trPr>
          <w:divId w:val="1392729739"/>
        </w:trPr>
        <w:tc>
          <w:tcPr>
            <w:tcW w:w="3562" w:type="pct"/>
            <w:tcMar>
              <w:top w:w="0" w:type="dxa"/>
              <w:left w:w="0" w:type="dxa"/>
              <w:bottom w:w="0" w:type="dxa"/>
              <w:right w:w="0" w:type="dxa"/>
            </w:tcMar>
            <w:hideMark/>
          </w:tcPr>
          <w:p w14:paraId="5D3784CD" w14:textId="77777777" w:rsidR="00000000" w:rsidRDefault="001F1B20">
            <w:pPr>
              <w:pStyle w:val="a3"/>
              <w:spacing w:before="0" w:beforeAutospacing="0" w:after="0" w:afterAutospacing="0"/>
              <w:ind w:left="240"/>
              <w:rPr>
                <w:sz w:val="14"/>
                <w:szCs w:val="14"/>
              </w:rPr>
            </w:pPr>
            <w:r>
              <w:rPr>
                <w:sz w:val="15"/>
                <w:szCs w:val="15"/>
              </w:rPr>
              <w:t>Gain from lease modification</w:t>
            </w:r>
          </w:p>
        </w:tc>
        <w:tc>
          <w:tcPr>
            <w:tcW w:w="127" w:type="pct"/>
            <w:noWrap/>
            <w:tcMar>
              <w:top w:w="0" w:type="dxa"/>
              <w:left w:w="0" w:type="dxa"/>
              <w:bottom w:w="0" w:type="dxa"/>
              <w:right w:w="0" w:type="dxa"/>
            </w:tcMar>
            <w:vAlign w:val="bottom"/>
            <w:hideMark/>
          </w:tcPr>
          <w:p w14:paraId="35EEA363"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1EFECA8F"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2FAD8F44" w14:textId="77777777" w:rsidR="00000000" w:rsidRDefault="001F1B20">
            <w:pPr>
              <w:pStyle w:val="a3"/>
              <w:spacing w:before="0" w:beforeAutospacing="0" w:after="0" w:afterAutospacing="0"/>
              <w:jc w:val="right"/>
              <w:rPr>
                <w:sz w:val="14"/>
                <w:szCs w:val="14"/>
              </w:rPr>
            </w:pPr>
            <w:r>
              <w:rPr>
                <w:sz w:val="15"/>
                <w:szCs w:val="15"/>
              </w:rPr>
              <w:t>(1,863)</w:t>
            </w:r>
          </w:p>
        </w:tc>
        <w:tc>
          <w:tcPr>
            <w:tcW w:w="127" w:type="pct"/>
            <w:noWrap/>
            <w:tcMar>
              <w:top w:w="0" w:type="dxa"/>
              <w:left w:w="0" w:type="dxa"/>
              <w:bottom w:w="0" w:type="dxa"/>
              <w:right w:w="0" w:type="dxa"/>
            </w:tcMar>
            <w:vAlign w:val="bottom"/>
            <w:hideMark/>
          </w:tcPr>
          <w:p w14:paraId="305DE9D6"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1DE0912F"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4B2E74C4" w14:textId="77777777" w:rsidR="00000000" w:rsidRDefault="001F1B20">
            <w:pPr>
              <w:pStyle w:val="a3"/>
              <w:spacing w:before="0" w:beforeAutospacing="0" w:after="0" w:afterAutospacing="0"/>
              <w:ind w:right="45"/>
              <w:jc w:val="right"/>
              <w:rPr>
                <w:sz w:val="14"/>
                <w:szCs w:val="14"/>
              </w:rPr>
            </w:pPr>
            <w:r>
              <w:rPr>
                <w:sz w:val="15"/>
                <w:szCs w:val="15"/>
              </w:rPr>
              <w:t>—</w:t>
            </w:r>
          </w:p>
        </w:tc>
      </w:tr>
      <w:tr w:rsidR="00000000" w14:paraId="5C0ECEFF" w14:textId="77777777">
        <w:trPr>
          <w:divId w:val="1392729739"/>
        </w:trPr>
        <w:tc>
          <w:tcPr>
            <w:tcW w:w="3562" w:type="pct"/>
            <w:shd w:val="clear" w:color="auto" w:fill="CCEEFF"/>
            <w:tcMar>
              <w:top w:w="0" w:type="dxa"/>
              <w:left w:w="0" w:type="dxa"/>
              <w:bottom w:w="0" w:type="dxa"/>
              <w:right w:w="0" w:type="dxa"/>
            </w:tcMar>
            <w:hideMark/>
          </w:tcPr>
          <w:p w14:paraId="1DB5F823" w14:textId="77777777" w:rsidR="00000000" w:rsidRDefault="001F1B20">
            <w:pPr>
              <w:pStyle w:val="a3"/>
              <w:spacing w:before="0" w:beforeAutospacing="0" w:after="0" w:afterAutospacing="0"/>
              <w:ind w:left="240"/>
              <w:rPr>
                <w:sz w:val="14"/>
                <w:szCs w:val="14"/>
              </w:rPr>
            </w:pPr>
            <w:r>
              <w:rPr>
                <w:sz w:val="15"/>
                <w:szCs w:val="15"/>
              </w:rPr>
              <w:t>Undistributed earnings from TRC, LLC</w:t>
            </w:r>
          </w:p>
        </w:tc>
        <w:tc>
          <w:tcPr>
            <w:tcW w:w="127" w:type="pct"/>
            <w:shd w:val="clear" w:color="auto" w:fill="CCEEFF"/>
            <w:noWrap/>
            <w:tcMar>
              <w:top w:w="0" w:type="dxa"/>
              <w:left w:w="0" w:type="dxa"/>
              <w:bottom w:w="0" w:type="dxa"/>
              <w:right w:w="0" w:type="dxa"/>
            </w:tcMar>
            <w:vAlign w:val="bottom"/>
            <w:hideMark/>
          </w:tcPr>
          <w:p w14:paraId="68FD064B"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4DE75232"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3E493808" w14:textId="77777777" w:rsidR="00000000" w:rsidRDefault="001F1B20">
            <w:pPr>
              <w:pStyle w:val="a3"/>
              <w:spacing w:before="0" w:beforeAutospacing="0" w:after="0" w:afterAutospacing="0"/>
              <w:jc w:val="right"/>
              <w:rPr>
                <w:sz w:val="14"/>
                <w:szCs w:val="14"/>
              </w:rPr>
            </w:pPr>
            <w:r>
              <w:rPr>
                <w:sz w:val="15"/>
                <w:szCs w:val="15"/>
              </w:rPr>
              <w:t>(22,310)</w:t>
            </w:r>
          </w:p>
        </w:tc>
        <w:tc>
          <w:tcPr>
            <w:tcW w:w="127" w:type="pct"/>
            <w:shd w:val="clear" w:color="auto" w:fill="CCEEFF"/>
            <w:noWrap/>
            <w:tcMar>
              <w:top w:w="0" w:type="dxa"/>
              <w:left w:w="0" w:type="dxa"/>
              <w:bottom w:w="0" w:type="dxa"/>
              <w:right w:w="0" w:type="dxa"/>
            </w:tcMar>
            <w:vAlign w:val="bottom"/>
            <w:hideMark/>
          </w:tcPr>
          <w:p w14:paraId="19F76C04"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43F79884"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0CA2C93D" w14:textId="77777777" w:rsidR="00000000" w:rsidRDefault="001F1B20">
            <w:pPr>
              <w:pStyle w:val="a3"/>
              <w:spacing w:before="0" w:beforeAutospacing="0" w:after="0" w:afterAutospacing="0"/>
              <w:jc w:val="right"/>
              <w:rPr>
                <w:sz w:val="14"/>
                <w:szCs w:val="14"/>
              </w:rPr>
            </w:pPr>
            <w:r>
              <w:rPr>
                <w:sz w:val="15"/>
                <w:szCs w:val="15"/>
              </w:rPr>
              <w:t>(20,337)</w:t>
            </w:r>
          </w:p>
        </w:tc>
      </w:tr>
      <w:tr w:rsidR="00000000" w14:paraId="0A6E5E79" w14:textId="77777777">
        <w:trPr>
          <w:divId w:val="1392729739"/>
        </w:trPr>
        <w:tc>
          <w:tcPr>
            <w:tcW w:w="3562" w:type="pct"/>
            <w:tcMar>
              <w:top w:w="0" w:type="dxa"/>
              <w:left w:w="0" w:type="dxa"/>
              <w:bottom w:w="0" w:type="dxa"/>
              <w:right w:w="0" w:type="dxa"/>
            </w:tcMar>
            <w:hideMark/>
          </w:tcPr>
          <w:p w14:paraId="3F28026D" w14:textId="77777777" w:rsidR="00000000" w:rsidRDefault="001F1B20">
            <w:pPr>
              <w:pStyle w:val="a3"/>
              <w:spacing w:before="0" w:beforeAutospacing="0" w:after="0" w:afterAutospacing="0"/>
              <w:ind w:left="240"/>
              <w:rPr>
                <w:sz w:val="14"/>
                <w:szCs w:val="14"/>
              </w:rPr>
            </w:pPr>
            <w:r>
              <w:rPr>
                <w:sz w:val="15"/>
                <w:szCs w:val="15"/>
              </w:rPr>
              <w:t>Interest shortfall on 2035 notes, net</w:t>
            </w:r>
          </w:p>
        </w:tc>
        <w:tc>
          <w:tcPr>
            <w:tcW w:w="127" w:type="pct"/>
            <w:noWrap/>
            <w:tcMar>
              <w:top w:w="0" w:type="dxa"/>
              <w:left w:w="0" w:type="dxa"/>
              <w:bottom w:w="0" w:type="dxa"/>
              <w:right w:w="0" w:type="dxa"/>
            </w:tcMar>
            <w:vAlign w:val="bottom"/>
            <w:hideMark/>
          </w:tcPr>
          <w:p w14:paraId="7CF1D7C0"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64EEDDE1"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3AC2E7C4" w14:textId="77777777" w:rsidR="00000000" w:rsidRDefault="001F1B20">
            <w:pPr>
              <w:pStyle w:val="a3"/>
              <w:spacing w:before="0" w:beforeAutospacing="0" w:after="0" w:afterAutospacing="0"/>
              <w:ind w:right="45"/>
              <w:jc w:val="right"/>
              <w:rPr>
                <w:sz w:val="14"/>
                <w:szCs w:val="14"/>
              </w:rPr>
            </w:pPr>
            <w:r>
              <w:rPr>
                <w:sz w:val="15"/>
                <w:szCs w:val="15"/>
              </w:rPr>
              <w:t>5,713</w:t>
            </w:r>
          </w:p>
        </w:tc>
        <w:tc>
          <w:tcPr>
            <w:tcW w:w="127" w:type="pct"/>
            <w:noWrap/>
            <w:tcMar>
              <w:top w:w="0" w:type="dxa"/>
              <w:left w:w="0" w:type="dxa"/>
              <w:bottom w:w="0" w:type="dxa"/>
              <w:right w:w="0" w:type="dxa"/>
            </w:tcMar>
            <w:vAlign w:val="bottom"/>
            <w:hideMark/>
          </w:tcPr>
          <w:p w14:paraId="62421AAD"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1D063BD6"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1332442E" w14:textId="77777777" w:rsidR="00000000" w:rsidRDefault="001F1B20">
            <w:pPr>
              <w:pStyle w:val="a3"/>
              <w:spacing w:before="0" w:beforeAutospacing="0" w:after="0" w:afterAutospacing="0"/>
              <w:ind w:right="45"/>
              <w:jc w:val="right"/>
              <w:rPr>
                <w:sz w:val="14"/>
                <w:szCs w:val="14"/>
              </w:rPr>
            </w:pPr>
            <w:r>
              <w:rPr>
                <w:sz w:val="15"/>
                <w:szCs w:val="15"/>
              </w:rPr>
              <w:t>10,144</w:t>
            </w:r>
          </w:p>
        </w:tc>
      </w:tr>
      <w:tr w:rsidR="00000000" w14:paraId="6F7BE902" w14:textId="77777777">
        <w:trPr>
          <w:divId w:val="1392729739"/>
        </w:trPr>
        <w:tc>
          <w:tcPr>
            <w:tcW w:w="3562" w:type="pct"/>
            <w:shd w:val="clear" w:color="auto" w:fill="CCEEFF"/>
            <w:tcMar>
              <w:top w:w="0" w:type="dxa"/>
              <w:left w:w="0" w:type="dxa"/>
              <w:bottom w:w="0" w:type="dxa"/>
              <w:right w:w="0" w:type="dxa"/>
            </w:tcMar>
            <w:hideMark/>
          </w:tcPr>
          <w:p w14:paraId="472AFF8E" w14:textId="77777777" w:rsidR="00000000" w:rsidRDefault="001F1B20">
            <w:pPr>
              <w:pStyle w:val="a3"/>
              <w:spacing w:before="0" w:beforeAutospacing="0" w:after="0" w:afterAutospacing="0"/>
              <w:ind w:left="240"/>
              <w:rPr>
                <w:sz w:val="14"/>
                <w:szCs w:val="14"/>
              </w:rPr>
            </w:pPr>
            <w:r>
              <w:rPr>
                <w:sz w:val="15"/>
                <w:szCs w:val="15"/>
              </w:rPr>
              <w:t>Loss on extinguishment of debt</w:t>
            </w:r>
          </w:p>
        </w:tc>
        <w:tc>
          <w:tcPr>
            <w:tcW w:w="127" w:type="pct"/>
            <w:shd w:val="clear" w:color="auto" w:fill="CCEEFF"/>
            <w:noWrap/>
            <w:tcMar>
              <w:top w:w="0" w:type="dxa"/>
              <w:left w:w="0" w:type="dxa"/>
              <w:bottom w:w="0" w:type="dxa"/>
              <w:right w:w="0" w:type="dxa"/>
            </w:tcMar>
            <w:vAlign w:val="bottom"/>
            <w:hideMark/>
          </w:tcPr>
          <w:p w14:paraId="579ABBE2"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6626AA03"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745517EB" w14:textId="77777777" w:rsidR="00000000" w:rsidRDefault="001F1B20">
            <w:pPr>
              <w:pStyle w:val="a3"/>
              <w:spacing w:before="0" w:beforeAutospacing="0" w:after="0" w:afterAutospacing="0"/>
              <w:ind w:right="45"/>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14:paraId="7F83829C"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73369EC5"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1175CE66" w14:textId="77777777" w:rsidR="00000000" w:rsidRDefault="001F1B20">
            <w:pPr>
              <w:pStyle w:val="a3"/>
              <w:spacing w:before="0" w:beforeAutospacing="0" w:after="0" w:afterAutospacing="0"/>
              <w:ind w:right="45"/>
              <w:jc w:val="right"/>
              <w:rPr>
                <w:sz w:val="14"/>
                <w:szCs w:val="14"/>
              </w:rPr>
            </w:pPr>
            <w:r>
              <w:rPr>
                <w:sz w:val="15"/>
                <w:szCs w:val="15"/>
              </w:rPr>
              <w:t>15,464</w:t>
            </w:r>
          </w:p>
        </w:tc>
      </w:tr>
      <w:tr w:rsidR="00000000" w14:paraId="678B4447" w14:textId="77777777">
        <w:trPr>
          <w:divId w:val="1392729739"/>
        </w:trPr>
        <w:tc>
          <w:tcPr>
            <w:tcW w:w="3562" w:type="pct"/>
            <w:tcMar>
              <w:top w:w="0" w:type="dxa"/>
              <w:left w:w="0" w:type="dxa"/>
              <w:bottom w:w="0" w:type="dxa"/>
              <w:right w:w="0" w:type="dxa"/>
            </w:tcMar>
            <w:hideMark/>
          </w:tcPr>
          <w:p w14:paraId="7FA6D647" w14:textId="77777777" w:rsidR="00000000" w:rsidRDefault="001F1B20">
            <w:pPr>
              <w:pStyle w:val="a3"/>
              <w:spacing w:before="0" w:beforeAutospacing="0" w:after="0" w:afterAutospacing="0"/>
              <w:ind w:left="240"/>
              <w:rPr>
                <w:sz w:val="14"/>
                <w:szCs w:val="14"/>
              </w:rPr>
            </w:pPr>
            <w:r>
              <w:rPr>
                <w:sz w:val="15"/>
                <w:szCs w:val="15"/>
              </w:rPr>
              <w:t>Other</w:t>
            </w:r>
          </w:p>
        </w:tc>
        <w:tc>
          <w:tcPr>
            <w:tcW w:w="127" w:type="pct"/>
            <w:noWrap/>
            <w:tcMar>
              <w:top w:w="0" w:type="dxa"/>
              <w:left w:w="0" w:type="dxa"/>
              <w:bottom w:w="0" w:type="dxa"/>
              <w:right w:w="0" w:type="dxa"/>
            </w:tcMar>
            <w:vAlign w:val="bottom"/>
            <w:hideMark/>
          </w:tcPr>
          <w:p w14:paraId="3E775901"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039E54E8"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6C2BFE14" w14:textId="77777777" w:rsidR="00000000" w:rsidRDefault="001F1B20">
            <w:pPr>
              <w:pStyle w:val="a3"/>
              <w:spacing w:before="0" w:beforeAutospacing="0" w:after="0" w:afterAutospacing="0"/>
              <w:ind w:right="45"/>
              <w:jc w:val="right"/>
              <w:rPr>
                <w:sz w:val="14"/>
                <w:szCs w:val="14"/>
              </w:rPr>
            </w:pPr>
            <w:r>
              <w:rPr>
                <w:sz w:val="15"/>
                <w:szCs w:val="15"/>
              </w:rPr>
              <w:t>35</w:t>
            </w:r>
          </w:p>
        </w:tc>
        <w:tc>
          <w:tcPr>
            <w:tcW w:w="127" w:type="pct"/>
            <w:noWrap/>
            <w:tcMar>
              <w:top w:w="0" w:type="dxa"/>
              <w:left w:w="0" w:type="dxa"/>
              <w:bottom w:w="0" w:type="dxa"/>
              <w:right w:w="0" w:type="dxa"/>
            </w:tcMar>
            <w:vAlign w:val="bottom"/>
            <w:hideMark/>
          </w:tcPr>
          <w:p w14:paraId="6EBF2F23"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378044E1"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4EDF4C9F" w14:textId="77777777" w:rsidR="00000000" w:rsidRDefault="001F1B20">
            <w:pPr>
              <w:pStyle w:val="a3"/>
              <w:spacing w:before="0" w:beforeAutospacing="0" w:after="0" w:afterAutospacing="0"/>
              <w:jc w:val="right"/>
              <w:rPr>
                <w:sz w:val="14"/>
                <w:szCs w:val="14"/>
              </w:rPr>
            </w:pPr>
            <w:r>
              <w:rPr>
                <w:sz w:val="15"/>
                <w:szCs w:val="15"/>
              </w:rPr>
              <w:t>(42)</w:t>
            </w:r>
          </w:p>
        </w:tc>
      </w:tr>
      <w:tr w:rsidR="00000000" w14:paraId="0D8442A2" w14:textId="77777777">
        <w:trPr>
          <w:divId w:val="1392729739"/>
        </w:trPr>
        <w:tc>
          <w:tcPr>
            <w:tcW w:w="3562" w:type="pct"/>
            <w:shd w:val="clear" w:color="auto" w:fill="CCEEFF"/>
            <w:tcMar>
              <w:top w:w="0" w:type="dxa"/>
              <w:left w:w="0" w:type="dxa"/>
              <w:bottom w:w="0" w:type="dxa"/>
              <w:right w:w="0" w:type="dxa"/>
            </w:tcMar>
            <w:hideMark/>
          </w:tcPr>
          <w:p w14:paraId="64C753CC" w14:textId="77777777" w:rsidR="00000000" w:rsidRDefault="001F1B20">
            <w:pPr>
              <w:pStyle w:val="a3"/>
              <w:spacing w:before="0" w:beforeAutospacing="0" w:after="0" w:afterAutospacing="0"/>
              <w:ind w:left="240"/>
              <w:rPr>
                <w:sz w:val="14"/>
                <w:szCs w:val="14"/>
              </w:rPr>
            </w:pPr>
            <w:r>
              <w:rPr>
                <w:sz w:val="15"/>
                <w:szCs w:val="15"/>
              </w:rPr>
              <w:t>Changes in operating assets and liabilities:</w:t>
            </w:r>
          </w:p>
        </w:tc>
        <w:tc>
          <w:tcPr>
            <w:tcW w:w="127" w:type="pct"/>
            <w:shd w:val="clear" w:color="auto" w:fill="CCEEFF"/>
            <w:noWrap/>
            <w:tcMar>
              <w:top w:w="0" w:type="dxa"/>
              <w:left w:w="0" w:type="dxa"/>
              <w:bottom w:w="0" w:type="dxa"/>
              <w:right w:w="0" w:type="dxa"/>
            </w:tcMar>
            <w:vAlign w:val="bottom"/>
            <w:hideMark/>
          </w:tcPr>
          <w:p w14:paraId="4DE6AA8D"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2529BD37"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4D4CA03A" w14:textId="77777777" w:rsidR="00000000" w:rsidRDefault="001F1B20">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0FABA239"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467B0D51"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79BAC77F" w14:textId="77777777" w:rsidR="00000000" w:rsidRDefault="001F1B20">
            <w:pPr>
              <w:pStyle w:val="a3"/>
              <w:spacing w:before="0" w:beforeAutospacing="0" w:after="0" w:afterAutospacing="0"/>
              <w:rPr>
                <w:sz w:val="20"/>
                <w:szCs w:val="20"/>
              </w:rPr>
            </w:pPr>
            <w:r>
              <w:rPr>
                <w:sz w:val="15"/>
                <w:szCs w:val="15"/>
              </w:rPr>
              <w:t>​</w:t>
            </w:r>
          </w:p>
        </w:tc>
      </w:tr>
      <w:tr w:rsidR="00000000" w14:paraId="64884097" w14:textId="77777777">
        <w:trPr>
          <w:divId w:val="1392729739"/>
        </w:trPr>
        <w:tc>
          <w:tcPr>
            <w:tcW w:w="3562" w:type="pct"/>
            <w:tcMar>
              <w:top w:w="0" w:type="dxa"/>
              <w:left w:w="0" w:type="dxa"/>
              <w:bottom w:w="0" w:type="dxa"/>
              <w:right w:w="0" w:type="dxa"/>
            </w:tcMar>
            <w:hideMark/>
          </w:tcPr>
          <w:p w14:paraId="25FCFF1E" w14:textId="77777777" w:rsidR="00000000" w:rsidRDefault="001F1B20">
            <w:pPr>
              <w:pStyle w:val="a3"/>
              <w:spacing w:before="0" w:beforeAutospacing="0" w:after="0" w:afterAutospacing="0"/>
              <w:ind w:left="360"/>
              <w:rPr>
                <w:sz w:val="14"/>
                <w:szCs w:val="14"/>
              </w:rPr>
            </w:pPr>
            <w:r>
              <w:rPr>
                <w:sz w:val="15"/>
                <w:szCs w:val="15"/>
              </w:rPr>
              <w:t xml:space="preserve">Receivables from collaborative and licensing arrangements </w:t>
            </w:r>
          </w:p>
        </w:tc>
        <w:tc>
          <w:tcPr>
            <w:tcW w:w="127" w:type="pct"/>
            <w:noWrap/>
            <w:tcMar>
              <w:top w:w="0" w:type="dxa"/>
              <w:left w:w="0" w:type="dxa"/>
              <w:bottom w:w="0" w:type="dxa"/>
              <w:right w:w="0" w:type="dxa"/>
            </w:tcMar>
            <w:vAlign w:val="bottom"/>
            <w:hideMark/>
          </w:tcPr>
          <w:p w14:paraId="75D3F990"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6019F715"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5F28BE83" w14:textId="77777777" w:rsidR="00000000" w:rsidRDefault="001F1B20">
            <w:pPr>
              <w:pStyle w:val="a3"/>
              <w:spacing w:before="0" w:beforeAutospacing="0" w:after="0" w:afterAutospacing="0"/>
              <w:ind w:right="45"/>
              <w:jc w:val="right"/>
              <w:rPr>
                <w:sz w:val="14"/>
                <w:szCs w:val="14"/>
              </w:rPr>
            </w:pPr>
            <w:r>
              <w:rPr>
                <w:sz w:val="15"/>
                <w:szCs w:val="15"/>
              </w:rPr>
              <w:t>1,867</w:t>
            </w:r>
          </w:p>
        </w:tc>
        <w:tc>
          <w:tcPr>
            <w:tcW w:w="127" w:type="pct"/>
            <w:noWrap/>
            <w:tcMar>
              <w:top w:w="0" w:type="dxa"/>
              <w:left w:w="0" w:type="dxa"/>
              <w:bottom w:w="0" w:type="dxa"/>
              <w:right w:w="0" w:type="dxa"/>
            </w:tcMar>
            <w:vAlign w:val="bottom"/>
            <w:hideMark/>
          </w:tcPr>
          <w:p w14:paraId="39219848"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58DBE330"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06A78AE6" w14:textId="77777777" w:rsidR="00000000" w:rsidRDefault="001F1B20">
            <w:pPr>
              <w:pStyle w:val="a3"/>
              <w:spacing w:before="0" w:beforeAutospacing="0" w:after="0" w:afterAutospacing="0"/>
              <w:ind w:right="45"/>
              <w:jc w:val="right"/>
              <w:rPr>
                <w:sz w:val="14"/>
                <w:szCs w:val="14"/>
              </w:rPr>
            </w:pPr>
            <w:r>
              <w:rPr>
                <w:sz w:val="15"/>
                <w:szCs w:val="15"/>
              </w:rPr>
              <w:t>9,597</w:t>
            </w:r>
          </w:p>
        </w:tc>
      </w:tr>
      <w:tr w:rsidR="00000000" w14:paraId="5AC3B031" w14:textId="77777777">
        <w:trPr>
          <w:divId w:val="1392729739"/>
        </w:trPr>
        <w:tc>
          <w:tcPr>
            <w:tcW w:w="3562" w:type="pct"/>
            <w:shd w:val="clear" w:color="auto" w:fill="CCEEFF"/>
            <w:tcMar>
              <w:top w:w="0" w:type="dxa"/>
              <w:left w:w="0" w:type="dxa"/>
              <w:bottom w:w="0" w:type="dxa"/>
              <w:right w:w="0" w:type="dxa"/>
            </w:tcMar>
            <w:hideMark/>
          </w:tcPr>
          <w:p w14:paraId="5A22D30B" w14:textId="77777777" w:rsidR="00000000" w:rsidRDefault="001F1B20">
            <w:pPr>
              <w:pStyle w:val="a3"/>
              <w:spacing w:before="0" w:beforeAutospacing="0" w:after="0" w:afterAutospacing="0"/>
              <w:ind w:left="360"/>
              <w:rPr>
                <w:sz w:val="14"/>
                <w:szCs w:val="14"/>
              </w:rPr>
            </w:pPr>
            <w:r>
              <w:rPr>
                <w:sz w:val="15"/>
                <w:szCs w:val="15"/>
              </w:rPr>
              <w:t>Prepaid clinical and development services</w:t>
            </w:r>
          </w:p>
        </w:tc>
        <w:tc>
          <w:tcPr>
            <w:tcW w:w="127" w:type="pct"/>
            <w:shd w:val="clear" w:color="auto" w:fill="CCEEFF"/>
            <w:noWrap/>
            <w:tcMar>
              <w:top w:w="0" w:type="dxa"/>
              <w:left w:w="0" w:type="dxa"/>
              <w:bottom w:w="0" w:type="dxa"/>
              <w:right w:w="0" w:type="dxa"/>
            </w:tcMar>
            <w:vAlign w:val="bottom"/>
            <w:hideMark/>
          </w:tcPr>
          <w:p w14:paraId="0507464F"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0320FB1A"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234DC2FA" w14:textId="77777777" w:rsidR="00000000" w:rsidRDefault="001F1B20">
            <w:pPr>
              <w:pStyle w:val="a3"/>
              <w:spacing w:before="0" w:beforeAutospacing="0" w:after="0" w:afterAutospacing="0"/>
              <w:ind w:right="45"/>
              <w:jc w:val="right"/>
              <w:rPr>
                <w:sz w:val="14"/>
                <w:szCs w:val="14"/>
              </w:rPr>
            </w:pPr>
            <w:r>
              <w:rPr>
                <w:sz w:val="15"/>
                <w:szCs w:val="15"/>
              </w:rPr>
              <w:t>7,132</w:t>
            </w:r>
          </w:p>
        </w:tc>
        <w:tc>
          <w:tcPr>
            <w:tcW w:w="127" w:type="pct"/>
            <w:shd w:val="clear" w:color="auto" w:fill="CCEEFF"/>
            <w:noWrap/>
            <w:tcMar>
              <w:top w:w="0" w:type="dxa"/>
              <w:left w:w="0" w:type="dxa"/>
              <w:bottom w:w="0" w:type="dxa"/>
              <w:right w:w="0" w:type="dxa"/>
            </w:tcMar>
            <w:vAlign w:val="bottom"/>
            <w:hideMark/>
          </w:tcPr>
          <w:p w14:paraId="793DC2F1"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516C8B64"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4C2C4E46" w14:textId="77777777" w:rsidR="00000000" w:rsidRDefault="001F1B20">
            <w:pPr>
              <w:pStyle w:val="a3"/>
              <w:spacing w:before="0" w:beforeAutospacing="0" w:after="0" w:afterAutospacing="0"/>
              <w:jc w:val="right"/>
              <w:rPr>
                <w:sz w:val="14"/>
                <w:szCs w:val="14"/>
              </w:rPr>
            </w:pPr>
            <w:r>
              <w:rPr>
                <w:sz w:val="15"/>
                <w:szCs w:val="15"/>
              </w:rPr>
              <w:t>(18,025)</w:t>
            </w:r>
          </w:p>
        </w:tc>
      </w:tr>
      <w:tr w:rsidR="00000000" w14:paraId="7211CE4D" w14:textId="77777777">
        <w:trPr>
          <w:divId w:val="1392729739"/>
        </w:trPr>
        <w:tc>
          <w:tcPr>
            <w:tcW w:w="3562" w:type="pct"/>
            <w:tcMar>
              <w:top w:w="0" w:type="dxa"/>
              <w:left w:w="0" w:type="dxa"/>
              <w:bottom w:w="0" w:type="dxa"/>
              <w:right w:w="0" w:type="dxa"/>
            </w:tcMar>
            <w:hideMark/>
          </w:tcPr>
          <w:p w14:paraId="204B1CB2" w14:textId="77777777" w:rsidR="00000000" w:rsidRDefault="001F1B20">
            <w:pPr>
              <w:pStyle w:val="a3"/>
              <w:spacing w:before="0" w:beforeAutospacing="0" w:after="0" w:afterAutospacing="0"/>
              <w:ind w:left="360"/>
              <w:rPr>
                <w:sz w:val="14"/>
                <w:szCs w:val="14"/>
              </w:rPr>
            </w:pPr>
            <w:r>
              <w:rPr>
                <w:sz w:val="15"/>
                <w:szCs w:val="15"/>
              </w:rPr>
              <w:t>Other prepaid and current assets</w:t>
            </w:r>
          </w:p>
        </w:tc>
        <w:tc>
          <w:tcPr>
            <w:tcW w:w="127" w:type="pct"/>
            <w:noWrap/>
            <w:tcMar>
              <w:top w:w="0" w:type="dxa"/>
              <w:left w:w="0" w:type="dxa"/>
              <w:bottom w:w="0" w:type="dxa"/>
              <w:right w:w="0" w:type="dxa"/>
            </w:tcMar>
            <w:vAlign w:val="bottom"/>
            <w:hideMark/>
          </w:tcPr>
          <w:p w14:paraId="7C98AAC8"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07DCBDDC"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3A6C567F" w14:textId="77777777" w:rsidR="00000000" w:rsidRDefault="001F1B20">
            <w:pPr>
              <w:pStyle w:val="a3"/>
              <w:spacing w:before="0" w:beforeAutospacing="0" w:after="0" w:afterAutospacing="0"/>
              <w:jc w:val="right"/>
              <w:rPr>
                <w:sz w:val="14"/>
                <w:szCs w:val="14"/>
              </w:rPr>
            </w:pPr>
            <w:r>
              <w:rPr>
                <w:sz w:val="15"/>
                <w:szCs w:val="15"/>
              </w:rPr>
              <w:t>(99)</w:t>
            </w:r>
          </w:p>
        </w:tc>
        <w:tc>
          <w:tcPr>
            <w:tcW w:w="127" w:type="pct"/>
            <w:noWrap/>
            <w:tcMar>
              <w:top w:w="0" w:type="dxa"/>
              <w:left w:w="0" w:type="dxa"/>
              <w:bottom w:w="0" w:type="dxa"/>
              <w:right w:w="0" w:type="dxa"/>
            </w:tcMar>
            <w:vAlign w:val="bottom"/>
            <w:hideMark/>
          </w:tcPr>
          <w:p w14:paraId="693F1B1A"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34FFB3E6"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50A55745" w14:textId="77777777" w:rsidR="00000000" w:rsidRDefault="001F1B20">
            <w:pPr>
              <w:pStyle w:val="a3"/>
              <w:spacing w:before="0" w:beforeAutospacing="0" w:after="0" w:afterAutospacing="0"/>
              <w:jc w:val="right"/>
              <w:rPr>
                <w:sz w:val="14"/>
                <w:szCs w:val="14"/>
              </w:rPr>
            </w:pPr>
            <w:r>
              <w:rPr>
                <w:sz w:val="15"/>
                <w:szCs w:val="15"/>
              </w:rPr>
              <w:t>(2,274)</w:t>
            </w:r>
          </w:p>
        </w:tc>
      </w:tr>
      <w:tr w:rsidR="00000000" w14:paraId="39F7A9E9" w14:textId="77777777">
        <w:trPr>
          <w:divId w:val="1392729739"/>
        </w:trPr>
        <w:tc>
          <w:tcPr>
            <w:tcW w:w="3562" w:type="pct"/>
            <w:shd w:val="clear" w:color="auto" w:fill="CCEEFF"/>
            <w:tcMar>
              <w:top w:w="0" w:type="dxa"/>
              <w:left w:w="0" w:type="dxa"/>
              <w:bottom w:w="0" w:type="dxa"/>
              <w:right w:w="0" w:type="dxa"/>
            </w:tcMar>
            <w:vAlign w:val="bottom"/>
            <w:hideMark/>
          </w:tcPr>
          <w:p w14:paraId="302450D1" w14:textId="77777777" w:rsidR="00000000" w:rsidRDefault="001F1B20">
            <w:pPr>
              <w:pStyle w:val="a3"/>
              <w:spacing w:before="0" w:beforeAutospacing="0" w:after="0" w:afterAutospacing="0"/>
              <w:ind w:left="360"/>
              <w:rPr>
                <w:sz w:val="14"/>
                <w:szCs w:val="14"/>
              </w:rPr>
            </w:pPr>
            <w:r>
              <w:rPr>
                <w:sz w:val="15"/>
                <w:szCs w:val="15"/>
              </w:rPr>
              <w:t>Other assets</w:t>
            </w:r>
          </w:p>
        </w:tc>
        <w:tc>
          <w:tcPr>
            <w:tcW w:w="127" w:type="pct"/>
            <w:shd w:val="clear" w:color="auto" w:fill="CCEEFF"/>
            <w:noWrap/>
            <w:tcMar>
              <w:top w:w="0" w:type="dxa"/>
              <w:left w:w="0" w:type="dxa"/>
              <w:bottom w:w="0" w:type="dxa"/>
              <w:right w:w="0" w:type="dxa"/>
            </w:tcMar>
            <w:vAlign w:val="bottom"/>
            <w:hideMark/>
          </w:tcPr>
          <w:p w14:paraId="7C3D2AAE"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519B3D5C"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4B8DDED8" w14:textId="77777777" w:rsidR="00000000" w:rsidRDefault="001F1B20">
            <w:pPr>
              <w:pStyle w:val="a3"/>
              <w:spacing w:before="0" w:beforeAutospacing="0" w:after="0" w:afterAutospacing="0"/>
              <w:jc w:val="right"/>
              <w:rPr>
                <w:sz w:val="14"/>
                <w:szCs w:val="14"/>
              </w:rPr>
            </w:pPr>
            <w:r>
              <w:rPr>
                <w:sz w:val="15"/>
                <w:szCs w:val="15"/>
              </w:rPr>
              <w:t>(1,006)</w:t>
            </w:r>
          </w:p>
        </w:tc>
        <w:tc>
          <w:tcPr>
            <w:tcW w:w="127" w:type="pct"/>
            <w:shd w:val="clear" w:color="auto" w:fill="CCEEFF"/>
            <w:noWrap/>
            <w:tcMar>
              <w:top w:w="0" w:type="dxa"/>
              <w:left w:w="0" w:type="dxa"/>
              <w:bottom w:w="0" w:type="dxa"/>
              <w:right w:w="0" w:type="dxa"/>
            </w:tcMar>
            <w:vAlign w:val="bottom"/>
            <w:hideMark/>
          </w:tcPr>
          <w:p w14:paraId="1CAAD7F1"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612AF95D"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48AD4332" w14:textId="77777777" w:rsidR="00000000" w:rsidRDefault="001F1B20">
            <w:pPr>
              <w:pStyle w:val="a3"/>
              <w:spacing w:before="0" w:beforeAutospacing="0" w:after="0" w:afterAutospacing="0"/>
              <w:ind w:right="45"/>
              <w:jc w:val="right"/>
              <w:rPr>
                <w:sz w:val="14"/>
                <w:szCs w:val="14"/>
              </w:rPr>
            </w:pPr>
            <w:r>
              <w:rPr>
                <w:sz w:val="15"/>
                <w:szCs w:val="15"/>
              </w:rPr>
              <w:t>578</w:t>
            </w:r>
          </w:p>
        </w:tc>
      </w:tr>
      <w:tr w:rsidR="00000000" w14:paraId="1D26D3BC" w14:textId="77777777">
        <w:trPr>
          <w:divId w:val="1392729739"/>
        </w:trPr>
        <w:tc>
          <w:tcPr>
            <w:tcW w:w="3562" w:type="pct"/>
            <w:tcMar>
              <w:top w:w="0" w:type="dxa"/>
              <w:left w:w="0" w:type="dxa"/>
              <w:bottom w:w="0" w:type="dxa"/>
              <w:right w:w="0" w:type="dxa"/>
            </w:tcMar>
            <w:hideMark/>
          </w:tcPr>
          <w:p w14:paraId="6D3E13D4" w14:textId="77777777" w:rsidR="00000000" w:rsidRDefault="001F1B20">
            <w:pPr>
              <w:pStyle w:val="a3"/>
              <w:spacing w:before="0" w:beforeAutospacing="0" w:after="0" w:afterAutospacing="0"/>
              <w:ind w:left="360"/>
              <w:rPr>
                <w:sz w:val="14"/>
                <w:szCs w:val="14"/>
              </w:rPr>
            </w:pPr>
            <w:r>
              <w:rPr>
                <w:sz w:val="15"/>
                <w:szCs w:val="15"/>
              </w:rPr>
              <w:t xml:space="preserve">Accounts payable </w:t>
            </w:r>
          </w:p>
        </w:tc>
        <w:tc>
          <w:tcPr>
            <w:tcW w:w="127" w:type="pct"/>
            <w:noWrap/>
            <w:tcMar>
              <w:top w:w="0" w:type="dxa"/>
              <w:left w:w="0" w:type="dxa"/>
              <w:bottom w:w="0" w:type="dxa"/>
              <w:right w:w="0" w:type="dxa"/>
            </w:tcMar>
            <w:vAlign w:val="bottom"/>
            <w:hideMark/>
          </w:tcPr>
          <w:p w14:paraId="018B9119"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624A20E8"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50DD404B" w14:textId="77777777" w:rsidR="00000000" w:rsidRDefault="001F1B20">
            <w:pPr>
              <w:pStyle w:val="a3"/>
              <w:spacing w:before="0" w:beforeAutospacing="0" w:after="0" w:afterAutospacing="0"/>
              <w:ind w:right="45"/>
              <w:jc w:val="right"/>
              <w:rPr>
                <w:sz w:val="14"/>
                <w:szCs w:val="14"/>
              </w:rPr>
            </w:pPr>
            <w:r>
              <w:rPr>
                <w:sz w:val="15"/>
                <w:szCs w:val="15"/>
              </w:rPr>
              <w:t>2,206</w:t>
            </w:r>
          </w:p>
        </w:tc>
        <w:tc>
          <w:tcPr>
            <w:tcW w:w="127" w:type="pct"/>
            <w:noWrap/>
            <w:tcMar>
              <w:top w:w="0" w:type="dxa"/>
              <w:left w:w="0" w:type="dxa"/>
              <w:bottom w:w="0" w:type="dxa"/>
              <w:right w:w="0" w:type="dxa"/>
            </w:tcMar>
            <w:vAlign w:val="bottom"/>
            <w:hideMark/>
          </w:tcPr>
          <w:p w14:paraId="52F864A5"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1E3A0142"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324F095C" w14:textId="77777777" w:rsidR="00000000" w:rsidRDefault="001F1B20">
            <w:pPr>
              <w:pStyle w:val="a3"/>
              <w:spacing w:before="0" w:beforeAutospacing="0" w:after="0" w:afterAutospacing="0"/>
              <w:ind w:right="45"/>
              <w:jc w:val="right"/>
              <w:rPr>
                <w:sz w:val="14"/>
                <w:szCs w:val="14"/>
              </w:rPr>
            </w:pPr>
            <w:r>
              <w:rPr>
                <w:sz w:val="15"/>
                <w:szCs w:val="15"/>
              </w:rPr>
              <w:t>2,133</w:t>
            </w:r>
          </w:p>
        </w:tc>
      </w:tr>
      <w:tr w:rsidR="00000000" w14:paraId="170516C2" w14:textId="77777777">
        <w:trPr>
          <w:divId w:val="1392729739"/>
        </w:trPr>
        <w:tc>
          <w:tcPr>
            <w:tcW w:w="3562" w:type="pct"/>
            <w:shd w:val="clear" w:color="auto" w:fill="CCEEFF"/>
            <w:tcMar>
              <w:top w:w="0" w:type="dxa"/>
              <w:left w:w="0" w:type="dxa"/>
              <w:bottom w:w="0" w:type="dxa"/>
              <w:right w:w="0" w:type="dxa"/>
            </w:tcMar>
            <w:hideMark/>
          </w:tcPr>
          <w:p w14:paraId="75958772" w14:textId="77777777" w:rsidR="00000000" w:rsidRDefault="001F1B20">
            <w:pPr>
              <w:pStyle w:val="a3"/>
              <w:spacing w:before="0" w:beforeAutospacing="0" w:after="0" w:afterAutospacing="0"/>
              <w:ind w:left="360"/>
              <w:rPr>
                <w:sz w:val="14"/>
                <w:szCs w:val="14"/>
              </w:rPr>
            </w:pPr>
            <w:r>
              <w:rPr>
                <w:sz w:val="15"/>
                <w:szCs w:val="15"/>
              </w:rPr>
              <w:t xml:space="preserve">Accrued personnel-related expenses, accrued clinical and development expenses, and other accrued liabilities </w:t>
            </w:r>
          </w:p>
        </w:tc>
        <w:tc>
          <w:tcPr>
            <w:tcW w:w="127" w:type="pct"/>
            <w:shd w:val="clear" w:color="auto" w:fill="CCEEFF"/>
            <w:noWrap/>
            <w:tcMar>
              <w:top w:w="0" w:type="dxa"/>
              <w:left w:w="0" w:type="dxa"/>
              <w:bottom w:w="0" w:type="dxa"/>
              <w:right w:w="0" w:type="dxa"/>
            </w:tcMar>
            <w:vAlign w:val="bottom"/>
            <w:hideMark/>
          </w:tcPr>
          <w:p w14:paraId="047A0A71"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58EF456D" w14:textId="77777777" w:rsidR="00000000" w:rsidRDefault="001F1B20">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14:paraId="6E473F29" w14:textId="77777777" w:rsidR="00000000" w:rsidRDefault="001F1B20">
            <w:pPr>
              <w:pStyle w:val="a3"/>
              <w:spacing w:before="0" w:beforeAutospacing="0" w:after="0" w:afterAutospacing="0"/>
              <w:jc w:val="right"/>
              <w:rPr>
                <w:sz w:val="14"/>
                <w:szCs w:val="14"/>
              </w:rPr>
            </w:pPr>
            <w:r>
              <w:rPr>
                <w:sz w:val="15"/>
                <w:szCs w:val="15"/>
              </w:rPr>
              <w:t>(36,573)</w:t>
            </w:r>
          </w:p>
        </w:tc>
        <w:tc>
          <w:tcPr>
            <w:tcW w:w="127" w:type="pct"/>
            <w:shd w:val="clear" w:color="auto" w:fill="CCEEFF"/>
            <w:noWrap/>
            <w:tcMar>
              <w:top w:w="0" w:type="dxa"/>
              <w:left w:w="0" w:type="dxa"/>
              <w:bottom w:w="0" w:type="dxa"/>
              <w:right w:w="0" w:type="dxa"/>
            </w:tcMar>
            <w:vAlign w:val="bottom"/>
            <w:hideMark/>
          </w:tcPr>
          <w:p w14:paraId="3E4EFC8F"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773BCCBE" w14:textId="77777777" w:rsidR="00000000" w:rsidRDefault="001F1B20">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14:paraId="4C2A8A36" w14:textId="77777777" w:rsidR="00000000" w:rsidRDefault="001F1B20">
            <w:pPr>
              <w:pStyle w:val="a3"/>
              <w:spacing w:before="0" w:beforeAutospacing="0" w:after="0" w:afterAutospacing="0"/>
              <w:jc w:val="right"/>
              <w:rPr>
                <w:sz w:val="14"/>
                <w:szCs w:val="14"/>
              </w:rPr>
            </w:pPr>
            <w:r>
              <w:rPr>
                <w:sz w:val="15"/>
                <w:szCs w:val="15"/>
              </w:rPr>
              <w:t>(178)</w:t>
            </w:r>
          </w:p>
        </w:tc>
      </w:tr>
      <w:tr w:rsidR="00000000" w14:paraId="4F4B381C" w14:textId="77777777">
        <w:trPr>
          <w:divId w:val="1392729739"/>
        </w:trPr>
        <w:tc>
          <w:tcPr>
            <w:tcW w:w="3562" w:type="pct"/>
            <w:tcMar>
              <w:top w:w="0" w:type="dxa"/>
              <w:left w:w="0" w:type="dxa"/>
              <w:bottom w:w="0" w:type="dxa"/>
              <w:right w:w="0" w:type="dxa"/>
            </w:tcMar>
            <w:hideMark/>
          </w:tcPr>
          <w:p w14:paraId="3946BB7C" w14:textId="77777777" w:rsidR="00000000" w:rsidRDefault="001F1B20">
            <w:pPr>
              <w:pStyle w:val="a3"/>
              <w:spacing w:before="0" w:beforeAutospacing="0" w:after="0" w:afterAutospacing="0"/>
              <w:ind w:left="360"/>
              <w:rPr>
                <w:sz w:val="14"/>
                <w:szCs w:val="14"/>
              </w:rPr>
            </w:pPr>
            <w:r>
              <w:rPr>
                <w:sz w:val="15"/>
                <w:szCs w:val="15"/>
              </w:rPr>
              <w:t>Accrued interest payable</w:t>
            </w:r>
          </w:p>
        </w:tc>
        <w:tc>
          <w:tcPr>
            <w:tcW w:w="127" w:type="pct"/>
            <w:noWrap/>
            <w:tcMar>
              <w:top w:w="0" w:type="dxa"/>
              <w:left w:w="0" w:type="dxa"/>
              <w:bottom w:w="0" w:type="dxa"/>
              <w:right w:w="0" w:type="dxa"/>
            </w:tcMar>
            <w:vAlign w:val="bottom"/>
            <w:hideMark/>
          </w:tcPr>
          <w:p w14:paraId="699367ED"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5706CDCE"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3B124874" w14:textId="77777777" w:rsidR="00000000" w:rsidRDefault="001F1B20">
            <w:pPr>
              <w:pStyle w:val="a3"/>
              <w:spacing w:before="0" w:beforeAutospacing="0" w:after="0" w:afterAutospacing="0"/>
              <w:ind w:right="45"/>
              <w:jc w:val="right"/>
              <w:rPr>
                <w:sz w:val="14"/>
                <w:szCs w:val="14"/>
              </w:rPr>
            </w:pPr>
            <w:r>
              <w:rPr>
                <w:sz w:val="15"/>
                <w:szCs w:val="15"/>
              </w:rPr>
              <w:t>1,834</w:t>
            </w:r>
          </w:p>
        </w:tc>
        <w:tc>
          <w:tcPr>
            <w:tcW w:w="127" w:type="pct"/>
            <w:noWrap/>
            <w:tcMar>
              <w:top w:w="0" w:type="dxa"/>
              <w:left w:w="0" w:type="dxa"/>
              <w:bottom w:w="0" w:type="dxa"/>
              <w:right w:w="0" w:type="dxa"/>
            </w:tcMar>
            <w:vAlign w:val="bottom"/>
            <w:hideMark/>
          </w:tcPr>
          <w:p w14:paraId="47726434"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0A7B0579"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2C8D999F" w14:textId="77777777" w:rsidR="00000000" w:rsidRDefault="001F1B20">
            <w:pPr>
              <w:pStyle w:val="a3"/>
              <w:spacing w:before="0" w:beforeAutospacing="0" w:after="0" w:afterAutospacing="0"/>
              <w:ind w:right="45"/>
              <w:jc w:val="right"/>
              <w:rPr>
                <w:sz w:val="14"/>
                <w:szCs w:val="14"/>
              </w:rPr>
            </w:pPr>
            <w:r>
              <w:rPr>
                <w:sz w:val="15"/>
                <w:szCs w:val="15"/>
              </w:rPr>
              <w:t>132</w:t>
            </w:r>
          </w:p>
        </w:tc>
      </w:tr>
      <w:tr w:rsidR="00000000" w14:paraId="4A9A3BC8" w14:textId="77777777">
        <w:trPr>
          <w:divId w:val="1392729739"/>
        </w:trPr>
        <w:tc>
          <w:tcPr>
            <w:tcW w:w="3562" w:type="pct"/>
            <w:shd w:val="clear" w:color="auto" w:fill="CCEEFF"/>
            <w:tcMar>
              <w:top w:w="0" w:type="dxa"/>
              <w:left w:w="0" w:type="dxa"/>
              <w:bottom w:w="0" w:type="dxa"/>
              <w:right w:w="0" w:type="dxa"/>
            </w:tcMar>
            <w:hideMark/>
          </w:tcPr>
          <w:p w14:paraId="13B471BA" w14:textId="77777777" w:rsidR="00000000" w:rsidRDefault="001F1B20">
            <w:pPr>
              <w:pStyle w:val="a3"/>
              <w:spacing w:before="0" w:beforeAutospacing="0" w:after="0" w:afterAutospacing="0"/>
              <w:ind w:left="360"/>
              <w:rPr>
                <w:sz w:val="14"/>
                <w:szCs w:val="14"/>
              </w:rPr>
            </w:pPr>
            <w:r>
              <w:rPr>
                <w:sz w:val="15"/>
                <w:szCs w:val="15"/>
              </w:rPr>
              <w:t xml:space="preserve">Deferred revenue </w:t>
            </w:r>
          </w:p>
        </w:tc>
        <w:tc>
          <w:tcPr>
            <w:tcW w:w="127" w:type="pct"/>
            <w:shd w:val="clear" w:color="auto" w:fill="CCEEFF"/>
            <w:noWrap/>
            <w:tcMar>
              <w:top w:w="0" w:type="dxa"/>
              <w:left w:w="0" w:type="dxa"/>
              <w:bottom w:w="0" w:type="dxa"/>
              <w:right w:w="0" w:type="dxa"/>
            </w:tcMar>
            <w:vAlign w:val="bottom"/>
            <w:hideMark/>
          </w:tcPr>
          <w:p w14:paraId="0C7BA119"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7DDFFC38"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14DBDCC5" w14:textId="77777777" w:rsidR="00000000" w:rsidRDefault="001F1B20">
            <w:pPr>
              <w:pStyle w:val="a3"/>
              <w:spacing w:before="0" w:beforeAutospacing="0" w:after="0" w:afterAutospacing="0"/>
              <w:jc w:val="right"/>
              <w:rPr>
                <w:sz w:val="14"/>
                <w:szCs w:val="14"/>
              </w:rPr>
            </w:pPr>
            <w:r>
              <w:rPr>
                <w:sz w:val="15"/>
                <w:szCs w:val="15"/>
              </w:rPr>
              <w:t>(8,648)</w:t>
            </w:r>
          </w:p>
        </w:tc>
        <w:tc>
          <w:tcPr>
            <w:tcW w:w="127" w:type="pct"/>
            <w:shd w:val="clear" w:color="auto" w:fill="CCEEFF"/>
            <w:noWrap/>
            <w:tcMar>
              <w:top w:w="0" w:type="dxa"/>
              <w:left w:w="0" w:type="dxa"/>
              <w:bottom w:w="0" w:type="dxa"/>
              <w:right w:w="0" w:type="dxa"/>
            </w:tcMar>
            <w:vAlign w:val="bottom"/>
            <w:hideMark/>
          </w:tcPr>
          <w:p w14:paraId="51B11EBF"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12F57389"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6D5E02B1" w14:textId="77777777" w:rsidR="00000000" w:rsidRDefault="001F1B20">
            <w:pPr>
              <w:pStyle w:val="a3"/>
              <w:spacing w:before="0" w:beforeAutospacing="0" w:after="0" w:afterAutospacing="0"/>
              <w:jc w:val="right"/>
              <w:rPr>
                <w:sz w:val="14"/>
                <w:szCs w:val="14"/>
              </w:rPr>
            </w:pPr>
            <w:r>
              <w:rPr>
                <w:sz w:val="15"/>
                <w:szCs w:val="15"/>
              </w:rPr>
              <w:t>(19,382)</w:t>
            </w:r>
          </w:p>
        </w:tc>
      </w:tr>
      <w:tr w:rsidR="00000000" w14:paraId="0C7C6009" w14:textId="77777777">
        <w:trPr>
          <w:divId w:val="1392729739"/>
        </w:trPr>
        <w:tc>
          <w:tcPr>
            <w:tcW w:w="3562" w:type="pct"/>
            <w:tcMar>
              <w:top w:w="0" w:type="dxa"/>
              <w:left w:w="0" w:type="dxa"/>
              <w:bottom w:w="0" w:type="dxa"/>
              <w:right w:w="0" w:type="dxa"/>
            </w:tcMar>
            <w:hideMark/>
          </w:tcPr>
          <w:p w14:paraId="19F44EAF" w14:textId="77777777" w:rsidR="00000000" w:rsidRDefault="001F1B20">
            <w:pPr>
              <w:pStyle w:val="a3"/>
              <w:spacing w:before="0" w:beforeAutospacing="0" w:after="0" w:afterAutospacing="0"/>
              <w:ind w:left="360"/>
              <w:rPr>
                <w:sz w:val="14"/>
                <w:szCs w:val="14"/>
              </w:rPr>
            </w:pPr>
            <w:r>
              <w:rPr>
                <w:sz w:val="15"/>
                <w:szCs w:val="15"/>
              </w:rPr>
              <w:t>Operating lease liabilities</w:t>
            </w:r>
          </w:p>
        </w:tc>
        <w:tc>
          <w:tcPr>
            <w:tcW w:w="127" w:type="pct"/>
            <w:noWrap/>
            <w:tcMar>
              <w:top w:w="0" w:type="dxa"/>
              <w:left w:w="0" w:type="dxa"/>
              <w:bottom w:w="0" w:type="dxa"/>
              <w:right w:w="0" w:type="dxa"/>
            </w:tcMar>
            <w:vAlign w:val="bottom"/>
            <w:hideMark/>
          </w:tcPr>
          <w:p w14:paraId="4C7B600C"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34208959"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5F41DEC4" w14:textId="77777777" w:rsidR="00000000" w:rsidRDefault="001F1B20">
            <w:pPr>
              <w:pStyle w:val="a3"/>
              <w:spacing w:before="0" w:beforeAutospacing="0" w:after="0" w:afterAutospacing="0"/>
              <w:ind w:right="45"/>
              <w:jc w:val="right"/>
              <w:rPr>
                <w:sz w:val="14"/>
                <w:szCs w:val="14"/>
              </w:rPr>
            </w:pPr>
            <w:r>
              <w:rPr>
                <w:sz w:val="15"/>
                <w:szCs w:val="15"/>
              </w:rPr>
              <w:t>443</w:t>
            </w:r>
          </w:p>
        </w:tc>
        <w:tc>
          <w:tcPr>
            <w:tcW w:w="127" w:type="pct"/>
            <w:noWrap/>
            <w:tcMar>
              <w:top w:w="0" w:type="dxa"/>
              <w:left w:w="0" w:type="dxa"/>
              <w:bottom w:w="0" w:type="dxa"/>
              <w:right w:w="0" w:type="dxa"/>
            </w:tcMar>
            <w:vAlign w:val="bottom"/>
            <w:hideMark/>
          </w:tcPr>
          <w:p w14:paraId="7D0BF152"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4E35DB1D"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0323B8FC" w14:textId="77777777" w:rsidR="00000000" w:rsidRDefault="001F1B20">
            <w:pPr>
              <w:pStyle w:val="a3"/>
              <w:spacing w:before="0" w:beforeAutospacing="0" w:after="0" w:afterAutospacing="0"/>
              <w:ind w:right="45"/>
              <w:jc w:val="right"/>
              <w:rPr>
                <w:sz w:val="14"/>
                <w:szCs w:val="14"/>
              </w:rPr>
            </w:pPr>
            <w:r>
              <w:rPr>
                <w:sz w:val="15"/>
                <w:szCs w:val="15"/>
              </w:rPr>
              <w:t>2,021</w:t>
            </w:r>
          </w:p>
        </w:tc>
      </w:tr>
      <w:tr w:rsidR="00000000" w14:paraId="6F3856D3" w14:textId="77777777">
        <w:trPr>
          <w:divId w:val="1392729739"/>
        </w:trPr>
        <w:tc>
          <w:tcPr>
            <w:tcW w:w="3562" w:type="pct"/>
            <w:shd w:val="clear" w:color="auto" w:fill="CCEEFF"/>
            <w:tcMar>
              <w:top w:w="0" w:type="dxa"/>
              <w:left w:w="0" w:type="dxa"/>
              <w:bottom w:w="0" w:type="dxa"/>
              <w:right w:w="0" w:type="dxa"/>
            </w:tcMar>
            <w:hideMark/>
          </w:tcPr>
          <w:p w14:paraId="1A7CED80" w14:textId="77777777" w:rsidR="00000000" w:rsidRDefault="001F1B20">
            <w:pPr>
              <w:pStyle w:val="a3"/>
              <w:spacing w:before="0" w:beforeAutospacing="0" w:after="0" w:afterAutospacing="0"/>
              <w:ind w:left="360"/>
              <w:rPr>
                <w:sz w:val="14"/>
                <w:szCs w:val="14"/>
              </w:rPr>
            </w:pPr>
            <w:r>
              <w:rPr>
                <w:sz w:val="15"/>
                <w:szCs w:val="15"/>
              </w:rPr>
              <w:t>Other long-term liabilities</w:t>
            </w:r>
          </w:p>
        </w:tc>
        <w:tc>
          <w:tcPr>
            <w:tcW w:w="127" w:type="pct"/>
            <w:shd w:val="clear" w:color="auto" w:fill="CCEEFF"/>
            <w:noWrap/>
            <w:tcMar>
              <w:top w:w="0" w:type="dxa"/>
              <w:left w:w="0" w:type="dxa"/>
              <w:bottom w:w="0" w:type="dxa"/>
              <w:right w:w="0" w:type="dxa"/>
            </w:tcMar>
            <w:vAlign w:val="bottom"/>
            <w:hideMark/>
          </w:tcPr>
          <w:p w14:paraId="45B002C2"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0C66B112" w14:textId="77777777" w:rsidR="00000000" w:rsidRDefault="001F1B20">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14:paraId="5AA3C093" w14:textId="77777777" w:rsidR="00000000" w:rsidRDefault="001F1B20">
            <w:pPr>
              <w:pStyle w:val="a3"/>
              <w:spacing w:before="0" w:beforeAutospacing="0" w:after="0" w:afterAutospacing="0"/>
              <w:ind w:right="45"/>
              <w:jc w:val="right"/>
              <w:rPr>
                <w:sz w:val="14"/>
                <w:szCs w:val="14"/>
              </w:rPr>
            </w:pPr>
            <w:r>
              <w:rPr>
                <w:sz w:val="15"/>
                <w:szCs w:val="15"/>
              </w:rPr>
              <w:t>776</w:t>
            </w:r>
          </w:p>
        </w:tc>
        <w:tc>
          <w:tcPr>
            <w:tcW w:w="127" w:type="pct"/>
            <w:shd w:val="clear" w:color="auto" w:fill="CCEEFF"/>
            <w:noWrap/>
            <w:tcMar>
              <w:top w:w="0" w:type="dxa"/>
              <w:left w:w="0" w:type="dxa"/>
              <w:bottom w:w="0" w:type="dxa"/>
              <w:right w:w="0" w:type="dxa"/>
            </w:tcMar>
            <w:vAlign w:val="bottom"/>
            <w:hideMark/>
          </w:tcPr>
          <w:p w14:paraId="571FBAB7"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774AED39" w14:textId="77777777" w:rsidR="00000000" w:rsidRDefault="001F1B20">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14:paraId="107B8F62" w14:textId="77777777" w:rsidR="00000000" w:rsidRDefault="001F1B20">
            <w:pPr>
              <w:pStyle w:val="a3"/>
              <w:spacing w:before="0" w:beforeAutospacing="0" w:after="0" w:afterAutospacing="0"/>
              <w:ind w:right="45"/>
              <w:jc w:val="right"/>
              <w:rPr>
                <w:sz w:val="14"/>
                <w:szCs w:val="14"/>
              </w:rPr>
            </w:pPr>
            <w:r>
              <w:rPr>
                <w:sz w:val="15"/>
                <w:szCs w:val="15"/>
              </w:rPr>
              <w:t>265</w:t>
            </w:r>
          </w:p>
        </w:tc>
      </w:tr>
      <w:tr w:rsidR="00000000" w14:paraId="35AEC0FB" w14:textId="77777777">
        <w:trPr>
          <w:divId w:val="1392729739"/>
        </w:trPr>
        <w:tc>
          <w:tcPr>
            <w:tcW w:w="3562" w:type="pct"/>
            <w:tcMar>
              <w:top w:w="0" w:type="dxa"/>
              <w:left w:w="0" w:type="dxa"/>
              <w:bottom w:w="0" w:type="dxa"/>
              <w:right w:w="0" w:type="dxa"/>
            </w:tcMar>
            <w:hideMark/>
          </w:tcPr>
          <w:p w14:paraId="5F67CDA5" w14:textId="77777777" w:rsidR="00000000" w:rsidRDefault="001F1B20">
            <w:pPr>
              <w:pStyle w:val="a3"/>
              <w:spacing w:before="0" w:beforeAutospacing="0" w:after="0" w:afterAutospacing="0"/>
              <w:ind w:left="480"/>
              <w:rPr>
                <w:sz w:val="14"/>
                <w:szCs w:val="14"/>
              </w:rPr>
            </w:pPr>
            <w:r>
              <w:rPr>
                <w:sz w:val="15"/>
                <w:szCs w:val="15"/>
              </w:rPr>
              <w:t xml:space="preserve">Net cash used in operating activities </w:t>
            </w:r>
          </w:p>
        </w:tc>
        <w:tc>
          <w:tcPr>
            <w:tcW w:w="127" w:type="pct"/>
            <w:noWrap/>
            <w:tcMar>
              <w:top w:w="0" w:type="dxa"/>
              <w:left w:w="0" w:type="dxa"/>
              <w:bottom w:w="0" w:type="dxa"/>
              <w:right w:w="0" w:type="dxa"/>
            </w:tcMar>
            <w:vAlign w:val="bottom"/>
            <w:hideMark/>
          </w:tcPr>
          <w:p w14:paraId="2C49097C"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14:paraId="08FDAC06" w14:textId="77777777" w:rsidR="00000000" w:rsidRDefault="001F1B20">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14:paraId="06BD0AB8" w14:textId="77777777" w:rsidR="00000000" w:rsidRDefault="001F1B20">
            <w:pPr>
              <w:pStyle w:val="a3"/>
              <w:spacing w:before="0" w:beforeAutospacing="0" w:after="0" w:afterAutospacing="0"/>
              <w:jc w:val="right"/>
              <w:rPr>
                <w:sz w:val="14"/>
                <w:szCs w:val="14"/>
              </w:rPr>
            </w:pPr>
            <w:r>
              <w:rPr>
                <w:sz w:val="15"/>
                <w:szCs w:val="15"/>
              </w:rPr>
              <w:t>(165,424)</w:t>
            </w:r>
          </w:p>
        </w:tc>
        <w:tc>
          <w:tcPr>
            <w:tcW w:w="127" w:type="pct"/>
            <w:noWrap/>
            <w:tcMar>
              <w:top w:w="0" w:type="dxa"/>
              <w:left w:w="0" w:type="dxa"/>
              <w:bottom w:w="0" w:type="dxa"/>
              <w:right w:w="0" w:type="dxa"/>
            </w:tcMar>
            <w:vAlign w:val="bottom"/>
            <w:hideMark/>
          </w:tcPr>
          <w:p w14:paraId="1D50F296"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14:paraId="457731BE" w14:textId="77777777" w:rsidR="00000000" w:rsidRDefault="001F1B20">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14:paraId="08BC2A48" w14:textId="77777777" w:rsidR="00000000" w:rsidRDefault="001F1B20">
            <w:pPr>
              <w:pStyle w:val="a3"/>
              <w:spacing w:before="0" w:beforeAutospacing="0" w:after="0" w:afterAutospacing="0"/>
              <w:jc w:val="right"/>
              <w:rPr>
                <w:sz w:val="14"/>
                <w:szCs w:val="14"/>
              </w:rPr>
            </w:pPr>
            <w:r>
              <w:rPr>
                <w:sz w:val="15"/>
                <w:szCs w:val="15"/>
              </w:rPr>
              <w:t>(185,478)</w:t>
            </w:r>
          </w:p>
        </w:tc>
      </w:tr>
      <w:tr w:rsidR="00000000" w14:paraId="167C21AC" w14:textId="77777777">
        <w:trPr>
          <w:divId w:val="1392729739"/>
        </w:trPr>
        <w:tc>
          <w:tcPr>
            <w:tcW w:w="3562" w:type="pct"/>
            <w:shd w:val="clear" w:color="auto" w:fill="CCEEFF"/>
            <w:tcMar>
              <w:top w:w="0" w:type="dxa"/>
              <w:left w:w="0" w:type="dxa"/>
              <w:bottom w:w="0" w:type="dxa"/>
              <w:right w:w="0" w:type="dxa"/>
            </w:tcMar>
            <w:hideMark/>
          </w:tcPr>
          <w:p w14:paraId="0C2E3933" w14:textId="77777777" w:rsidR="00000000" w:rsidRDefault="001F1B20">
            <w:pPr>
              <w:pStyle w:val="a3"/>
              <w:spacing w:before="0" w:beforeAutospacing="0" w:after="0"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64550F19"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2E312D6A"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2FA81499" w14:textId="77777777" w:rsidR="00000000" w:rsidRDefault="001F1B20">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5E2B0A4C"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3436E1D9"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38830C50" w14:textId="77777777" w:rsidR="00000000" w:rsidRDefault="001F1B20">
            <w:pPr>
              <w:pStyle w:val="a3"/>
              <w:spacing w:before="0" w:beforeAutospacing="0" w:after="0" w:afterAutospacing="0"/>
              <w:jc w:val="right"/>
              <w:rPr>
                <w:sz w:val="20"/>
                <w:szCs w:val="20"/>
              </w:rPr>
            </w:pPr>
            <w:r>
              <w:rPr>
                <w:sz w:val="15"/>
                <w:szCs w:val="15"/>
              </w:rPr>
              <w:t>​</w:t>
            </w:r>
          </w:p>
        </w:tc>
      </w:tr>
      <w:tr w:rsidR="00000000" w14:paraId="24F23A34" w14:textId="77777777">
        <w:trPr>
          <w:divId w:val="1392729739"/>
        </w:trPr>
        <w:tc>
          <w:tcPr>
            <w:tcW w:w="3562" w:type="pct"/>
            <w:tcMar>
              <w:top w:w="0" w:type="dxa"/>
              <w:left w:w="0" w:type="dxa"/>
              <w:bottom w:w="0" w:type="dxa"/>
              <w:right w:w="0" w:type="dxa"/>
            </w:tcMar>
            <w:hideMark/>
          </w:tcPr>
          <w:p w14:paraId="33247756" w14:textId="77777777" w:rsidR="00000000" w:rsidRDefault="001F1B20">
            <w:pPr>
              <w:pStyle w:val="a3"/>
              <w:spacing w:before="0" w:beforeAutospacing="0" w:after="0" w:afterAutospacing="0"/>
              <w:rPr>
                <w:sz w:val="14"/>
                <w:szCs w:val="14"/>
              </w:rPr>
            </w:pPr>
            <w:r>
              <w:rPr>
                <w:b/>
                <w:bCs/>
                <w:sz w:val="15"/>
                <w:szCs w:val="15"/>
              </w:rPr>
              <w:t>Investing activities</w:t>
            </w:r>
          </w:p>
        </w:tc>
        <w:tc>
          <w:tcPr>
            <w:tcW w:w="127" w:type="pct"/>
            <w:noWrap/>
            <w:tcMar>
              <w:top w:w="0" w:type="dxa"/>
              <w:left w:w="0" w:type="dxa"/>
              <w:bottom w:w="0" w:type="dxa"/>
              <w:right w:w="0" w:type="dxa"/>
            </w:tcMar>
            <w:vAlign w:val="bottom"/>
            <w:hideMark/>
          </w:tcPr>
          <w:p w14:paraId="1902EC65"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2033A37A"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78134F6A" w14:textId="77777777" w:rsidR="00000000" w:rsidRDefault="001F1B20">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14:paraId="17DA9C62"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38AE0D48"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0840470C" w14:textId="77777777" w:rsidR="00000000" w:rsidRDefault="001F1B20">
            <w:pPr>
              <w:pStyle w:val="a3"/>
              <w:spacing w:before="0" w:beforeAutospacing="0" w:after="0" w:afterAutospacing="0"/>
              <w:jc w:val="right"/>
              <w:rPr>
                <w:sz w:val="20"/>
                <w:szCs w:val="20"/>
              </w:rPr>
            </w:pPr>
            <w:r>
              <w:rPr>
                <w:sz w:val="15"/>
                <w:szCs w:val="15"/>
              </w:rPr>
              <w:t>​</w:t>
            </w:r>
          </w:p>
        </w:tc>
      </w:tr>
      <w:tr w:rsidR="00000000" w14:paraId="2FCD60CD" w14:textId="77777777">
        <w:trPr>
          <w:divId w:val="1392729739"/>
        </w:trPr>
        <w:tc>
          <w:tcPr>
            <w:tcW w:w="3562" w:type="pct"/>
            <w:shd w:val="clear" w:color="auto" w:fill="CCEEFF"/>
            <w:tcMar>
              <w:top w:w="0" w:type="dxa"/>
              <w:left w:w="0" w:type="dxa"/>
              <w:bottom w:w="0" w:type="dxa"/>
              <w:right w:w="0" w:type="dxa"/>
            </w:tcMar>
            <w:hideMark/>
          </w:tcPr>
          <w:p w14:paraId="7BAFA21F" w14:textId="77777777" w:rsidR="00000000" w:rsidRDefault="001F1B20">
            <w:pPr>
              <w:pStyle w:val="a3"/>
              <w:spacing w:before="0" w:beforeAutospacing="0" w:after="0" w:afterAutospacing="0"/>
              <w:rPr>
                <w:sz w:val="14"/>
                <w:szCs w:val="14"/>
              </w:rPr>
            </w:pPr>
            <w:r>
              <w:rPr>
                <w:sz w:val="15"/>
                <w:szCs w:val="15"/>
              </w:rPr>
              <w:t>Purchases of property and equipment</w:t>
            </w:r>
          </w:p>
        </w:tc>
        <w:tc>
          <w:tcPr>
            <w:tcW w:w="127" w:type="pct"/>
            <w:shd w:val="clear" w:color="auto" w:fill="CCEEFF"/>
            <w:noWrap/>
            <w:tcMar>
              <w:top w:w="0" w:type="dxa"/>
              <w:left w:w="0" w:type="dxa"/>
              <w:bottom w:w="0" w:type="dxa"/>
              <w:right w:w="0" w:type="dxa"/>
            </w:tcMar>
            <w:vAlign w:val="bottom"/>
            <w:hideMark/>
          </w:tcPr>
          <w:p w14:paraId="1BEB792C"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339454D7" w14:textId="77777777" w:rsidR="00000000" w:rsidRDefault="001F1B20">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14:paraId="5C879D5C" w14:textId="77777777" w:rsidR="00000000" w:rsidRDefault="001F1B20">
            <w:pPr>
              <w:pStyle w:val="a3"/>
              <w:spacing w:before="0" w:beforeAutospacing="0" w:after="0" w:afterAutospacing="0"/>
              <w:jc w:val="right"/>
              <w:rPr>
                <w:sz w:val="14"/>
                <w:szCs w:val="14"/>
              </w:rPr>
            </w:pPr>
            <w:r>
              <w:rPr>
                <w:sz w:val="15"/>
                <w:szCs w:val="15"/>
              </w:rPr>
              <w:t>(2,962)</w:t>
            </w:r>
          </w:p>
        </w:tc>
        <w:tc>
          <w:tcPr>
            <w:tcW w:w="127" w:type="pct"/>
            <w:shd w:val="clear" w:color="auto" w:fill="CCEEFF"/>
            <w:noWrap/>
            <w:tcMar>
              <w:top w:w="0" w:type="dxa"/>
              <w:left w:w="0" w:type="dxa"/>
              <w:bottom w:w="0" w:type="dxa"/>
              <w:right w:w="0" w:type="dxa"/>
            </w:tcMar>
            <w:vAlign w:val="bottom"/>
            <w:hideMark/>
          </w:tcPr>
          <w:p w14:paraId="59ACC9C8"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54C5E50E" w14:textId="77777777" w:rsidR="00000000" w:rsidRDefault="001F1B20">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14:paraId="46F13D67" w14:textId="77777777" w:rsidR="00000000" w:rsidRDefault="001F1B20">
            <w:pPr>
              <w:pStyle w:val="a3"/>
              <w:spacing w:before="0" w:beforeAutospacing="0" w:after="0" w:afterAutospacing="0"/>
              <w:jc w:val="right"/>
              <w:rPr>
                <w:sz w:val="14"/>
                <w:szCs w:val="14"/>
              </w:rPr>
            </w:pPr>
            <w:r>
              <w:rPr>
                <w:sz w:val="15"/>
                <w:szCs w:val="15"/>
              </w:rPr>
              <w:t>(5,372)</w:t>
            </w:r>
          </w:p>
        </w:tc>
      </w:tr>
      <w:tr w:rsidR="00000000" w14:paraId="610C2909" w14:textId="77777777">
        <w:trPr>
          <w:divId w:val="1392729739"/>
        </w:trPr>
        <w:tc>
          <w:tcPr>
            <w:tcW w:w="3562" w:type="pct"/>
            <w:tcMar>
              <w:top w:w="0" w:type="dxa"/>
              <w:left w:w="0" w:type="dxa"/>
              <w:bottom w:w="0" w:type="dxa"/>
              <w:right w:w="0" w:type="dxa"/>
            </w:tcMar>
            <w:hideMark/>
          </w:tcPr>
          <w:p w14:paraId="75075DC7" w14:textId="77777777" w:rsidR="00000000" w:rsidRDefault="001F1B20">
            <w:pPr>
              <w:pStyle w:val="a3"/>
              <w:spacing w:before="0" w:beforeAutospacing="0" w:after="0" w:afterAutospacing="0"/>
              <w:rPr>
                <w:sz w:val="14"/>
                <w:szCs w:val="14"/>
              </w:rPr>
            </w:pPr>
            <w:r>
              <w:rPr>
                <w:sz w:val="15"/>
                <w:szCs w:val="15"/>
              </w:rPr>
              <w:t xml:space="preserve">Purchases of marketable securities </w:t>
            </w:r>
          </w:p>
        </w:tc>
        <w:tc>
          <w:tcPr>
            <w:tcW w:w="127" w:type="pct"/>
            <w:noWrap/>
            <w:tcMar>
              <w:top w:w="0" w:type="dxa"/>
              <w:left w:w="0" w:type="dxa"/>
              <w:bottom w:w="0" w:type="dxa"/>
              <w:right w:w="0" w:type="dxa"/>
            </w:tcMar>
            <w:vAlign w:val="bottom"/>
            <w:hideMark/>
          </w:tcPr>
          <w:p w14:paraId="36A59C2C"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0A6507A6"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60E31F9A" w14:textId="77777777" w:rsidR="00000000" w:rsidRDefault="001F1B20">
            <w:pPr>
              <w:pStyle w:val="a3"/>
              <w:spacing w:before="0" w:beforeAutospacing="0" w:after="0" w:afterAutospacing="0"/>
              <w:jc w:val="right"/>
              <w:rPr>
                <w:sz w:val="14"/>
                <w:szCs w:val="14"/>
              </w:rPr>
            </w:pPr>
            <w:r>
              <w:rPr>
                <w:sz w:val="15"/>
                <w:szCs w:val="15"/>
              </w:rPr>
              <w:t>(104,774)</w:t>
            </w:r>
          </w:p>
        </w:tc>
        <w:tc>
          <w:tcPr>
            <w:tcW w:w="127" w:type="pct"/>
            <w:noWrap/>
            <w:tcMar>
              <w:top w:w="0" w:type="dxa"/>
              <w:left w:w="0" w:type="dxa"/>
              <w:bottom w:w="0" w:type="dxa"/>
              <w:right w:w="0" w:type="dxa"/>
            </w:tcMar>
            <w:vAlign w:val="bottom"/>
            <w:hideMark/>
          </w:tcPr>
          <w:p w14:paraId="04404EE9"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321FECB4"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0DC887BD" w14:textId="77777777" w:rsidR="00000000" w:rsidRDefault="001F1B20">
            <w:pPr>
              <w:pStyle w:val="a3"/>
              <w:spacing w:before="0" w:beforeAutospacing="0" w:after="0" w:afterAutospacing="0"/>
              <w:jc w:val="right"/>
              <w:rPr>
                <w:sz w:val="14"/>
                <w:szCs w:val="14"/>
              </w:rPr>
            </w:pPr>
            <w:r>
              <w:rPr>
                <w:sz w:val="15"/>
                <w:szCs w:val="15"/>
              </w:rPr>
              <w:t>(337,556)</w:t>
            </w:r>
          </w:p>
        </w:tc>
      </w:tr>
      <w:tr w:rsidR="00000000" w14:paraId="214AD6D6" w14:textId="77777777">
        <w:trPr>
          <w:divId w:val="1392729739"/>
        </w:trPr>
        <w:tc>
          <w:tcPr>
            <w:tcW w:w="3562" w:type="pct"/>
            <w:shd w:val="clear" w:color="auto" w:fill="CCEEFF"/>
            <w:tcMar>
              <w:top w:w="0" w:type="dxa"/>
              <w:left w:w="0" w:type="dxa"/>
              <w:bottom w:w="0" w:type="dxa"/>
              <w:right w:w="0" w:type="dxa"/>
            </w:tcMar>
            <w:hideMark/>
          </w:tcPr>
          <w:p w14:paraId="2A8F3422" w14:textId="77777777" w:rsidR="00000000" w:rsidRDefault="001F1B20">
            <w:pPr>
              <w:pStyle w:val="a3"/>
              <w:spacing w:before="0" w:beforeAutospacing="0" w:after="0" w:afterAutospacing="0"/>
              <w:rPr>
                <w:sz w:val="14"/>
                <w:szCs w:val="14"/>
              </w:rPr>
            </w:pPr>
            <w:r>
              <w:rPr>
                <w:sz w:val="15"/>
                <w:szCs w:val="15"/>
              </w:rPr>
              <w:t xml:space="preserve">Maturities of marketable securities </w:t>
            </w:r>
          </w:p>
        </w:tc>
        <w:tc>
          <w:tcPr>
            <w:tcW w:w="127" w:type="pct"/>
            <w:shd w:val="clear" w:color="auto" w:fill="CCEEFF"/>
            <w:noWrap/>
            <w:tcMar>
              <w:top w:w="0" w:type="dxa"/>
              <w:left w:w="0" w:type="dxa"/>
              <w:bottom w:w="0" w:type="dxa"/>
              <w:right w:w="0" w:type="dxa"/>
            </w:tcMar>
            <w:vAlign w:val="bottom"/>
            <w:hideMark/>
          </w:tcPr>
          <w:p w14:paraId="52CFCB7A"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08BDD9F8" w14:textId="77777777" w:rsidR="00000000" w:rsidRDefault="001F1B20">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14:paraId="765FBFFB" w14:textId="77777777" w:rsidR="00000000" w:rsidRDefault="001F1B20">
            <w:pPr>
              <w:pStyle w:val="a3"/>
              <w:spacing w:before="0" w:beforeAutospacing="0" w:after="0" w:afterAutospacing="0"/>
              <w:ind w:right="45"/>
              <w:jc w:val="right"/>
              <w:rPr>
                <w:sz w:val="14"/>
                <w:szCs w:val="14"/>
              </w:rPr>
            </w:pPr>
            <w:r>
              <w:rPr>
                <w:sz w:val="15"/>
                <w:szCs w:val="15"/>
              </w:rPr>
              <w:t>221,400</w:t>
            </w:r>
          </w:p>
        </w:tc>
        <w:tc>
          <w:tcPr>
            <w:tcW w:w="127" w:type="pct"/>
            <w:shd w:val="clear" w:color="auto" w:fill="CCEEFF"/>
            <w:noWrap/>
            <w:tcMar>
              <w:top w:w="0" w:type="dxa"/>
              <w:left w:w="0" w:type="dxa"/>
              <w:bottom w:w="0" w:type="dxa"/>
              <w:right w:w="0" w:type="dxa"/>
            </w:tcMar>
            <w:vAlign w:val="bottom"/>
            <w:hideMark/>
          </w:tcPr>
          <w:p w14:paraId="5254E590"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1DF79603" w14:textId="77777777" w:rsidR="00000000" w:rsidRDefault="001F1B20">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14:paraId="3E42BC9E" w14:textId="77777777" w:rsidR="00000000" w:rsidRDefault="001F1B20">
            <w:pPr>
              <w:pStyle w:val="a3"/>
              <w:spacing w:before="0" w:beforeAutospacing="0" w:after="0" w:afterAutospacing="0"/>
              <w:ind w:right="45"/>
              <w:jc w:val="right"/>
              <w:rPr>
                <w:sz w:val="14"/>
                <w:szCs w:val="14"/>
              </w:rPr>
            </w:pPr>
            <w:r>
              <w:rPr>
                <w:sz w:val="15"/>
                <w:szCs w:val="15"/>
              </w:rPr>
              <w:t>281,318</w:t>
            </w:r>
          </w:p>
        </w:tc>
      </w:tr>
      <w:tr w:rsidR="00000000" w14:paraId="64F52C15" w14:textId="77777777">
        <w:trPr>
          <w:divId w:val="1392729739"/>
        </w:trPr>
        <w:tc>
          <w:tcPr>
            <w:tcW w:w="3562" w:type="pct"/>
            <w:tcMar>
              <w:top w:w="0" w:type="dxa"/>
              <w:left w:w="0" w:type="dxa"/>
              <w:bottom w:w="0" w:type="dxa"/>
              <w:right w:w="0" w:type="dxa"/>
            </w:tcMar>
            <w:hideMark/>
          </w:tcPr>
          <w:p w14:paraId="4F2096A0" w14:textId="77777777" w:rsidR="00000000" w:rsidRDefault="001F1B20">
            <w:pPr>
              <w:pStyle w:val="a3"/>
              <w:spacing w:before="0" w:beforeAutospacing="0" w:after="0" w:afterAutospacing="0"/>
              <w:rPr>
                <w:sz w:val="14"/>
                <w:szCs w:val="14"/>
              </w:rPr>
            </w:pPr>
            <w:r>
              <w:rPr>
                <w:sz w:val="15"/>
                <w:szCs w:val="15"/>
              </w:rPr>
              <w:t>Proceeds from the sale of marketable securities</w:t>
            </w:r>
          </w:p>
        </w:tc>
        <w:tc>
          <w:tcPr>
            <w:tcW w:w="127" w:type="pct"/>
            <w:noWrap/>
            <w:tcMar>
              <w:top w:w="0" w:type="dxa"/>
              <w:left w:w="0" w:type="dxa"/>
              <w:bottom w:w="0" w:type="dxa"/>
              <w:right w:w="0" w:type="dxa"/>
            </w:tcMar>
            <w:vAlign w:val="bottom"/>
            <w:hideMark/>
          </w:tcPr>
          <w:p w14:paraId="303F4B85"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07410D87"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65B0B035" w14:textId="77777777" w:rsidR="00000000" w:rsidRDefault="001F1B20">
            <w:pPr>
              <w:pStyle w:val="a3"/>
              <w:spacing w:before="0" w:beforeAutospacing="0" w:after="0" w:afterAutospacing="0"/>
              <w:ind w:right="45"/>
              <w:jc w:val="right"/>
              <w:rPr>
                <w:sz w:val="14"/>
                <w:szCs w:val="14"/>
              </w:rPr>
            </w:pPr>
            <w:r>
              <w:rPr>
                <w:sz w:val="15"/>
                <w:szCs w:val="15"/>
              </w:rPr>
              <w:t>—</w:t>
            </w:r>
          </w:p>
        </w:tc>
        <w:tc>
          <w:tcPr>
            <w:tcW w:w="127" w:type="pct"/>
            <w:noWrap/>
            <w:tcMar>
              <w:top w:w="0" w:type="dxa"/>
              <w:left w:w="0" w:type="dxa"/>
              <w:bottom w:w="0" w:type="dxa"/>
              <w:right w:w="0" w:type="dxa"/>
            </w:tcMar>
            <w:vAlign w:val="bottom"/>
            <w:hideMark/>
          </w:tcPr>
          <w:p w14:paraId="4664DBFD"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2658409E"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22B3C0B9" w14:textId="77777777" w:rsidR="00000000" w:rsidRDefault="001F1B20">
            <w:pPr>
              <w:pStyle w:val="a3"/>
              <w:spacing w:before="0" w:beforeAutospacing="0" w:after="0" w:afterAutospacing="0"/>
              <w:ind w:right="45"/>
              <w:jc w:val="right"/>
              <w:rPr>
                <w:sz w:val="14"/>
                <w:szCs w:val="14"/>
              </w:rPr>
            </w:pPr>
            <w:r>
              <w:rPr>
                <w:sz w:val="15"/>
                <w:szCs w:val="15"/>
              </w:rPr>
              <w:t>19,928</w:t>
            </w:r>
          </w:p>
        </w:tc>
      </w:tr>
      <w:tr w:rsidR="00000000" w14:paraId="40E237F9" w14:textId="77777777">
        <w:trPr>
          <w:divId w:val="1392729739"/>
        </w:trPr>
        <w:tc>
          <w:tcPr>
            <w:tcW w:w="3562" w:type="pct"/>
            <w:shd w:val="clear" w:color="auto" w:fill="CCEEFF"/>
            <w:tcMar>
              <w:top w:w="0" w:type="dxa"/>
              <w:left w:w="0" w:type="dxa"/>
              <w:bottom w:w="0" w:type="dxa"/>
              <w:right w:w="0" w:type="dxa"/>
            </w:tcMar>
            <w:hideMark/>
          </w:tcPr>
          <w:p w14:paraId="2CA90848" w14:textId="77777777" w:rsidR="00000000" w:rsidRDefault="001F1B20">
            <w:pPr>
              <w:pStyle w:val="a3"/>
              <w:spacing w:before="0" w:beforeAutospacing="0" w:after="0" w:afterAutospacing="0"/>
              <w:rPr>
                <w:sz w:val="14"/>
                <w:szCs w:val="14"/>
              </w:rPr>
            </w:pPr>
            <w:r>
              <w:rPr>
                <w:sz w:val="15"/>
                <w:szCs w:val="15"/>
              </w:rPr>
              <w:t>Proceeds from the sale of property and equipment</w:t>
            </w:r>
          </w:p>
        </w:tc>
        <w:tc>
          <w:tcPr>
            <w:tcW w:w="127" w:type="pct"/>
            <w:shd w:val="clear" w:color="auto" w:fill="CCEEFF"/>
            <w:noWrap/>
            <w:tcMar>
              <w:top w:w="0" w:type="dxa"/>
              <w:left w:w="0" w:type="dxa"/>
              <w:bottom w:w="0" w:type="dxa"/>
              <w:right w:w="0" w:type="dxa"/>
            </w:tcMar>
            <w:vAlign w:val="bottom"/>
            <w:hideMark/>
          </w:tcPr>
          <w:p w14:paraId="6BAF8626"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47BA5165" w14:textId="77777777" w:rsidR="00000000" w:rsidRDefault="001F1B20">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14:paraId="51D1779E" w14:textId="77777777" w:rsidR="00000000" w:rsidRDefault="001F1B20">
            <w:pPr>
              <w:pStyle w:val="a3"/>
              <w:spacing w:before="0" w:beforeAutospacing="0" w:after="0" w:afterAutospacing="0"/>
              <w:ind w:right="45"/>
              <w:jc w:val="right"/>
              <w:rPr>
                <w:sz w:val="14"/>
                <w:szCs w:val="14"/>
              </w:rPr>
            </w:pPr>
            <w:r>
              <w:rPr>
                <w:sz w:val="15"/>
                <w:szCs w:val="15"/>
              </w:rPr>
              <w:t>6</w:t>
            </w:r>
          </w:p>
        </w:tc>
        <w:tc>
          <w:tcPr>
            <w:tcW w:w="127" w:type="pct"/>
            <w:shd w:val="clear" w:color="auto" w:fill="CCEEFF"/>
            <w:noWrap/>
            <w:tcMar>
              <w:top w:w="0" w:type="dxa"/>
              <w:left w:w="0" w:type="dxa"/>
              <w:bottom w:w="0" w:type="dxa"/>
              <w:right w:w="0" w:type="dxa"/>
            </w:tcMar>
            <w:vAlign w:val="bottom"/>
            <w:hideMark/>
          </w:tcPr>
          <w:p w14:paraId="6BE6BFC3"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0E57941A" w14:textId="77777777" w:rsidR="00000000" w:rsidRDefault="001F1B20">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14:paraId="50D97173" w14:textId="77777777" w:rsidR="00000000" w:rsidRDefault="001F1B20">
            <w:pPr>
              <w:pStyle w:val="a3"/>
              <w:spacing w:before="0" w:beforeAutospacing="0" w:after="0" w:afterAutospacing="0"/>
              <w:ind w:right="45"/>
              <w:jc w:val="right"/>
              <w:rPr>
                <w:sz w:val="14"/>
                <w:szCs w:val="14"/>
              </w:rPr>
            </w:pPr>
            <w:r>
              <w:rPr>
                <w:sz w:val="15"/>
                <w:szCs w:val="15"/>
              </w:rPr>
              <w:t>35</w:t>
            </w:r>
          </w:p>
        </w:tc>
      </w:tr>
      <w:tr w:rsidR="00000000" w14:paraId="53D1AE2C" w14:textId="77777777">
        <w:trPr>
          <w:divId w:val="1392729739"/>
        </w:trPr>
        <w:tc>
          <w:tcPr>
            <w:tcW w:w="3562" w:type="pct"/>
            <w:tcMar>
              <w:top w:w="0" w:type="dxa"/>
              <w:left w:w="0" w:type="dxa"/>
              <w:bottom w:w="0" w:type="dxa"/>
              <w:right w:w="0" w:type="dxa"/>
            </w:tcMar>
            <w:hideMark/>
          </w:tcPr>
          <w:p w14:paraId="418A1436" w14:textId="77777777" w:rsidR="00000000" w:rsidRDefault="001F1B20">
            <w:pPr>
              <w:pStyle w:val="a3"/>
              <w:spacing w:before="0" w:beforeAutospacing="0" w:after="0" w:afterAutospacing="0"/>
              <w:ind w:left="480"/>
              <w:rPr>
                <w:sz w:val="14"/>
                <w:szCs w:val="14"/>
              </w:rPr>
            </w:pPr>
            <w:r>
              <w:rPr>
                <w:sz w:val="15"/>
                <w:szCs w:val="15"/>
              </w:rPr>
              <w:t xml:space="preserve">Net cash provided by (used in) investing activities </w:t>
            </w:r>
          </w:p>
        </w:tc>
        <w:tc>
          <w:tcPr>
            <w:tcW w:w="127" w:type="pct"/>
            <w:noWrap/>
            <w:tcMar>
              <w:top w:w="0" w:type="dxa"/>
              <w:left w:w="0" w:type="dxa"/>
              <w:bottom w:w="0" w:type="dxa"/>
              <w:right w:w="0" w:type="dxa"/>
            </w:tcMar>
            <w:vAlign w:val="bottom"/>
            <w:hideMark/>
          </w:tcPr>
          <w:p w14:paraId="693643C4"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14:paraId="61D2A279" w14:textId="77777777" w:rsidR="00000000" w:rsidRDefault="001F1B20">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14:paraId="68AFE7DA" w14:textId="77777777" w:rsidR="00000000" w:rsidRDefault="001F1B20">
            <w:pPr>
              <w:pStyle w:val="a3"/>
              <w:spacing w:before="0" w:beforeAutospacing="0" w:after="0" w:afterAutospacing="0"/>
              <w:ind w:right="45"/>
              <w:jc w:val="right"/>
              <w:rPr>
                <w:sz w:val="14"/>
                <w:szCs w:val="14"/>
              </w:rPr>
            </w:pPr>
            <w:r>
              <w:rPr>
                <w:sz w:val="15"/>
                <w:szCs w:val="15"/>
              </w:rPr>
              <w:t>113,670</w:t>
            </w:r>
          </w:p>
        </w:tc>
        <w:tc>
          <w:tcPr>
            <w:tcW w:w="127" w:type="pct"/>
            <w:noWrap/>
            <w:tcMar>
              <w:top w:w="0" w:type="dxa"/>
              <w:left w:w="0" w:type="dxa"/>
              <w:bottom w:w="0" w:type="dxa"/>
              <w:right w:w="0" w:type="dxa"/>
            </w:tcMar>
            <w:vAlign w:val="bottom"/>
            <w:hideMark/>
          </w:tcPr>
          <w:p w14:paraId="3F5E859D"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14:paraId="2838B5B3" w14:textId="77777777" w:rsidR="00000000" w:rsidRDefault="001F1B20">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14:paraId="229F4974" w14:textId="77777777" w:rsidR="00000000" w:rsidRDefault="001F1B20">
            <w:pPr>
              <w:pStyle w:val="a3"/>
              <w:spacing w:before="0" w:beforeAutospacing="0" w:after="0" w:afterAutospacing="0"/>
              <w:jc w:val="right"/>
              <w:rPr>
                <w:sz w:val="14"/>
                <w:szCs w:val="14"/>
              </w:rPr>
            </w:pPr>
            <w:r>
              <w:rPr>
                <w:sz w:val="15"/>
                <w:szCs w:val="15"/>
              </w:rPr>
              <w:t>(41,647)</w:t>
            </w:r>
          </w:p>
        </w:tc>
      </w:tr>
      <w:tr w:rsidR="00000000" w14:paraId="38F69B07" w14:textId="77777777">
        <w:trPr>
          <w:divId w:val="1392729739"/>
        </w:trPr>
        <w:tc>
          <w:tcPr>
            <w:tcW w:w="3562" w:type="pct"/>
            <w:shd w:val="clear" w:color="auto" w:fill="CCEEFF"/>
            <w:tcMar>
              <w:top w:w="0" w:type="dxa"/>
              <w:left w:w="0" w:type="dxa"/>
              <w:bottom w:w="0" w:type="dxa"/>
              <w:right w:w="0" w:type="dxa"/>
            </w:tcMar>
            <w:hideMark/>
          </w:tcPr>
          <w:p w14:paraId="2E13AF51" w14:textId="77777777" w:rsidR="00000000" w:rsidRDefault="001F1B20">
            <w:pPr>
              <w:pStyle w:val="a3"/>
              <w:spacing w:before="0" w:beforeAutospacing="0" w:after="0"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44398E64"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6F18759B"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1864AF00" w14:textId="77777777" w:rsidR="00000000" w:rsidRDefault="001F1B20">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699A57DB"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612969FD"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0CD3EB4D" w14:textId="77777777" w:rsidR="00000000" w:rsidRDefault="001F1B20">
            <w:pPr>
              <w:pStyle w:val="a3"/>
              <w:spacing w:before="0" w:beforeAutospacing="0" w:after="0" w:afterAutospacing="0"/>
              <w:jc w:val="right"/>
              <w:rPr>
                <w:sz w:val="20"/>
                <w:szCs w:val="20"/>
              </w:rPr>
            </w:pPr>
            <w:r>
              <w:rPr>
                <w:sz w:val="15"/>
                <w:szCs w:val="15"/>
              </w:rPr>
              <w:t>​</w:t>
            </w:r>
          </w:p>
        </w:tc>
      </w:tr>
      <w:tr w:rsidR="00000000" w14:paraId="45808C7B" w14:textId="77777777">
        <w:trPr>
          <w:divId w:val="1392729739"/>
        </w:trPr>
        <w:tc>
          <w:tcPr>
            <w:tcW w:w="3562" w:type="pct"/>
            <w:tcMar>
              <w:top w:w="0" w:type="dxa"/>
              <w:left w:w="0" w:type="dxa"/>
              <w:bottom w:w="0" w:type="dxa"/>
              <w:right w:w="0" w:type="dxa"/>
            </w:tcMar>
            <w:hideMark/>
          </w:tcPr>
          <w:p w14:paraId="67A61BE7" w14:textId="77777777" w:rsidR="00000000" w:rsidRDefault="001F1B20">
            <w:pPr>
              <w:pStyle w:val="a3"/>
              <w:spacing w:before="0" w:beforeAutospacing="0" w:after="0" w:afterAutospacing="0"/>
              <w:rPr>
                <w:sz w:val="14"/>
                <w:szCs w:val="14"/>
              </w:rPr>
            </w:pPr>
            <w:r>
              <w:rPr>
                <w:b/>
                <w:bCs/>
                <w:sz w:val="15"/>
                <w:szCs w:val="15"/>
              </w:rPr>
              <w:t>Financing activities</w:t>
            </w:r>
          </w:p>
        </w:tc>
        <w:tc>
          <w:tcPr>
            <w:tcW w:w="127" w:type="pct"/>
            <w:noWrap/>
            <w:tcMar>
              <w:top w:w="0" w:type="dxa"/>
              <w:left w:w="0" w:type="dxa"/>
              <w:bottom w:w="0" w:type="dxa"/>
              <w:right w:w="0" w:type="dxa"/>
            </w:tcMar>
            <w:vAlign w:val="bottom"/>
            <w:hideMark/>
          </w:tcPr>
          <w:p w14:paraId="6A896E3E"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35572DFF"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6C8C5192" w14:textId="77777777" w:rsidR="00000000" w:rsidRDefault="001F1B20">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14:paraId="5E22483F"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643A7C9D"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32CB8A2C" w14:textId="77777777" w:rsidR="00000000" w:rsidRDefault="001F1B20">
            <w:pPr>
              <w:pStyle w:val="a3"/>
              <w:spacing w:before="0" w:beforeAutospacing="0" w:after="0" w:afterAutospacing="0"/>
              <w:jc w:val="right"/>
              <w:rPr>
                <w:sz w:val="20"/>
                <w:szCs w:val="20"/>
              </w:rPr>
            </w:pPr>
            <w:r>
              <w:rPr>
                <w:sz w:val="15"/>
                <w:szCs w:val="15"/>
              </w:rPr>
              <w:t>​</w:t>
            </w:r>
          </w:p>
        </w:tc>
      </w:tr>
      <w:tr w:rsidR="00000000" w14:paraId="06D30ED9" w14:textId="77777777">
        <w:trPr>
          <w:divId w:val="1392729739"/>
        </w:trPr>
        <w:tc>
          <w:tcPr>
            <w:tcW w:w="3562" w:type="pct"/>
            <w:shd w:val="clear" w:color="auto" w:fill="CCEEFF"/>
            <w:noWrap/>
            <w:tcMar>
              <w:top w:w="0" w:type="dxa"/>
              <w:left w:w="0" w:type="dxa"/>
              <w:bottom w:w="0" w:type="dxa"/>
              <w:right w:w="0" w:type="dxa"/>
            </w:tcMar>
            <w:vAlign w:val="bottom"/>
            <w:hideMark/>
          </w:tcPr>
          <w:p w14:paraId="6F9A23FF" w14:textId="77777777" w:rsidR="00000000" w:rsidRDefault="001F1B20">
            <w:pPr>
              <w:pStyle w:val="a3"/>
              <w:spacing w:before="0" w:beforeAutospacing="0" w:after="0" w:afterAutospacing="0"/>
              <w:rPr>
                <w:sz w:val="14"/>
                <w:szCs w:val="14"/>
              </w:rPr>
            </w:pPr>
            <w:r>
              <w:rPr>
                <w:sz w:val="15"/>
                <w:szCs w:val="15"/>
              </w:rPr>
              <w:t>Proceeds from the sale of ordinary shares, net</w:t>
            </w:r>
          </w:p>
        </w:tc>
        <w:tc>
          <w:tcPr>
            <w:tcW w:w="127" w:type="pct"/>
            <w:shd w:val="clear" w:color="auto" w:fill="CCEEFF"/>
            <w:noWrap/>
            <w:tcMar>
              <w:top w:w="0" w:type="dxa"/>
              <w:left w:w="0" w:type="dxa"/>
              <w:bottom w:w="0" w:type="dxa"/>
              <w:right w:w="0" w:type="dxa"/>
            </w:tcMar>
            <w:vAlign w:val="bottom"/>
            <w:hideMark/>
          </w:tcPr>
          <w:p w14:paraId="0763DB43"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1CDF42ED"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3C1750AB" w14:textId="77777777" w:rsidR="00000000" w:rsidRDefault="001F1B20">
            <w:pPr>
              <w:pStyle w:val="a3"/>
              <w:spacing w:before="0" w:beforeAutospacing="0" w:after="0" w:afterAutospacing="0"/>
              <w:ind w:right="45"/>
              <w:jc w:val="right"/>
              <w:rPr>
                <w:sz w:val="14"/>
                <w:szCs w:val="14"/>
              </w:rPr>
            </w:pPr>
            <w:r>
              <w:rPr>
                <w:sz w:val="15"/>
                <w:szCs w:val="15"/>
              </w:rPr>
              <w:t>108,180</w:t>
            </w:r>
          </w:p>
        </w:tc>
        <w:tc>
          <w:tcPr>
            <w:tcW w:w="127" w:type="pct"/>
            <w:shd w:val="clear" w:color="auto" w:fill="CCEEFF"/>
            <w:noWrap/>
            <w:tcMar>
              <w:top w:w="0" w:type="dxa"/>
              <w:left w:w="0" w:type="dxa"/>
              <w:bottom w:w="0" w:type="dxa"/>
              <w:right w:w="0" w:type="dxa"/>
            </w:tcMar>
            <w:vAlign w:val="bottom"/>
            <w:hideMark/>
          </w:tcPr>
          <w:p w14:paraId="657E9067"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4376A8EB"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3A3B0F9F" w14:textId="77777777" w:rsidR="00000000" w:rsidRDefault="001F1B20">
            <w:pPr>
              <w:pStyle w:val="a3"/>
              <w:spacing w:before="0" w:beforeAutospacing="0" w:after="0" w:afterAutospacing="0"/>
              <w:ind w:right="45"/>
              <w:jc w:val="right"/>
              <w:rPr>
                <w:sz w:val="14"/>
                <w:szCs w:val="14"/>
              </w:rPr>
            </w:pPr>
            <w:r>
              <w:rPr>
                <w:sz w:val="15"/>
                <w:szCs w:val="15"/>
              </w:rPr>
              <w:t>139,915</w:t>
            </w:r>
          </w:p>
        </w:tc>
      </w:tr>
      <w:tr w:rsidR="00000000" w14:paraId="507BD756" w14:textId="77777777">
        <w:trPr>
          <w:divId w:val="1392729739"/>
        </w:trPr>
        <w:tc>
          <w:tcPr>
            <w:tcW w:w="3562" w:type="pct"/>
            <w:noWrap/>
            <w:tcMar>
              <w:top w:w="0" w:type="dxa"/>
              <w:left w:w="0" w:type="dxa"/>
              <w:bottom w:w="0" w:type="dxa"/>
              <w:right w:w="0" w:type="dxa"/>
            </w:tcMar>
            <w:vAlign w:val="bottom"/>
            <w:hideMark/>
          </w:tcPr>
          <w:p w14:paraId="69ED4444" w14:textId="77777777" w:rsidR="00000000" w:rsidRDefault="001F1B20">
            <w:pPr>
              <w:pStyle w:val="a3"/>
              <w:spacing w:before="0" w:beforeAutospacing="0" w:after="0" w:afterAutospacing="0"/>
              <w:rPr>
                <w:sz w:val="14"/>
                <w:szCs w:val="14"/>
              </w:rPr>
            </w:pPr>
            <w:r>
              <w:rPr>
                <w:sz w:val="15"/>
                <w:szCs w:val="15"/>
              </w:rPr>
              <w:t>Proceeds from issuance of 2035 notes, net</w:t>
            </w:r>
          </w:p>
        </w:tc>
        <w:tc>
          <w:tcPr>
            <w:tcW w:w="127" w:type="pct"/>
            <w:noWrap/>
            <w:tcMar>
              <w:top w:w="0" w:type="dxa"/>
              <w:left w:w="0" w:type="dxa"/>
              <w:bottom w:w="0" w:type="dxa"/>
              <w:right w:w="0" w:type="dxa"/>
            </w:tcMar>
            <w:vAlign w:val="bottom"/>
            <w:hideMark/>
          </w:tcPr>
          <w:p w14:paraId="4E60CFB3"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730CEE8D"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52287FF9" w14:textId="77777777" w:rsidR="00000000" w:rsidRDefault="001F1B20">
            <w:pPr>
              <w:pStyle w:val="a3"/>
              <w:spacing w:before="0" w:beforeAutospacing="0" w:after="0" w:afterAutospacing="0"/>
              <w:ind w:right="45"/>
              <w:jc w:val="right"/>
              <w:rPr>
                <w:sz w:val="14"/>
                <w:szCs w:val="14"/>
              </w:rPr>
            </w:pPr>
            <w:r>
              <w:rPr>
                <w:sz w:val="15"/>
                <w:szCs w:val="15"/>
              </w:rPr>
              <w:t>—</w:t>
            </w:r>
          </w:p>
        </w:tc>
        <w:tc>
          <w:tcPr>
            <w:tcW w:w="127" w:type="pct"/>
            <w:noWrap/>
            <w:tcMar>
              <w:top w:w="0" w:type="dxa"/>
              <w:left w:w="0" w:type="dxa"/>
              <w:bottom w:w="0" w:type="dxa"/>
              <w:right w:w="0" w:type="dxa"/>
            </w:tcMar>
            <w:vAlign w:val="bottom"/>
            <w:hideMark/>
          </w:tcPr>
          <w:p w14:paraId="76C24AE5"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16C0326C"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665B1D31" w14:textId="77777777" w:rsidR="00000000" w:rsidRDefault="001F1B20">
            <w:pPr>
              <w:pStyle w:val="a3"/>
              <w:spacing w:before="0" w:beforeAutospacing="0" w:after="0" w:afterAutospacing="0"/>
              <w:ind w:right="45"/>
              <w:jc w:val="right"/>
              <w:rPr>
                <w:sz w:val="14"/>
                <w:szCs w:val="14"/>
              </w:rPr>
            </w:pPr>
            <w:r>
              <w:rPr>
                <w:sz w:val="15"/>
                <w:szCs w:val="15"/>
              </w:rPr>
              <w:t>380,000</w:t>
            </w:r>
          </w:p>
        </w:tc>
      </w:tr>
      <w:tr w:rsidR="00000000" w14:paraId="23555223" w14:textId="77777777">
        <w:trPr>
          <w:divId w:val="1392729739"/>
        </w:trPr>
        <w:tc>
          <w:tcPr>
            <w:tcW w:w="3562" w:type="pct"/>
            <w:shd w:val="clear" w:color="auto" w:fill="CCEEFF"/>
            <w:noWrap/>
            <w:tcMar>
              <w:top w:w="0" w:type="dxa"/>
              <w:left w:w="0" w:type="dxa"/>
              <w:bottom w:w="0" w:type="dxa"/>
              <w:right w:w="0" w:type="dxa"/>
            </w:tcMar>
            <w:vAlign w:val="bottom"/>
            <w:hideMark/>
          </w:tcPr>
          <w:p w14:paraId="3A00E5B8" w14:textId="77777777" w:rsidR="00000000" w:rsidRDefault="001F1B20">
            <w:pPr>
              <w:pStyle w:val="a3"/>
              <w:spacing w:before="0" w:beforeAutospacing="0" w:after="0" w:afterAutospacing="0"/>
              <w:rPr>
                <w:sz w:val="14"/>
                <w:szCs w:val="14"/>
              </w:rPr>
            </w:pPr>
            <w:r>
              <w:rPr>
                <w:sz w:val="15"/>
                <w:szCs w:val="15"/>
              </w:rPr>
              <w:t>Payment of issuance costs on 2035 notes</w:t>
            </w:r>
          </w:p>
        </w:tc>
        <w:tc>
          <w:tcPr>
            <w:tcW w:w="127" w:type="pct"/>
            <w:shd w:val="clear" w:color="auto" w:fill="CCEEFF"/>
            <w:noWrap/>
            <w:tcMar>
              <w:top w:w="0" w:type="dxa"/>
              <w:left w:w="0" w:type="dxa"/>
              <w:bottom w:w="0" w:type="dxa"/>
              <w:right w:w="0" w:type="dxa"/>
            </w:tcMar>
            <w:vAlign w:val="bottom"/>
            <w:hideMark/>
          </w:tcPr>
          <w:p w14:paraId="4F7997C3"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06BFFE77"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0E91E0EB" w14:textId="77777777" w:rsidR="00000000" w:rsidRDefault="001F1B20">
            <w:pPr>
              <w:pStyle w:val="a3"/>
              <w:spacing w:before="0" w:beforeAutospacing="0" w:after="0" w:afterAutospacing="0"/>
              <w:ind w:right="45"/>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14:paraId="0D6E4801"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5ACCFD6B"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0522CE69" w14:textId="77777777" w:rsidR="00000000" w:rsidRDefault="001F1B20">
            <w:pPr>
              <w:pStyle w:val="a3"/>
              <w:spacing w:before="0" w:beforeAutospacing="0" w:after="0" w:afterAutospacing="0"/>
              <w:jc w:val="right"/>
              <w:rPr>
                <w:sz w:val="14"/>
                <w:szCs w:val="14"/>
              </w:rPr>
            </w:pPr>
            <w:r>
              <w:rPr>
                <w:sz w:val="15"/>
                <w:szCs w:val="15"/>
              </w:rPr>
              <w:t>(5,326)</w:t>
            </w:r>
          </w:p>
        </w:tc>
      </w:tr>
      <w:tr w:rsidR="00000000" w14:paraId="734A9DA8" w14:textId="77777777">
        <w:trPr>
          <w:divId w:val="1392729739"/>
        </w:trPr>
        <w:tc>
          <w:tcPr>
            <w:tcW w:w="3562" w:type="pct"/>
            <w:tcMar>
              <w:top w:w="0" w:type="dxa"/>
              <w:left w:w="0" w:type="dxa"/>
              <w:bottom w:w="0" w:type="dxa"/>
              <w:right w:w="0" w:type="dxa"/>
            </w:tcMar>
            <w:vAlign w:val="bottom"/>
            <w:hideMark/>
          </w:tcPr>
          <w:p w14:paraId="1B3CC0D7" w14:textId="77777777" w:rsidR="00000000" w:rsidRDefault="001F1B20">
            <w:pPr>
              <w:pStyle w:val="a3"/>
              <w:spacing w:before="0" w:beforeAutospacing="0" w:after="0" w:afterAutospacing="0"/>
              <w:rPr>
                <w:sz w:val="14"/>
                <w:szCs w:val="14"/>
              </w:rPr>
            </w:pPr>
            <w:r>
              <w:rPr>
                <w:sz w:val="15"/>
                <w:szCs w:val="15"/>
              </w:rPr>
              <w:t>Principal payment on 2035 notes</w:t>
            </w:r>
          </w:p>
        </w:tc>
        <w:tc>
          <w:tcPr>
            <w:tcW w:w="127" w:type="pct"/>
            <w:noWrap/>
            <w:tcMar>
              <w:top w:w="0" w:type="dxa"/>
              <w:left w:w="0" w:type="dxa"/>
              <w:bottom w:w="0" w:type="dxa"/>
              <w:right w:w="0" w:type="dxa"/>
            </w:tcMar>
            <w:vAlign w:val="bottom"/>
            <w:hideMark/>
          </w:tcPr>
          <w:p w14:paraId="04BEAD75"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22112192"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06419D22" w14:textId="77777777" w:rsidR="00000000" w:rsidRDefault="001F1B20">
            <w:pPr>
              <w:pStyle w:val="a3"/>
              <w:spacing w:before="0" w:beforeAutospacing="0" w:after="0" w:afterAutospacing="0"/>
              <w:jc w:val="right"/>
              <w:rPr>
                <w:sz w:val="14"/>
                <w:szCs w:val="14"/>
              </w:rPr>
            </w:pPr>
            <w:r>
              <w:rPr>
                <w:sz w:val="15"/>
                <w:szCs w:val="15"/>
              </w:rPr>
              <w:t>(10,730)</w:t>
            </w:r>
          </w:p>
        </w:tc>
        <w:tc>
          <w:tcPr>
            <w:tcW w:w="127" w:type="pct"/>
            <w:noWrap/>
            <w:tcMar>
              <w:top w:w="0" w:type="dxa"/>
              <w:left w:w="0" w:type="dxa"/>
              <w:bottom w:w="0" w:type="dxa"/>
              <w:right w:w="0" w:type="dxa"/>
            </w:tcMar>
            <w:vAlign w:val="bottom"/>
            <w:hideMark/>
          </w:tcPr>
          <w:p w14:paraId="1E35D295"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11DC5E92"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4E24C29B" w14:textId="77777777" w:rsidR="00000000" w:rsidRDefault="001F1B20">
            <w:pPr>
              <w:pStyle w:val="a3"/>
              <w:spacing w:before="0" w:beforeAutospacing="0" w:after="0" w:afterAutospacing="0"/>
              <w:ind w:right="45"/>
              <w:jc w:val="right"/>
              <w:rPr>
                <w:sz w:val="14"/>
                <w:szCs w:val="14"/>
              </w:rPr>
            </w:pPr>
            <w:r>
              <w:rPr>
                <w:sz w:val="15"/>
                <w:szCs w:val="15"/>
              </w:rPr>
              <w:t>—</w:t>
            </w:r>
          </w:p>
        </w:tc>
      </w:tr>
      <w:tr w:rsidR="00000000" w14:paraId="7CD984B8" w14:textId="77777777">
        <w:trPr>
          <w:divId w:val="1392729739"/>
        </w:trPr>
        <w:tc>
          <w:tcPr>
            <w:tcW w:w="3562" w:type="pct"/>
            <w:shd w:val="clear" w:color="auto" w:fill="CCEEFF"/>
            <w:noWrap/>
            <w:tcMar>
              <w:top w:w="0" w:type="dxa"/>
              <w:left w:w="0" w:type="dxa"/>
              <w:bottom w:w="0" w:type="dxa"/>
              <w:right w:w="0" w:type="dxa"/>
            </w:tcMar>
            <w:vAlign w:val="bottom"/>
            <w:hideMark/>
          </w:tcPr>
          <w:p w14:paraId="108F1EB6" w14:textId="77777777" w:rsidR="00000000" w:rsidRDefault="001F1B20">
            <w:pPr>
              <w:pStyle w:val="a3"/>
              <w:spacing w:before="0" w:beforeAutospacing="0" w:after="0" w:afterAutospacing="0"/>
              <w:rPr>
                <w:sz w:val="14"/>
                <w:szCs w:val="14"/>
              </w:rPr>
            </w:pPr>
            <w:r>
              <w:rPr>
                <w:sz w:val="15"/>
                <w:szCs w:val="15"/>
              </w:rPr>
              <w:t>Payment of redemption premium on 2033 notes</w:t>
            </w:r>
          </w:p>
        </w:tc>
        <w:tc>
          <w:tcPr>
            <w:tcW w:w="127" w:type="pct"/>
            <w:shd w:val="clear" w:color="auto" w:fill="CCEEFF"/>
            <w:noWrap/>
            <w:tcMar>
              <w:top w:w="0" w:type="dxa"/>
              <w:left w:w="0" w:type="dxa"/>
              <w:bottom w:w="0" w:type="dxa"/>
              <w:right w:w="0" w:type="dxa"/>
            </w:tcMar>
            <w:vAlign w:val="bottom"/>
            <w:hideMark/>
          </w:tcPr>
          <w:p w14:paraId="5D99D627"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71B96C2F"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717834FE" w14:textId="77777777" w:rsidR="00000000" w:rsidRDefault="001F1B20">
            <w:pPr>
              <w:pStyle w:val="a3"/>
              <w:spacing w:before="0" w:beforeAutospacing="0" w:after="0" w:afterAutospacing="0"/>
              <w:ind w:right="45"/>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14:paraId="2B95E019"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2FC2E13F"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6247F045" w14:textId="77777777" w:rsidR="00000000" w:rsidRDefault="001F1B20">
            <w:pPr>
              <w:pStyle w:val="a3"/>
              <w:spacing w:before="0" w:beforeAutospacing="0" w:after="0" w:afterAutospacing="0"/>
              <w:jc w:val="right"/>
              <w:rPr>
                <w:sz w:val="14"/>
                <w:szCs w:val="14"/>
              </w:rPr>
            </w:pPr>
            <w:r>
              <w:rPr>
                <w:sz w:val="15"/>
                <w:szCs w:val="15"/>
              </w:rPr>
              <w:t>(11,470)</w:t>
            </w:r>
          </w:p>
        </w:tc>
      </w:tr>
      <w:tr w:rsidR="00000000" w14:paraId="61128620" w14:textId="77777777">
        <w:trPr>
          <w:divId w:val="1392729739"/>
        </w:trPr>
        <w:tc>
          <w:tcPr>
            <w:tcW w:w="3562" w:type="pct"/>
            <w:tcMar>
              <w:top w:w="0" w:type="dxa"/>
              <w:left w:w="0" w:type="dxa"/>
              <w:bottom w:w="0" w:type="dxa"/>
              <w:right w:w="0" w:type="dxa"/>
            </w:tcMar>
            <w:vAlign w:val="bottom"/>
            <w:hideMark/>
          </w:tcPr>
          <w:p w14:paraId="3FC57823" w14:textId="77777777" w:rsidR="00000000" w:rsidRDefault="001F1B20">
            <w:pPr>
              <w:pStyle w:val="a3"/>
              <w:spacing w:before="0" w:beforeAutospacing="0" w:after="0" w:afterAutospacing="0"/>
              <w:rPr>
                <w:sz w:val="14"/>
                <w:szCs w:val="14"/>
              </w:rPr>
            </w:pPr>
            <w:r>
              <w:rPr>
                <w:sz w:val="15"/>
                <w:szCs w:val="15"/>
              </w:rPr>
              <w:t>Principal payment on 2033 notes</w:t>
            </w:r>
          </w:p>
        </w:tc>
        <w:tc>
          <w:tcPr>
            <w:tcW w:w="127" w:type="pct"/>
            <w:noWrap/>
            <w:tcMar>
              <w:top w:w="0" w:type="dxa"/>
              <w:left w:w="0" w:type="dxa"/>
              <w:bottom w:w="0" w:type="dxa"/>
              <w:right w:w="0" w:type="dxa"/>
            </w:tcMar>
            <w:vAlign w:val="bottom"/>
            <w:hideMark/>
          </w:tcPr>
          <w:p w14:paraId="159EA2C5"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01D7210F"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351BE67C" w14:textId="77777777" w:rsidR="00000000" w:rsidRDefault="001F1B20">
            <w:pPr>
              <w:pStyle w:val="a3"/>
              <w:spacing w:before="0" w:beforeAutospacing="0" w:after="0" w:afterAutospacing="0"/>
              <w:ind w:right="45"/>
              <w:jc w:val="right"/>
              <w:rPr>
                <w:sz w:val="14"/>
                <w:szCs w:val="14"/>
              </w:rPr>
            </w:pPr>
            <w:r>
              <w:rPr>
                <w:sz w:val="15"/>
                <w:szCs w:val="15"/>
              </w:rPr>
              <w:t>—</w:t>
            </w:r>
          </w:p>
        </w:tc>
        <w:tc>
          <w:tcPr>
            <w:tcW w:w="127" w:type="pct"/>
            <w:noWrap/>
            <w:tcMar>
              <w:top w:w="0" w:type="dxa"/>
              <w:left w:w="0" w:type="dxa"/>
              <w:bottom w:w="0" w:type="dxa"/>
              <w:right w:w="0" w:type="dxa"/>
            </w:tcMar>
            <w:vAlign w:val="bottom"/>
            <w:hideMark/>
          </w:tcPr>
          <w:p w14:paraId="0A65F912"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0510DFBD"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736411FA" w14:textId="77777777" w:rsidR="00000000" w:rsidRDefault="001F1B20">
            <w:pPr>
              <w:pStyle w:val="a3"/>
              <w:spacing w:before="0" w:beforeAutospacing="0" w:after="0" w:afterAutospacing="0"/>
              <w:jc w:val="right"/>
              <w:rPr>
                <w:sz w:val="14"/>
                <w:szCs w:val="14"/>
              </w:rPr>
            </w:pPr>
            <w:r>
              <w:rPr>
                <w:sz w:val="15"/>
                <w:szCs w:val="15"/>
              </w:rPr>
              <w:t>(235,347)</w:t>
            </w:r>
          </w:p>
        </w:tc>
      </w:tr>
      <w:tr w:rsidR="00000000" w14:paraId="0315AA3D" w14:textId="77777777">
        <w:trPr>
          <w:divId w:val="1392729739"/>
        </w:trPr>
        <w:tc>
          <w:tcPr>
            <w:tcW w:w="3562" w:type="pct"/>
            <w:shd w:val="clear" w:color="auto" w:fill="CCEEFF"/>
            <w:tcMar>
              <w:top w:w="0" w:type="dxa"/>
              <w:left w:w="0" w:type="dxa"/>
              <w:bottom w:w="0" w:type="dxa"/>
              <w:right w:w="0" w:type="dxa"/>
            </w:tcMar>
            <w:vAlign w:val="bottom"/>
            <w:hideMark/>
          </w:tcPr>
          <w:p w14:paraId="1EB05F74" w14:textId="77777777" w:rsidR="00000000" w:rsidRDefault="001F1B20">
            <w:pPr>
              <w:pStyle w:val="a3"/>
              <w:spacing w:before="0" w:beforeAutospacing="0" w:after="0" w:afterAutospacing="0"/>
              <w:rPr>
                <w:sz w:val="14"/>
                <w:szCs w:val="14"/>
              </w:rPr>
            </w:pPr>
            <w:r>
              <w:rPr>
                <w:sz w:val="15"/>
                <w:szCs w:val="15"/>
              </w:rPr>
              <w:t>Proceeds from ESPP purchases</w:t>
            </w:r>
          </w:p>
        </w:tc>
        <w:tc>
          <w:tcPr>
            <w:tcW w:w="127" w:type="pct"/>
            <w:shd w:val="clear" w:color="auto" w:fill="CCEEFF"/>
            <w:noWrap/>
            <w:tcMar>
              <w:top w:w="0" w:type="dxa"/>
              <w:left w:w="0" w:type="dxa"/>
              <w:bottom w:w="0" w:type="dxa"/>
              <w:right w:w="0" w:type="dxa"/>
            </w:tcMar>
            <w:vAlign w:val="bottom"/>
            <w:hideMark/>
          </w:tcPr>
          <w:p w14:paraId="6F4AB935"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20B01ED1"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1F9AF572" w14:textId="77777777" w:rsidR="00000000" w:rsidRDefault="001F1B20">
            <w:pPr>
              <w:pStyle w:val="a3"/>
              <w:spacing w:before="0" w:beforeAutospacing="0" w:after="0" w:afterAutospacing="0"/>
              <w:ind w:right="45"/>
              <w:jc w:val="right"/>
              <w:rPr>
                <w:sz w:val="14"/>
                <w:szCs w:val="14"/>
              </w:rPr>
            </w:pPr>
            <w:r>
              <w:rPr>
                <w:sz w:val="15"/>
                <w:szCs w:val="15"/>
              </w:rPr>
              <w:t>2,862</w:t>
            </w:r>
          </w:p>
        </w:tc>
        <w:tc>
          <w:tcPr>
            <w:tcW w:w="127" w:type="pct"/>
            <w:shd w:val="clear" w:color="auto" w:fill="CCEEFF"/>
            <w:noWrap/>
            <w:tcMar>
              <w:top w:w="0" w:type="dxa"/>
              <w:left w:w="0" w:type="dxa"/>
              <w:bottom w:w="0" w:type="dxa"/>
              <w:right w:w="0" w:type="dxa"/>
            </w:tcMar>
            <w:vAlign w:val="bottom"/>
            <w:hideMark/>
          </w:tcPr>
          <w:p w14:paraId="16C6CEC3"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63F6D918"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0FF347C9" w14:textId="77777777" w:rsidR="00000000" w:rsidRDefault="001F1B20">
            <w:pPr>
              <w:pStyle w:val="a3"/>
              <w:spacing w:before="0" w:beforeAutospacing="0" w:after="0" w:afterAutospacing="0"/>
              <w:ind w:right="45"/>
              <w:jc w:val="right"/>
              <w:rPr>
                <w:sz w:val="14"/>
                <w:szCs w:val="14"/>
              </w:rPr>
            </w:pPr>
            <w:r>
              <w:rPr>
                <w:sz w:val="15"/>
                <w:szCs w:val="15"/>
              </w:rPr>
              <w:t>2,545</w:t>
            </w:r>
          </w:p>
        </w:tc>
      </w:tr>
      <w:tr w:rsidR="00000000" w14:paraId="44A0A693" w14:textId="77777777">
        <w:trPr>
          <w:divId w:val="1392729739"/>
        </w:trPr>
        <w:tc>
          <w:tcPr>
            <w:tcW w:w="3562" w:type="pct"/>
            <w:tcMar>
              <w:top w:w="0" w:type="dxa"/>
              <w:left w:w="0" w:type="dxa"/>
              <w:bottom w:w="0" w:type="dxa"/>
              <w:right w:w="0" w:type="dxa"/>
            </w:tcMar>
            <w:hideMark/>
          </w:tcPr>
          <w:p w14:paraId="71308CD2" w14:textId="77777777" w:rsidR="00000000" w:rsidRDefault="001F1B20">
            <w:pPr>
              <w:pStyle w:val="a3"/>
              <w:spacing w:before="0" w:beforeAutospacing="0" w:after="0" w:afterAutospacing="0"/>
              <w:rPr>
                <w:sz w:val="14"/>
                <w:szCs w:val="14"/>
              </w:rPr>
            </w:pPr>
            <w:r>
              <w:rPr>
                <w:sz w:val="15"/>
                <w:szCs w:val="15"/>
              </w:rPr>
              <w:t>Proceeds from option exercises</w:t>
            </w:r>
          </w:p>
        </w:tc>
        <w:tc>
          <w:tcPr>
            <w:tcW w:w="127" w:type="pct"/>
            <w:noWrap/>
            <w:tcMar>
              <w:top w:w="0" w:type="dxa"/>
              <w:left w:w="0" w:type="dxa"/>
              <w:bottom w:w="0" w:type="dxa"/>
              <w:right w:w="0" w:type="dxa"/>
            </w:tcMar>
            <w:vAlign w:val="bottom"/>
            <w:hideMark/>
          </w:tcPr>
          <w:p w14:paraId="6E974A00"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3CFEE08E"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18F9797C" w14:textId="77777777" w:rsidR="00000000" w:rsidRDefault="001F1B20">
            <w:pPr>
              <w:pStyle w:val="a3"/>
              <w:spacing w:before="0" w:beforeAutospacing="0" w:after="0" w:afterAutospacing="0"/>
              <w:ind w:right="45"/>
              <w:jc w:val="right"/>
              <w:rPr>
                <w:sz w:val="14"/>
                <w:szCs w:val="14"/>
              </w:rPr>
            </w:pPr>
            <w:r>
              <w:rPr>
                <w:sz w:val="15"/>
                <w:szCs w:val="15"/>
              </w:rPr>
              <w:t>5</w:t>
            </w:r>
          </w:p>
        </w:tc>
        <w:tc>
          <w:tcPr>
            <w:tcW w:w="127" w:type="pct"/>
            <w:noWrap/>
            <w:tcMar>
              <w:top w:w="0" w:type="dxa"/>
              <w:left w:w="0" w:type="dxa"/>
              <w:bottom w:w="0" w:type="dxa"/>
              <w:right w:w="0" w:type="dxa"/>
            </w:tcMar>
            <w:vAlign w:val="bottom"/>
            <w:hideMark/>
          </w:tcPr>
          <w:p w14:paraId="35B651FB"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2E73CC0C" w14:textId="77777777" w:rsidR="00000000" w:rsidRDefault="001F1B20">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14:paraId="2B67B53D" w14:textId="77777777" w:rsidR="00000000" w:rsidRDefault="001F1B20">
            <w:pPr>
              <w:pStyle w:val="a3"/>
              <w:spacing w:before="0" w:beforeAutospacing="0" w:after="0" w:afterAutospacing="0"/>
              <w:ind w:right="45"/>
              <w:jc w:val="right"/>
              <w:rPr>
                <w:sz w:val="14"/>
                <w:szCs w:val="14"/>
              </w:rPr>
            </w:pPr>
            <w:r>
              <w:rPr>
                <w:sz w:val="15"/>
                <w:szCs w:val="15"/>
              </w:rPr>
              <w:t>960</w:t>
            </w:r>
          </w:p>
        </w:tc>
      </w:tr>
      <w:tr w:rsidR="00000000" w14:paraId="298C4046" w14:textId="77777777">
        <w:trPr>
          <w:divId w:val="1392729739"/>
        </w:trPr>
        <w:tc>
          <w:tcPr>
            <w:tcW w:w="3562" w:type="pct"/>
            <w:shd w:val="clear" w:color="auto" w:fill="CCEEFF"/>
            <w:tcMar>
              <w:top w:w="0" w:type="dxa"/>
              <w:left w:w="0" w:type="dxa"/>
              <w:bottom w:w="0" w:type="dxa"/>
              <w:right w:w="0" w:type="dxa"/>
            </w:tcMar>
            <w:hideMark/>
          </w:tcPr>
          <w:p w14:paraId="62231ED5" w14:textId="77777777" w:rsidR="00000000" w:rsidRDefault="001F1B20">
            <w:pPr>
              <w:pStyle w:val="a3"/>
              <w:spacing w:before="0" w:beforeAutospacing="0" w:after="0" w:afterAutospacing="0"/>
              <w:rPr>
                <w:sz w:val="14"/>
                <w:szCs w:val="14"/>
              </w:rPr>
            </w:pPr>
            <w:r>
              <w:rPr>
                <w:sz w:val="15"/>
                <w:szCs w:val="15"/>
              </w:rPr>
              <w:t>Repurchase of shares to satisfy tax withholding</w:t>
            </w:r>
          </w:p>
        </w:tc>
        <w:tc>
          <w:tcPr>
            <w:tcW w:w="127" w:type="pct"/>
            <w:shd w:val="clear" w:color="auto" w:fill="CCEEFF"/>
            <w:noWrap/>
            <w:tcMar>
              <w:top w:w="0" w:type="dxa"/>
              <w:left w:w="0" w:type="dxa"/>
              <w:bottom w:w="0" w:type="dxa"/>
              <w:right w:w="0" w:type="dxa"/>
            </w:tcMar>
            <w:vAlign w:val="bottom"/>
            <w:hideMark/>
          </w:tcPr>
          <w:p w14:paraId="7862AB84"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7C5AD47F" w14:textId="77777777" w:rsidR="00000000" w:rsidRDefault="001F1B20">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14:paraId="4396FB8E" w14:textId="77777777" w:rsidR="00000000" w:rsidRDefault="001F1B20">
            <w:pPr>
              <w:pStyle w:val="a3"/>
              <w:spacing w:before="0" w:beforeAutospacing="0" w:after="0" w:afterAutospacing="0"/>
              <w:jc w:val="right"/>
              <w:rPr>
                <w:sz w:val="14"/>
                <w:szCs w:val="14"/>
              </w:rPr>
            </w:pPr>
            <w:r>
              <w:rPr>
                <w:sz w:val="15"/>
                <w:szCs w:val="15"/>
              </w:rPr>
              <w:t>(8,606)</w:t>
            </w:r>
          </w:p>
        </w:tc>
        <w:tc>
          <w:tcPr>
            <w:tcW w:w="127" w:type="pct"/>
            <w:shd w:val="clear" w:color="auto" w:fill="CCEEFF"/>
            <w:noWrap/>
            <w:tcMar>
              <w:top w:w="0" w:type="dxa"/>
              <w:left w:w="0" w:type="dxa"/>
              <w:bottom w:w="0" w:type="dxa"/>
              <w:right w:w="0" w:type="dxa"/>
            </w:tcMar>
            <w:vAlign w:val="bottom"/>
            <w:hideMark/>
          </w:tcPr>
          <w:p w14:paraId="123D5453"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55D8B08B" w14:textId="77777777" w:rsidR="00000000" w:rsidRDefault="001F1B20">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14:paraId="74F9ADC4" w14:textId="77777777" w:rsidR="00000000" w:rsidRDefault="001F1B20">
            <w:pPr>
              <w:pStyle w:val="a3"/>
              <w:spacing w:before="0" w:beforeAutospacing="0" w:after="0" w:afterAutospacing="0"/>
              <w:jc w:val="right"/>
              <w:rPr>
                <w:sz w:val="14"/>
                <w:szCs w:val="14"/>
              </w:rPr>
            </w:pPr>
            <w:r>
              <w:rPr>
                <w:sz w:val="15"/>
                <w:szCs w:val="15"/>
              </w:rPr>
              <w:t>(8,935)</w:t>
            </w:r>
          </w:p>
        </w:tc>
      </w:tr>
      <w:tr w:rsidR="00000000" w14:paraId="11143E9B" w14:textId="77777777">
        <w:trPr>
          <w:divId w:val="1392729739"/>
        </w:trPr>
        <w:tc>
          <w:tcPr>
            <w:tcW w:w="3562" w:type="pct"/>
            <w:tcMar>
              <w:top w:w="0" w:type="dxa"/>
              <w:left w:w="0" w:type="dxa"/>
              <w:bottom w:w="0" w:type="dxa"/>
              <w:right w:w="0" w:type="dxa"/>
            </w:tcMar>
            <w:hideMark/>
          </w:tcPr>
          <w:p w14:paraId="048A91E1" w14:textId="77777777" w:rsidR="00000000" w:rsidRDefault="001F1B20">
            <w:pPr>
              <w:pStyle w:val="a3"/>
              <w:spacing w:before="0" w:beforeAutospacing="0" w:after="0" w:afterAutospacing="0"/>
              <w:ind w:left="480"/>
              <w:rPr>
                <w:sz w:val="14"/>
                <w:szCs w:val="14"/>
              </w:rPr>
            </w:pPr>
            <w:r>
              <w:rPr>
                <w:sz w:val="15"/>
                <w:szCs w:val="15"/>
              </w:rPr>
              <w:t>Net cash provided by financing activities</w:t>
            </w:r>
          </w:p>
        </w:tc>
        <w:tc>
          <w:tcPr>
            <w:tcW w:w="127" w:type="pct"/>
            <w:noWrap/>
            <w:tcMar>
              <w:top w:w="0" w:type="dxa"/>
              <w:left w:w="0" w:type="dxa"/>
              <w:bottom w:w="0" w:type="dxa"/>
              <w:right w:w="0" w:type="dxa"/>
            </w:tcMar>
            <w:vAlign w:val="bottom"/>
            <w:hideMark/>
          </w:tcPr>
          <w:p w14:paraId="530B0D0D"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14:paraId="6A007AEB" w14:textId="77777777" w:rsidR="00000000" w:rsidRDefault="001F1B20">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14:paraId="2F78895A" w14:textId="77777777" w:rsidR="00000000" w:rsidRDefault="001F1B20">
            <w:pPr>
              <w:pStyle w:val="a3"/>
              <w:spacing w:before="0" w:beforeAutospacing="0" w:after="0" w:afterAutospacing="0"/>
              <w:ind w:right="45"/>
              <w:jc w:val="right"/>
              <w:rPr>
                <w:sz w:val="14"/>
                <w:szCs w:val="14"/>
              </w:rPr>
            </w:pPr>
            <w:r>
              <w:rPr>
                <w:sz w:val="15"/>
                <w:szCs w:val="15"/>
              </w:rPr>
              <w:t>91,711</w:t>
            </w:r>
          </w:p>
        </w:tc>
        <w:tc>
          <w:tcPr>
            <w:tcW w:w="127" w:type="pct"/>
            <w:noWrap/>
            <w:tcMar>
              <w:top w:w="0" w:type="dxa"/>
              <w:left w:w="0" w:type="dxa"/>
              <w:bottom w:w="0" w:type="dxa"/>
              <w:right w:w="0" w:type="dxa"/>
            </w:tcMar>
            <w:vAlign w:val="bottom"/>
            <w:hideMark/>
          </w:tcPr>
          <w:p w14:paraId="3E39FE76"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noWrap/>
            <w:tcMar>
              <w:top w:w="0" w:type="dxa"/>
              <w:left w:w="0" w:type="dxa"/>
              <w:bottom w:w="0" w:type="dxa"/>
              <w:right w:w="0" w:type="dxa"/>
            </w:tcMar>
            <w:vAlign w:val="bottom"/>
            <w:hideMark/>
          </w:tcPr>
          <w:p w14:paraId="51E3DA9E" w14:textId="77777777" w:rsidR="00000000" w:rsidRDefault="001F1B20">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14:paraId="2D46D2DD" w14:textId="77777777" w:rsidR="00000000" w:rsidRDefault="001F1B20">
            <w:pPr>
              <w:pStyle w:val="a3"/>
              <w:spacing w:before="0" w:beforeAutospacing="0" w:after="0" w:afterAutospacing="0"/>
              <w:ind w:right="45"/>
              <w:jc w:val="right"/>
              <w:rPr>
                <w:sz w:val="14"/>
                <w:szCs w:val="14"/>
              </w:rPr>
            </w:pPr>
            <w:r>
              <w:rPr>
                <w:sz w:val="15"/>
                <w:szCs w:val="15"/>
              </w:rPr>
              <w:t>262,342</w:t>
            </w:r>
          </w:p>
        </w:tc>
      </w:tr>
      <w:tr w:rsidR="00000000" w14:paraId="27A52A0E" w14:textId="77777777">
        <w:trPr>
          <w:divId w:val="1392729739"/>
        </w:trPr>
        <w:tc>
          <w:tcPr>
            <w:tcW w:w="3562" w:type="pct"/>
            <w:shd w:val="clear" w:color="auto" w:fill="CCEEFF"/>
            <w:tcMar>
              <w:top w:w="0" w:type="dxa"/>
              <w:left w:w="0" w:type="dxa"/>
              <w:bottom w:w="0" w:type="dxa"/>
              <w:right w:w="0" w:type="dxa"/>
            </w:tcMar>
            <w:hideMark/>
          </w:tcPr>
          <w:p w14:paraId="50B27D60" w14:textId="77777777" w:rsidR="00000000" w:rsidRDefault="001F1B20">
            <w:pPr>
              <w:pStyle w:val="a3"/>
              <w:spacing w:before="0" w:beforeAutospacing="0" w:after="0"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6A80A723"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6498CCB1"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54F1A07B" w14:textId="77777777" w:rsidR="00000000" w:rsidRDefault="001F1B20">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54A66407"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0E58361D" w14:textId="77777777" w:rsidR="00000000" w:rsidRDefault="001F1B20">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6920BAA5" w14:textId="77777777" w:rsidR="00000000" w:rsidRDefault="001F1B20">
            <w:pPr>
              <w:pStyle w:val="a3"/>
              <w:spacing w:before="0" w:beforeAutospacing="0" w:after="0" w:afterAutospacing="0"/>
              <w:jc w:val="right"/>
              <w:rPr>
                <w:sz w:val="20"/>
                <w:szCs w:val="20"/>
              </w:rPr>
            </w:pPr>
            <w:r>
              <w:rPr>
                <w:sz w:val="15"/>
                <w:szCs w:val="15"/>
              </w:rPr>
              <w:t>​</w:t>
            </w:r>
          </w:p>
        </w:tc>
      </w:tr>
      <w:tr w:rsidR="00000000" w14:paraId="7C05316B" w14:textId="77777777">
        <w:trPr>
          <w:divId w:val="1392729739"/>
        </w:trPr>
        <w:tc>
          <w:tcPr>
            <w:tcW w:w="3562" w:type="pct"/>
            <w:tcMar>
              <w:top w:w="0" w:type="dxa"/>
              <w:left w:w="0" w:type="dxa"/>
              <w:bottom w:w="0" w:type="dxa"/>
              <w:right w:w="0" w:type="dxa"/>
            </w:tcMar>
            <w:hideMark/>
          </w:tcPr>
          <w:p w14:paraId="064B13F6" w14:textId="77777777" w:rsidR="00000000" w:rsidRDefault="001F1B20">
            <w:pPr>
              <w:pStyle w:val="a3"/>
              <w:spacing w:before="0" w:beforeAutospacing="0" w:after="0" w:afterAutospacing="0"/>
              <w:rPr>
                <w:sz w:val="14"/>
                <w:szCs w:val="14"/>
              </w:rPr>
            </w:pPr>
            <w:r>
              <w:rPr>
                <w:b/>
                <w:bCs/>
                <w:sz w:val="15"/>
                <w:szCs w:val="15"/>
              </w:rPr>
              <w:t>Net increase in cash, cash equivalents, and restricted cash</w:t>
            </w:r>
            <w:r>
              <w:rPr>
                <w:sz w:val="15"/>
                <w:szCs w:val="15"/>
              </w:rPr>
              <w:t xml:space="preserve"> </w:t>
            </w:r>
          </w:p>
        </w:tc>
        <w:tc>
          <w:tcPr>
            <w:tcW w:w="127" w:type="pct"/>
            <w:noWrap/>
            <w:tcMar>
              <w:top w:w="0" w:type="dxa"/>
              <w:left w:w="0" w:type="dxa"/>
              <w:bottom w:w="0" w:type="dxa"/>
              <w:right w:w="0" w:type="dxa"/>
            </w:tcMar>
            <w:vAlign w:val="bottom"/>
            <w:hideMark/>
          </w:tcPr>
          <w:p w14:paraId="094972AD"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61C11410"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472B9303" w14:textId="77777777" w:rsidR="00000000" w:rsidRDefault="001F1B20">
            <w:pPr>
              <w:pStyle w:val="a3"/>
              <w:spacing w:before="0" w:beforeAutospacing="0" w:after="0" w:afterAutospacing="0"/>
              <w:ind w:right="45"/>
              <w:jc w:val="right"/>
              <w:rPr>
                <w:sz w:val="14"/>
                <w:szCs w:val="14"/>
              </w:rPr>
            </w:pPr>
            <w:r>
              <w:rPr>
                <w:sz w:val="15"/>
                <w:szCs w:val="15"/>
              </w:rPr>
              <w:t>39,957</w:t>
            </w:r>
          </w:p>
        </w:tc>
        <w:tc>
          <w:tcPr>
            <w:tcW w:w="127" w:type="pct"/>
            <w:noWrap/>
            <w:tcMar>
              <w:top w:w="0" w:type="dxa"/>
              <w:left w:w="0" w:type="dxa"/>
              <w:bottom w:w="0" w:type="dxa"/>
              <w:right w:w="0" w:type="dxa"/>
            </w:tcMar>
            <w:vAlign w:val="bottom"/>
            <w:hideMark/>
          </w:tcPr>
          <w:p w14:paraId="6DB3B4D3"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222D0195" w14:textId="77777777" w:rsidR="00000000" w:rsidRDefault="001F1B20">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14:paraId="33A27F94" w14:textId="77777777" w:rsidR="00000000" w:rsidRDefault="001F1B20">
            <w:pPr>
              <w:pStyle w:val="a3"/>
              <w:spacing w:before="0" w:beforeAutospacing="0" w:after="0" w:afterAutospacing="0"/>
              <w:ind w:right="45"/>
              <w:jc w:val="right"/>
              <w:rPr>
                <w:sz w:val="14"/>
                <w:szCs w:val="14"/>
              </w:rPr>
            </w:pPr>
            <w:r>
              <w:rPr>
                <w:sz w:val="15"/>
                <w:szCs w:val="15"/>
              </w:rPr>
              <w:t>35,218</w:t>
            </w:r>
          </w:p>
        </w:tc>
      </w:tr>
      <w:tr w:rsidR="00000000" w14:paraId="4AA6CA62" w14:textId="77777777">
        <w:trPr>
          <w:divId w:val="1392729739"/>
        </w:trPr>
        <w:tc>
          <w:tcPr>
            <w:tcW w:w="3562" w:type="pct"/>
            <w:shd w:val="clear" w:color="auto" w:fill="CCEEFF"/>
            <w:tcMar>
              <w:top w:w="0" w:type="dxa"/>
              <w:left w:w="0" w:type="dxa"/>
              <w:bottom w:w="0" w:type="dxa"/>
              <w:right w:w="0" w:type="dxa"/>
            </w:tcMar>
            <w:hideMark/>
          </w:tcPr>
          <w:p w14:paraId="6E45E236" w14:textId="77777777" w:rsidR="00000000" w:rsidRDefault="001F1B20">
            <w:pPr>
              <w:pStyle w:val="a3"/>
              <w:spacing w:before="0" w:beforeAutospacing="0" w:after="0" w:afterAutospacing="0"/>
              <w:rPr>
                <w:sz w:val="14"/>
                <w:szCs w:val="14"/>
              </w:rPr>
            </w:pPr>
            <w:r>
              <w:rPr>
                <w:b/>
                <w:bCs/>
                <w:sz w:val="15"/>
                <w:szCs w:val="15"/>
              </w:rPr>
              <w:t>Cash, cash equivalents, and restricted cash at beginning of period</w:t>
            </w:r>
          </w:p>
        </w:tc>
        <w:tc>
          <w:tcPr>
            <w:tcW w:w="127" w:type="pct"/>
            <w:shd w:val="clear" w:color="auto" w:fill="CCEEFF"/>
            <w:noWrap/>
            <w:tcMar>
              <w:top w:w="0" w:type="dxa"/>
              <w:left w:w="0" w:type="dxa"/>
              <w:bottom w:w="0" w:type="dxa"/>
              <w:right w:w="0" w:type="dxa"/>
            </w:tcMar>
            <w:vAlign w:val="bottom"/>
            <w:hideMark/>
          </w:tcPr>
          <w:p w14:paraId="0A0413B4"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59748B06" w14:textId="77777777" w:rsidR="00000000" w:rsidRDefault="001F1B20">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14:paraId="67064C94" w14:textId="77777777" w:rsidR="00000000" w:rsidRDefault="001F1B20">
            <w:pPr>
              <w:pStyle w:val="a3"/>
              <w:spacing w:before="0" w:beforeAutospacing="0" w:after="0" w:afterAutospacing="0"/>
              <w:ind w:right="45"/>
              <w:jc w:val="right"/>
              <w:rPr>
                <w:sz w:val="14"/>
                <w:szCs w:val="14"/>
              </w:rPr>
            </w:pPr>
            <w:r>
              <w:rPr>
                <w:sz w:val="15"/>
                <w:szCs w:val="15"/>
              </w:rPr>
              <w:t>82,300</w:t>
            </w:r>
          </w:p>
        </w:tc>
        <w:tc>
          <w:tcPr>
            <w:tcW w:w="127" w:type="pct"/>
            <w:shd w:val="clear" w:color="auto" w:fill="CCEEFF"/>
            <w:noWrap/>
            <w:tcMar>
              <w:top w:w="0" w:type="dxa"/>
              <w:left w:w="0" w:type="dxa"/>
              <w:bottom w:w="0" w:type="dxa"/>
              <w:right w:w="0" w:type="dxa"/>
            </w:tcMar>
            <w:vAlign w:val="bottom"/>
            <w:hideMark/>
          </w:tcPr>
          <w:p w14:paraId="77B4BD14"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14:paraId="6BC69702" w14:textId="77777777" w:rsidR="00000000" w:rsidRDefault="001F1B20">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14:paraId="3C9C138D" w14:textId="77777777" w:rsidR="00000000" w:rsidRDefault="001F1B20">
            <w:pPr>
              <w:pStyle w:val="a3"/>
              <w:spacing w:before="0" w:beforeAutospacing="0" w:after="0" w:afterAutospacing="0"/>
              <w:ind w:right="45"/>
              <w:jc w:val="right"/>
              <w:rPr>
                <w:sz w:val="14"/>
                <w:szCs w:val="14"/>
              </w:rPr>
            </w:pPr>
            <w:r>
              <w:rPr>
                <w:sz w:val="15"/>
                <w:szCs w:val="15"/>
              </w:rPr>
              <w:t>58,897</w:t>
            </w:r>
          </w:p>
        </w:tc>
      </w:tr>
      <w:tr w:rsidR="00000000" w14:paraId="618B3987" w14:textId="77777777">
        <w:trPr>
          <w:divId w:val="1392729739"/>
        </w:trPr>
        <w:tc>
          <w:tcPr>
            <w:tcW w:w="3562" w:type="pct"/>
            <w:tcMar>
              <w:top w:w="0" w:type="dxa"/>
              <w:left w:w="0" w:type="dxa"/>
              <w:bottom w:w="0" w:type="dxa"/>
              <w:right w:w="0" w:type="dxa"/>
            </w:tcMar>
            <w:hideMark/>
          </w:tcPr>
          <w:p w14:paraId="7BAEFA59" w14:textId="77777777" w:rsidR="00000000" w:rsidRDefault="001F1B20">
            <w:pPr>
              <w:pStyle w:val="a3"/>
              <w:spacing w:before="0" w:beforeAutospacing="0" w:after="0" w:afterAutospacing="0"/>
              <w:rPr>
                <w:sz w:val="14"/>
                <w:szCs w:val="14"/>
              </w:rPr>
            </w:pPr>
            <w:r>
              <w:rPr>
                <w:b/>
                <w:bCs/>
                <w:sz w:val="15"/>
                <w:szCs w:val="15"/>
              </w:rPr>
              <w:t>Cash, cash equivalents, and restricted cash at end of period</w:t>
            </w:r>
            <w:r>
              <w:rPr>
                <w:sz w:val="15"/>
                <w:szCs w:val="15"/>
              </w:rPr>
              <w:t xml:space="preserve"> </w:t>
            </w:r>
          </w:p>
        </w:tc>
        <w:tc>
          <w:tcPr>
            <w:tcW w:w="127" w:type="pct"/>
            <w:noWrap/>
            <w:tcMar>
              <w:top w:w="0" w:type="dxa"/>
              <w:left w:w="0" w:type="dxa"/>
              <w:bottom w:w="0" w:type="dxa"/>
              <w:right w:w="0" w:type="dxa"/>
            </w:tcMar>
            <w:vAlign w:val="bottom"/>
            <w:hideMark/>
          </w:tcPr>
          <w:p w14:paraId="02C725FE"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double" w:sz="6" w:space="0" w:color="000000"/>
            </w:tcBorders>
            <w:noWrap/>
            <w:tcMar>
              <w:top w:w="0" w:type="dxa"/>
              <w:left w:w="0" w:type="dxa"/>
              <w:bottom w:w="0" w:type="dxa"/>
              <w:right w:w="0" w:type="dxa"/>
            </w:tcMar>
            <w:vAlign w:val="bottom"/>
            <w:hideMark/>
          </w:tcPr>
          <w:p w14:paraId="2D0925EA" w14:textId="77777777" w:rsidR="00000000" w:rsidRDefault="001F1B20">
            <w:pPr>
              <w:pStyle w:val="a3"/>
              <w:spacing w:before="0" w:beforeAutospacing="0" w:after="0" w:afterAutospacing="0"/>
              <w:rPr>
                <w:sz w:val="14"/>
                <w:szCs w:val="14"/>
              </w:rPr>
            </w:pPr>
            <w:r>
              <w:rPr>
                <w:sz w:val="15"/>
                <w:szCs w:val="15"/>
              </w:rPr>
              <w:t>$</w:t>
            </w:r>
          </w:p>
        </w:tc>
        <w:tc>
          <w:tcPr>
            <w:tcW w:w="503" w:type="pct"/>
            <w:tcBorders>
              <w:bottom w:val="double" w:sz="6" w:space="0" w:color="000000"/>
            </w:tcBorders>
            <w:noWrap/>
            <w:tcMar>
              <w:top w:w="0" w:type="dxa"/>
              <w:left w:w="0" w:type="dxa"/>
              <w:bottom w:w="0" w:type="dxa"/>
              <w:right w:w="0" w:type="dxa"/>
            </w:tcMar>
            <w:vAlign w:val="bottom"/>
            <w:hideMark/>
          </w:tcPr>
          <w:p w14:paraId="53005508" w14:textId="77777777" w:rsidR="00000000" w:rsidRDefault="001F1B20">
            <w:pPr>
              <w:pStyle w:val="a3"/>
              <w:spacing w:before="0" w:beforeAutospacing="0" w:after="0" w:afterAutospacing="0"/>
              <w:ind w:right="45"/>
              <w:jc w:val="right"/>
              <w:rPr>
                <w:sz w:val="14"/>
                <w:szCs w:val="14"/>
              </w:rPr>
            </w:pPr>
            <w:r>
              <w:rPr>
                <w:sz w:val="15"/>
                <w:szCs w:val="15"/>
              </w:rPr>
              <w:t>122,257</w:t>
            </w:r>
          </w:p>
        </w:tc>
        <w:tc>
          <w:tcPr>
            <w:tcW w:w="127" w:type="pct"/>
            <w:noWrap/>
            <w:tcMar>
              <w:top w:w="0" w:type="dxa"/>
              <w:left w:w="0" w:type="dxa"/>
              <w:bottom w:w="0" w:type="dxa"/>
              <w:right w:w="0" w:type="dxa"/>
            </w:tcMar>
            <w:vAlign w:val="bottom"/>
            <w:hideMark/>
          </w:tcPr>
          <w:p w14:paraId="4ECAE846" w14:textId="77777777" w:rsidR="00000000" w:rsidRDefault="001F1B20">
            <w:pPr>
              <w:pStyle w:val="a3"/>
              <w:spacing w:before="0" w:beforeAutospacing="0" w:after="0" w:afterAutospacing="0"/>
              <w:rPr>
                <w:sz w:val="20"/>
                <w:szCs w:val="20"/>
              </w:rPr>
            </w:pPr>
            <w:r>
              <w:rPr>
                <w:sz w:val="15"/>
                <w:szCs w:val="15"/>
              </w:rPr>
              <w:t>​</w:t>
            </w:r>
          </w:p>
        </w:tc>
        <w:tc>
          <w:tcPr>
            <w:tcW w:w="86" w:type="pct"/>
            <w:tcBorders>
              <w:bottom w:val="double" w:sz="6" w:space="0" w:color="000000"/>
            </w:tcBorders>
            <w:noWrap/>
            <w:tcMar>
              <w:top w:w="0" w:type="dxa"/>
              <w:left w:w="0" w:type="dxa"/>
              <w:bottom w:w="0" w:type="dxa"/>
              <w:right w:w="0" w:type="dxa"/>
            </w:tcMar>
            <w:vAlign w:val="bottom"/>
            <w:hideMark/>
          </w:tcPr>
          <w:p w14:paraId="593DB380" w14:textId="77777777" w:rsidR="00000000" w:rsidRDefault="001F1B20">
            <w:pPr>
              <w:pStyle w:val="a3"/>
              <w:spacing w:before="0" w:beforeAutospacing="0" w:after="0" w:afterAutospacing="0"/>
              <w:rPr>
                <w:sz w:val="14"/>
                <w:szCs w:val="14"/>
              </w:rPr>
            </w:pPr>
            <w:r>
              <w:rPr>
                <w:sz w:val="15"/>
                <w:szCs w:val="15"/>
              </w:rPr>
              <w:t>$</w:t>
            </w:r>
          </w:p>
        </w:tc>
        <w:tc>
          <w:tcPr>
            <w:tcW w:w="503" w:type="pct"/>
            <w:tcBorders>
              <w:bottom w:val="double" w:sz="6" w:space="0" w:color="000000"/>
            </w:tcBorders>
            <w:noWrap/>
            <w:tcMar>
              <w:top w:w="0" w:type="dxa"/>
              <w:left w:w="0" w:type="dxa"/>
              <w:bottom w:w="0" w:type="dxa"/>
              <w:right w:w="0" w:type="dxa"/>
            </w:tcMar>
            <w:vAlign w:val="bottom"/>
            <w:hideMark/>
          </w:tcPr>
          <w:p w14:paraId="2F1C08D2" w14:textId="77777777" w:rsidR="00000000" w:rsidRDefault="001F1B20">
            <w:pPr>
              <w:pStyle w:val="a3"/>
              <w:spacing w:before="0" w:beforeAutospacing="0" w:after="0" w:afterAutospacing="0"/>
              <w:ind w:right="45"/>
              <w:jc w:val="right"/>
              <w:rPr>
                <w:sz w:val="14"/>
                <w:szCs w:val="14"/>
              </w:rPr>
            </w:pPr>
            <w:r>
              <w:rPr>
                <w:sz w:val="15"/>
                <w:szCs w:val="15"/>
              </w:rPr>
              <w:t>94,115</w:t>
            </w:r>
          </w:p>
        </w:tc>
      </w:tr>
      <w:tr w:rsidR="00000000" w14:paraId="0DC4D0BB" w14:textId="77777777">
        <w:trPr>
          <w:divId w:val="1392729739"/>
        </w:trPr>
        <w:tc>
          <w:tcPr>
            <w:tcW w:w="3562" w:type="pct"/>
            <w:shd w:val="clear" w:color="auto" w:fill="CCEEFF"/>
            <w:tcMar>
              <w:top w:w="0" w:type="dxa"/>
              <w:left w:w="0" w:type="dxa"/>
              <w:bottom w:w="0" w:type="dxa"/>
              <w:right w:w="0" w:type="dxa"/>
            </w:tcMar>
            <w:hideMark/>
          </w:tcPr>
          <w:p w14:paraId="352AD6B2" w14:textId="77777777" w:rsidR="00000000" w:rsidRDefault="001F1B20">
            <w:pPr>
              <w:pStyle w:val="a3"/>
              <w:spacing w:before="0" w:beforeAutospacing="0" w:after="0" w:afterAutospacing="0"/>
              <w:rPr>
                <w:sz w:val="20"/>
                <w:szCs w:val="20"/>
              </w:rPr>
            </w:pPr>
            <w:r>
              <w:rPr>
                <w:b/>
                <w:bCs/>
                <w:sz w:val="15"/>
                <w:szCs w:val="15"/>
              </w:rPr>
              <w:t>​</w:t>
            </w:r>
          </w:p>
        </w:tc>
        <w:tc>
          <w:tcPr>
            <w:tcW w:w="127" w:type="pct"/>
            <w:shd w:val="clear" w:color="auto" w:fill="CCEEFF"/>
            <w:noWrap/>
            <w:tcMar>
              <w:top w:w="0" w:type="dxa"/>
              <w:left w:w="0" w:type="dxa"/>
              <w:bottom w:w="0" w:type="dxa"/>
              <w:right w:w="0" w:type="dxa"/>
            </w:tcMar>
            <w:vAlign w:val="bottom"/>
            <w:hideMark/>
          </w:tcPr>
          <w:p w14:paraId="477B3EA9"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5E1FA49F" w14:textId="77777777" w:rsidR="00000000" w:rsidRDefault="001F1B20">
            <w:pPr>
              <w:pStyle w:val="a3"/>
              <w:spacing w:before="0" w:beforeAutospacing="0" w:after="0" w:afterAutospacing="0"/>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7EFB4FAF" w14:textId="77777777" w:rsidR="00000000" w:rsidRDefault="001F1B20">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14:paraId="0A2CEA4F"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78258461" w14:textId="77777777" w:rsidR="00000000" w:rsidRDefault="001F1B20">
            <w:pPr>
              <w:pStyle w:val="a3"/>
              <w:spacing w:before="0" w:beforeAutospacing="0" w:after="0" w:afterAutospacing="0"/>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14:paraId="52547978" w14:textId="77777777" w:rsidR="00000000" w:rsidRDefault="001F1B20">
            <w:pPr>
              <w:pStyle w:val="a3"/>
              <w:spacing w:before="0" w:beforeAutospacing="0" w:after="0" w:afterAutospacing="0"/>
              <w:jc w:val="right"/>
              <w:rPr>
                <w:sz w:val="20"/>
                <w:szCs w:val="20"/>
              </w:rPr>
            </w:pPr>
            <w:r>
              <w:rPr>
                <w:sz w:val="15"/>
                <w:szCs w:val="15"/>
              </w:rPr>
              <w:t>​</w:t>
            </w:r>
          </w:p>
        </w:tc>
      </w:tr>
      <w:tr w:rsidR="00000000" w14:paraId="74FA7386" w14:textId="77777777">
        <w:trPr>
          <w:divId w:val="1392729739"/>
        </w:trPr>
        <w:tc>
          <w:tcPr>
            <w:tcW w:w="3562" w:type="pct"/>
            <w:tcMar>
              <w:top w:w="0" w:type="dxa"/>
              <w:left w:w="0" w:type="dxa"/>
              <w:bottom w:w="0" w:type="dxa"/>
              <w:right w:w="0" w:type="dxa"/>
            </w:tcMar>
            <w:hideMark/>
          </w:tcPr>
          <w:p w14:paraId="52884B22" w14:textId="77777777" w:rsidR="00000000" w:rsidRDefault="001F1B20">
            <w:pPr>
              <w:pStyle w:val="a3"/>
              <w:spacing w:before="0" w:beforeAutospacing="0" w:after="0" w:afterAutospacing="0"/>
              <w:rPr>
                <w:sz w:val="14"/>
                <w:szCs w:val="14"/>
              </w:rPr>
            </w:pPr>
            <w:r>
              <w:rPr>
                <w:b/>
                <w:bCs/>
                <w:sz w:val="15"/>
                <w:szCs w:val="15"/>
              </w:rPr>
              <w:t>Supplemental disclosure of cash flow information</w:t>
            </w:r>
          </w:p>
        </w:tc>
        <w:tc>
          <w:tcPr>
            <w:tcW w:w="127" w:type="pct"/>
            <w:noWrap/>
            <w:tcMar>
              <w:top w:w="0" w:type="dxa"/>
              <w:left w:w="0" w:type="dxa"/>
              <w:bottom w:w="0" w:type="dxa"/>
              <w:right w:w="0" w:type="dxa"/>
            </w:tcMar>
            <w:vAlign w:val="bottom"/>
            <w:hideMark/>
          </w:tcPr>
          <w:p w14:paraId="51B72FD7"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7BB338CC" w14:textId="77777777" w:rsidR="00000000" w:rsidRDefault="001F1B20">
            <w:pPr>
              <w:pStyle w:val="a3"/>
              <w:spacing w:before="0" w:beforeAutospacing="0" w:after="0" w:afterAutospacing="0"/>
              <w:rPr>
                <w:sz w:val="20"/>
                <w:szCs w:val="20"/>
              </w:rPr>
            </w:pPr>
            <w:r>
              <w:rPr>
                <w:sz w:val="15"/>
                <w:szCs w:val="15"/>
              </w:rPr>
              <w:t>​</w:t>
            </w:r>
          </w:p>
        </w:tc>
        <w:tc>
          <w:tcPr>
            <w:tcW w:w="503" w:type="pct"/>
            <w:noWrap/>
            <w:tcMar>
              <w:top w:w="0" w:type="dxa"/>
              <w:left w:w="0" w:type="dxa"/>
              <w:bottom w:w="0" w:type="dxa"/>
              <w:right w:w="0" w:type="dxa"/>
            </w:tcMar>
            <w:vAlign w:val="bottom"/>
            <w:hideMark/>
          </w:tcPr>
          <w:p w14:paraId="2596E751" w14:textId="77777777" w:rsidR="00000000" w:rsidRDefault="001F1B20">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14:paraId="2934D5FC"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6B01E9EE" w14:textId="77777777" w:rsidR="00000000" w:rsidRDefault="001F1B20">
            <w:pPr>
              <w:pStyle w:val="a3"/>
              <w:spacing w:before="0" w:beforeAutospacing="0" w:after="0" w:afterAutospacing="0"/>
              <w:rPr>
                <w:sz w:val="20"/>
                <w:szCs w:val="20"/>
              </w:rPr>
            </w:pPr>
            <w:r>
              <w:rPr>
                <w:sz w:val="15"/>
                <w:szCs w:val="15"/>
              </w:rPr>
              <w:t>​</w:t>
            </w:r>
          </w:p>
        </w:tc>
        <w:tc>
          <w:tcPr>
            <w:tcW w:w="503" w:type="pct"/>
            <w:noWrap/>
            <w:tcMar>
              <w:top w:w="0" w:type="dxa"/>
              <w:left w:w="0" w:type="dxa"/>
              <w:bottom w:w="0" w:type="dxa"/>
              <w:right w:w="0" w:type="dxa"/>
            </w:tcMar>
            <w:vAlign w:val="bottom"/>
            <w:hideMark/>
          </w:tcPr>
          <w:p w14:paraId="437830F1" w14:textId="77777777" w:rsidR="00000000" w:rsidRDefault="001F1B20">
            <w:pPr>
              <w:pStyle w:val="a3"/>
              <w:spacing w:before="0" w:beforeAutospacing="0" w:after="0" w:afterAutospacing="0"/>
              <w:jc w:val="right"/>
              <w:rPr>
                <w:sz w:val="20"/>
                <w:szCs w:val="20"/>
              </w:rPr>
            </w:pPr>
            <w:r>
              <w:rPr>
                <w:sz w:val="15"/>
                <w:szCs w:val="15"/>
              </w:rPr>
              <w:t>​</w:t>
            </w:r>
          </w:p>
        </w:tc>
      </w:tr>
      <w:tr w:rsidR="00000000" w14:paraId="4C91444D" w14:textId="77777777">
        <w:trPr>
          <w:divId w:val="1392729739"/>
        </w:trPr>
        <w:tc>
          <w:tcPr>
            <w:tcW w:w="3562" w:type="pct"/>
            <w:shd w:val="clear" w:color="auto" w:fill="CCEEFF"/>
            <w:tcMar>
              <w:top w:w="0" w:type="dxa"/>
              <w:left w:w="0" w:type="dxa"/>
              <w:bottom w:w="0" w:type="dxa"/>
              <w:right w:w="0" w:type="dxa"/>
            </w:tcMar>
            <w:hideMark/>
          </w:tcPr>
          <w:p w14:paraId="472EE40D" w14:textId="77777777" w:rsidR="00000000" w:rsidRDefault="001F1B20">
            <w:pPr>
              <w:pStyle w:val="a3"/>
              <w:spacing w:before="0" w:beforeAutospacing="0" w:after="0" w:afterAutospacing="0"/>
              <w:rPr>
                <w:sz w:val="14"/>
                <w:szCs w:val="14"/>
              </w:rPr>
            </w:pPr>
            <w:r>
              <w:rPr>
                <w:sz w:val="15"/>
                <w:szCs w:val="15"/>
              </w:rPr>
              <w:t>Cash paid for interest</w:t>
            </w:r>
          </w:p>
        </w:tc>
        <w:tc>
          <w:tcPr>
            <w:tcW w:w="127" w:type="pct"/>
            <w:shd w:val="clear" w:color="auto" w:fill="CCEEFF"/>
            <w:noWrap/>
            <w:tcMar>
              <w:top w:w="0" w:type="dxa"/>
              <w:left w:w="0" w:type="dxa"/>
              <w:bottom w:w="0" w:type="dxa"/>
              <w:right w:w="0" w:type="dxa"/>
            </w:tcMar>
            <w:vAlign w:val="bottom"/>
            <w:hideMark/>
          </w:tcPr>
          <w:p w14:paraId="6CEF90AD"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3D8E2167" w14:textId="77777777" w:rsidR="00000000" w:rsidRDefault="001F1B20">
            <w:pPr>
              <w:pStyle w:val="a3"/>
              <w:spacing w:before="0" w:beforeAutospacing="0" w:after="0" w:afterAutospacing="0"/>
              <w:rPr>
                <w:sz w:val="14"/>
                <w:szCs w:val="14"/>
              </w:rPr>
            </w:pPr>
            <w:r>
              <w:rPr>
                <w:sz w:val="15"/>
                <w:szCs w:val="15"/>
              </w:rPr>
              <w:t>$</w:t>
            </w:r>
          </w:p>
        </w:tc>
        <w:tc>
          <w:tcPr>
            <w:tcW w:w="503" w:type="pct"/>
            <w:shd w:val="clear" w:color="auto" w:fill="CCEEFF"/>
            <w:noWrap/>
            <w:tcMar>
              <w:top w:w="0" w:type="dxa"/>
              <w:left w:w="0" w:type="dxa"/>
              <w:bottom w:w="0" w:type="dxa"/>
              <w:right w:w="0" w:type="dxa"/>
            </w:tcMar>
            <w:vAlign w:val="bottom"/>
            <w:hideMark/>
          </w:tcPr>
          <w:p w14:paraId="10A43D45" w14:textId="77777777" w:rsidR="00000000" w:rsidRDefault="001F1B20">
            <w:pPr>
              <w:pStyle w:val="a3"/>
              <w:spacing w:before="0" w:beforeAutospacing="0" w:after="0" w:afterAutospacing="0"/>
              <w:ind w:right="45"/>
              <w:jc w:val="right"/>
              <w:rPr>
                <w:sz w:val="14"/>
                <w:szCs w:val="14"/>
              </w:rPr>
            </w:pPr>
            <w:r>
              <w:rPr>
                <w:sz w:val="15"/>
                <w:szCs w:val="15"/>
              </w:rPr>
              <w:t>25,967</w:t>
            </w:r>
          </w:p>
        </w:tc>
        <w:tc>
          <w:tcPr>
            <w:tcW w:w="127" w:type="pct"/>
            <w:shd w:val="clear" w:color="auto" w:fill="CCEEFF"/>
            <w:noWrap/>
            <w:tcMar>
              <w:top w:w="0" w:type="dxa"/>
              <w:left w:w="0" w:type="dxa"/>
              <w:bottom w:w="0" w:type="dxa"/>
              <w:right w:w="0" w:type="dxa"/>
            </w:tcMar>
            <w:vAlign w:val="bottom"/>
            <w:hideMark/>
          </w:tcPr>
          <w:p w14:paraId="07CF332C" w14:textId="77777777" w:rsidR="00000000" w:rsidRDefault="001F1B20">
            <w:pPr>
              <w:pStyle w:val="a3"/>
              <w:spacing w:before="0" w:beforeAutospacing="0" w:after="0" w:afterAutospacing="0"/>
              <w:rPr>
                <w:sz w:val="20"/>
                <w:szCs w:val="20"/>
              </w:rPr>
            </w:pPr>
            <w:r>
              <w:rPr>
                <w:sz w:val="15"/>
                <w:szCs w:val="15"/>
              </w:rPr>
              <w:t>​</w:t>
            </w:r>
          </w:p>
        </w:tc>
        <w:tc>
          <w:tcPr>
            <w:tcW w:w="86" w:type="pct"/>
            <w:shd w:val="clear" w:color="auto" w:fill="CCEEFF"/>
            <w:noWrap/>
            <w:tcMar>
              <w:top w:w="0" w:type="dxa"/>
              <w:left w:w="0" w:type="dxa"/>
              <w:bottom w:w="0" w:type="dxa"/>
              <w:right w:w="0" w:type="dxa"/>
            </w:tcMar>
            <w:vAlign w:val="bottom"/>
            <w:hideMark/>
          </w:tcPr>
          <w:p w14:paraId="32EACDD1" w14:textId="77777777" w:rsidR="00000000" w:rsidRDefault="001F1B20">
            <w:pPr>
              <w:pStyle w:val="a3"/>
              <w:spacing w:before="0" w:beforeAutospacing="0" w:after="0" w:afterAutospacing="0"/>
              <w:rPr>
                <w:sz w:val="14"/>
                <w:szCs w:val="14"/>
              </w:rPr>
            </w:pPr>
            <w:r>
              <w:rPr>
                <w:sz w:val="15"/>
                <w:szCs w:val="15"/>
              </w:rPr>
              <w:t>$</w:t>
            </w:r>
          </w:p>
        </w:tc>
        <w:tc>
          <w:tcPr>
            <w:tcW w:w="503" w:type="pct"/>
            <w:shd w:val="clear" w:color="auto" w:fill="CCEEFF"/>
            <w:noWrap/>
            <w:tcMar>
              <w:top w:w="0" w:type="dxa"/>
              <w:left w:w="0" w:type="dxa"/>
              <w:bottom w:w="0" w:type="dxa"/>
              <w:right w:w="0" w:type="dxa"/>
            </w:tcMar>
            <w:vAlign w:val="bottom"/>
            <w:hideMark/>
          </w:tcPr>
          <w:p w14:paraId="74E6928E" w14:textId="77777777" w:rsidR="00000000" w:rsidRDefault="001F1B20">
            <w:pPr>
              <w:pStyle w:val="a3"/>
              <w:spacing w:before="0" w:beforeAutospacing="0" w:after="0" w:afterAutospacing="0"/>
              <w:ind w:right="45"/>
              <w:jc w:val="right"/>
              <w:rPr>
                <w:sz w:val="14"/>
                <w:szCs w:val="14"/>
              </w:rPr>
            </w:pPr>
            <w:r>
              <w:rPr>
                <w:sz w:val="15"/>
                <w:szCs w:val="15"/>
              </w:rPr>
              <w:t>20,287</w:t>
            </w:r>
          </w:p>
        </w:tc>
      </w:tr>
      <w:tr w:rsidR="00000000" w14:paraId="523643AA" w14:textId="77777777">
        <w:trPr>
          <w:divId w:val="1392729739"/>
        </w:trPr>
        <w:tc>
          <w:tcPr>
            <w:tcW w:w="3562" w:type="pct"/>
            <w:tcMar>
              <w:top w:w="0" w:type="dxa"/>
              <w:left w:w="0" w:type="dxa"/>
              <w:bottom w:w="0" w:type="dxa"/>
              <w:right w:w="0" w:type="dxa"/>
            </w:tcMar>
            <w:hideMark/>
          </w:tcPr>
          <w:p w14:paraId="7BF61B68" w14:textId="77777777" w:rsidR="00000000" w:rsidRDefault="001F1B20">
            <w:pPr>
              <w:pStyle w:val="a3"/>
              <w:spacing w:before="0" w:beforeAutospacing="0" w:after="0" w:afterAutospacing="0"/>
              <w:rPr>
                <w:sz w:val="14"/>
                <w:szCs w:val="14"/>
              </w:rPr>
            </w:pPr>
            <w:r>
              <w:rPr>
                <w:sz w:val="15"/>
                <w:szCs w:val="15"/>
              </w:rPr>
              <w:t>Cash (received) paid for income taxes, net</w:t>
            </w:r>
          </w:p>
        </w:tc>
        <w:tc>
          <w:tcPr>
            <w:tcW w:w="127" w:type="pct"/>
            <w:noWrap/>
            <w:tcMar>
              <w:top w:w="0" w:type="dxa"/>
              <w:left w:w="0" w:type="dxa"/>
              <w:bottom w:w="0" w:type="dxa"/>
              <w:right w:w="0" w:type="dxa"/>
            </w:tcMar>
            <w:vAlign w:val="bottom"/>
            <w:hideMark/>
          </w:tcPr>
          <w:p w14:paraId="2B865207"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5B05AA16" w14:textId="77777777" w:rsidR="00000000" w:rsidRDefault="001F1B20">
            <w:pPr>
              <w:pStyle w:val="a3"/>
              <w:spacing w:before="0" w:beforeAutospacing="0" w:after="0" w:afterAutospacing="0"/>
              <w:rPr>
                <w:sz w:val="14"/>
                <w:szCs w:val="14"/>
              </w:rPr>
            </w:pPr>
            <w:r>
              <w:rPr>
                <w:sz w:val="15"/>
                <w:szCs w:val="15"/>
              </w:rPr>
              <w:t>$</w:t>
            </w:r>
          </w:p>
        </w:tc>
        <w:tc>
          <w:tcPr>
            <w:tcW w:w="503" w:type="pct"/>
            <w:noWrap/>
            <w:tcMar>
              <w:top w:w="0" w:type="dxa"/>
              <w:left w:w="0" w:type="dxa"/>
              <w:bottom w:w="0" w:type="dxa"/>
              <w:right w:w="0" w:type="dxa"/>
            </w:tcMar>
            <w:vAlign w:val="bottom"/>
            <w:hideMark/>
          </w:tcPr>
          <w:p w14:paraId="035AFC24" w14:textId="77777777" w:rsidR="00000000" w:rsidRDefault="001F1B20">
            <w:pPr>
              <w:pStyle w:val="a3"/>
              <w:spacing w:before="0" w:beforeAutospacing="0" w:after="0" w:afterAutospacing="0"/>
              <w:jc w:val="right"/>
              <w:rPr>
                <w:sz w:val="14"/>
                <w:szCs w:val="14"/>
              </w:rPr>
            </w:pPr>
            <w:r>
              <w:rPr>
                <w:sz w:val="15"/>
                <w:szCs w:val="15"/>
              </w:rPr>
              <w:t>(3,814)</w:t>
            </w:r>
          </w:p>
        </w:tc>
        <w:tc>
          <w:tcPr>
            <w:tcW w:w="127" w:type="pct"/>
            <w:noWrap/>
            <w:tcMar>
              <w:top w:w="0" w:type="dxa"/>
              <w:left w:w="0" w:type="dxa"/>
              <w:bottom w:w="0" w:type="dxa"/>
              <w:right w:w="0" w:type="dxa"/>
            </w:tcMar>
            <w:vAlign w:val="bottom"/>
            <w:hideMark/>
          </w:tcPr>
          <w:p w14:paraId="5487A501" w14:textId="77777777" w:rsidR="00000000" w:rsidRDefault="001F1B20">
            <w:pPr>
              <w:pStyle w:val="a3"/>
              <w:spacing w:before="0" w:beforeAutospacing="0" w:after="0" w:afterAutospacing="0"/>
              <w:rPr>
                <w:sz w:val="20"/>
                <w:szCs w:val="20"/>
              </w:rPr>
            </w:pPr>
            <w:r>
              <w:rPr>
                <w:sz w:val="15"/>
                <w:szCs w:val="15"/>
              </w:rPr>
              <w:t>​</w:t>
            </w:r>
          </w:p>
        </w:tc>
        <w:tc>
          <w:tcPr>
            <w:tcW w:w="86" w:type="pct"/>
            <w:noWrap/>
            <w:tcMar>
              <w:top w:w="0" w:type="dxa"/>
              <w:left w:w="0" w:type="dxa"/>
              <w:bottom w:w="0" w:type="dxa"/>
              <w:right w:w="0" w:type="dxa"/>
            </w:tcMar>
            <w:vAlign w:val="bottom"/>
            <w:hideMark/>
          </w:tcPr>
          <w:p w14:paraId="72D1EC7B" w14:textId="77777777" w:rsidR="00000000" w:rsidRDefault="001F1B20">
            <w:pPr>
              <w:pStyle w:val="a3"/>
              <w:spacing w:before="0" w:beforeAutospacing="0" w:after="0" w:afterAutospacing="0"/>
              <w:rPr>
                <w:sz w:val="14"/>
                <w:szCs w:val="14"/>
              </w:rPr>
            </w:pPr>
            <w:r>
              <w:rPr>
                <w:sz w:val="15"/>
                <w:szCs w:val="15"/>
              </w:rPr>
              <w:t>$</w:t>
            </w:r>
          </w:p>
        </w:tc>
        <w:tc>
          <w:tcPr>
            <w:tcW w:w="503" w:type="pct"/>
            <w:noWrap/>
            <w:tcMar>
              <w:top w:w="0" w:type="dxa"/>
              <w:left w:w="0" w:type="dxa"/>
              <w:bottom w:w="0" w:type="dxa"/>
              <w:right w:w="0" w:type="dxa"/>
            </w:tcMar>
            <w:vAlign w:val="bottom"/>
            <w:hideMark/>
          </w:tcPr>
          <w:p w14:paraId="7A6A11B5" w14:textId="77777777" w:rsidR="00000000" w:rsidRDefault="001F1B20">
            <w:pPr>
              <w:pStyle w:val="a3"/>
              <w:spacing w:before="0" w:beforeAutospacing="0" w:after="0" w:afterAutospacing="0"/>
              <w:ind w:right="45"/>
              <w:jc w:val="right"/>
              <w:rPr>
                <w:sz w:val="14"/>
                <w:szCs w:val="14"/>
              </w:rPr>
            </w:pPr>
            <w:r>
              <w:rPr>
                <w:sz w:val="15"/>
                <w:szCs w:val="15"/>
              </w:rPr>
              <w:t>14</w:t>
            </w:r>
          </w:p>
        </w:tc>
      </w:tr>
    </w:tbl>
    <w:p w14:paraId="06CEB4CA" w14:textId="77777777" w:rsidR="00000000" w:rsidRDefault="001F1B20">
      <w:pPr>
        <w:pStyle w:val="a3"/>
        <w:spacing w:before="20" w:beforeAutospacing="0" w:after="0" w:afterAutospacing="0"/>
        <w:divId w:val="1392729739"/>
        <w:rPr>
          <w:sz w:val="20"/>
          <w:szCs w:val="20"/>
        </w:rPr>
      </w:pPr>
      <w:r>
        <w:rPr>
          <w:sz w:val="16"/>
          <w:szCs w:val="16"/>
        </w:rPr>
        <w:t>​</w:t>
      </w:r>
    </w:p>
    <w:p w14:paraId="42FA6FAA" w14:textId="77777777" w:rsidR="00000000" w:rsidRDefault="001F1B20">
      <w:pPr>
        <w:pStyle w:val="a3"/>
        <w:spacing w:before="0" w:beforeAutospacing="0" w:after="0" w:afterAutospacing="0"/>
        <w:jc w:val="center"/>
        <w:divId w:val="1392729739"/>
        <w:rPr>
          <w:sz w:val="20"/>
          <w:szCs w:val="20"/>
        </w:rPr>
      </w:pPr>
      <w:r>
        <w:rPr>
          <w:i/>
          <w:iCs/>
          <w:sz w:val="20"/>
          <w:szCs w:val="20"/>
        </w:rPr>
        <w:t>See accompanying notes to condensed consolidated financial statements</w:t>
      </w:r>
      <w:r>
        <w:rPr>
          <w:sz w:val="20"/>
          <w:szCs w:val="20"/>
        </w:rPr>
        <w:t>.</w:t>
      </w:r>
    </w:p>
    <w:p w14:paraId="1C9AB523" w14:textId="77777777" w:rsidR="00000000" w:rsidRDefault="001F1B20">
      <w:pPr>
        <w:pStyle w:val="a3"/>
        <w:spacing w:before="0" w:beforeAutospacing="0" w:after="0" w:afterAutospacing="0"/>
        <w:divId w:val="1392729739"/>
        <w:rPr>
          <w:sz w:val="20"/>
          <w:szCs w:val="20"/>
        </w:rPr>
      </w:pPr>
      <w:r>
        <w:rPr>
          <w:sz w:val="16"/>
          <w:szCs w:val="16"/>
        </w:rPr>
        <w:t>​</w:t>
      </w:r>
    </w:p>
    <w:p w14:paraId="7623B429" w14:textId="77777777" w:rsidR="00000000" w:rsidRDefault="001F1B20">
      <w:pPr>
        <w:pStyle w:val="a3"/>
        <w:spacing w:before="360" w:beforeAutospacing="0" w:after="0" w:afterAutospacing="0"/>
        <w:jc w:val="center"/>
        <w:divId w:val="251745372"/>
        <w:rPr>
          <w:sz w:val="20"/>
          <w:szCs w:val="20"/>
        </w:rPr>
      </w:pPr>
      <w:r>
        <w:rPr>
          <w:sz w:val="20"/>
          <w:szCs w:val="20"/>
        </w:rPr>
        <w:t>6</w:t>
      </w:r>
    </w:p>
    <w:p w14:paraId="52C38ECA" w14:textId="77777777" w:rsidR="00000000" w:rsidRDefault="001F1B20">
      <w:pPr>
        <w:pStyle w:val="a3"/>
        <w:spacing w:before="0" w:beforeAutospacing="0" w:after="600" w:afterAutospacing="0"/>
        <w:divId w:val="1006438437"/>
        <w:rPr>
          <w:sz w:val="20"/>
          <w:szCs w:val="20"/>
        </w:rPr>
      </w:pPr>
      <w:hyperlink w:anchor="TOC" w:history="1">
        <w:r>
          <w:rPr>
            <w:rStyle w:val="a4"/>
            <w:sz w:val="20"/>
            <w:szCs w:val="20"/>
          </w:rPr>
          <w:t>Table of Contents</w:t>
        </w:r>
      </w:hyperlink>
    </w:p>
    <w:p w14:paraId="3349CC00" w14:textId="77777777" w:rsidR="00000000" w:rsidRDefault="001F1B20">
      <w:pPr>
        <w:pStyle w:val="a3"/>
        <w:spacing w:before="0" w:beforeAutospacing="0" w:after="0" w:afterAutospacing="0"/>
        <w:jc w:val="center"/>
        <w:divId w:val="1806119942"/>
        <w:rPr>
          <w:sz w:val="20"/>
          <w:szCs w:val="20"/>
        </w:rPr>
      </w:pPr>
      <w:r>
        <w:rPr>
          <w:sz w:val="16"/>
          <w:szCs w:val="16"/>
        </w:rPr>
        <w:t>​</w:t>
      </w:r>
    </w:p>
    <w:p w14:paraId="3123F611" w14:textId="77777777" w:rsidR="00000000" w:rsidRDefault="001F1B20">
      <w:pPr>
        <w:pStyle w:val="a3"/>
        <w:spacing w:before="0" w:beforeAutospacing="0" w:after="0" w:afterAutospacing="0"/>
        <w:jc w:val="center"/>
        <w:divId w:val="1806119942"/>
        <w:rPr>
          <w:sz w:val="20"/>
          <w:szCs w:val="20"/>
        </w:rPr>
      </w:pPr>
      <w:r>
        <w:rPr>
          <w:b/>
          <w:bCs/>
          <w:sz w:val="20"/>
          <w:szCs w:val="20"/>
        </w:rPr>
        <w:t>THERAVANCE BIOPHARMA, INC.</w:t>
      </w:r>
    </w:p>
    <w:p w14:paraId="4BA3AA64" w14:textId="77777777" w:rsidR="00000000" w:rsidRDefault="001F1B20">
      <w:pPr>
        <w:pStyle w:val="a3"/>
        <w:spacing w:before="0" w:beforeAutospacing="0" w:after="0" w:afterAutospacing="0"/>
        <w:jc w:val="center"/>
        <w:divId w:val="1806119942"/>
        <w:rPr>
          <w:sz w:val="20"/>
          <w:szCs w:val="20"/>
        </w:rPr>
      </w:pPr>
      <w:r>
        <w:rPr>
          <w:b/>
          <w:bCs/>
          <w:sz w:val="20"/>
          <w:szCs w:val="20"/>
        </w:rPr>
        <w:t>NOTES TO CONDENSED CONSOLIDATED FINANCIAL STATEMENTS</w:t>
      </w:r>
    </w:p>
    <w:p w14:paraId="60CC8B5A" w14:textId="77777777" w:rsidR="00000000" w:rsidRDefault="001F1B20">
      <w:pPr>
        <w:pStyle w:val="a3"/>
        <w:spacing w:before="0" w:beforeAutospacing="0" w:after="0" w:afterAutospacing="0"/>
        <w:jc w:val="center"/>
        <w:divId w:val="1806119942"/>
        <w:rPr>
          <w:sz w:val="20"/>
          <w:szCs w:val="20"/>
        </w:rPr>
      </w:pPr>
      <w:r>
        <w:rPr>
          <w:b/>
          <w:bCs/>
          <w:sz w:val="20"/>
          <w:szCs w:val="20"/>
        </w:rPr>
        <w:t>(Unaudited)</w:t>
      </w:r>
    </w:p>
    <w:p w14:paraId="220AF169" w14:textId="77777777" w:rsidR="00000000" w:rsidRDefault="001F1B20">
      <w:pPr>
        <w:pStyle w:val="a3"/>
        <w:spacing w:before="0" w:beforeAutospacing="0" w:after="0" w:afterAutospacing="0"/>
        <w:jc w:val="center"/>
        <w:divId w:val="1806119942"/>
        <w:rPr>
          <w:sz w:val="20"/>
          <w:szCs w:val="20"/>
        </w:rPr>
      </w:pPr>
      <w:r>
        <w:rPr>
          <w:sz w:val="20"/>
          <w:szCs w:val="20"/>
        </w:rPr>
        <w:t>​</w:t>
      </w:r>
    </w:p>
    <w:p w14:paraId="18DC0A56" w14:textId="77777777" w:rsidR="00000000" w:rsidRDefault="001F1B20">
      <w:pPr>
        <w:pStyle w:val="a3"/>
        <w:spacing w:before="0" w:beforeAutospacing="0" w:after="0" w:afterAutospacing="0"/>
        <w:divId w:val="1806119942"/>
        <w:rPr>
          <w:sz w:val="20"/>
          <w:szCs w:val="20"/>
        </w:rPr>
      </w:pPr>
      <w:r>
        <w:rPr>
          <w:sz w:val="20"/>
          <w:szCs w:val="20"/>
        </w:rPr>
        <w:t>​</w:t>
      </w:r>
    </w:p>
    <w:p w14:paraId="4C8539C4" w14:textId="77777777" w:rsidR="00000000" w:rsidRDefault="001F1B20">
      <w:pPr>
        <w:pStyle w:val="a3"/>
        <w:spacing w:before="0" w:beforeAutospacing="0" w:after="0" w:afterAutospacing="0"/>
        <w:divId w:val="1806119942"/>
        <w:rPr>
          <w:sz w:val="20"/>
          <w:szCs w:val="20"/>
        </w:rPr>
      </w:pPr>
      <w:r>
        <w:rPr>
          <w:b/>
          <w:bCs/>
          <w:sz w:val="20"/>
          <w:szCs w:val="20"/>
        </w:rPr>
        <w:t>1. Organization and Summary of Significant Accounting Policies</w:t>
      </w:r>
    </w:p>
    <w:p w14:paraId="2E05FAB5" w14:textId="77777777" w:rsidR="00000000" w:rsidRDefault="001F1B20">
      <w:pPr>
        <w:pStyle w:val="a3"/>
        <w:spacing w:before="0" w:beforeAutospacing="0" w:after="0" w:afterAutospacing="0"/>
        <w:divId w:val="1806119942"/>
        <w:rPr>
          <w:sz w:val="20"/>
          <w:szCs w:val="20"/>
        </w:rPr>
      </w:pPr>
      <w:r>
        <w:rPr>
          <w:sz w:val="10"/>
          <w:szCs w:val="10"/>
        </w:rPr>
        <w:t>​</w:t>
      </w:r>
    </w:p>
    <w:p w14:paraId="366FB7D0" w14:textId="77777777" w:rsidR="00000000" w:rsidRDefault="001F1B20">
      <w:pPr>
        <w:pStyle w:val="a3"/>
        <w:spacing w:before="0" w:beforeAutospacing="0" w:after="0" w:afterAutospacing="0"/>
        <w:ind w:firstLine="720"/>
        <w:divId w:val="1806119942"/>
        <w:rPr>
          <w:sz w:val="20"/>
          <w:szCs w:val="20"/>
        </w:rPr>
      </w:pPr>
      <w:r>
        <w:rPr>
          <w:sz w:val="20"/>
          <w:szCs w:val="20"/>
        </w:rPr>
        <w:t>Theravance Biopharma, Inc. (“Theravance Biopharma” or the “Company”</w:t>
      </w:r>
      <w:r>
        <w:rPr>
          <w:sz w:val="20"/>
          <w:szCs w:val="20"/>
        </w:rPr>
        <w:t xml:space="preserve">) is a biopharmaceutical company primarily focused on the discovery, development and commercialization of respiratory medicines. The Company’s core purpose is to create medicines that help improve the lives of patients suffering from respiratory illness. </w:t>
      </w:r>
    </w:p>
    <w:p w14:paraId="76EB7A08" w14:textId="77777777" w:rsidR="00000000" w:rsidRDefault="001F1B20">
      <w:pPr>
        <w:pStyle w:val="a3"/>
        <w:spacing w:before="0" w:beforeAutospacing="0" w:after="0" w:afterAutospacing="0"/>
        <w:divId w:val="1806119942"/>
        <w:rPr>
          <w:sz w:val="20"/>
          <w:szCs w:val="20"/>
        </w:rPr>
      </w:pPr>
      <w:r>
        <w:rPr>
          <w:sz w:val="20"/>
          <w:szCs w:val="20"/>
        </w:rPr>
        <w:t>​</w:t>
      </w:r>
    </w:p>
    <w:p w14:paraId="42B56C15" w14:textId="77777777" w:rsidR="00000000" w:rsidRDefault="001F1B20">
      <w:pPr>
        <w:pStyle w:val="a3"/>
        <w:spacing w:before="0" w:beforeAutospacing="0" w:after="0" w:afterAutospacing="0"/>
        <w:divId w:val="1806119942"/>
        <w:rPr>
          <w:sz w:val="20"/>
          <w:szCs w:val="20"/>
        </w:rPr>
      </w:pPr>
      <w:r>
        <w:rPr>
          <w:b/>
          <w:bCs/>
          <w:i/>
          <w:iCs/>
          <w:sz w:val="20"/>
          <w:szCs w:val="20"/>
        </w:rPr>
        <w:t>Basis of Presentation</w:t>
      </w:r>
    </w:p>
    <w:p w14:paraId="4500401D" w14:textId="77777777" w:rsidR="00000000" w:rsidRDefault="001F1B20">
      <w:pPr>
        <w:pStyle w:val="a3"/>
        <w:spacing w:before="0" w:beforeAutospacing="0" w:after="0" w:afterAutospacing="0"/>
        <w:divId w:val="1806119942"/>
        <w:rPr>
          <w:sz w:val="20"/>
          <w:szCs w:val="20"/>
        </w:rPr>
      </w:pPr>
      <w:r>
        <w:rPr>
          <w:sz w:val="10"/>
          <w:szCs w:val="10"/>
        </w:rPr>
        <w:t>​</w:t>
      </w:r>
    </w:p>
    <w:p w14:paraId="35A87440" w14:textId="77777777" w:rsidR="00000000" w:rsidRDefault="001F1B20">
      <w:pPr>
        <w:pStyle w:val="a3"/>
        <w:spacing w:before="0" w:beforeAutospacing="0" w:after="0" w:afterAutospacing="0"/>
        <w:ind w:firstLine="720"/>
        <w:divId w:val="1806119942"/>
        <w:rPr>
          <w:sz w:val="20"/>
          <w:szCs w:val="20"/>
        </w:rPr>
      </w:pPr>
      <w:r>
        <w:rPr>
          <w:sz w:val="20"/>
          <w:szCs w:val="20"/>
        </w:rPr>
        <w:t>The Company’s condensed consolidated financial information as of September 30, 2021, and for the three and nine months ended September 30, 2021 and 2020 is unaudited but includes all adjustments (consisting only of normal recurrin</w:t>
      </w:r>
      <w:r>
        <w:rPr>
          <w:sz w:val="20"/>
          <w:szCs w:val="20"/>
        </w:rPr>
        <w:t>g adjustments), which are considered necessary for a fair presentation of the financial position at such date and of the operating results and cash flows for those periods, and have been prepared in accordance with United States (“US”) generally accepted a</w:t>
      </w:r>
      <w:r>
        <w:rPr>
          <w:sz w:val="20"/>
          <w:szCs w:val="20"/>
        </w:rPr>
        <w:t>ccounting principles (“GAAP”) for interim financial information. Accordingly, they do not include all of the information and notes required by GAAP for complete financial statements. The accompanying unaudited condensed consolidated financial statements sh</w:t>
      </w:r>
      <w:r>
        <w:rPr>
          <w:sz w:val="20"/>
          <w:szCs w:val="20"/>
        </w:rPr>
        <w:t xml:space="preserve">ould be read in conjunction with the audited consolidated December 31, 2020 financial statements and notes thereto included in the Company’s Annual Report on Form 10-K for the year ended December 31, 2020, filed with the Securities and Exchange Commission </w:t>
      </w:r>
      <w:r>
        <w:rPr>
          <w:sz w:val="20"/>
          <w:szCs w:val="20"/>
        </w:rPr>
        <w:t>(“SEC”) on February 26, 2021.</w:t>
      </w:r>
    </w:p>
    <w:p w14:paraId="1A807B51" w14:textId="77777777" w:rsidR="00000000" w:rsidRDefault="001F1B20">
      <w:pPr>
        <w:pStyle w:val="a3"/>
        <w:spacing w:before="0" w:beforeAutospacing="0" w:after="0" w:afterAutospacing="0"/>
        <w:ind w:firstLine="720"/>
        <w:divId w:val="1806119942"/>
        <w:rPr>
          <w:sz w:val="20"/>
          <w:szCs w:val="20"/>
        </w:rPr>
      </w:pPr>
      <w:r>
        <w:rPr>
          <w:sz w:val="20"/>
          <w:szCs w:val="20"/>
        </w:rPr>
        <w:t>​</w:t>
      </w:r>
    </w:p>
    <w:p w14:paraId="4E079184" w14:textId="77777777" w:rsidR="00000000" w:rsidRDefault="001F1B20">
      <w:pPr>
        <w:pStyle w:val="a3"/>
        <w:spacing w:before="0" w:beforeAutospacing="0" w:after="0" w:afterAutospacing="0"/>
        <w:ind w:firstLine="720"/>
        <w:divId w:val="1806119942"/>
        <w:rPr>
          <w:sz w:val="20"/>
          <w:szCs w:val="20"/>
        </w:rPr>
      </w:pPr>
      <w:r>
        <w:rPr>
          <w:sz w:val="20"/>
          <w:szCs w:val="20"/>
        </w:rPr>
        <w:t>The results for the three and nine months ended September 30, 2021 are not necessarily indicative of the results to be expected for the year ending December 31, 2021, or for any other interim period or for any future period.</w:t>
      </w:r>
      <w:r>
        <w:rPr>
          <w:sz w:val="20"/>
          <w:szCs w:val="20"/>
        </w:rPr>
        <w:t xml:space="preserve"> These condensed consolidated financial statements include the accounts of the Company and its subsidiaries, and intercompany transactions and balances have been eliminated.</w:t>
      </w:r>
    </w:p>
    <w:p w14:paraId="13664C8C" w14:textId="77777777" w:rsidR="00000000" w:rsidRDefault="001F1B20">
      <w:pPr>
        <w:pStyle w:val="a3"/>
        <w:spacing w:before="0" w:beforeAutospacing="0" w:after="0" w:afterAutospacing="0"/>
        <w:ind w:firstLine="720"/>
        <w:divId w:val="1806119942"/>
        <w:rPr>
          <w:sz w:val="20"/>
          <w:szCs w:val="20"/>
        </w:rPr>
      </w:pPr>
      <w:r>
        <w:rPr>
          <w:sz w:val="20"/>
          <w:szCs w:val="20"/>
        </w:rPr>
        <w:t>​</w:t>
      </w:r>
    </w:p>
    <w:p w14:paraId="5693574C" w14:textId="77777777" w:rsidR="00000000" w:rsidRDefault="001F1B20">
      <w:pPr>
        <w:pStyle w:val="a3"/>
        <w:spacing w:before="0" w:beforeAutospacing="0" w:after="0" w:afterAutospacing="0"/>
        <w:divId w:val="1806119942"/>
        <w:rPr>
          <w:sz w:val="20"/>
          <w:szCs w:val="20"/>
        </w:rPr>
      </w:pPr>
      <w:r>
        <w:rPr>
          <w:b/>
          <w:bCs/>
          <w:i/>
          <w:iCs/>
          <w:sz w:val="20"/>
          <w:szCs w:val="20"/>
        </w:rPr>
        <w:t>Use of Estimates</w:t>
      </w:r>
    </w:p>
    <w:p w14:paraId="6D88E08A" w14:textId="77777777" w:rsidR="00000000" w:rsidRDefault="001F1B20">
      <w:pPr>
        <w:pStyle w:val="a3"/>
        <w:spacing w:before="0" w:beforeAutospacing="0" w:after="0" w:afterAutospacing="0"/>
        <w:divId w:val="1806119942"/>
        <w:rPr>
          <w:sz w:val="20"/>
          <w:szCs w:val="20"/>
        </w:rPr>
      </w:pPr>
      <w:r>
        <w:rPr>
          <w:sz w:val="10"/>
          <w:szCs w:val="10"/>
        </w:rPr>
        <w:t>​</w:t>
      </w:r>
    </w:p>
    <w:p w14:paraId="371AF77C" w14:textId="77777777" w:rsidR="00000000" w:rsidRDefault="001F1B20">
      <w:pPr>
        <w:pStyle w:val="a3"/>
        <w:spacing w:before="0" w:beforeAutospacing="0" w:after="0" w:afterAutospacing="0"/>
        <w:ind w:firstLine="720"/>
        <w:divId w:val="1806119942"/>
        <w:rPr>
          <w:sz w:val="20"/>
          <w:szCs w:val="20"/>
        </w:rPr>
      </w:pPr>
      <w:r>
        <w:rPr>
          <w:sz w:val="20"/>
          <w:szCs w:val="20"/>
        </w:rPr>
        <w:t>The preparation of financial statements in conformity with GA</w:t>
      </w:r>
      <w:r>
        <w:rPr>
          <w:sz w:val="20"/>
          <w:szCs w:val="20"/>
        </w:rPr>
        <w:t>AP requires management to make estimates and assumptions that affect the reported amounts of assets, liabilities, revenues and expenses, and related disclosures in the condensed consolidated financial statements and accompanying notes. Management bases its</w:t>
      </w:r>
      <w:r>
        <w:rPr>
          <w:sz w:val="20"/>
          <w:szCs w:val="20"/>
        </w:rPr>
        <w:t xml:space="preserve"> estimates on historical experience and on assumptions believed to be reasonable under the circumstances. Actual results could differ materially from those estimates.</w:t>
      </w:r>
    </w:p>
    <w:p w14:paraId="20951283" w14:textId="77777777" w:rsidR="00000000" w:rsidRDefault="001F1B20">
      <w:pPr>
        <w:pStyle w:val="a3"/>
        <w:spacing w:before="0" w:beforeAutospacing="0" w:after="0" w:afterAutospacing="0"/>
        <w:divId w:val="1806119942"/>
        <w:rPr>
          <w:sz w:val="20"/>
          <w:szCs w:val="20"/>
        </w:rPr>
      </w:pPr>
      <w:r>
        <w:rPr>
          <w:sz w:val="20"/>
          <w:szCs w:val="20"/>
        </w:rPr>
        <w:t>​</w:t>
      </w:r>
    </w:p>
    <w:p w14:paraId="11F3E37D" w14:textId="77777777" w:rsidR="00000000" w:rsidRDefault="001F1B20">
      <w:pPr>
        <w:pStyle w:val="a3"/>
        <w:spacing w:before="0" w:beforeAutospacing="0" w:after="0" w:afterAutospacing="0"/>
        <w:divId w:val="1806119942"/>
        <w:rPr>
          <w:sz w:val="20"/>
          <w:szCs w:val="20"/>
        </w:rPr>
      </w:pPr>
      <w:r>
        <w:rPr>
          <w:b/>
          <w:bCs/>
          <w:i/>
          <w:iCs/>
          <w:sz w:val="20"/>
          <w:szCs w:val="20"/>
        </w:rPr>
        <w:t>Significant Accounting Policies</w:t>
      </w:r>
    </w:p>
    <w:p w14:paraId="546AF937" w14:textId="77777777" w:rsidR="00000000" w:rsidRDefault="001F1B20">
      <w:pPr>
        <w:pStyle w:val="a3"/>
        <w:spacing w:before="0" w:beforeAutospacing="0" w:after="0" w:afterAutospacing="0"/>
        <w:divId w:val="1806119942"/>
        <w:rPr>
          <w:sz w:val="20"/>
          <w:szCs w:val="20"/>
        </w:rPr>
      </w:pPr>
      <w:r>
        <w:rPr>
          <w:sz w:val="10"/>
          <w:szCs w:val="10"/>
        </w:rPr>
        <w:t>​</w:t>
      </w:r>
    </w:p>
    <w:p w14:paraId="26E7A5C6" w14:textId="77777777" w:rsidR="00000000" w:rsidRDefault="001F1B20">
      <w:pPr>
        <w:pStyle w:val="a3"/>
        <w:spacing w:before="0" w:beforeAutospacing="0" w:after="0" w:afterAutospacing="0"/>
        <w:ind w:firstLine="720"/>
        <w:divId w:val="1806119942"/>
        <w:rPr>
          <w:sz w:val="20"/>
          <w:szCs w:val="20"/>
        </w:rPr>
      </w:pPr>
      <w:r>
        <w:rPr>
          <w:sz w:val="20"/>
          <w:szCs w:val="20"/>
        </w:rPr>
        <w:t>There have been no material revisions in the Company’s significant accounting policies described in Note 1 to the consolidated financial statements included in its Annual Report on Form 10-K for the year ended December 31, 2020.</w:t>
      </w:r>
    </w:p>
    <w:p w14:paraId="1FCF5AE6" w14:textId="77777777" w:rsidR="00000000" w:rsidRDefault="001F1B20">
      <w:pPr>
        <w:pStyle w:val="a3"/>
        <w:spacing w:before="0" w:beforeAutospacing="0" w:after="0" w:afterAutospacing="0"/>
        <w:divId w:val="1806119942"/>
        <w:rPr>
          <w:sz w:val="20"/>
          <w:szCs w:val="20"/>
        </w:rPr>
      </w:pPr>
      <w:r>
        <w:rPr>
          <w:sz w:val="20"/>
          <w:szCs w:val="20"/>
        </w:rPr>
        <w:t>​</w:t>
      </w:r>
    </w:p>
    <w:p w14:paraId="70DEE558" w14:textId="77777777" w:rsidR="00000000" w:rsidRDefault="001F1B20">
      <w:pPr>
        <w:pStyle w:val="a3"/>
        <w:spacing w:before="0" w:beforeAutospacing="0" w:after="0" w:afterAutospacing="0"/>
        <w:divId w:val="1806119942"/>
        <w:rPr>
          <w:sz w:val="20"/>
          <w:szCs w:val="20"/>
        </w:rPr>
      </w:pPr>
      <w:r>
        <w:rPr>
          <w:b/>
          <w:bCs/>
          <w:i/>
          <w:iCs/>
          <w:sz w:val="20"/>
          <w:szCs w:val="20"/>
        </w:rPr>
        <w:t>Recently Adopted Accounti</w:t>
      </w:r>
      <w:r>
        <w:rPr>
          <w:b/>
          <w:bCs/>
          <w:i/>
          <w:iCs/>
          <w:sz w:val="20"/>
          <w:szCs w:val="20"/>
        </w:rPr>
        <w:t>ng Pronouncements</w:t>
      </w:r>
    </w:p>
    <w:p w14:paraId="32115F39" w14:textId="77777777" w:rsidR="00000000" w:rsidRDefault="001F1B20">
      <w:pPr>
        <w:pStyle w:val="a3"/>
        <w:spacing w:before="0" w:beforeAutospacing="0" w:after="0" w:afterAutospacing="0"/>
        <w:divId w:val="1806119942"/>
        <w:rPr>
          <w:sz w:val="20"/>
          <w:szCs w:val="20"/>
        </w:rPr>
      </w:pPr>
      <w:r>
        <w:rPr>
          <w:sz w:val="20"/>
          <w:szCs w:val="20"/>
        </w:rPr>
        <w:t>​</w:t>
      </w:r>
    </w:p>
    <w:p w14:paraId="5F7EEA18" w14:textId="77777777" w:rsidR="00000000" w:rsidRDefault="001F1B20">
      <w:pPr>
        <w:pStyle w:val="a3"/>
        <w:spacing w:before="0" w:beforeAutospacing="0" w:after="0" w:afterAutospacing="0"/>
        <w:ind w:firstLine="720"/>
        <w:divId w:val="1806119942"/>
        <w:rPr>
          <w:sz w:val="20"/>
          <w:szCs w:val="20"/>
        </w:rPr>
      </w:pPr>
      <w:r>
        <w:rPr>
          <w:sz w:val="20"/>
          <w:szCs w:val="20"/>
        </w:rPr>
        <w:t xml:space="preserve">In December 2019, the Financial Accounting Standards Board (“FASB”) issued ASU 2019-12, </w:t>
      </w:r>
      <w:r>
        <w:rPr>
          <w:i/>
          <w:iCs/>
          <w:sz w:val="20"/>
          <w:szCs w:val="20"/>
        </w:rPr>
        <w:t>Income Taxes (Topic 740): Simplifying the Accounting for Income Taxes</w:t>
      </w:r>
      <w:r>
        <w:rPr>
          <w:sz w:val="20"/>
          <w:szCs w:val="20"/>
        </w:rPr>
        <w:t xml:space="preserve"> (“ASU 2019-12”) as part of its overall simplification initiative to reduce cos</w:t>
      </w:r>
      <w:r>
        <w:rPr>
          <w:sz w:val="20"/>
          <w:szCs w:val="20"/>
        </w:rPr>
        <w:t xml:space="preserve">ts and complexity of applying accounting standards. ASU 2019-12 removes certain exceptions from Topic 740, </w:t>
      </w:r>
      <w:r>
        <w:rPr>
          <w:i/>
          <w:iCs/>
          <w:sz w:val="20"/>
          <w:szCs w:val="20"/>
        </w:rPr>
        <w:t>Income Taxes</w:t>
      </w:r>
      <w:r>
        <w:rPr>
          <w:sz w:val="20"/>
          <w:szCs w:val="20"/>
        </w:rPr>
        <w:t>, including (i) the exception to the incremental approach for intra period tax allocation when there is a loss from continuing operations</w:t>
      </w:r>
      <w:r>
        <w:rPr>
          <w:sz w:val="20"/>
          <w:szCs w:val="20"/>
        </w:rPr>
        <w:t xml:space="preserve"> and income or a gain from other items such as discontinued operations or other comprehensive income; (ii) the exception to accounting for outside basis differences of equity method investments and foreign subsidiaries; and (iii) the exception to limit the</w:t>
      </w:r>
      <w:r>
        <w:rPr>
          <w:sz w:val="20"/>
          <w:szCs w:val="20"/>
        </w:rPr>
        <w:t xml:space="preserve"> tax benefit recognized in interim periods in cases when the year-to-date losses exceed anticipated losses. ASU 2019-12 also simplifies GAAP in several other areas of Topic 740 such as (i) franchise taxes and other taxes partially based on income; (ii) ste</w:t>
      </w:r>
      <w:r>
        <w:rPr>
          <w:sz w:val="20"/>
          <w:szCs w:val="20"/>
        </w:rPr>
        <w:t>p-up in tax basis goodwill considered part of a business combination in which the book goodwill was originally recognized or should be considered a separate transaction; (iii) separate financial statements of entities not subject to tax; and (iv) interim r</w:t>
      </w:r>
      <w:r>
        <w:rPr>
          <w:sz w:val="20"/>
          <w:szCs w:val="20"/>
        </w:rPr>
        <w:t xml:space="preserve">ecognition of enactment of tax laws or rate changes. ASU 2019-12 became effective for annual reporting periods and interim periods within those years beginning after December 15, 2020. The </w:t>
      </w:r>
    </w:p>
    <w:p w14:paraId="22E77323" w14:textId="77777777" w:rsidR="00000000" w:rsidRDefault="001F1B20">
      <w:pPr>
        <w:pStyle w:val="a3"/>
        <w:spacing w:before="360" w:beforeAutospacing="0" w:after="0" w:afterAutospacing="0"/>
        <w:jc w:val="center"/>
        <w:divId w:val="1670524955"/>
        <w:rPr>
          <w:sz w:val="20"/>
          <w:szCs w:val="20"/>
        </w:rPr>
      </w:pPr>
      <w:r>
        <w:rPr>
          <w:sz w:val="20"/>
          <w:szCs w:val="20"/>
        </w:rPr>
        <w:t>7</w:t>
      </w:r>
    </w:p>
    <w:p w14:paraId="2438C615" w14:textId="77777777" w:rsidR="00000000" w:rsidRDefault="001F1B20">
      <w:pPr>
        <w:pStyle w:val="a3"/>
        <w:spacing w:before="0" w:beforeAutospacing="0" w:after="600" w:afterAutospacing="0"/>
        <w:divId w:val="1695839833"/>
        <w:rPr>
          <w:sz w:val="20"/>
          <w:szCs w:val="20"/>
        </w:rPr>
      </w:pPr>
      <w:hyperlink w:anchor="TOC" w:history="1">
        <w:r>
          <w:rPr>
            <w:rStyle w:val="a4"/>
            <w:sz w:val="20"/>
            <w:szCs w:val="20"/>
          </w:rPr>
          <w:t>Table of Contents</w:t>
        </w:r>
      </w:hyperlink>
    </w:p>
    <w:p w14:paraId="3113C83B" w14:textId="77777777" w:rsidR="00000000" w:rsidRDefault="001F1B20">
      <w:pPr>
        <w:pStyle w:val="a3"/>
        <w:spacing w:before="0" w:beforeAutospacing="0" w:after="0" w:afterAutospacing="0"/>
        <w:divId w:val="1226065540"/>
        <w:rPr>
          <w:sz w:val="20"/>
          <w:szCs w:val="20"/>
        </w:rPr>
      </w:pPr>
      <w:r>
        <w:rPr>
          <w:sz w:val="20"/>
          <w:szCs w:val="20"/>
        </w:rPr>
        <w:t>adoption of ASU 2019</w:t>
      </w:r>
      <w:r>
        <w:rPr>
          <w:sz w:val="20"/>
          <w:szCs w:val="20"/>
        </w:rPr>
        <w:t xml:space="preserve">-12 did not have a material impact on the Company’s consolidated financial statements and related disclosures. </w:t>
      </w:r>
    </w:p>
    <w:p w14:paraId="5EF5468A" w14:textId="77777777" w:rsidR="00000000" w:rsidRDefault="001F1B20">
      <w:pPr>
        <w:pStyle w:val="a3"/>
        <w:spacing w:before="0" w:beforeAutospacing="0" w:after="0" w:afterAutospacing="0"/>
        <w:divId w:val="1226065540"/>
        <w:rPr>
          <w:sz w:val="20"/>
          <w:szCs w:val="20"/>
        </w:rPr>
      </w:pPr>
      <w:r>
        <w:rPr>
          <w:sz w:val="20"/>
          <w:szCs w:val="20"/>
        </w:rPr>
        <w:t>​</w:t>
      </w:r>
    </w:p>
    <w:p w14:paraId="02A00470" w14:textId="77777777" w:rsidR="00000000" w:rsidRDefault="001F1B20">
      <w:pPr>
        <w:pStyle w:val="a3"/>
        <w:spacing w:before="0" w:beforeAutospacing="0" w:after="0" w:afterAutospacing="0"/>
        <w:divId w:val="1226065540"/>
        <w:rPr>
          <w:sz w:val="20"/>
          <w:szCs w:val="20"/>
        </w:rPr>
      </w:pPr>
      <w:r>
        <w:rPr>
          <w:b/>
          <w:bCs/>
          <w:i/>
          <w:iCs/>
          <w:sz w:val="20"/>
          <w:szCs w:val="20"/>
        </w:rPr>
        <w:t xml:space="preserve">Recently Issued Accounting Pronouncements Not Yet Adopted </w:t>
      </w:r>
    </w:p>
    <w:p w14:paraId="4FD6EA2B" w14:textId="77777777" w:rsidR="00000000" w:rsidRDefault="001F1B20">
      <w:pPr>
        <w:pStyle w:val="a3"/>
        <w:spacing w:before="0" w:beforeAutospacing="0" w:after="0" w:afterAutospacing="0"/>
        <w:divId w:val="1226065540"/>
        <w:rPr>
          <w:sz w:val="20"/>
          <w:szCs w:val="20"/>
        </w:rPr>
      </w:pPr>
      <w:r>
        <w:rPr>
          <w:b/>
          <w:bCs/>
          <w:i/>
          <w:iCs/>
          <w:sz w:val="10"/>
          <w:szCs w:val="10"/>
        </w:rPr>
        <w:t>​</w:t>
      </w:r>
    </w:p>
    <w:p w14:paraId="02E25748" w14:textId="77777777" w:rsidR="00000000" w:rsidRDefault="001F1B20">
      <w:pPr>
        <w:pStyle w:val="a3"/>
        <w:spacing w:before="0" w:beforeAutospacing="0" w:after="0" w:afterAutospacing="0"/>
        <w:ind w:firstLine="720"/>
        <w:divId w:val="1226065540"/>
        <w:rPr>
          <w:sz w:val="20"/>
          <w:szCs w:val="20"/>
        </w:rPr>
      </w:pPr>
      <w:r>
        <w:rPr>
          <w:sz w:val="20"/>
          <w:szCs w:val="20"/>
        </w:rPr>
        <w:t xml:space="preserve">In August 2020, the FASB issued ASU 2020-06, </w:t>
      </w:r>
      <w:r>
        <w:rPr>
          <w:i/>
          <w:iCs/>
          <w:sz w:val="20"/>
          <w:szCs w:val="20"/>
        </w:rPr>
        <w:t>Debt - Debt with Conversion and othe</w:t>
      </w:r>
      <w:r>
        <w:rPr>
          <w:i/>
          <w:iCs/>
          <w:sz w:val="20"/>
          <w:szCs w:val="20"/>
        </w:rPr>
        <w:t>r Options (Subtopic 470-20) and Derivatives and Hedging: Contracts in Entity’s Own Equity (Subtopic 815-40)</w:t>
      </w:r>
      <w:r>
        <w:rPr>
          <w:sz w:val="20"/>
          <w:szCs w:val="20"/>
        </w:rPr>
        <w:t xml:space="preserve"> (“ASU 2020-06”). ASU 2020-06</w:t>
      </w:r>
      <w:r>
        <w:rPr>
          <w:color w:val="333333"/>
          <w:sz w:val="20"/>
          <w:szCs w:val="20"/>
          <w:shd w:val="clear" w:color="auto" w:fill="FFFFFF"/>
        </w:rPr>
        <w:t> simplifies the complexity associated with applying GAAP for certain financial instruments with characteristics of liabi</w:t>
      </w:r>
      <w:r>
        <w:rPr>
          <w:color w:val="333333"/>
          <w:sz w:val="20"/>
          <w:szCs w:val="20"/>
          <w:shd w:val="clear" w:color="auto" w:fill="FFFFFF"/>
        </w:rPr>
        <w:t>lities and equity</w:t>
      </w:r>
      <w:r>
        <w:rPr>
          <w:sz w:val="20"/>
          <w:szCs w:val="20"/>
        </w:rPr>
        <w:t xml:space="preserve"> by </w:t>
      </w:r>
      <w:r>
        <w:rPr>
          <w:color w:val="333333"/>
          <w:sz w:val="20"/>
          <w:szCs w:val="20"/>
          <w:shd w:val="clear" w:color="auto" w:fill="FFFFFF"/>
        </w:rPr>
        <w:t xml:space="preserve">removing certain accounting models which separate the embedded conversion features from the host contract for convertible instruments. The standard also </w:t>
      </w:r>
      <w:r>
        <w:rPr>
          <w:sz w:val="20"/>
          <w:szCs w:val="20"/>
          <w:shd w:val="clear" w:color="auto" w:fill="FFFFFF"/>
        </w:rPr>
        <w:t>enhances the consistency of earnings-per-share calculations by requiring that an e</w:t>
      </w:r>
      <w:r>
        <w:rPr>
          <w:sz w:val="20"/>
          <w:szCs w:val="20"/>
          <w:shd w:val="clear" w:color="auto" w:fill="FFFFFF"/>
        </w:rPr>
        <w:t>ntity use the if-converted method and that the effect of potential share settlement be included in diluted earnings-per-share calculations</w:t>
      </w:r>
      <w:r>
        <w:rPr>
          <w:sz w:val="20"/>
          <w:szCs w:val="20"/>
          <w:shd w:val="clear" w:color="auto" w:fill="FFFFFF"/>
        </w:rPr>
        <w:t>.</w:t>
      </w:r>
      <w:r>
        <w:rPr>
          <w:sz w:val="20"/>
          <w:szCs w:val="20"/>
        </w:rPr>
        <w:t xml:space="preserve"> ASU 2020-06 is effective for fiscal years and interim periods within those fiscal years beginning after December 15,</w:t>
      </w:r>
      <w:r>
        <w:rPr>
          <w:sz w:val="20"/>
          <w:szCs w:val="20"/>
        </w:rPr>
        <w:t xml:space="preserve"> 2021, and early adoption is permitted. The Company does not currently expect ASU 2020-06 to have a material impact on its consolidated financial statements and related disclosures.</w:t>
      </w:r>
      <w:r>
        <w:rPr>
          <w:sz w:val="20"/>
          <w:szCs w:val="20"/>
        </w:rPr>
        <w:t xml:space="preserve"> </w:t>
      </w:r>
    </w:p>
    <w:p w14:paraId="403B1F9A" w14:textId="77777777" w:rsidR="00000000" w:rsidRDefault="001F1B20">
      <w:pPr>
        <w:pStyle w:val="a3"/>
        <w:spacing w:before="0" w:beforeAutospacing="0" w:after="0" w:afterAutospacing="0"/>
        <w:divId w:val="1226065540"/>
        <w:rPr>
          <w:sz w:val="20"/>
          <w:szCs w:val="20"/>
        </w:rPr>
      </w:pPr>
      <w:r>
        <w:rPr>
          <w:sz w:val="20"/>
          <w:szCs w:val="20"/>
        </w:rPr>
        <w:t>​</w:t>
      </w:r>
    </w:p>
    <w:p w14:paraId="37382480" w14:textId="77777777" w:rsidR="00000000" w:rsidRDefault="001F1B20">
      <w:pPr>
        <w:pStyle w:val="a3"/>
        <w:spacing w:before="0" w:beforeAutospacing="0" w:after="0" w:afterAutospacing="0"/>
        <w:ind w:firstLine="720"/>
        <w:jc w:val="both"/>
        <w:divId w:val="1226065540"/>
        <w:rPr>
          <w:sz w:val="20"/>
          <w:szCs w:val="20"/>
        </w:rPr>
      </w:pPr>
      <w:r>
        <w:rPr>
          <w:sz w:val="20"/>
          <w:szCs w:val="20"/>
        </w:rPr>
        <w:t>The Company has evaluated other recently issued accounting pronouncemen</w:t>
      </w:r>
      <w:r>
        <w:rPr>
          <w:sz w:val="20"/>
          <w:szCs w:val="20"/>
        </w:rPr>
        <w:t>ts and does not currently believe that any of these pronouncements will have a material impact on its consolidated financial statements and related disclosures.</w:t>
      </w:r>
    </w:p>
    <w:p w14:paraId="7FDD0CE6" w14:textId="77777777" w:rsidR="00000000" w:rsidRDefault="001F1B20">
      <w:pPr>
        <w:pStyle w:val="a3"/>
        <w:spacing w:before="0" w:beforeAutospacing="0" w:after="0" w:afterAutospacing="0"/>
        <w:ind w:firstLine="720"/>
        <w:jc w:val="both"/>
        <w:divId w:val="1226065540"/>
        <w:rPr>
          <w:sz w:val="20"/>
          <w:szCs w:val="20"/>
        </w:rPr>
      </w:pPr>
      <w:r>
        <w:rPr>
          <w:sz w:val="20"/>
          <w:szCs w:val="20"/>
        </w:rPr>
        <w:t>​</w:t>
      </w:r>
    </w:p>
    <w:p w14:paraId="5E44E1EB" w14:textId="77777777" w:rsidR="00000000" w:rsidRDefault="001F1B20">
      <w:pPr>
        <w:pStyle w:val="a3"/>
        <w:spacing w:before="0" w:beforeAutospacing="0" w:after="0" w:afterAutospacing="0"/>
        <w:divId w:val="1226065540"/>
        <w:rPr>
          <w:sz w:val="20"/>
          <w:szCs w:val="20"/>
        </w:rPr>
      </w:pPr>
      <w:r>
        <w:rPr>
          <w:sz w:val="2"/>
          <w:szCs w:val="2"/>
        </w:rPr>
        <w:t>​</w:t>
      </w:r>
    </w:p>
    <w:p w14:paraId="139BD2B5" w14:textId="77777777" w:rsidR="00000000" w:rsidRDefault="001F1B20">
      <w:pPr>
        <w:pStyle w:val="a3"/>
        <w:spacing w:before="0" w:beforeAutospacing="0" w:after="0" w:afterAutospacing="0"/>
        <w:divId w:val="1226065540"/>
        <w:rPr>
          <w:sz w:val="20"/>
          <w:szCs w:val="20"/>
        </w:rPr>
      </w:pPr>
      <w:r>
        <w:rPr>
          <w:b/>
          <w:bCs/>
          <w:sz w:val="20"/>
          <w:szCs w:val="20"/>
        </w:rPr>
        <w:t>2. Net Loss per Share</w:t>
      </w:r>
    </w:p>
    <w:p w14:paraId="5BEF3787" w14:textId="77777777" w:rsidR="00000000" w:rsidRDefault="001F1B20">
      <w:pPr>
        <w:pStyle w:val="a3"/>
        <w:spacing w:before="0" w:beforeAutospacing="0" w:after="0" w:afterAutospacing="0"/>
        <w:divId w:val="1226065540"/>
        <w:rPr>
          <w:sz w:val="20"/>
          <w:szCs w:val="20"/>
        </w:rPr>
      </w:pPr>
      <w:r>
        <w:rPr>
          <w:sz w:val="10"/>
          <w:szCs w:val="10"/>
        </w:rPr>
        <w:t>​</w:t>
      </w:r>
    </w:p>
    <w:p w14:paraId="033224B7" w14:textId="77777777" w:rsidR="00000000" w:rsidRDefault="001F1B20">
      <w:pPr>
        <w:pStyle w:val="a3"/>
        <w:spacing w:before="0" w:beforeAutospacing="0" w:after="0" w:afterAutospacing="0"/>
        <w:ind w:firstLine="720"/>
        <w:divId w:val="1226065540"/>
        <w:rPr>
          <w:sz w:val="20"/>
          <w:szCs w:val="20"/>
        </w:rPr>
      </w:pPr>
      <w:r>
        <w:rPr>
          <w:sz w:val="20"/>
          <w:szCs w:val="20"/>
        </w:rPr>
        <w:t>Basic net loss per share is computed by dividing net loss by the we</w:t>
      </w:r>
      <w:r>
        <w:rPr>
          <w:sz w:val="20"/>
          <w:szCs w:val="20"/>
        </w:rPr>
        <w:t xml:space="preserve">ighted-average number of shares outstanding, less ordinary shares subject to forfeiture. Diluted net loss per share is computed by dividing net loss by the weighted-average number of shares outstanding, less ordinary shares subject to forfeiture, plus all </w:t>
      </w:r>
      <w:r>
        <w:rPr>
          <w:sz w:val="20"/>
          <w:szCs w:val="20"/>
        </w:rPr>
        <w:t>additional ordinary shares that would have been outstanding, assuming dilutive potential ordinary shares had been issued for other dilutive securities.</w:t>
      </w:r>
    </w:p>
    <w:p w14:paraId="35B73ED2" w14:textId="77777777" w:rsidR="00000000" w:rsidRDefault="001F1B20">
      <w:pPr>
        <w:pStyle w:val="a3"/>
        <w:spacing w:before="0" w:beforeAutospacing="0" w:after="0" w:afterAutospacing="0"/>
        <w:ind w:firstLine="720"/>
        <w:divId w:val="122606554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84"/>
        <w:gridCol w:w="160"/>
        <w:gridCol w:w="100"/>
        <w:gridCol w:w="684"/>
        <w:gridCol w:w="160"/>
        <w:gridCol w:w="100"/>
        <w:gridCol w:w="684"/>
        <w:gridCol w:w="6"/>
        <w:gridCol w:w="100"/>
        <w:gridCol w:w="784"/>
        <w:gridCol w:w="160"/>
        <w:gridCol w:w="100"/>
        <w:gridCol w:w="784"/>
      </w:tblGrid>
      <w:tr w:rsidR="00000000" w14:paraId="045B3BE1" w14:textId="77777777">
        <w:trPr>
          <w:divId w:val="1226065540"/>
          <w:trHeight w:val="20"/>
        </w:trPr>
        <w:tc>
          <w:tcPr>
            <w:tcW w:w="2809" w:type="pct"/>
            <w:tcMar>
              <w:top w:w="0" w:type="dxa"/>
              <w:left w:w="0" w:type="dxa"/>
              <w:bottom w:w="0" w:type="dxa"/>
              <w:right w:w="0" w:type="dxa"/>
            </w:tcMar>
            <w:hideMark/>
          </w:tcPr>
          <w:p w14:paraId="51F1DCED" w14:textId="77777777" w:rsidR="00000000" w:rsidRDefault="001F1B20">
            <w:pPr>
              <w:pStyle w:val="a3"/>
              <w:spacing w:before="0" w:beforeAutospacing="0" w:after="0" w:afterAutospacing="0"/>
              <w:divId w:val="1617563326"/>
              <w:rPr>
                <w:sz w:val="20"/>
                <w:szCs w:val="20"/>
              </w:rPr>
            </w:pPr>
            <w:r>
              <w:rPr>
                <w:sz w:val="2"/>
                <w:szCs w:val="2"/>
              </w:rPr>
              <w:t>​</w:t>
            </w:r>
          </w:p>
        </w:tc>
        <w:tc>
          <w:tcPr>
            <w:tcW w:w="79" w:type="pct"/>
            <w:noWrap/>
            <w:tcMar>
              <w:top w:w="0" w:type="dxa"/>
              <w:left w:w="0" w:type="dxa"/>
              <w:bottom w:w="0" w:type="dxa"/>
              <w:right w:w="0" w:type="dxa"/>
            </w:tcMar>
            <w:vAlign w:val="bottom"/>
            <w:hideMark/>
          </w:tcPr>
          <w:p w14:paraId="46B54A63" w14:textId="77777777" w:rsidR="00000000" w:rsidRDefault="001F1B20">
            <w:pPr>
              <w:pStyle w:val="a3"/>
              <w:spacing w:before="0" w:beforeAutospacing="0" w:after="0" w:afterAutospacing="0"/>
              <w:divId w:val="1783265217"/>
              <w:rPr>
                <w:sz w:val="20"/>
                <w:szCs w:val="20"/>
              </w:rPr>
            </w:pPr>
            <w:r>
              <w:rPr>
                <w:sz w:val="2"/>
                <w:szCs w:val="2"/>
              </w:rPr>
              <w:t>​</w:t>
            </w:r>
          </w:p>
        </w:tc>
        <w:tc>
          <w:tcPr>
            <w:tcW w:w="76" w:type="pct"/>
            <w:noWrap/>
            <w:tcMar>
              <w:top w:w="0" w:type="dxa"/>
              <w:left w:w="0" w:type="dxa"/>
              <w:bottom w:w="0" w:type="dxa"/>
              <w:right w:w="0" w:type="dxa"/>
            </w:tcMar>
            <w:vAlign w:val="bottom"/>
            <w:hideMark/>
          </w:tcPr>
          <w:p w14:paraId="33F38D16" w14:textId="77777777" w:rsidR="00000000" w:rsidRDefault="001F1B20">
            <w:pPr>
              <w:pStyle w:val="a3"/>
              <w:spacing w:before="0" w:beforeAutospacing="0" w:after="0" w:afterAutospacing="0"/>
              <w:divId w:val="779229674"/>
              <w:rPr>
                <w:sz w:val="20"/>
                <w:szCs w:val="20"/>
              </w:rPr>
            </w:pPr>
            <w:r>
              <w:rPr>
                <w:sz w:val="2"/>
                <w:szCs w:val="2"/>
              </w:rPr>
              <w:t>​</w:t>
            </w:r>
          </w:p>
        </w:tc>
        <w:tc>
          <w:tcPr>
            <w:tcW w:w="370" w:type="pct"/>
            <w:noWrap/>
            <w:tcMar>
              <w:top w:w="0" w:type="dxa"/>
              <w:left w:w="0" w:type="dxa"/>
              <w:bottom w:w="0" w:type="dxa"/>
              <w:right w:w="0" w:type="dxa"/>
            </w:tcMar>
            <w:vAlign w:val="bottom"/>
            <w:hideMark/>
          </w:tcPr>
          <w:p w14:paraId="217845A8" w14:textId="77777777" w:rsidR="00000000" w:rsidRDefault="001F1B20">
            <w:pPr>
              <w:pStyle w:val="a3"/>
              <w:spacing w:before="0" w:beforeAutospacing="0" w:after="0" w:afterAutospacing="0"/>
              <w:divId w:val="122776411"/>
              <w:rPr>
                <w:sz w:val="20"/>
                <w:szCs w:val="20"/>
              </w:rPr>
            </w:pPr>
            <w:r>
              <w:rPr>
                <w:sz w:val="2"/>
                <w:szCs w:val="2"/>
              </w:rPr>
              <w:t>​</w:t>
            </w:r>
          </w:p>
        </w:tc>
        <w:tc>
          <w:tcPr>
            <w:tcW w:w="79" w:type="pct"/>
            <w:noWrap/>
            <w:tcMar>
              <w:top w:w="0" w:type="dxa"/>
              <w:left w:w="0" w:type="dxa"/>
              <w:bottom w:w="0" w:type="dxa"/>
              <w:right w:w="0" w:type="dxa"/>
            </w:tcMar>
            <w:vAlign w:val="bottom"/>
            <w:hideMark/>
          </w:tcPr>
          <w:p w14:paraId="1E150E82" w14:textId="77777777" w:rsidR="00000000" w:rsidRDefault="001F1B20">
            <w:pPr>
              <w:pStyle w:val="a3"/>
              <w:spacing w:before="0" w:beforeAutospacing="0" w:after="0" w:afterAutospacing="0"/>
              <w:divId w:val="50277830"/>
              <w:rPr>
                <w:sz w:val="20"/>
                <w:szCs w:val="20"/>
              </w:rPr>
            </w:pPr>
            <w:r>
              <w:rPr>
                <w:sz w:val="2"/>
                <w:szCs w:val="2"/>
              </w:rPr>
              <w:t>​</w:t>
            </w:r>
          </w:p>
        </w:tc>
        <w:tc>
          <w:tcPr>
            <w:tcW w:w="76" w:type="pct"/>
            <w:noWrap/>
            <w:tcMar>
              <w:top w:w="0" w:type="dxa"/>
              <w:left w:w="0" w:type="dxa"/>
              <w:bottom w:w="0" w:type="dxa"/>
              <w:right w:w="0" w:type="dxa"/>
            </w:tcMar>
            <w:vAlign w:val="bottom"/>
            <w:hideMark/>
          </w:tcPr>
          <w:p w14:paraId="28DA47DA" w14:textId="77777777" w:rsidR="00000000" w:rsidRDefault="001F1B20">
            <w:pPr>
              <w:pStyle w:val="a3"/>
              <w:spacing w:before="0" w:beforeAutospacing="0" w:after="0" w:afterAutospacing="0"/>
              <w:divId w:val="1741563836"/>
              <w:rPr>
                <w:sz w:val="20"/>
                <w:szCs w:val="20"/>
              </w:rPr>
            </w:pPr>
            <w:r>
              <w:rPr>
                <w:sz w:val="2"/>
                <w:szCs w:val="2"/>
              </w:rPr>
              <w:t>​</w:t>
            </w:r>
          </w:p>
        </w:tc>
        <w:tc>
          <w:tcPr>
            <w:tcW w:w="370" w:type="pct"/>
            <w:noWrap/>
            <w:tcMar>
              <w:top w:w="0" w:type="dxa"/>
              <w:left w:w="0" w:type="dxa"/>
              <w:bottom w:w="0" w:type="dxa"/>
              <w:right w:w="0" w:type="dxa"/>
            </w:tcMar>
            <w:vAlign w:val="bottom"/>
            <w:hideMark/>
          </w:tcPr>
          <w:p w14:paraId="590339A1" w14:textId="77777777" w:rsidR="00000000" w:rsidRDefault="001F1B20">
            <w:pPr>
              <w:pStyle w:val="a3"/>
              <w:spacing w:before="0" w:beforeAutospacing="0" w:after="0" w:afterAutospacing="0"/>
              <w:divId w:val="643000494"/>
              <w:rPr>
                <w:sz w:val="20"/>
                <w:szCs w:val="20"/>
              </w:rPr>
            </w:pPr>
            <w:r>
              <w:rPr>
                <w:sz w:val="2"/>
                <w:szCs w:val="2"/>
              </w:rPr>
              <w:t>​</w:t>
            </w:r>
          </w:p>
        </w:tc>
        <w:tc>
          <w:tcPr>
            <w:tcW w:w="77" w:type="pct"/>
            <w:noWrap/>
            <w:tcMar>
              <w:top w:w="0" w:type="dxa"/>
              <w:left w:w="0" w:type="dxa"/>
              <w:bottom w:w="0" w:type="dxa"/>
              <w:right w:w="0" w:type="dxa"/>
            </w:tcMar>
            <w:vAlign w:val="bottom"/>
            <w:hideMark/>
          </w:tcPr>
          <w:p w14:paraId="6BC6C19C" w14:textId="77777777" w:rsidR="00000000" w:rsidRDefault="001F1B20">
            <w:pPr>
              <w:pStyle w:val="a3"/>
              <w:spacing w:before="0" w:beforeAutospacing="0" w:after="0" w:afterAutospacing="0"/>
              <w:divId w:val="1851598793"/>
              <w:rPr>
                <w:sz w:val="20"/>
                <w:szCs w:val="20"/>
              </w:rPr>
            </w:pPr>
            <w:r>
              <w:rPr>
                <w:sz w:val="2"/>
                <w:szCs w:val="2"/>
              </w:rPr>
              <w:t>​</w:t>
            </w:r>
          </w:p>
        </w:tc>
        <w:tc>
          <w:tcPr>
            <w:tcW w:w="77" w:type="pct"/>
            <w:noWrap/>
            <w:tcMar>
              <w:top w:w="0" w:type="dxa"/>
              <w:left w:w="0" w:type="dxa"/>
              <w:bottom w:w="0" w:type="dxa"/>
              <w:right w:w="0" w:type="dxa"/>
            </w:tcMar>
            <w:vAlign w:val="bottom"/>
            <w:hideMark/>
          </w:tcPr>
          <w:p w14:paraId="42FE5BA2" w14:textId="77777777" w:rsidR="00000000" w:rsidRDefault="001F1B20">
            <w:pPr>
              <w:pStyle w:val="a3"/>
              <w:spacing w:before="0" w:beforeAutospacing="0" w:after="0" w:afterAutospacing="0"/>
              <w:divId w:val="2034990031"/>
              <w:rPr>
                <w:sz w:val="20"/>
                <w:szCs w:val="20"/>
              </w:rPr>
            </w:pPr>
            <w:r>
              <w:rPr>
                <w:sz w:val="2"/>
                <w:szCs w:val="2"/>
              </w:rPr>
              <w:t>​</w:t>
            </w:r>
          </w:p>
        </w:tc>
        <w:tc>
          <w:tcPr>
            <w:tcW w:w="413" w:type="pct"/>
            <w:noWrap/>
            <w:tcMar>
              <w:top w:w="0" w:type="dxa"/>
              <w:left w:w="0" w:type="dxa"/>
              <w:bottom w:w="0" w:type="dxa"/>
              <w:right w:w="0" w:type="dxa"/>
            </w:tcMar>
            <w:vAlign w:val="bottom"/>
            <w:hideMark/>
          </w:tcPr>
          <w:p w14:paraId="330E274D" w14:textId="77777777" w:rsidR="00000000" w:rsidRDefault="001F1B20">
            <w:pPr>
              <w:pStyle w:val="a3"/>
              <w:spacing w:before="0" w:beforeAutospacing="0" w:after="0" w:afterAutospacing="0"/>
              <w:divId w:val="1315644256"/>
              <w:rPr>
                <w:sz w:val="20"/>
                <w:szCs w:val="20"/>
              </w:rPr>
            </w:pPr>
            <w:r>
              <w:rPr>
                <w:sz w:val="2"/>
                <w:szCs w:val="2"/>
              </w:rPr>
              <w:t>​</w:t>
            </w:r>
          </w:p>
        </w:tc>
        <w:tc>
          <w:tcPr>
            <w:tcW w:w="79" w:type="pct"/>
            <w:noWrap/>
            <w:tcMar>
              <w:top w:w="0" w:type="dxa"/>
              <w:left w:w="0" w:type="dxa"/>
              <w:bottom w:w="0" w:type="dxa"/>
              <w:right w:w="0" w:type="dxa"/>
            </w:tcMar>
            <w:vAlign w:val="bottom"/>
            <w:hideMark/>
          </w:tcPr>
          <w:p w14:paraId="41067975" w14:textId="77777777" w:rsidR="00000000" w:rsidRDefault="001F1B20">
            <w:pPr>
              <w:pStyle w:val="a3"/>
              <w:spacing w:before="0" w:beforeAutospacing="0" w:after="0" w:afterAutospacing="0"/>
              <w:divId w:val="51782662"/>
              <w:rPr>
                <w:sz w:val="20"/>
                <w:szCs w:val="20"/>
              </w:rPr>
            </w:pPr>
            <w:r>
              <w:rPr>
                <w:sz w:val="2"/>
                <w:szCs w:val="2"/>
              </w:rPr>
              <w:t>​</w:t>
            </w:r>
          </w:p>
        </w:tc>
        <w:tc>
          <w:tcPr>
            <w:tcW w:w="76" w:type="pct"/>
            <w:noWrap/>
            <w:tcMar>
              <w:top w:w="0" w:type="dxa"/>
              <w:left w:w="0" w:type="dxa"/>
              <w:bottom w:w="0" w:type="dxa"/>
              <w:right w:w="0" w:type="dxa"/>
            </w:tcMar>
            <w:vAlign w:val="bottom"/>
            <w:hideMark/>
          </w:tcPr>
          <w:p w14:paraId="306E5818" w14:textId="77777777" w:rsidR="00000000" w:rsidRDefault="001F1B20">
            <w:pPr>
              <w:pStyle w:val="a3"/>
              <w:spacing w:before="0" w:beforeAutospacing="0" w:after="0" w:afterAutospacing="0"/>
              <w:divId w:val="1632788657"/>
              <w:rPr>
                <w:sz w:val="20"/>
                <w:szCs w:val="20"/>
              </w:rPr>
            </w:pPr>
            <w:r>
              <w:rPr>
                <w:sz w:val="2"/>
                <w:szCs w:val="2"/>
              </w:rPr>
              <w:t>​</w:t>
            </w:r>
          </w:p>
        </w:tc>
        <w:tc>
          <w:tcPr>
            <w:tcW w:w="413" w:type="pct"/>
            <w:noWrap/>
            <w:tcMar>
              <w:top w:w="0" w:type="dxa"/>
              <w:left w:w="0" w:type="dxa"/>
              <w:bottom w:w="0" w:type="dxa"/>
              <w:right w:w="0" w:type="dxa"/>
            </w:tcMar>
            <w:vAlign w:val="bottom"/>
            <w:hideMark/>
          </w:tcPr>
          <w:p w14:paraId="14365B5A" w14:textId="77777777" w:rsidR="00000000" w:rsidRDefault="001F1B20">
            <w:pPr>
              <w:pStyle w:val="a3"/>
              <w:spacing w:before="0" w:beforeAutospacing="0" w:after="0" w:afterAutospacing="0"/>
              <w:divId w:val="636184508"/>
              <w:rPr>
                <w:sz w:val="20"/>
                <w:szCs w:val="20"/>
              </w:rPr>
            </w:pPr>
            <w:r>
              <w:rPr>
                <w:sz w:val="2"/>
                <w:szCs w:val="2"/>
              </w:rPr>
              <w:t>​</w:t>
            </w:r>
          </w:p>
        </w:tc>
      </w:tr>
      <w:tr w:rsidR="00000000" w14:paraId="765AECBE" w14:textId="77777777">
        <w:trPr>
          <w:divId w:val="1226065540"/>
        </w:trPr>
        <w:tc>
          <w:tcPr>
            <w:tcW w:w="2809" w:type="pct"/>
            <w:tcMar>
              <w:top w:w="0" w:type="dxa"/>
              <w:left w:w="0" w:type="dxa"/>
              <w:bottom w:w="0" w:type="dxa"/>
              <w:right w:w="0" w:type="dxa"/>
            </w:tcMar>
            <w:vAlign w:val="bottom"/>
            <w:hideMark/>
          </w:tcPr>
          <w:p w14:paraId="3B14D259" w14:textId="77777777" w:rsidR="00000000" w:rsidRDefault="001F1B20">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14:paraId="28D66F3C" w14:textId="77777777" w:rsidR="00000000" w:rsidRDefault="001F1B20">
            <w:pPr>
              <w:pStyle w:val="a3"/>
              <w:spacing w:before="0" w:beforeAutospacing="0" w:after="0" w:afterAutospacing="0"/>
              <w:rPr>
                <w:sz w:val="20"/>
                <w:szCs w:val="20"/>
              </w:rPr>
            </w:pPr>
            <w:r>
              <w:rPr>
                <w:b/>
                <w:bCs/>
                <w:sz w:val="16"/>
                <w:szCs w:val="16"/>
              </w:rPr>
              <w:t>​</w:t>
            </w:r>
          </w:p>
        </w:tc>
        <w:tc>
          <w:tcPr>
            <w:tcW w:w="972" w:type="pct"/>
            <w:gridSpan w:val="5"/>
            <w:tcMar>
              <w:top w:w="0" w:type="dxa"/>
              <w:left w:w="0" w:type="dxa"/>
              <w:bottom w:w="0" w:type="dxa"/>
              <w:right w:w="0" w:type="dxa"/>
            </w:tcMar>
            <w:vAlign w:val="bottom"/>
            <w:hideMark/>
          </w:tcPr>
          <w:p w14:paraId="45760E8A"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77" w:type="pct"/>
            <w:noWrap/>
            <w:tcMar>
              <w:top w:w="0" w:type="dxa"/>
              <w:left w:w="0" w:type="dxa"/>
              <w:bottom w:w="0" w:type="dxa"/>
              <w:right w:w="0" w:type="dxa"/>
            </w:tcMar>
            <w:vAlign w:val="bottom"/>
            <w:hideMark/>
          </w:tcPr>
          <w:p w14:paraId="5D189162" w14:textId="77777777" w:rsidR="00000000" w:rsidRDefault="001F1B20">
            <w:pPr>
              <w:pStyle w:val="a3"/>
              <w:spacing w:before="0" w:beforeAutospacing="0" w:after="0" w:afterAutospacing="0"/>
              <w:rPr>
                <w:sz w:val="20"/>
                <w:szCs w:val="20"/>
              </w:rPr>
            </w:pPr>
            <w:r>
              <w:rPr>
                <w:b/>
                <w:bCs/>
                <w:sz w:val="16"/>
                <w:szCs w:val="16"/>
              </w:rPr>
              <w:t>​</w:t>
            </w:r>
          </w:p>
        </w:tc>
        <w:tc>
          <w:tcPr>
            <w:tcW w:w="1061" w:type="pct"/>
            <w:gridSpan w:val="5"/>
            <w:noWrap/>
            <w:tcMar>
              <w:top w:w="0" w:type="dxa"/>
              <w:left w:w="0" w:type="dxa"/>
              <w:bottom w:w="0" w:type="dxa"/>
              <w:right w:w="0" w:type="dxa"/>
            </w:tcMar>
            <w:vAlign w:val="bottom"/>
            <w:hideMark/>
          </w:tcPr>
          <w:p w14:paraId="128E40DC"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r>
      <w:tr w:rsidR="00000000" w14:paraId="556A67FC" w14:textId="77777777">
        <w:trPr>
          <w:divId w:val="1226065540"/>
        </w:trPr>
        <w:tc>
          <w:tcPr>
            <w:tcW w:w="2809" w:type="pct"/>
            <w:tcMar>
              <w:top w:w="0" w:type="dxa"/>
              <w:left w:w="0" w:type="dxa"/>
              <w:bottom w:w="0" w:type="dxa"/>
              <w:right w:w="0" w:type="dxa"/>
            </w:tcMar>
            <w:vAlign w:val="bottom"/>
            <w:hideMark/>
          </w:tcPr>
          <w:p w14:paraId="19393767" w14:textId="77777777" w:rsidR="00000000" w:rsidRDefault="001F1B20">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14:paraId="430F1FFE" w14:textId="77777777" w:rsidR="00000000" w:rsidRDefault="001F1B20">
            <w:pPr>
              <w:pStyle w:val="a3"/>
              <w:spacing w:before="0" w:beforeAutospacing="0" w:after="0" w:afterAutospacing="0"/>
              <w:rPr>
                <w:sz w:val="20"/>
                <w:szCs w:val="20"/>
              </w:rPr>
            </w:pPr>
            <w:r>
              <w:rPr>
                <w:b/>
                <w:bCs/>
                <w:sz w:val="16"/>
                <w:szCs w:val="16"/>
              </w:rPr>
              <w:t>​</w:t>
            </w:r>
          </w:p>
        </w:tc>
        <w:tc>
          <w:tcPr>
            <w:tcW w:w="972" w:type="pct"/>
            <w:gridSpan w:val="5"/>
            <w:tcBorders>
              <w:bottom w:val="single" w:sz="6" w:space="0" w:color="000000"/>
            </w:tcBorders>
            <w:tcMar>
              <w:top w:w="0" w:type="dxa"/>
              <w:left w:w="0" w:type="dxa"/>
              <w:bottom w:w="0" w:type="dxa"/>
              <w:right w:w="0" w:type="dxa"/>
            </w:tcMar>
            <w:vAlign w:val="bottom"/>
            <w:hideMark/>
          </w:tcPr>
          <w:p w14:paraId="364B283E"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77" w:type="pct"/>
            <w:noWrap/>
            <w:tcMar>
              <w:top w:w="0" w:type="dxa"/>
              <w:left w:w="0" w:type="dxa"/>
              <w:bottom w:w="0" w:type="dxa"/>
              <w:right w:w="0" w:type="dxa"/>
            </w:tcMar>
            <w:vAlign w:val="bottom"/>
            <w:hideMark/>
          </w:tcPr>
          <w:p w14:paraId="7C53AB9C" w14:textId="77777777" w:rsidR="00000000" w:rsidRDefault="001F1B20">
            <w:pPr>
              <w:pStyle w:val="a3"/>
              <w:spacing w:before="0" w:beforeAutospacing="0" w:after="0" w:afterAutospacing="0"/>
              <w:rPr>
                <w:sz w:val="20"/>
                <w:szCs w:val="20"/>
              </w:rPr>
            </w:pPr>
            <w:r>
              <w:rPr>
                <w:b/>
                <w:bCs/>
                <w:sz w:val="16"/>
                <w:szCs w:val="16"/>
              </w:rPr>
              <w:t>​</w:t>
            </w:r>
          </w:p>
        </w:tc>
        <w:tc>
          <w:tcPr>
            <w:tcW w:w="1061" w:type="pct"/>
            <w:gridSpan w:val="5"/>
            <w:tcBorders>
              <w:bottom w:val="single" w:sz="6" w:space="0" w:color="000000"/>
            </w:tcBorders>
            <w:noWrap/>
            <w:tcMar>
              <w:top w:w="0" w:type="dxa"/>
              <w:left w:w="0" w:type="dxa"/>
              <w:bottom w:w="0" w:type="dxa"/>
              <w:right w:w="0" w:type="dxa"/>
            </w:tcMar>
            <w:vAlign w:val="bottom"/>
            <w:hideMark/>
          </w:tcPr>
          <w:p w14:paraId="30EB7EC0" w14:textId="77777777" w:rsidR="00000000" w:rsidRDefault="001F1B20">
            <w:pPr>
              <w:pStyle w:val="a3"/>
              <w:spacing w:before="0" w:beforeAutospacing="0" w:after="0" w:afterAutospacing="0"/>
              <w:jc w:val="center"/>
              <w:rPr>
                <w:sz w:val="16"/>
                <w:szCs w:val="16"/>
              </w:rPr>
            </w:pPr>
            <w:r>
              <w:rPr>
                <w:b/>
                <w:bCs/>
                <w:sz w:val="16"/>
                <w:szCs w:val="16"/>
              </w:rPr>
              <w:t>September 30, </w:t>
            </w:r>
          </w:p>
        </w:tc>
      </w:tr>
      <w:tr w:rsidR="00000000" w14:paraId="5639283F" w14:textId="77777777">
        <w:trPr>
          <w:divId w:val="1226065540"/>
        </w:trPr>
        <w:tc>
          <w:tcPr>
            <w:tcW w:w="2809" w:type="pct"/>
            <w:tcBorders>
              <w:bottom w:val="single" w:sz="6" w:space="0" w:color="000000"/>
            </w:tcBorders>
            <w:tcMar>
              <w:top w:w="0" w:type="dxa"/>
              <w:left w:w="0" w:type="dxa"/>
              <w:bottom w:w="0" w:type="dxa"/>
              <w:right w:w="0" w:type="dxa"/>
            </w:tcMar>
            <w:vAlign w:val="bottom"/>
            <w:hideMark/>
          </w:tcPr>
          <w:p w14:paraId="6E241F63" w14:textId="77777777" w:rsidR="00000000" w:rsidRDefault="001F1B20">
            <w:pPr>
              <w:pStyle w:val="a3"/>
              <w:spacing w:before="0" w:beforeAutospacing="0" w:after="0" w:afterAutospacing="0"/>
              <w:rPr>
                <w:sz w:val="16"/>
                <w:szCs w:val="16"/>
              </w:rPr>
            </w:pPr>
            <w:r>
              <w:rPr>
                <w:b/>
                <w:bCs/>
                <w:sz w:val="16"/>
                <w:szCs w:val="16"/>
              </w:rPr>
              <w:t>(In thousands, except per share data)</w:t>
            </w:r>
          </w:p>
        </w:tc>
        <w:tc>
          <w:tcPr>
            <w:tcW w:w="79" w:type="pct"/>
            <w:noWrap/>
            <w:tcMar>
              <w:top w:w="0" w:type="dxa"/>
              <w:left w:w="0" w:type="dxa"/>
              <w:bottom w:w="0" w:type="dxa"/>
              <w:right w:w="0" w:type="dxa"/>
            </w:tcMar>
            <w:vAlign w:val="bottom"/>
            <w:hideMark/>
          </w:tcPr>
          <w:p w14:paraId="7AD507EE" w14:textId="77777777" w:rsidR="00000000" w:rsidRDefault="001F1B20">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599E361D" w14:textId="77777777" w:rsidR="00000000" w:rsidRDefault="001F1B20">
            <w:pPr>
              <w:pStyle w:val="a3"/>
              <w:spacing w:before="0" w:beforeAutospacing="0" w:after="0" w:afterAutospacing="0"/>
              <w:jc w:val="center"/>
              <w:rPr>
                <w:sz w:val="16"/>
                <w:szCs w:val="16"/>
              </w:rPr>
            </w:pPr>
            <w:r>
              <w:rPr>
                <w:b/>
                <w:bCs/>
                <w:sz w:val="16"/>
                <w:szCs w:val="16"/>
              </w:rPr>
              <w:t>2021</w:t>
            </w:r>
          </w:p>
        </w:tc>
        <w:tc>
          <w:tcPr>
            <w:tcW w:w="79" w:type="pct"/>
            <w:noWrap/>
            <w:tcMar>
              <w:top w:w="0" w:type="dxa"/>
              <w:left w:w="0" w:type="dxa"/>
              <w:bottom w:w="0" w:type="dxa"/>
              <w:right w:w="0" w:type="dxa"/>
            </w:tcMar>
            <w:vAlign w:val="bottom"/>
            <w:hideMark/>
          </w:tcPr>
          <w:p w14:paraId="258ECBBB" w14:textId="77777777" w:rsidR="00000000" w:rsidRDefault="001F1B20">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722A8C90" w14:textId="77777777" w:rsidR="00000000" w:rsidRDefault="001F1B20">
            <w:pPr>
              <w:pStyle w:val="a3"/>
              <w:spacing w:before="0" w:beforeAutospacing="0" w:after="0" w:afterAutospacing="0"/>
              <w:jc w:val="center"/>
              <w:rPr>
                <w:sz w:val="16"/>
                <w:szCs w:val="16"/>
              </w:rPr>
            </w:pPr>
            <w:r>
              <w:rPr>
                <w:b/>
                <w:bCs/>
                <w:sz w:val="16"/>
                <w:szCs w:val="16"/>
              </w:rPr>
              <w:t>2020</w:t>
            </w:r>
          </w:p>
        </w:tc>
        <w:tc>
          <w:tcPr>
            <w:tcW w:w="77" w:type="pct"/>
            <w:noWrap/>
            <w:tcMar>
              <w:top w:w="0" w:type="dxa"/>
              <w:left w:w="0" w:type="dxa"/>
              <w:bottom w:w="0" w:type="dxa"/>
              <w:right w:w="0" w:type="dxa"/>
            </w:tcMar>
            <w:vAlign w:val="bottom"/>
            <w:hideMark/>
          </w:tcPr>
          <w:p w14:paraId="655F6307" w14:textId="77777777" w:rsidR="00000000" w:rsidRDefault="001F1B20">
            <w:pPr>
              <w:pStyle w:val="a3"/>
              <w:spacing w:before="0" w:beforeAutospacing="0" w:after="0" w:afterAutospacing="0"/>
              <w:rPr>
                <w:sz w:val="20"/>
                <w:szCs w:val="20"/>
              </w:rPr>
            </w:pPr>
            <w:r>
              <w:rPr>
                <w:b/>
                <w:bCs/>
                <w:sz w:val="16"/>
                <w:szCs w:val="16"/>
              </w:rPr>
              <w:t>​</w:t>
            </w:r>
          </w:p>
        </w:tc>
        <w:tc>
          <w:tcPr>
            <w:tcW w:w="491" w:type="pct"/>
            <w:gridSpan w:val="2"/>
            <w:tcBorders>
              <w:bottom w:val="single" w:sz="6" w:space="0" w:color="000000"/>
            </w:tcBorders>
            <w:noWrap/>
            <w:tcMar>
              <w:top w:w="0" w:type="dxa"/>
              <w:left w:w="0" w:type="dxa"/>
              <w:bottom w:w="0" w:type="dxa"/>
              <w:right w:w="0" w:type="dxa"/>
            </w:tcMar>
            <w:vAlign w:val="bottom"/>
            <w:hideMark/>
          </w:tcPr>
          <w:p w14:paraId="1766E0FB" w14:textId="77777777" w:rsidR="00000000" w:rsidRDefault="001F1B20">
            <w:pPr>
              <w:pStyle w:val="a3"/>
              <w:spacing w:before="0" w:beforeAutospacing="0" w:after="0" w:afterAutospacing="0"/>
              <w:jc w:val="center"/>
              <w:rPr>
                <w:sz w:val="16"/>
                <w:szCs w:val="16"/>
              </w:rPr>
            </w:pPr>
            <w:r>
              <w:rPr>
                <w:b/>
                <w:bCs/>
                <w:sz w:val="16"/>
                <w:szCs w:val="16"/>
              </w:rPr>
              <w:t>2021</w:t>
            </w:r>
          </w:p>
        </w:tc>
        <w:tc>
          <w:tcPr>
            <w:tcW w:w="79" w:type="pct"/>
            <w:noWrap/>
            <w:tcMar>
              <w:top w:w="0" w:type="dxa"/>
              <w:left w:w="0" w:type="dxa"/>
              <w:bottom w:w="0" w:type="dxa"/>
              <w:right w:w="0" w:type="dxa"/>
            </w:tcMar>
            <w:vAlign w:val="bottom"/>
            <w:hideMark/>
          </w:tcPr>
          <w:p w14:paraId="60D1C410" w14:textId="77777777" w:rsidR="00000000" w:rsidRDefault="001F1B20">
            <w:pPr>
              <w:pStyle w:val="a3"/>
              <w:spacing w:before="0" w:beforeAutospacing="0" w:after="0" w:afterAutospacing="0"/>
              <w:rPr>
                <w:sz w:val="16"/>
                <w:szCs w:val="16"/>
              </w:rPr>
            </w:pPr>
            <w:r>
              <w:rPr>
                <w:b/>
                <w:bCs/>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14:paraId="6A5B9392" w14:textId="77777777" w:rsidR="00000000" w:rsidRDefault="001F1B20">
            <w:pPr>
              <w:pStyle w:val="a3"/>
              <w:spacing w:before="0" w:beforeAutospacing="0" w:after="0" w:afterAutospacing="0"/>
              <w:jc w:val="center"/>
              <w:rPr>
                <w:sz w:val="16"/>
                <w:szCs w:val="16"/>
              </w:rPr>
            </w:pPr>
            <w:r>
              <w:rPr>
                <w:b/>
                <w:bCs/>
                <w:sz w:val="16"/>
                <w:szCs w:val="16"/>
              </w:rPr>
              <w:t>2020</w:t>
            </w:r>
          </w:p>
        </w:tc>
      </w:tr>
      <w:tr w:rsidR="00000000" w14:paraId="7EF23BEE" w14:textId="77777777">
        <w:trPr>
          <w:divId w:val="1226065540"/>
        </w:trPr>
        <w:tc>
          <w:tcPr>
            <w:tcW w:w="2809" w:type="pct"/>
            <w:shd w:val="clear" w:color="auto" w:fill="CCEEFF"/>
            <w:tcMar>
              <w:top w:w="0" w:type="dxa"/>
              <w:left w:w="0" w:type="dxa"/>
              <w:bottom w:w="0" w:type="dxa"/>
              <w:right w:w="0" w:type="dxa"/>
            </w:tcMar>
            <w:hideMark/>
          </w:tcPr>
          <w:p w14:paraId="69C9DB6A" w14:textId="77777777" w:rsidR="00000000" w:rsidRDefault="001F1B20">
            <w:pPr>
              <w:pStyle w:val="a3"/>
              <w:spacing w:before="0" w:beforeAutospacing="0" w:after="0" w:afterAutospacing="0"/>
              <w:rPr>
                <w:sz w:val="20"/>
                <w:szCs w:val="20"/>
              </w:rPr>
            </w:pPr>
            <w:r>
              <w:rPr>
                <w:b/>
                <w:bCs/>
                <w:sz w:val="20"/>
                <w:szCs w:val="20"/>
              </w:rPr>
              <w:t>Numerator:</w:t>
            </w:r>
          </w:p>
        </w:tc>
        <w:tc>
          <w:tcPr>
            <w:tcW w:w="79" w:type="pct"/>
            <w:shd w:val="clear" w:color="auto" w:fill="CCEEFF"/>
            <w:noWrap/>
            <w:tcMar>
              <w:top w:w="0" w:type="dxa"/>
              <w:left w:w="0" w:type="dxa"/>
              <w:bottom w:w="0" w:type="dxa"/>
              <w:right w:w="0" w:type="dxa"/>
            </w:tcMar>
            <w:vAlign w:val="bottom"/>
            <w:hideMark/>
          </w:tcPr>
          <w:p w14:paraId="7FF36C3D" w14:textId="77777777" w:rsidR="00000000" w:rsidRDefault="001F1B2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388C4E3B" w14:textId="77777777" w:rsidR="00000000" w:rsidRDefault="001F1B20">
            <w:pPr>
              <w:pStyle w:val="a3"/>
              <w:spacing w:before="0" w:beforeAutospacing="0" w:after="0" w:afterAutospacing="0"/>
              <w:jc w:val="center"/>
              <w:rPr>
                <w:sz w:val="20"/>
                <w:szCs w:val="20"/>
              </w:rPr>
            </w:pPr>
            <w:r>
              <w:rPr>
                <w:sz w:val="20"/>
                <w:szCs w:val="20"/>
              </w:rPr>
              <w:t>​</w:t>
            </w:r>
          </w:p>
        </w:tc>
        <w:tc>
          <w:tcPr>
            <w:tcW w:w="370" w:type="pct"/>
            <w:shd w:val="clear" w:color="auto" w:fill="CCEEFF"/>
            <w:noWrap/>
            <w:tcMar>
              <w:top w:w="0" w:type="dxa"/>
              <w:left w:w="0" w:type="dxa"/>
              <w:bottom w:w="0" w:type="dxa"/>
              <w:right w:w="0" w:type="dxa"/>
            </w:tcMar>
            <w:vAlign w:val="bottom"/>
            <w:hideMark/>
          </w:tcPr>
          <w:p w14:paraId="79A200D3" w14:textId="77777777" w:rsidR="00000000" w:rsidRDefault="001F1B20">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5706A539" w14:textId="77777777" w:rsidR="00000000" w:rsidRDefault="001F1B2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34FD5E3D" w14:textId="77777777" w:rsidR="00000000" w:rsidRDefault="001F1B20">
            <w:pPr>
              <w:pStyle w:val="a3"/>
              <w:spacing w:before="0" w:beforeAutospacing="0" w:after="0" w:afterAutospacing="0"/>
              <w:jc w:val="center"/>
              <w:rPr>
                <w:sz w:val="20"/>
                <w:szCs w:val="20"/>
              </w:rPr>
            </w:pPr>
            <w:r>
              <w:rPr>
                <w:sz w:val="20"/>
                <w:szCs w:val="20"/>
              </w:rPr>
              <w:t>​</w:t>
            </w:r>
          </w:p>
        </w:tc>
        <w:tc>
          <w:tcPr>
            <w:tcW w:w="370" w:type="pct"/>
            <w:shd w:val="clear" w:color="auto" w:fill="CCEEFF"/>
            <w:noWrap/>
            <w:tcMar>
              <w:top w:w="0" w:type="dxa"/>
              <w:left w:w="0" w:type="dxa"/>
              <w:bottom w:w="0" w:type="dxa"/>
              <w:right w:w="0" w:type="dxa"/>
            </w:tcMar>
            <w:vAlign w:val="bottom"/>
            <w:hideMark/>
          </w:tcPr>
          <w:p w14:paraId="77151E87" w14:textId="77777777" w:rsidR="00000000" w:rsidRDefault="001F1B2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00410F1E" w14:textId="77777777" w:rsidR="00000000" w:rsidRDefault="001F1B2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5AED9EEE" w14:textId="77777777" w:rsidR="00000000" w:rsidRDefault="001F1B20">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68F6F0AB" w14:textId="77777777" w:rsidR="00000000" w:rsidRDefault="001F1B20">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647BC109" w14:textId="77777777" w:rsidR="00000000" w:rsidRDefault="001F1B2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7AA96C34" w14:textId="77777777" w:rsidR="00000000" w:rsidRDefault="001F1B20">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50A90359" w14:textId="77777777" w:rsidR="00000000" w:rsidRDefault="001F1B20">
            <w:pPr>
              <w:pStyle w:val="a3"/>
              <w:spacing w:before="0" w:beforeAutospacing="0" w:after="0" w:afterAutospacing="0"/>
              <w:rPr>
                <w:sz w:val="20"/>
                <w:szCs w:val="20"/>
              </w:rPr>
            </w:pPr>
            <w:r>
              <w:rPr>
                <w:sz w:val="20"/>
                <w:szCs w:val="20"/>
              </w:rPr>
              <w:t>​</w:t>
            </w:r>
          </w:p>
        </w:tc>
      </w:tr>
      <w:tr w:rsidR="00000000" w14:paraId="2A53242B" w14:textId="77777777">
        <w:trPr>
          <w:divId w:val="1226065540"/>
        </w:trPr>
        <w:tc>
          <w:tcPr>
            <w:tcW w:w="2809" w:type="pct"/>
            <w:tcMar>
              <w:top w:w="0" w:type="dxa"/>
              <w:left w:w="0" w:type="dxa"/>
              <w:bottom w:w="0" w:type="dxa"/>
              <w:right w:w="0" w:type="dxa"/>
            </w:tcMar>
            <w:vAlign w:val="center"/>
            <w:hideMark/>
          </w:tcPr>
          <w:p w14:paraId="2DF2080E" w14:textId="77777777" w:rsidR="00000000" w:rsidRDefault="001F1B20">
            <w:pPr>
              <w:pStyle w:val="a3"/>
              <w:spacing w:before="0" w:beforeAutospacing="0" w:after="0" w:afterAutospacing="0"/>
              <w:rPr>
                <w:sz w:val="20"/>
                <w:szCs w:val="20"/>
              </w:rPr>
            </w:pPr>
            <w:r>
              <w:rPr>
                <w:sz w:val="20"/>
                <w:szCs w:val="20"/>
              </w:rPr>
              <w:t>Net loss</w:t>
            </w:r>
          </w:p>
        </w:tc>
        <w:tc>
          <w:tcPr>
            <w:tcW w:w="79" w:type="pct"/>
            <w:noWrap/>
            <w:tcMar>
              <w:top w:w="0" w:type="dxa"/>
              <w:left w:w="0" w:type="dxa"/>
              <w:bottom w:w="0" w:type="dxa"/>
              <w:right w:w="0" w:type="dxa"/>
            </w:tcMar>
            <w:vAlign w:val="bottom"/>
            <w:hideMark/>
          </w:tcPr>
          <w:p w14:paraId="392BDED2" w14:textId="77777777" w:rsidR="00000000" w:rsidRDefault="001F1B2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6310010B" w14:textId="77777777" w:rsidR="00000000" w:rsidRDefault="001F1B20">
            <w:pPr>
              <w:pStyle w:val="a3"/>
              <w:spacing w:before="0" w:beforeAutospacing="0" w:after="0" w:afterAutospacing="0"/>
              <w:rPr>
                <w:sz w:val="20"/>
                <w:szCs w:val="20"/>
              </w:rPr>
            </w:pPr>
            <w:r>
              <w:rPr>
                <w:sz w:val="20"/>
                <w:szCs w:val="20"/>
              </w:rPr>
              <w:t>$</w:t>
            </w:r>
          </w:p>
        </w:tc>
        <w:tc>
          <w:tcPr>
            <w:tcW w:w="370" w:type="pct"/>
            <w:noWrap/>
            <w:tcMar>
              <w:top w:w="0" w:type="dxa"/>
              <w:left w:w="0" w:type="dxa"/>
              <w:bottom w:w="0" w:type="dxa"/>
              <w:right w:w="0" w:type="dxa"/>
            </w:tcMar>
            <w:vAlign w:val="bottom"/>
            <w:hideMark/>
          </w:tcPr>
          <w:p w14:paraId="7804EC44" w14:textId="77777777" w:rsidR="00000000" w:rsidRDefault="001F1B20">
            <w:pPr>
              <w:pStyle w:val="a3"/>
              <w:spacing w:before="0" w:beforeAutospacing="0" w:after="0" w:afterAutospacing="0"/>
              <w:jc w:val="right"/>
              <w:rPr>
                <w:sz w:val="20"/>
                <w:szCs w:val="20"/>
              </w:rPr>
            </w:pPr>
            <w:r>
              <w:rPr>
                <w:sz w:val="20"/>
                <w:szCs w:val="20"/>
              </w:rPr>
              <w:t>(35,308)</w:t>
            </w:r>
          </w:p>
        </w:tc>
        <w:tc>
          <w:tcPr>
            <w:tcW w:w="79" w:type="pct"/>
            <w:noWrap/>
            <w:tcMar>
              <w:top w:w="0" w:type="dxa"/>
              <w:left w:w="0" w:type="dxa"/>
              <w:bottom w:w="0" w:type="dxa"/>
              <w:right w:w="0" w:type="dxa"/>
            </w:tcMar>
            <w:vAlign w:val="bottom"/>
            <w:hideMark/>
          </w:tcPr>
          <w:p w14:paraId="6FE8F4C5" w14:textId="77777777" w:rsidR="00000000" w:rsidRDefault="001F1B2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5703245F" w14:textId="77777777" w:rsidR="00000000" w:rsidRDefault="001F1B20">
            <w:pPr>
              <w:pStyle w:val="a3"/>
              <w:spacing w:before="0" w:beforeAutospacing="0" w:after="0" w:afterAutospacing="0"/>
              <w:rPr>
                <w:sz w:val="20"/>
                <w:szCs w:val="20"/>
              </w:rPr>
            </w:pPr>
            <w:r>
              <w:rPr>
                <w:sz w:val="20"/>
                <w:szCs w:val="20"/>
              </w:rPr>
              <w:t>$</w:t>
            </w:r>
          </w:p>
        </w:tc>
        <w:tc>
          <w:tcPr>
            <w:tcW w:w="370" w:type="pct"/>
            <w:noWrap/>
            <w:tcMar>
              <w:top w:w="0" w:type="dxa"/>
              <w:left w:w="0" w:type="dxa"/>
              <w:bottom w:w="0" w:type="dxa"/>
              <w:right w:w="0" w:type="dxa"/>
            </w:tcMar>
            <w:vAlign w:val="bottom"/>
            <w:hideMark/>
          </w:tcPr>
          <w:p w14:paraId="2E9745A0" w14:textId="77777777" w:rsidR="00000000" w:rsidRDefault="001F1B20">
            <w:pPr>
              <w:pStyle w:val="a3"/>
              <w:spacing w:before="0" w:beforeAutospacing="0" w:after="0" w:afterAutospacing="0"/>
              <w:jc w:val="right"/>
              <w:rPr>
                <w:sz w:val="20"/>
                <w:szCs w:val="20"/>
              </w:rPr>
            </w:pPr>
            <w:r>
              <w:rPr>
                <w:sz w:val="20"/>
                <w:szCs w:val="20"/>
              </w:rPr>
              <w:t>(73,643)</w:t>
            </w:r>
          </w:p>
        </w:tc>
        <w:tc>
          <w:tcPr>
            <w:tcW w:w="77" w:type="pct"/>
            <w:noWrap/>
            <w:tcMar>
              <w:top w:w="0" w:type="dxa"/>
              <w:left w:w="0" w:type="dxa"/>
              <w:bottom w:w="0" w:type="dxa"/>
              <w:right w:w="0" w:type="dxa"/>
            </w:tcMar>
            <w:vAlign w:val="bottom"/>
            <w:hideMark/>
          </w:tcPr>
          <w:p w14:paraId="7C56E14A" w14:textId="77777777" w:rsidR="00000000" w:rsidRDefault="001F1B2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14:paraId="2C0DCFBE" w14:textId="77777777" w:rsidR="00000000" w:rsidRDefault="001F1B20">
            <w:pPr>
              <w:pStyle w:val="a3"/>
              <w:spacing w:before="0" w:beforeAutospacing="0" w:after="0"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14:paraId="28E7693E" w14:textId="77777777" w:rsidR="00000000" w:rsidRDefault="001F1B20">
            <w:pPr>
              <w:pStyle w:val="a3"/>
              <w:spacing w:before="0" w:beforeAutospacing="0" w:after="0" w:afterAutospacing="0"/>
              <w:jc w:val="right"/>
              <w:rPr>
                <w:sz w:val="20"/>
                <w:szCs w:val="20"/>
              </w:rPr>
            </w:pPr>
            <w:r>
              <w:rPr>
                <w:sz w:val="20"/>
                <w:szCs w:val="20"/>
              </w:rPr>
              <w:t>(167,392)</w:t>
            </w:r>
          </w:p>
        </w:tc>
        <w:tc>
          <w:tcPr>
            <w:tcW w:w="79" w:type="pct"/>
            <w:noWrap/>
            <w:tcMar>
              <w:top w:w="0" w:type="dxa"/>
              <w:left w:w="0" w:type="dxa"/>
              <w:bottom w:w="0" w:type="dxa"/>
              <w:right w:w="0" w:type="dxa"/>
            </w:tcMar>
            <w:vAlign w:val="bottom"/>
            <w:hideMark/>
          </w:tcPr>
          <w:p w14:paraId="50BD325C" w14:textId="77777777" w:rsidR="00000000" w:rsidRDefault="001F1B2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0541CE2A" w14:textId="77777777" w:rsidR="00000000" w:rsidRDefault="001F1B20">
            <w:pPr>
              <w:pStyle w:val="a3"/>
              <w:spacing w:before="0" w:beforeAutospacing="0" w:after="0"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14:paraId="488ED376" w14:textId="77777777" w:rsidR="00000000" w:rsidRDefault="001F1B20">
            <w:pPr>
              <w:pStyle w:val="a3"/>
              <w:spacing w:before="0" w:beforeAutospacing="0" w:after="0" w:afterAutospacing="0"/>
              <w:jc w:val="right"/>
              <w:rPr>
                <w:sz w:val="20"/>
                <w:szCs w:val="20"/>
              </w:rPr>
            </w:pPr>
            <w:r>
              <w:rPr>
                <w:sz w:val="20"/>
                <w:szCs w:val="20"/>
              </w:rPr>
              <w:t>(219,583)</w:t>
            </w:r>
          </w:p>
        </w:tc>
      </w:tr>
      <w:tr w:rsidR="00000000" w14:paraId="37D8C82B" w14:textId="77777777">
        <w:trPr>
          <w:divId w:val="1226065540"/>
        </w:trPr>
        <w:tc>
          <w:tcPr>
            <w:tcW w:w="2809" w:type="pct"/>
            <w:shd w:val="clear" w:color="auto" w:fill="CCEEFF"/>
            <w:tcMar>
              <w:top w:w="0" w:type="dxa"/>
              <w:left w:w="0" w:type="dxa"/>
              <w:bottom w:w="0" w:type="dxa"/>
              <w:right w:w="0" w:type="dxa"/>
            </w:tcMar>
            <w:hideMark/>
          </w:tcPr>
          <w:p w14:paraId="529F5857" w14:textId="77777777" w:rsidR="00000000" w:rsidRDefault="001F1B20">
            <w:pPr>
              <w:pStyle w:val="a3"/>
              <w:spacing w:before="0" w:beforeAutospacing="0" w:after="0" w:afterAutospacing="0"/>
              <w:rPr>
                <w:sz w:val="20"/>
                <w:szCs w:val="20"/>
              </w:rPr>
            </w:pPr>
            <w:r>
              <w:rPr>
                <w:b/>
                <w:bCs/>
                <w:sz w:val="20"/>
                <w:szCs w:val="20"/>
              </w:rPr>
              <w:t>Denominator:</w:t>
            </w:r>
          </w:p>
        </w:tc>
        <w:tc>
          <w:tcPr>
            <w:tcW w:w="79" w:type="pct"/>
            <w:shd w:val="clear" w:color="auto" w:fill="CCEEFF"/>
            <w:noWrap/>
            <w:tcMar>
              <w:top w:w="0" w:type="dxa"/>
              <w:left w:w="0" w:type="dxa"/>
              <w:bottom w:w="0" w:type="dxa"/>
              <w:right w:w="0" w:type="dxa"/>
            </w:tcMar>
            <w:vAlign w:val="bottom"/>
            <w:hideMark/>
          </w:tcPr>
          <w:p w14:paraId="460CEFD3" w14:textId="77777777" w:rsidR="00000000" w:rsidRDefault="001F1B2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795952E8" w14:textId="77777777" w:rsidR="00000000" w:rsidRDefault="001F1B20">
            <w:pPr>
              <w:pStyle w:val="a3"/>
              <w:spacing w:before="0" w:beforeAutospacing="0" w:after="0" w:afterAutospacing="0"/>
              <w:rPr>
                <w:sz w:val="20"/>
                <w:szCs w:val="20"/>
              </w:rPr>
            </w:pPr>
            <w:r>
              <w:rPr>
                <w:sz w:val="20"/>
                <w:szCs w:val="20"/>
              </w:rPr>
              <w:t> </w:t>
            </w:r>
          </w:p>
        </w:tc>
        <w:tc>
          <w:tcPr>
            <w:tcW w:w="370" w:type="pct"/>
            <w:shd w:val="clear" w:color="auto" w:fill="CCEEFF"/>
            <w:noWrap/>
            <w:tcMar>
              <w:top w:w="0" w:type="dxa"/>
              <w:left w:w="0" w:type="dxa"/>
              <w:bottom w:w="0" w:type="dxa"/>
              <w:right w:w="0" w:type="dxa"/>
            </w:tcMar>
            <w:vAlign w:val="bottom"/>
            <w:hideMark/>
          </w:tcPr>
          <w:p w14:paraId="72CE85A4" w14:textId="77777777" w:rsidR="00000000" w:rsidRDefault="001F1B20">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77E9CC0D" w14:textId="77777777" w:rsidR="00000000" w:rsidRDefault="001F1B2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5F460914" w14:textId="77777777" w:rsidR="00000000" w:rsidRDefault="001F1B20">
            <w:pPr>
              <w:pStyle w:val="a3"/>
              <w:spacing w:before="0" w:beforeAutospacing="0" w:after="0" w:afterAutospacing="0"/>
              <w:rPr>
                <w:sz w:val="20"/>
                <w:szCs w:val="20"/>
              </w:rPr>
            </w:pPr>
            <w:r>
              <w:rPr>
                <w:sz w:val="20"/>
                <w:szCs w:val="20"/>
              </w:rPr>
              <w:t>​</w:t>
            </w:r>
          </w:p>
        </w:tc>
        <w:tc>
          <w:tcPr>
            <w:tcW w:w="370" w:type="pct"/>
            <w:shd w:val="clear" w:color="auto" w:fill="CCEEFF"/>
            <w:noWrap/>
            <w:tcMar>
              <w:top w:w="0" w:type="dxa"/>
              <w:left w:w="0" w:type="dxa"/>
              <w:bottom w:w="0" w:type="dxa"/>
              <w:right w:w="0" w:type="dxa"/>
            </w:tcMar>
            <w:vAlign w:val="bottom"/>
            <w:hideMark/>
          </w:tcPr>
          <w:p w14:paraId="1CD735EF" w14:textId="77777777" w:rsidR="00000000" w:rsidRDefault="001F1B2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073CDA5C" w14:textId="77777777" w:rsidR="00000000" w:rsidRDefault="001F1B2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14:paraId="4491A84E" w14:textId="77777777" w:rsidR="00000000" w:rsidRDefault="001F1B20">
            <w:pPr>
              <w:pStyle w:val="a3"/>
              <w:spacing w:before="0" w:beforeAutospacing="0" w:after="0" w:afterAutospacing="0"/>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22F28A9C" w14:textId="77777777" w:rsidR="00000000" w:rsidRDefault="001F1B20">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4DBC4715" w14:textId="77777777" w:rsidR="00000000" w:rsidRDefault="001F1B2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4AFFC440" w14:textId="77777777" w:rsidR="00000000" w:rsidRDefault="001F1B20">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51189A00" w14:textId="77777777" w:rsidR="00000000" w:rsidRDefault="001F1B20">
            <w:pPr>
              <w:pStyle w:val="a3"/>
              <w:spacing w:before="0" w:beforeAutospacing="0" w:after="0" w:afterAutospacing="0"/>
              <w:rPr>
                <w:sz w:val="20"/>
                <w:szCs w:val="20"/>
              </w:rPr>
            </w:pPr>
            <w:r>
              <w:rPr>
                <w:sz w:val="20"/>
                <w:szCs w:val="20"/>
              </w:rPr>
              <w:t>​</w:t>
            </w:r>
          </w:p>
        </w:tc>
      </w:tr>
      <w:tr w:rsidR="00000000" w14:paraId="34AE1F88" w14:textId="77777777">
        <w:trPr>
          <w:divId w:val="1226065540"/>
        </w:trPr>
        <w:tc>
          <w:tcPr>
            <w:tcW w:w="2809" w:type="pct"/>
            <w:tcMar>
              <w:top w:w="0" w:type="dxa"/>
              <w:left w:w="0" w:type="dxa"/>
              <w:bottom w:w="0" w:type="dxa"/>
              <w:right w:w="0" w:type="dxa"/>
            </w:tcMar>
            <w:vAlign w:val="center"/>
            <w:hideMark/>
          </w:tcPr>
          <w:p w14:paraId="1283EF1E" w14:textId="77777777" w:rsidR="00000000" w:rsidRDefault="001F1B20">
            <w:pPr>
              <w:pStyle w:val="a3"/>
              <w:spacing w:before="0" w:beforeAutospacing="0" w:after="0" w:afterAutospacing="0"/>
              <w:rPr>
                <w:sz w:val="20"/>
                <w:szCs w:val="20"/>
              </w:rPr>
            </w:pPr>
            <w:r>
              <w:rPr>
                <w:sz w:val="20"/>
                <w:szCs w:val="20"/>
              </w:rPr>
              <w:t>Weighted-average ordinary shares outstanding</w:t>
            </w:r>
          </w:p>
        </w:tc>
        <w:tc>
          <w:tcPr>
            <w:tcW w:w="79" w:type="pct"/>
            <w:noWrap/>
            <w:tcMar>
              <w:top w:w="0" w:type="dxa"/>
              <w:left w:w="0" w:type="dxa"/>
              <w:bottom w:w="0" w:type="dxa"/>
              <w:right w:w="0" w:type="dxa"/>
            </w:tcMar>
            <w:vAlign w:val="bottom"/>
            <w:hideMark/>
          </w:tcPr>
          <w:p w14:paraId="6A790F0A" w14:textId="77777777" w:rsidR="00000000" w:rsidRDefault="001F1B2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4142D4DD" w14:textId="77777777" w:rsidR="00000000" w:rsidRDefault="001F1B20">
            <w:pPr>
              <w:pStyle w:val="a3"/>
              <w:spacing w:before="0" w:beforeAutospacing="0" w:after="0" w:afterAutospacing="0"/>
              <w:rPr>
                <w:sz w:val="20"/>
                <w:szCs w:val="20"/>
              </w:rPr>
            </w:pPr>
            <w:r>
              <w:rPr>
                <w:sz w:val="20"/>
                <w:szCs w:val="20"/>
              </w:rPr>
              <w:t>​</w:t>
            </w:r>
          </w:p>
        </w:tc>
        <w:tc>
          <w:tcPr>
            <w:tcW w:w="370" w:type="pct"/>
            <w:noWrap/>
            <w:tcMar>
              <w:top w:w="0" w:type="dxa"/>
              <w:left w:w="0" w:type="dxa"/>
              <w:bottom w:w="0" w:type="dxa"/>
              <w:right w:w="0" w:type="dxa"/>
            </w:tcMar>
            <w:vAlign w:val="bottom"/>
            <w:hideMark/>
          </w:tcPr>
          <w:p w14:paraId="3BED0125" w14:textId="77777777" w:rsidR="00000000" w:rsidRDefault="001F1B20">
            <w:pPr>
              <w:pStyle w:val="a3"/>
              <w:spacing w:before="0" w:beforeAutospacing="0" w:after="0" w:afterAutospacing="0"/>
              <w:ind w:right="60"/>
              <w:jc w:val="right"/>
              <w:rPr>
                <w:sz w:val="20"/>
                <w:szCs w:val="20"/>
              </w:rPr>
            </w:pPr>
            <w:r>
              <w:rPr>
                <w:sz w:val="20"/>
                <w:szCs w:val="20"/>
              </w:rPr>
              <w:t>73,574</w:t>
            </w:r>
          </w:p>
        </w:tc>
        <w:tc>
          <w:tcPr>
            <w:tcW w:w="79" w:type="pct"/>
            <w:noWrap/>
            <w:tcMar>
              <w:top w:w="0" w:type="dxa"/>
              <w:left w:w="0" w:type="dxa"/>
              <w:bottom w:w="0" w:type="dxa"/>
              <w:right w:w="0" w:type="dxa"/>
            </w:tcMar>
            <w:vAlign w:val="bottom"/>
            <w:hideMark/>
          </w:tcPr>
          <w:p w14:paraId="0E51C0A3" w14:textId="77777777" w:rsidR="00000000" w:rsidRDefault="001F1B2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7157D8AC" w14:textId="77777777" w:rsidR="00000000" w:rsidRDefault="001F1B20">
            <w:pPr>
              <w:pStyle w:val="a3"/>
              <w:spacing w:before="0" w:beforeAutospacing="0" w:after="0" w:afterAutospacing="0"/>
              <w:rPr>
                <w:sz w:val="20"/>
                <w:szCs w:val="20"/>
              </w:rPr>
            </w:pPr>
            <w:r>
              <w:rPr>
                <w:sz w:val="20"/>
                <w:szCs w:val="20"/>
              </w:rPr>
              <w:t>​</w:t>
            </w:r>
          </w:p>
        </w:tc>
        <w:tc>
          <w:tcPr>
            <w:tcW w:w="370" w:type="pct"/>
            <w:noWrap/>
            <w:tcMar>
              <w:top w:w="0" w:type="dxa"/>
              <w:left w:w="0" w:type="dxa"/>
              <w:bottom w:w="0" w:type="dxa"/>
              <w:right w:w="0" w:type="dxa"/>
            </w:tcMar>
            <w:vAlign w:val="bottom"/>
            <w:hideMark/>
          </w:tcPr>
          <w:p w14:paraId="522025CF" w14:textId="77777777" w:rsidR="00000000" w:rsidRDefault="001F1B20">
            <w:pPr>
              <w:pStyle w:val="a3"/>
              <w:spacing w:before="0" w:beforeAutospacing="0" w:after="0" w:afterAutospacing="0"/>
              <w:ind w:right="60"/>
              <w:jc w:val="right"/>
              <w:rPr>
                <w:sz w:val="20"/>
                <w:szCs w:val="20"/>
              </w:rPr>
            </w:pPr>
            <w:r>
              <w:rPr>
                <w:sz w:val="20"/>
                <w:szCs w:val="20"/>
              </w:rPr>
              <w:t>63,717</w:t>
            </w:r>
          </w:p>
        </w:tc>
        <w:tc>
          <w:tcPr>
            <w:tcW w:w="77" w:type="pct"/>
            <w:noWrap/>
            <w:tcMar>
              <w:top w:w="0" w:type="dxa"/>
              <w:left w:w="0" w:type="dxa"/>
              <w:bottom w:w="0" w:type="dxa"/>
              <w:right w:w="0" w:type="dxa"/>
            </w:tcMar>
            <w:vAlign w:val="bottom"/>
            <w:hideMark/>
          </w:tcPr>
          <w:p w14:paraId="3657629F" w14:textId="77777777" w:rsidR="00000000" w:rsidRDefault="001F1B2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14:paraId="516F413B" w14:textId="77777777" w:rsidR="00000000" w:rsidRDefault="001F1B20">
            <w:pPr>
              <w:pStyle w:val="a3"/>
              <w:spacing w:before="0" w:beforeAutospacing="0" w:after="0"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14:paraId="34265B9C" w14:textId="77777777" w:rsidR="00000000" w:rsidRDefault="001F1B20">
            <w:pPr>
              <w:pStyle w:val="a3"/>
              <w:spacing w:before="0" w:beforeAutospacing="0" w:after="0" w:afterAutospacing="0"/>
              <w:ind w:right="60"/>
              <w:jc w:val="right"/>
              <w:rPr>
                <w:sz w:val="20"/>
                <w:szCs w:val="20"/>
              </w:rPr>
            </w:pPr>
            <w:r>
              <w:rPr>
                <w:sz w:val="20"/>
                <w:szCs w:val="20"/>
              </w:rPr>
              <w:t>68,021</w:t>
            </w:r>
          </w:p>
        </w:tc>
        <w:tc>
          <w:tcPr>
            <w:tcW w:w="79" w:type="pct"/>
            <w:noWrap/>
            <w:tcMar>
              <w:top w:w="0" w:type="dxa"/>
              <w:left w:w="0" w:type="dxa"/>
              <w:bottom w:w="0" w:type="dxa"/>
              <w:right w:w="0" w:type="dxa"/>
            </w:tcMar>
            <w:vAlign w:val="bottom"/>
            <w:hideMark/>
          </w:tcPr>
          <w:p w14:paraId="3E954E15" w14:textId="77777777" w:rsidR="00000000" w:rsidRDefault="001F1B2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00E15061" w14:textId="77777777" w:rsidR="00000000" w:rsidRDefault="001F1B20">
            <w:pPr>
              <w:pStyle w:val="a3"/>
              <w:spacing w:before="0" w:beforeAutospacing="0" w:after="0" w:afterAutospacing="0"/>
              <w:rPr>
                <w:sz w:val="20"/>
                <w:szCs w:val="20"/>
              </w:rPr>
            </w:pPr>
            <w:r>
              <w:rPr>
                <w:sz w:val="20"/>
                <w:szCs w:val="20"/>
              </w:rPr>
              <w:t>​</w:t>
            </w:r>
          </w:p>
        </w:tc>
        <w:tc>
          <w:tcPr>
            <w:tcW w:w="413" w:type="pct"/>
            <w:noWrap/>
            <w:tcMar>
              <w:top w:w="0" w:type="dxa"/>
              <w:left w:w="0" w:type="dxa"/>
              <w:bottom w:w="0" w:type="dxa"/>
              <w:right w:w="0" w:type="dxa"/>
            </w:tcMar>
            <w:vAlign w:val="bottom"/>
            <w:hideMark/>
          </w:tcPr>
          <w:p w14:paraId="5ED5370F" w14:textId="77777777" w:rsidR="00000000" w:rsidRDefault="001F1B20">
            <w:pPr>
              <w:pStyle w:val="a3"/>
              <w:spacing w:before="0" w:beforeAutospacing="0" w:after="0" w:afterAutospacing="0"/>
              <w:ind w:right="60"/>
              <w:jc w:val="right"/>
              <w:rPr>
                <w:sz w:val="20"/>
                <w:szCs w:val="20"/>
              </w:rPr>
            </w:pPr>
            <w:r>
              <w:rPr>
                <w:sz w:val="20"/>
                <w:szCs w:val="20"/>
              </w:rPr>
              <w:t>62,361</w:t>
            </w:r>
          </w:p>
        </w:tc>
      </w:tr>
      <w:tr w:rsidR="00000000" w14:paraId="648D432C" w14:textId="77777777">
        <w:trPr>
          <w:divId w:val="1226065540"/>
        </w:trPr>
        <w:tc>
          <w:tcPr>
            <w:tcW w:w="2809" w:type="pct"/>
            <w:shd w:val="clear" w:color="auto" w:fill="CCEEFF"/>
            <w:tcMar>
              <w:top w:w="0" w:type="dxa"/>
              <w:left w:w="0" w:type="dxa"/>
              <w:bottom w:w="0" w:type="dxa"/>
              <w:right w:w="0" w:type="dxa"/>
            </w:tcMar>
            <w:vAlign w:val="center"/>
            <w:hideMark/>
          </w:tcPr>
          <w:p w14:paraId="16FC649F" w14:textId="77777777" w:rsidR="00000000" w:rsidRDefault="001F1B20">
            <w:pPr>
              <w:pStyle w:val="a3"/>
              <w:spacing w:before="0" w:beforeAutospacing="0" w:after="0" w:afterAutospacing="0"/>
              <w:rPr>
                <w:sz w:val="20"/>
                <w:szCs w:val="20"/>
              </w:rPr>
            </w:pPr>
            <w:r>
              <w:rPr>
                <w:sz w:val="20"/>
                <w:szCs w:val="20"/>
              </w:rPr>
              <w:t>Less: weighted-average ordinary shares subject to forfeiture</w:t>
            </w:r>
          </w:p>
        </w:tc>
        <w:tc>
          <w:tcPr>
            <w:tcW w:w="79" w:type="pct"/>
            <w:shd w:val="clear" w:color="auto" w:fill="CCEEFF"/>
            <w:noWrap/>
            <w:tcMar>
              <w:top w:w="0" w:type="dxa"/>
              <w:left w:w="0" w:type="dxa"/>
              <w:bottom w:w="0" w:type="dxa"/>
              <w:right w:w="0" w:type="dxa"/>
            </w:tcMar>
            <w:vAlign w:val="bottom"/>
            <w:hideMark/>
          </w:tcPr>
          <w:p w14:paraId="6BACF4C9" w14:textId="77777777" w:rsidR="00000000" w:rsidRDefault="001F1B20">
            <w:pPr>
              <w:pStyle w:val="a3"/>
              <w:spacing w:before="0" w:beforeAutospacing="0" w:after="0"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14:paraId="6537B8BB" w14:textId="77777777" w:rsidR="00000000" w:rsidRDefault="001F1B20">
            <w:pPr>
              <w:pStyle w:val="a3"/>
              <w:spacing w:before="0" w:beforeAutospacing="0" w:after="0" w:afterAutospacing="0"/>
              <w:rPr>
                <w:sz w:val="20"/>
                <w:szCs w:val="20"/>
              </w:rPr>
            </w:pPr>
            <w:r>
              <w:rPr>
                <w:sz w:val="20"/>
                <w:szCs w:val="20"/>
              </w:rPr>
              <w:t>​</w:t>
            </w:r>
          </w:p>
        </w:tc>
        <w:tc>
          <w:tcPr>
            <w:tcW w:w="370" w:type="pct"/>
            <w:tcBorders>
              <w:bottom w:val="single" w:sz="6" w:space="0" w:color="000000"/>
            </w:tcBorders>
            <w:shd w:val="clear" w:color="auto" w:fill="CCEEFF"/>
            <w:noWrap/>
            <w:tcMar>
              <w:top w:w="0" w:type="dxa"/>
              <w:left w:w="0" w:type="dxa"/>
              <w:bottom w:w="0" w:type="dxa"/>
              <w:right w:w="0" w:type="dxa"/>
            </w:tcMar>
            <w:vAlign w:val="bottom"/>
            <w:hideMark/>
          </w:tcPr>
          <w:p w14:paraId="25B6C590" w14:textId="77777777" w:rsidR="00000000" w:rsidRDefault="001F1B20">
            <w:pPr>
              <w:pStyle w:val="a3"/>
              <w:spacing w:before="0" w:beforeAutospacing="0" w:after="0" w:afterAutospacing="0"/>
              <w:ind w:right="60"/>
              <w:jc w:val="right"/>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6FC5E0CE" w14:textId="77777777" w:rsidR="00000000" w:rsidRDefault="001F1B20">
            <w:pPr>
              <w:pStyle w:val="a3"/>
              <w:spacing w:before="0" w:beforeAutospacing="0" w:after="0"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14:paraId="154E2138" w14:textId="77777777" w:rsidR="00000000" w:rsidRDefault="001F1B20">
            <w:pPr>
              <w:pStyle w:val="a3"/>
              <w:spacing w:before="0" w:beforeAutospacing="0" w:after="0" w:afterAutospacing="0"/>
              <w:rPr>
                <w:sz w:val="20"/>
                <w:szCs w:val="20"/>
              </w:rPr>
            </w:pPr>
            <w:r>
              <w:rPr>
                <w:sz w:val="20"/>
                <w:szCs w:val="20"/>
              </w:rPr>
              <w:t>​</w:t>
            </w:r>
          </w:p>
        </w:tc>
        <w:tc>
          <w:tcPr>
            <w:tcW w:w="370" w:type="pct"/>
            <w:tcBorders>
              <w:bottom w:val="single" w:sz="6" w:space="0" w:color="000000"/>
            </w:tcBorders>
            <w:shd w:val="clear" w:color="auto" w:fill="CCEEFF"/>
            <w:noWrap/>
            <w:tcMar>
              <w:top w:w="0" w:type="dxa"/>
              <w:left w:w="0" w:type="dxa"/>
              <w:bottom w:w="0" w:type="dxa"/>
              <w:right w:w="0" w:type="dxa"/>
            </w:tcMar>
            <w:vAlign w:val="bottom"/>
            <w:hideMark/>
          </w:tcPr>
          <w:p w14:paraId="715D27D9" w14:textId="77777777" w:rsidR="00000000" w:rsidRDefault="001F1B20">
            <w:pPr>
              <w:pStyle w:val="a3"/>
              <w:spacing w:before="0" w:beforeAutospacing="0" w:after="0" w:afterAutospacing="0"/>
              <w:jc w:val="right"/>
              <w:rPr>
                <w:sz w:val="20"/>
                <w:szCs w:val="20"/>
              </w:rPr>
            </w:pPr>
            <w:r>
              <w:rPr>
                <w:sz w:val="20"/>
                <w:szCs w:val="20"/>
              </w:rPr>
              <w:t>(414)</w:t>
            </w:r>
          </w:p>
        </w:tc>
        <w:tc>
          <w:tcPr>
            <w:tcW w:w="77" w:type="pct"/>
            <w:shd w:val="clear" w:color="auto" w:fill="CCEEFF"/>
            <w:noWrap/>
            <w:tcMar>
              <w:top w:w="0" w:type="dxa"/>
              <w:left w:w="0" w:type="dxa"/>
              <w:bottom w:w="0" w:type="dxa"/>
              <w:right w:w="0" w:type="dxa"/>
            </w:tcMar>
            <w:vAlign w:val="bottom"/>
            <w:hideMark/>
          </w:tcPr>
          <w:p w14:paraId="1DCEAD1D" w14:textId="77777777" w:rsidR="00000000" w:rsidRDefault="001F1B20">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14:paraId="1CD3FFFD" w14:textId="77777777" w:rsidR="00000000" w:rsidRDefault="001F1B20">
            <w:pPr>
              <w:pStyle w:val="a3"/>
              <w:spacing w:before="0" w:beforeAutospacing="0" w:after="0" w:afterAutospacing="0"/>
              <w:rPr>
                <w:sz w:val="20"/>
                <w:szCs w:val="20"/>
              </w:rPr>
            </w:pPr>
            <w:r>
              <w:rPr>
                <w:sz w:val="20"/>
                <w:szCs w:val="20"/>
              </w:rPr>
              <w:t>​</w:t>
            </w:r>
          </w:p>
        </w:tc>
        <w:tc>
          <w:tcPr>
            <w:tcW w:w="413" w:type="pct"/>
            <w:tcBorders>
              <w:bottom w:val="single" w:sz="6" w:space="0" w:color="000000"/>
            </w:tcBorders>
            <w:shd w:val="clear" w:color="auto" w:fill="CCEEFF"/>
            <w:noWrap/>
            <w:tcMar>
              <w:top w:w="0" w:type="dxa"/>
              <w:left w:w="0" w:type="dxa"/>
              <w:bottom w:w="0" w:type="dxa"/>
              <w:right w:w="0" w:type="dxa"/>
            </w:tcMar>
            <w:vAlign w:val="bottom"/>
            <w:hideMark/>
          </w:tcPr>
          <w:p w14:paraId="0C104735" w14:textId="77777777" w:rsidR="00000000" w:rsidRDefault="001F1B20">
            <w:pPr>
              <w:pStyle w:val="a3"/>
              <w:spacing w:before="0" w:beforeAutospacing="0" w:after="0" w:afterAutospacing="0"/>
              <w:jc w:val="right"/>
              <w:rPr>
                <w:sz w:val="20"/>
                <w:szCs w:val="20"/>
              </w:rPr>
            </w:pPr>
            <w:r>
              <w:rPr>
                <w:sz w:val="20"/>
                <w:szCs w:val="20"/>
              </w:rPr>
              <w:t>(76)</w:t>
            </w:r>
          </w:p>
        </w:tc>
        <w:tc>
          <w:tcPr>
            <w:tcW w:w="79" w:type="pct"/>
            <w:shd w:val="clear" w:color="auto" w:fill="CCEEFF"/>
            <w:noWrap/>
            <w:tcMar>
              <w:top w:w="0" w:type="dxa"/>
              <w:left w:w="0" w:type="dxa"/>
              <w:bottom w:w="0" w:type="dxa"/>
              <w:right w:w="0" w:type="dxa"/>
            </w:tcMar>
            <w:vAlign w:val="bottom"/>
            <w:hideMark/>
          </w:tcPr>
          <w:p w14:paraId="67887BDE" w14:textId="77777777" w:rsidR="00000000" w:rsidRDefault="001F1B20">
            <w:pPr>
              <w:pStyle w:val="a3"/>
              <w:spacing w:before="0" w:beforeAutospacing="0" w:after="0"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14:paraId="7A04D5A7" w14:textId="77777777" w:rsidR="00000000" w:rsidRDefault="001F1B20">
            <w:pPr>
              <w:pStyle w:val="a3"/>
              <w:spacing w:before="0" w:beforeAutospacing="0" w:after="0" w:afterAutospacing="0"/>
              <w:rPr>
                <w:sz w:val="20"/>
                <w:szCs w:val="20"/>
              </w:rPr>
            </w:pPr>
            <w:r>
              <w:rPr>
                <w:sz w:val="20"/>
                <w:szCs w:val="20"/>
              </w:rPr>
              <w:t>​</w:t>
            </w:r>
          </w:p>
        </w:tc>
        <w:tc>
          <w:tcPr>
            <w:tcW w:w="413" w:type="pct"/>
            <w:tcBorders>
              <w:bottom w:val="single" w:sz="6" w:space="0" w:color="000000"/>
            </w:tcBorders>
            <w:shd w:val="clear" w:color="auto" w:fill="CCEEFF"/>
            <w:noWrap/>
            <w:tcMar>
              <w:top w:w="0" w:type="dxa"/>
              <w:left w:w="0" w:type="dxa"/>
              <w:bottom w:w="0" w:type="dxa"/>
              <w:right w:w="0" w:type="dxa"/>
            </w:tcMar>
            <w:vAlign w:val="bottom"/>
            <w:hideMark/>
          </w:tcPr>
          <w:p w14:paraId="268557FD" w14:textId="77777777" w:rsidR="00000000" w:rsidRDefault="001F1B20">
            <w:pPr>
              <w:pStyle w:val="a3"/>
              <w:spacing w:before="0" w:beforeAutospacing="0" w:after="0" w:afterAutospacing="0"/>
              <w:jc w:val="right"/>
              <w:rPr>
                <w:sz w:val="20"/>
                <w:szCs w:val="20"/>
              </w:rPr>
            </w:pPr>
            <w:r>
              <w:rPr>
                <w:sz w:val="20"/>
                <w:szCs w:val="20"/>
              </w:rPr>
              <w:t>(480)</w:t>
            </w:r>
          </w:p>
        </w:tc>
      </w:tr>
      <w:tr w:rsidR="00000000" w14:paraId="0DD7A49D" w14:textId="77777777">
        <w:trPr>
          <w:divId w:val="1226065540"/>
        </w:trPr>
        <w:tc>
          <w:tcPr>
            <w:tcW w:w="2809" w:type="pct"/>
            <w:tcMar>
              <w:top w:w="0" w:type="dxa"/>
              <w:left w:w="0" w:type="dxa"/>
              <w:bottom w:w="0" w:type="dxa"/>
              <w:right w:w="0" w:type="dxa"/>
            </w:tcMar>
            <w:vAlign w:val="center"/>
            <w:hideMark/>
          </w:tcPr>
          <w:p w14:paraId="1A56ED04" w14:textId="77777777" w:rsidR="00000000" w:rsidRDefault="001F1B20">
            <w:pPr>
              <w:pStyle w:val="a3"/>
              <w:spacing w:before="0" w:beforeAutospacing="0" w:after="0" w:afterAutospacing="0"/>
              <w:ind w:hanging="180"/>
              <w:rPr>
                <w:sz w:val="20"/>
                <w:szCs w:val="20"/>
              </w:rPr>
            </w:pPr>
            <w:r>
              <w:rPr>
                <w:sz w:val="20"/>
                <w:szCs w:val="20"/>
              </w:rPr>
              <w:t>Weighted-average ordinary shares used to compute basic and diluted net loss per share</w:t>
            </w:r>
          </w:p>
        </w:tc>
        <w:tc>
          <w:tcPr>
            <w:tcW w:w="79" w:type="pct"/>
            <w:noWrap/>
            <w:tcMar>
              <w:top w:w="0" w:type="dxa"/>
              <w:left w:w="0" w:type="dxa"/>
              <w:bottom w:w="0" w:type="dxa"/>
              <w:right w:w="0" w:type="dxa"/>
            </w:tcMar>
            <w:vAlign w:val="bottom"/>
            <w:hideMark/>
          </w:tcPr>
          <w:p w14:paraId="13CF79DD" w14:textId="77777777" w:rsidR="00000000" w:rsidRDefault="001F1B20">
            <w:pPr>
              <w:pStyle w:val="a3"/>
              <w:spacing w:before="0" w:beforeAutospacing="0" w:after="0"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14:paraId="1982CABC" w14:textId="77777777" w:rsidR="00000000" w:rsidRDefault="001F1B20">
            <w:pPr>
              <w:pStyle w:val="a3"/>
              <w:spacing w:before="0" w:beforeAutospacing="0" w:after="0" w:afterAutospacing="0"/>
              <w:rPr>
                <w:sz w:val="20"/>
                <w:szCs w:val="20"/>
              </w:rPr>
            </w:pPr>
            <w:r>
              <w:rPr>
                <w:sz w:val="20"/>
                <w:szCs w:val="20"/>
              </w:rPr>
              <w:t>​</w:t>
            </w:r>
          </w:p>
        </w:tc>
        <w:tc>
          <w:tcPr>
            <w:tcW w:w="370" w:type="pct"/>
            <w:tcBorders>
              <w:bottom w:val="double" w:sz="6" w:space="0" w:color="000000"/>
            </w:tcBorders>
            <w:noWrap/>
            <w:tcMar>
              <w:top w:w="0" w:type="dxa"/>
              <w:left w:w="0" w:type="dxa"/>
              <w:bottom w:w="0" w:type="dxa"/>
              <w:right w:w="0" w:type="dxa"/>
            </w:tcMar>
            <w:vAlign w:val="bottom"/>
            <w:hideMark/>
          </w:tcPr>
          <w:p w14:paraId="49A851A8" w14:textId="77777777" w:rsidR="00000000" w:rsidRDefault="001F1B20">
            <w:pPr>
              <w:pStyle w:val="a3"/>
              <w:spacing w:before="0" w:beforeAutospacing="0" w:after="0" w:afterAutospacing="0"/>
              <w:ind w:right="60"/>
              <w:jc w:val="right"/>
              <w:rPr>
                <w:sz w:val="20"/>
                <w:szCs w:val="20"/>
              </w:rPr>
            </w:pPr>
            <w:r>
              <w:rPr>
                <w:sz w:val="20"/>
                <w:szCs w:val="20"/>
              </w:rPr>
              <w:t>73,574</w:t>
            </w:r>
          </w:p>
        </w:tc>
        <w:tc>
          <w:tcPr>
            <w:tcW w:w="79" w:type="pct"/>
            <w:noWrap/>
            <w:tcMar>
              <w:top w:w="0" w:type="dxa"/>
              <w:left w:w="0" w:type="dxa"/>
              <w:bottom w:w="0" w:type="dxa"/>
              <w:right w:w="0" w:type="dxa"/>
            </w:tcMar>
            <w:vAlign w:val="bottom"/>
            <w:hideMark/>
          </w:tcPr>
          <w:p w14:paraId="59517F2F" w14:textId="77777777" w:rsidR="00000000" w:rsidRDefault="001F1B20">
            <w:pPr>
              <w:pStyle w:val="a3"/>
              <w:spacing w:before="0" w:beforeAutospacing="0" w:after="0"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14:paraId="26891028" w14:textId="77777777" w:rsidR="00000000" w:rsidRDefault="001F1B20">
            <w:pPr>
              <w:pStyle w:val="a3"/>
              <w:spacing w:before="0" w:beforeAutospacing="0" w:after="0" w:afterAutospacing="0"/>
              <w:rPr>
                <w:sz w:val="20"/>
                <w:szCs w:val="20"/>
              </w:rPr>
            </w:pPr>
            <w:r>
              <w:rPr>
                <w:sz w:val="20"/>
                <w:szCs w:val="20"/>
              </w:rPr>
              <w:t>​</w:t>
            </w:r>
          </w:p>
        </w:tc>
        <w:tc>
          <w:tcPr>
            <w:tcW w:w="370" w:type="pct"/>
            <w:tcBorders>
              <w:bottom w:val="double" w:sz="6" w:space="0" w:color="000000"/>
            </w:tcBorders>
            <w:noWrap/>
            <w:tcMar>
              <w:top w:w="0" w:type="dxa"/>
              <w:left w:w="0" w:type="dxa"/>
              <w:bottom w:w="0" w:type="dxa"/>
              <w:right w:w="0" w:type="dxa"/>
            </w:tcMar>
            <w:vAlign w:val="bottom"/>
            <w:hideMark/>
          </w:tcPr>
          <w:p w14:paraId="733D9F73" w14:textId="77777777" w:rsidR="00000000" w:rsidRDefault="001F1B20">
            <w:pPr>
              <w:pStyle w:val="a3"/>
              <w:spacing w:before="0" w:beforeAutospacing="0" w:after="0" w:afterAutospacing="0"/>
              <w:ind w:right="60"/>
              <w:jc w:val="right"/>
              <w:rPr>
                <w:sz w:val="20"/>
                <w:szCs w:val="20"/>
              </w:rPr>
            </w:pPr>
            <w:r>
              <w:rPr>
                <w:sz w:val="20"/>
                <w:szCs w:val="20"/>
              </w:rPr>
              <w:t>63,303</w:t>
            </w:r>
          </w:p>
        </w:tc>
        <w:tc>
          <w:tcPr>
            <w:tcW w:w="77" w:type="pct"/>
            <w:noWrap/>
            <w:tcMar>
              <w:top w:w="0" w:type="dxa"/>
              <w:left w:w="0" w:type="dxa"/>
              <w:bottom w:w="0" w:type="dxa"/>
              <w:right w:w="0" w:type="dxa"/>
            </w:tcMar>
            <w:vAlign w:val="bottom"/>
            <w:hideMark/>
          </w:tcPr>
          <w:p w14:paraId="1E1B0593" w14:textId="77777777" w:rsidR="00000000" w:rsidRDefault="001F1B20">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14:paraId="0DB1A98E" w14:textId="77777777" w:rsidR="00000000" w:rsidRDefault="001F1B20">
            <w:pPr>
              <w:pStyle w:val="a3"/>
              <w:spacing w:before="0" w:beforeAutospacing="0" w:after="0" w:afterAutospacing="0"/>
              <w:rPr>
                <w:sz w:val="20"/>
                <w:szCs w:val="20"/>
              </w:rPr>
            </w:pPr>
            <w:r>
              <w:rPr>
                <w:sz w:val="20"/>
                <w:szCs w:val="20"/>
              </w:rPr>
              <w:t>​</w:t>
            </w:r>
          </w:p>
        </w:tc>
        <w:tc>
          <w:tcPr>
            <w:tcW w:w="413" w:type="pct"/>
            <w:tcBorders>
              <w:bottom w:val="double" w:sz="6" w:space="0" w:color="000000"/>
            </w:tcBorders>
            <w:noWrap/>
            <w:tcMar>
              <w:top w:w="0" w:type="dxa"/>
              <w:left w:w="0" w:type="dxa"/>
              <w:bottom w:w="0" w:type="dxa"/>
              <w:right w:w="0" w:type="dxa"/>
            </w:tcMar>
            <w:vAlign w:val="bottom"/>
            <w:hideMark/>
          </w:tcPr>
          <w:p w14:paraId="73C25532" w14:textId="77777777" w:rsidR="00000000" w:rsidRDefault="001F1B20">
            <w:pPr>
              <w:pStyle w:val="a3"/>
              <w:spacing w:before="0" w:beforeAutospacing="0" w:after="0" w:afterAutospacing="0"/>
              <w:ind w:right="60"/>
              <w:jc w:val="right"/>
              <w:rPr>
                <w:sz w:val="20"/>
                <w:szCs w:val="20"/>
              </w:rPr>
            </w:pPr>
            <w:r>
              <w:rPr>
                <w:sz w:val="20"/>
                <w:szCs w:val="20"/>
              </w:rPr>
              <w:t>67,945</w:t>
            </w:r>
          </w:p>
        </w:tc>
        <w:tc>
          <w:tcPr>
            <w:tcW w:w="79" w:type="pct"/>
            <w:noWrap/>
            <w:tcMar>
              <w:top w:w="0" w:type="dxa"/>
              <w:left w:w="0" w:type="dxa"/>
              <w:bottom w:w="0" w:type="dxa"/>
              <w:right w:w="0" w:type="dxa"/>
            </w:tcMar>
            <w:vAlign w:val="bottom"/>
            <w:hideMark/>
          </w:tcPr>
          <w:p w14:paraId="014B4A3E" w14:textId="77777777" w:rsidR="00000000" w:rsidRDefault="001F1B20">
            <w:pPr>
              <w:pStyle w:val="a3"/>
              <w:spacing w:before="0" w:beforeAutospacing="0" w:after="0"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14:paraId="406BCF5E" w14:textId="77777777" w:rsidR="00000000" w:rsidRDefault="001F1B20">
            <w:pPr>
              <w:pStyle w:val="a3"/>
              <w:spacing w:before="0" w:beforeAutospacing="0" w:after="0" w:afterAutospacing="0"/>
              <w:rPr>
                <w:sz w:val="20"/>
                <w:szCs w:val="20"/>
              </w:rPr>
            </w:pPr>
            <w:r>
              <w:rPr>
                <w:sz w:val="20"/>
                <w:szCs w:val="20"/>
              </w:rPr>
              <w:t>​</w:t>
            </w:r>
          </w:p>
        </w:tc>
        <w:tc>
          <w:tcPr>
            <w:tcW w:w="413" w:type="pct"/>
            <w:tcBorders>
              <w:bottom w:val="double" w:sz="6" w:space="0" w:color="000000"/>
            </w:tcBorders>
            <w:noWrap/>
            <w:tcMar>
              <w:top w:w="0" w:type="dxa"/>
              <w:left w:w="0" w:type="dxa"/>
              <w:bottom w:w="0" w:type="dxa"/>
              <w:right w:w="0" w:type="dxa"/>
            </w:tcMar>
            <w:vAlign w:val="bottom"/>
            <w:hideMark/>
          </w:tcPr>
          <w:p w14:paraId="02FF0E63" w14:textId="77777777" w:rsidR="00000000" w:rsidRDefault="001F1B20">
            <w:pPr>
              <w:pStyle w:val="a3"/>
              <w:spacing w:before="0" w:beforeAutospacing="0" w:after="0" w:afterAutospacing="0"/>
              <w:ind w:right="60"/>
              <w:jc w:val="right"/>
              <w:rPr>
                <w:sz w:val="20"/>
                <w:szCs w:val="20"/>
              </w:rPr>
            </w:pPr>
            <w:r>
              <w:rPr>
                <w:sz w:val="20"/>
                <w:szCs w:val="20"/>
              </w:rPr>
              <w:t>61,881</w:t>
            </w:r>
          </w:p>
        </w:tc>
      </w:tr>
      <w:tr w:rsidR="00000000" w14:paraId="0E3532DF" w14:textId="77777777">
        <w:trPr>
          <w:divId w:val="1226065540"/>
        </w:trPr>
        <w:tc>
          <w:tcPr>
            <w:tcW w:w="2809" w:type="pct"/>
            <w:shd w:val="clear" w:color="auto" w:fill="CCEEFF"/>
            <w:tcMar>
              <w:top w:w="0" w:type="dxa"/>
              <w:left w:w="0" w:type="dxa"/>
              <w:bottom w:w="0" w:type="dxa"/>
              <w:right w:w="0" w:type="dxa"/>
            </w:tcMar>
            <w:hideMark/>
          </w:tcPr>
          <w:p w14:paraId="24D2DACE" w14:textId="77777777" w:rsidR="00000000" w:rsidRDefault="001F1B20">
            <w:pPr>
              <w:pStyle w:val="a3"/>
              <w:spacing w:before="0" w:beforeAutospacing="0" w:after="0" w:afterAutospacing="0"/>
              <w:ind w:left="240"/>
              <w:rPr>
                <w:sz w:val="20"/>
                <w:szCs w:val="20"/>
              </w:rPr>
            </w:pPr>
            <w:r>
              <w:rPr>
                <w:sz w:val="20"/>
                <w:szCs w:val="20"/>
              </w:rPr>
              <w:t>Basic and diluted net loss per share</w:t>
            </w:r>
          </w:p>
        </w:tc>
        <w:tc>
          <w:tcPr>
            <w:tcW w:w="79" w:type="pct"/>
            <w:shd w:val="clear" w:color="auto" w:fill="CCEEFF"/>
            <w:noWrap/>
            <w:tcMar>
              <w:top w:w="0" w:type="dxa"/>
              <w:left w:w="0" w:type="dxa"/>
              <w:bottom w:w="0" w:type="dxa"/>
              <w:right w:w="0" w:type="dxa"/>
            </w:tcMar>
            <w:vAlign w:val="bottom"/>
            <w:hideMark/>
          </w:tcPr>
          <w:p w14:paraId="4820CB0E" w14:textId="77777777" w:rsidR="00000000" w:rsidRDefault="001F1B20">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2D1AB719" w14:textId="77777777" w:rsidR="00000000" w:rsidRDefault="001F1B20">
            <w:pPr>
              <w:pStyle w:val="a3"/>
              <w:spacing w:before="0" w:beforeAutospacing="0" w:after="0" w:afterAutospacing="0"/>
              <w:rPr>
                <w:sz w:val="20"/>
                <w:szCs w:val="20"/>
              </w:rPr>
            </w:pPr>
            <w:r>
              <w:rPr>
                <w:sz w:val="20"/>
                <w:szCs w:val="20"/>
              </w:rPr>
              <w:t>$</w:t>
            </w:r>
          </w:p>
        </w:tc>
        <w:tc>
          <w:tcPr>
            <w:tcW w:w="370" w:type="pct"/>
            <w:tcBorders>
              <w:bottom w:val="double" w:sz="6" w:space="0" w:color="000000"/>
            </w:tcBorders>
            <w:shd w:val="clear" w:color="auto" w:fill="CCEEFF"/>
            <w:noWrap/>
            <w:tcMar>
              <w:top w:w="0" w:type="dxa"/>
              <w:left w:w="0" w:type="dxa"/>
              <w:bottom w:w="0" w:type="dxa"/>
              <w:right w:w="0" w:type="dxa"/>
            </w:tcMar>
            <w:vAlign w:val="bottom"/>
            <w:hideMark/>
          </w:tcPr>
          <w:p w14:paraId="74EEF9D8" w14:textId="77777777" w:rsidR="00000000" w:rsidRDefault="001F1B20">
            <w:pPr>
              <w:pStyle w:val="a3"/>
              <w:spacing w:before="0" w:beforeAutospacing="0" w:after="0" w:afterAutospacing="0"/>
              <w:jc w:val="right"/>
              <w:rPr>
                <w:sz w:val="20"/>
                <w:szCs w:val="20"/>
              </w:rPr>
            </w:pPr>
            <w:r>
              <w:rPr>
                <w:sz w:val="20"/>
                <w:szCs w:val="20"/>
              </w:rPr>
              <w:t>(0.48)</w:t>
            </w:r>
          </w:p>
        </w:tc>
        <w:tc>
          <w:tcPr>
            <w:tcW w:w="79" w:type="pct"/>
            <w:shd w:val="clear" w:color="auto" w:fill="CCEEFF"/>
            <w:noWrap/>
            <w:tcMar>
              <w:top w:w="0" w:type="dxa"/>
              <w:left w:w="0" w:type="dxa"/>
              <w:bottom w:w="0" w:type="dxa"/>
              <w:right w:w="0" w:type="dxa"/>
            </w:tcMar>
            <w:vAlign w:val="bottom"/>
            <w:hideMark/>
          </w:tcPr>
          <w:p w14:paraId="0EF3C36A" w14:textId="77777777" w:rsidR="00000000" w:rsidRDefault="001F1B20">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389C7B5F" w14:textId="77777777" w:rsidR="00000000" w:rsidRDefault="001F1B20">
            <w:pPr>
              <w:pStyle w:val="a3"/>
              <w:spacing w:before="0" w:beforeAutospacing="0" w:after="0" w:afterAutospacing="0"/>
              <w:rPr>
                <w:sz w:val="20"/>
                <w:szCs w:val="20"/>
              </w:rPr>
            </w:pPr>
            <w:r>
              <w:rPr>
                <w:sz w:val="20"/>
                <w:szCs w:val="20"/>
              </w:rPr>
              <w:t>$</w:t>
            </w:r>
          </w:p>
        </w:tc>
        <w:tc>
          <w:tcPr>
            <w:tcW w:w="370" w:type="pct"/>
            <w:tcBorders>
              <w:bottom w:val="double" w:sz="6" w:space="0" w:color="000000"/>
            </w:tcBorders>
            <w:shd w:val="clear" w:color="auto" w:fill="CCEEFF"/>
            <w:noWrap/>
            <w:tcMar>
              <w:top w:w="0" w:type="dxa"/>
              <w:left w:w="0" w:type="dxa"/>
              <w:bottom w:w="0" w:type="dxa"/>
              <w:right w:w="0" w:type="dxa"/>
            </w:tcMar>
            <w:vAlign w:val="bottom"/>
            <w:hideMark/>
          </w:tcPr>
          <w:p w14:paraId="6635B863" w14:textId="77777777" w:rsidR="00000000" w:rsidRDefault="001F1B20">
            <w:pPr>
              <w:pStyle w:val="a3"/>
              <w:spacing w:before="0" w:beforeAutospacing="0" w:after="0" w:afterAutospacing="0"/>
              <w:jc w:val="right"/>
              <w:rPr>
                <w:sz w:val="20"/>
                <w:szCs w:val="20"/>
              </w:rPr>
            </w:pPr>
            <w:r>
              <w:rPr>
                <w:sz w:val="20"/>
                <w:szCs w:val="20"/>
              </w:rPr>
              <w:t>(1.16)</w:t>
            </w:r>
          </w:p>
        </w:tc>
        <w:tc>
          <w:tcPr>
            <w:tcW w:w="77" w:type="pct"/>
            <w:shd w:val="clear" w:color="auto" w:fill="CCEEFF"/>
            <w:noWrap/>
            <w:tcMar>
              <w:top w:w="0" w:type="dxa"/>
              <w:left w:w="0" w:type="dxa"/>
              <w:bottom w:w="0" w:type="dxa"/>
              <w:right w:w="0" w:type="dxa"/>
            </w:tcMar>
            <w:vAlign w:val="bottom"/>
            <w:hideMark/>
          </w:tcPr>
          <w:p w14:paraId="35EF95BE" w14:textId="77777777" w:rsidR="00000000" w:rsidRDefault="001F1B20">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14:paraId="43506374" w14:textId="77777777" w:rsidR="00000000" w:rsidRDefault="001F1B20">
            <w:pPr>
              <w:pStyle w:val="a3"/>
              <w:spacing w:before="0" w:beforeAutospacing="0" w:after="0" w:afterAutospacing="0"/>
              <w:rPr>
                <w:sz w:val="20"/>
                <w:szCs w:val="20"/>
              </w:rPr>
            </w:pPr>
            <w:r>
              <w:rPr>
                <w:sz w:val="20"/>
                <w:szCs w:val="20"/>
              </w:rPr>
              <w:t>$</w:t>
            </w:r>
          </w:p>
        </w:tc>
        <w:tc>
          <w:tcPr>
            <w:tcW w:w="413" w:type="pct"/>
            <w:tcBorders>
              <w:bottom w:val="double" w:sz="6" w:space="0" w:color="000000"/>
            </w:tcBorders>
            <w:shd w:val="clear" w:color="auto" w:fill="CCEEFF"/>
            <w:noWrap/>
            <w:tcMar>
              <w:top w:w="0" w:type="dxa"/>
              <w:left w:w="0" w:type="dxa"/>
              <w:bottom w:w="0" w:type="dxa"/>
              <w:right w:w="0" w:type="dxa"/>
            </w:tcMar>
            <w:vAlign w:val="bottom"/>
            <w:hideMark/>
          </w:tcPr>
          <w:p w14:paraId="7E043347" w14:textId="77777777" w:rsidR="00000000" w:rsidRDefault="001F1B20">
            <w:pPr>
              <w:pStyle w:val="a3"/>
              <w:spacing w:before="0" w:beforeAutospacing="0" w:after="0" w:afterAutospacing="0"/>
              <w:jc w:val="right"/>
              <w:rPr>
                <w:sz w:val="20"/>
                <w:szCs w:val="20"/>
              </w:rPr>
            </w:pPr>
            <w:r>
              <w:rPr>
                <w:sz w:val="20"/>
                <w:szCs w:val="20"/>
              </w:rPr>
              <w:t>(2.46)</w:t>
            </w:r>
          </w:p>
        </w:tc>
        <w:tc>
          <w:tcPr>
            <w:tcW w:w="79" w:type="pct"/>
            <w:shd w:val="clear" w:color="auto" w:fill="CCEEFF"/>
            <w:noWrap/>
            <w:tcMar>
              <w:top w:w="0" w:type="dxa"/>
              <w:left w:w="0" w:type="dxa"/>
              <w:bottom w:w="0" w:type="dxa"/>
              <w:right w:w="0" w:type="dxa"/>
            </w:tcMar>
            <w:vAlign w:val="bottom"/>
            <w:hideMark/>
          </w:tcPr>
          <w:p w14:paraId="02301858" w14:textId="77777777" w:rsidR="00000000" w:rsidRDefault="001F1B20">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0A228AAA" w14:textId="77777777" w:rsidR="00000000" w:rsidRDefault="001F1B20">
            <w:pPr>
              <w:pStyle w:val="a3"/>
              <w:spacing w:before="0" w:beforeAutospacing="0" w:after="0" w:afterAutospacing="0"/>
              <w:rPr>
                <w:sz w:val="20"/>
                <w:szCs w:val="20"/>
              </w:rPr>
            </w:pPr>
            <w:r>
              <w:rPr>
                <w:sz w:val="20"/>
                <w:szCs w:val="20"/>
              </w:rPr>
              <w:t>$</w:t>
            </w:r>
          </w:p>
        </w:tc>
        <w:tc>
          <w:tcPr>
            <w:tcW w:w="413" w:type="pct"/>
            <w:tcBorders>
              <w:bottom w:val="double" w:sz="6" w:space="0" w:color="000000"/>
            </w:tcBorders>
            <w:shd w:val="clear" w:color="auto" w:fill="CCEEFF"/>
            <w:noWrap/>
            <w:tcMar>
              <w:top w:w="0" w:type="dxa"/>
              <w:left w:w="0" w:type="dxa"/>
              <w:bottom w:w="0" w:type="dxa"/>
              <w:right w:w="0" w:type="dxa"/>
            </w:tcMar>
            <w:vAlign w:val="bottom"/>
            <w:hideMark/>
          </w:tcPr>
          <w:p w14:paraId="6A2E530E" w14:textId="77777777" w:rsidR="00000000" w:rsidRDefault="001F1B20">
            <w:pPr>
              <w:pStyle w:val="a3"/>
              <w:spacing w:before="0" w:beforeAutospacing="0" w:after="0" w:afterAutospacing="0"/>
              <w:jc w:val="right"/>
              <w:rPr>
                <w:sz w:val="20"/>
                <w:szCs w:val="20"/>
              </w:rPr>
            </w:pPr>
            <w:r>
              <w:rPr>
                <w:sz w:val="20"/>
                <w:szCs w:val="20"/>
              </w:rPr>
              <w:t>(3.55)</w:t>
            </w:r>
          </w:p>
        </w:tc>
      </w:tr>
    </w:tbl>
    <w:p w14:paraId="29ED43B2" w14:textId="77777777" w:rsidR="00000000" w:rsidRDefault="001F1B20">
      <w:pPr>
        <w:pStyle w:val="a3"/>
        <w:spacing w:before="0" w:beforeAutospacing="0" w:after="0" w:afterAutospacing="0"/>
        <w:divId w:val="1226065540"/>
        <w:rPr>
          <w:sz w:val="20"/>
          <w:szCs w:val="20"/>
        </w:rPr>
      </w:pPr>
      <w:r>
        <w:rPr>
          <w:sz w:val="20"/>
          <w:szCs w:val="20"/>
        </w:rPr>
        <w:t>​</w:t>
      </w:r>
    </w:p>
    <w:p w14:paraId="0E4ABD5D" w14:textId="77777777" w:rsidR="00000000" w:rsidRDefault="001F1B20">
      <w:pPr>
        <w:pStyle w:val="a3"/>
        <w:spacing w:before="0" w:beforeAutospacing="0" w:after="0" w:afterAutospacing="0"/>
        <w:ind w:firstLine="720"/>
        <w:divId w:val="1226065540"/>
        <w:rPr>
          <w:sz w:val="20"/>
          <w:szCs w:val="20"/>
        </w:rPr>
      </w:pPr>
      <w:r>
        <w:rPr>
          <w:sz w:val="20"/>
          <w:szCs w:val="20"/>
        </w:rPr>
        <w:t xml:space="preserve">For the three and nine months ended September 30, 2021 and 2020, diluted and basic net loss per share were identical since potential ordinary shares were excluded from the calculation, as their effect was anti-dilutive. </w:t>
      </w:r>
    </w:p>
    <w:p w14:paraId="644F4704" w14:textId="77777777" w:rsidR="00000000" w:rsidRDefault="001F1B20">
      <w:pPr>
        <w:pStyle w:val="a3"/>
        <w:spacing w:before="0" w:beforeAutospacing="0" w:after="0" w:afterAutospacing="0"/>
        <w:ind w:firstLine="720"/>
        <w:divId w:val="1226065540"/>
        <w:rPr>
          <w:sz w:val="20"/>
          <w:szCs w:val="20"/>
        </w:rPr>
      </w:pPr>
      <w:r>
        <w:rPr>
          <w:sz w:val="20"/>
          <w:szCs w:val="20"/>
        </w:rPr>
        <w:t>​</w:t>
      </w:r>
    </w:p>
    <w:p w14:paraId="50644110" w14:textId="77777777" w:rsidR="00000000" w:rsidRDefault="001F1B20">
      <w:pPr>
        <w:pStyle w:val="a3"/>
        <w:spacing w:before="0" w:beforeAutospacing="0" w:after="0" w:afterAutospacing="0"/>
        <w:divId w:val="1226065540"/>
        <w:rPr>
          <w:sz w:val="20"/>
          <w:szCs w:val="20"/>
        </w:rPr>
      </w:pPr>
      <w:r>
        <w:rPr>
          <w:b/>
          <w:bCs/>
          <w:i/>
          <w:iCs/>
          <w:sz w:val="20"/>
          <w:szCs w:val="20"/>
        </w:rPr>
        <w:t>Anti-dilutive Securities</w:t>
      </w:r>
    </w:p>
    <w:p w14:paraId="3120F022" w14:textId="77777777" w:rsidR="00000000" w:rsidRDefault="001F1B20">
      <w:pPr>
        <w:pStyle w:val="a3"/>
        <w:spacing w:before="0" w:beforeAutospacing="0" w:after="0" w:afterAutospacing="0"/>
        <w:divId w:val="1226065540"/>
        <w:rPr>
          <w:sz w:val="20"/>
          <w:szCs w:val="20"/>
        </w:rPr>
      </w:pPr>
      <w:r>
        <w:rPr>
          <w:sz w:val="20"/>
          <w:szCs w:val="20"/>
        </w:rPr>
        <w:t>​</w:t>
      </w:r>
    </w:p>
    <w:p w14:paraId="57A922B7" w14:textId="77777777" w:rsidR="00000000" w:rsidRDefault="001F1B20">
      <w:pPr>
        <w:pStyle w:val="a3"/>
        <w:spacing w:before="0" w:beforeAutospacing="0" w:after="0" w:afterAutospacing="0"/>
        <w:ind w:firstLine="720"/>
        <w:divId w:val="1226065540"/>
        <w:rPr>
          <w:sz w:val="20"/>
          <w:szCs w:val="20"/>
        </w:rPr>
      </w:pPr>
      <w:r>
        <w:rPr>
          <w:sz w:val="20"/>
          <w:szCs w:val="20"/>
        </w:rPr>
        <w:t>The fo</w:t>
      </w:r>
      <w:r>
        <w:rPr>
          <w:sz w:val="20"/>
          <w:szCs w:val="20"/>
        </w:rPr>
        <w:t>llowing ordinary equivalent shares were not included in the computation of diluted net loss per share because their effect was anti-dilutive:</w:t>
      </w:r>
    </w:p>
    <w:p w14:paraId="0EA5A292" w14:textId="77777777" w:rsidR="00000000" w:rsidRDefault="001F1B20">
      <w:pPr>
        <w:pStyle w:val="a3"/>
        <w:spacing w:before="0" w:beforeAutospacing="0" w:after="0" w:afterAutospacing="0"/>
        <w:divId w:val="122606554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10"/>
        <w:gridCol w:w="160"/>
        <w:gridCol w:w="635"/>
        <w:gridCol w:w="161"/>
        <w:gridCol w:w="641"/>
        <w:gridCol w:w="161"/>
        <w:gridCol w:w="636"/>
        <w:gridCol w:w="161"/>
        <w:gridCol w:w="641"/>
      </w:tblGrid>
      <w:tr w:rsidR="00000000" w14:paraId="7C7450A6" w14:textId="77777777">
        <w:trPr>
          <w:divId w:val="1226065540"/>
          <w:trHeight w:val="20"/>
        </w:trPr>
        <w:tc>
          <w:tcPr>
            <w:tcW w:w="3073" w:type="pct"/>
            <w:tcMar>
              <w:top w:w="0" w:type="dxa"/>
              <w:left w:w="0" w:type="dxa"/>
              <w:bottom w:w="0" w:type="dxa"/>
              <w:right w:w="0" w:type="dxa"/>
            </w:tcMar>
            <w:vAlign w:val="bottom"/>
            <w:hideMark/>
          </w:tcPr>
          <w:p w14:paraId="035A7796" w14:textId="77777777" w:rsidR="00000000" w:rsidRDefault="001F1B20">
            <w:pPr>
              <w:pStyle w:val="a3"/>
              <w:spacing w:before="0" w:beforeAutospacing="0" w:after="0" w:afterAutospacing="0"/>
              <w:divId w:val="224992410"/>
              <w:rPr>
                <w:sz w:val="20"/>
                <w:szCs w:val="20"/>
              </w:rPr>
            </w:pPr>
            <w:r>
              <w:rPr>
                <w:sz w:val="2"/>
                <w:szCs w:val="2"/>
              </w:rPr>
              <w:t>​</w:t>
            </w:r>
          </w:p>
        </w:tc>
        <w:tc>
          <w:tcPr>
            <w:tcW w:w="97" w:type="pct"/>
            <w:noWrap/>
            <w:tcMar>
              <w:top w:w="0" w:type="dxa"/>
              <w:left w:w="0" w:type="dxa"/>
              <w:bottom w:w="0" w:type="dxa"/>
              <w:right w:w="0" w:type="dxa"/>
            </w:tcMar>
            <w:vAlign w:val="bottom"/>
            <w:hideMark/>
          </w:tcPr>
          <w:p w14:paraId="40AA5FFA" w14:textId="77777777" w:rsidR="00000000" w:rsidRDefault="001F1B20">
            <w:pPr>
              <w:pStyle w:val="a3"/>
              <w:spacing w:before="0" w:beforeAutospacing="0" w:after="0" w:afterAutospacing="0"/>
              <w:divId w:val="1869567439"/>
              <w:rPr>
                <w:sz w:val="20"/>
                <w:szCs w:val="20"/>
              </w:rPr>
            </w:pPr>
            <w:r>
              <w:rPr>
                <w:sz w:val="2"/>
                <w:szCs w:val="2"/>
              </w:rPr>
              <w:t>​</w:t>
            </w:r>
          </w:p>
        </w:tc>
        <w:tc>
          <w:tcPr>
            <w:tcW w:w="383" w:type="pct"/>
            <w:noWrap/>
            <w:tcMar>
              <w:top w:w="0" w:type="dxa"/>
              <w:left w:w="0" w:type="dxa"/>
              <w:bottom w:w="0" w:type="dxa"/>
              <w:right w:w="0" w:type="dxa"/>
            </w:tcMar>
            <w:vAlign w:val="bottom"/>
            <w:hideMark/>
          </w:tcPr>
          <w:p w14:paraId="6330D348" w14:textId="77777777" w:rsidR="00000000" w:rsidRDefault="001F1B20">
            <w:pPr>
              <w:pStyle w:val="a3"/>
              <w:spacing w:before="0" w:beforeAutospacing="0" w:after="0" w:afterAutospacing="0"/>
              <w:divId w:val="1499543299"/>
              <w:rPr>
                <w:sz w:val="20"/>
                <w:szCs w:val="20"/>
              </w:rPr>
            </w:pPr>
            <w:r>
              <w:rPr>
                <w:sz w:val="2"/>
                <w:szCs w:val="2"/>
              </w:rPr>
              <w:t>​</w:t>
            </w:r>
          </w:p>
        </w:tc>
        <w:tc>
          <w:tcPr>
            <w:tcW w:w="97" w:type="pct"/>
            <w:noWrap/>
            <w:tcMar>
              <w:top w:w="0" w:type="dxa"/>
              <w:left w:w="0" w:type="dxa"/>
              <w:bottom w:w="0" w:type="dxa"/>
              <w:right w:w="0" w:type="dxa"/>
            </w:tcMar>
            <w:vAlign w:val="bottom"/>
            <w:hideMark/>
          </w:tcPr>
          <w:p w14:paraId="63266CB6" w14:textId="77777777" w:rsidR="00000000" w:rsidRDefault="001F1B20">
            <w:pPr>
              <w:pStyle w:val="a3"/>
              <w:spacing w:before="0" w:beforeAutospacing="0" w:after="0" w:afterAutospacing="0"/>
              <w:divId w:val="871848317"/>
              <w:rPr>
                <w:sz w:val="20"/>
                <w:szCs w:val="20"/>
              </w:rPr>
            </w:pPr>
            <w:r>
              <w:rPr>
                <w:sz w:val="2"/>
                <w:szCs w:val="2"/>
              </w:rPr>
              <w:t>​</w:t>
            </w:r>
          </w:p>
        </w:tc>
        <w:tc>
          <w:tcPr>
            <w:tcW w:w="384" w:type="pct"/>
            <w:noWrap/>
            <w:tcMar>
              <w:top w:w="0" w:type="dxa"/>
              <w:left w:w="0" w:type="dxa"/>
              <w:bottom w:w="0" w:type="dxa"/>
              <w:right w:w="0" w:type="dxa"/>
            </w:tcMar>
            <w:vAlign w:val="bottom"/>
            <w:hideMark/>
          </w:tcPr>
          <w:p w14:paraId="5425701C" w14:textId="77777777" w:rsidR="00000000" w:rsidRDefault="001F1B20">
            <w:pPr>
              <w:pStyle w:val="a3"/>
              <w:spacing w:before="0" w:beforeAutospacing="0" w:after="0" w:afterAutospacing="0"/>
              <w:divId w:val="643387481"/>
              <w:rPr>
                <w:sz w:val="20"/>
                <w:szCs w:val="20"/>
              </w:rPr>
            </w:pPr>
            <w:r>
              <w:rPr>
                <w:sz w:val="2"/>
                <w:szCs w:val="2"/>
              </w:rPr>
              <w:t>​</w:t>
            </w:r>
          </w:p>
        </w:tc>
        <w:tc>
          <w:tcPr>
            <w:tcW w:w="97" w:type="pct"/>
            <w:noWrap/>
            <w:tcMar>
              <w:top w:w="0" w:type="dxa"/>
              <w:left w:w="0" w:type="dxa"/>
              <w:bottom w:w="0" w:type="dxa"/>
              <w:right w:w="0" w:type="dxa"/>
            </w:tcMar>
            <w:vAlign w:val="bottom"/>
            <w:hideMark/>
          </w:tcPr>
          <w:p w14:paraId="3B4AD4E3" w14:textId="77777777" w:rsidR="00000000" w:rsidRDefault="001F1B20">
            <w:pPr>
              <w:pStyle w:val="a3"/>
              <w:spacing w:before="0" w:beforeAutospacing="0" w:after="0" w:afterAutospacing="0"/>
              <w:divId w:val="1083138678"/>
              <w:rPr>
                <w:sz w:val="20"/>
                <w:szCs w:val="20"/>
              </w:rPr>
            </w:pPr>
            <w:r>
              <w:rPr>
                <w:sz w:val="2"/>
                <w:szCs w:val="2"/>
              </w:rPr>
              <w:t>​</w:t>
            </w:r>
          </w:p>
        </w:tc>
        <w:tc>
          <w:tcPr>
            <w:tcW w:w="383" w:type="pct"/>
            <w:noWrap/>
            <w:tcMar>
              <w:top w:w="0" w:type="dxa"/>
              <w:left w:w="0" w:type="dxa"/>
              <w:bottom w:w="0" w:type="dxa"/>
              <w:right w:w="0" w:type="dxa"/>
            </w:tcMar>
            <w:vAlign w:val="bottom"/>
            <w:hideMark/>
          </w:tcPr>
          <w:p w14:paraId="40D5E5D3" w14:textId="77777777" w:rsidR="00000000" w:rsidRDefault="001F1B20">
            <w:pPr>
              <w:pStyle w:val="a3"/>
              <w:spacing w:before="0" w:beforeAutospacing="0" w:after="0" w:afterAutospacing="0"/>
              <w:divId w:val="1922787937"/>
              <w:rPr>
                <w:sz w:val="20"/>
                <w:szCs w:val="20"/>
              </w:rPr>
            </w:pPr>
            <w:r>
              <w:rPr>
                <w:sz w:val="2"/>
                <w:szCs w:val="2"/>
              </w:rPr>
              <w:t>​</w:t>
            </w:r>
          </w:p>
        </w:tc>
        <w:tc>
          <w:tcPr>
            <w:tcW w:w="97" w:type="pct"/>
            <w:noWrap/>
            <w:tcMar>
              <w:top w:w="0" w:type="dxa"/>
              <w:left w:w="0" w:type="dxa"/>
              <w:bottom w:w="0" w:type="dxa"/>
              <w:right w:w="0" w:type="dxa"/>
            </w:tcMar>
            <w:vAlign w:val="bottom"/>
            <w:hideMark/>
          </w:tcPr>
          <w:p w14:paraId="68DEB5ED" w14:textId="77777777" w:rsidR="00000000" w:rsidRDefault="001F1B20">
            <w:pPr>
              <w:pStyle w:val="a3"/>
              <w:spacing w:before="0" w:beforeAutospacing="0" w:after="0" w:afterAutospacing="0"/>
              <w:divId w:val="1008022895"/>
              <w:rPr>
                <w:sz w:val="20"/>
                <w:szCs w:val="20"/>
              </w:rPr>
            </w:pPr>
            <w:r>
              <w:rPr>
                <w:sz w:val="2"/>
                <w:szCs w:val="2"/>
              </w:rPr>
              <w:t>​</w:t>
            </w:r>
          </w:p>
        </w:tc>
        <w:tc>
          <w:tcPr>
            <w:tcW w:w="384" w:type="pct"/>
            <w:noWrap/>
            <w:tcMar>
              <w:top w:w="0" w:type="dxa"/>
              <w:left w:w="0" w:type="dxa"/>
              <w:bottom w:w="0" w:type="dxa"/>
              <w:right w:w="0" w:type="dxa"/>
            </w:tcMar>
            <w:vAlign w:val="bottom"/>
            <w:hideMark/>
          </w:tcPr>
          <w:p w14:paraId="42F642FA" w14:textId="77777777" w:rsidR="00000000" w:rsidRDefault="001F1B20">
            <w:pPr>
              <w:pStyle w:val="a3"/>
              <w:spacing w:before="0" w:beforeAutospacing="0" w:after="0" w:afterAutospacing="0"/>
              <w:divId w:val="1957642288"/>
              <w:rPr>
                <w:sz w:val="20"/>
                <w:szCs w:val="20"/>
              </w:rPr>
            </w:pPr>
            <w:r>
              <w:rPr>
                <w:sz w:val="2"/>
                <w:szCs w:val="2"/>
              </w:rPr>
              <w:t>​</w:t>
            </w:r>
          </w:p>
        </w:tc>
      </w:tr>
      <w:tr w:rsidR="00000000" w14:paraId="49625DD8" w14:textId="77777777">
        <w:trPr>
          <w:divId w:val="1226065540"/>
        </w:trPr>
        <w:tc>
          <w:tcPr>
            <w:tcW w:w="3073" w:type="pct"/>
            <w:tcMar>
              <w:top w:w="0" w:type="dxa"/>
              <w:left w:w="0" w:type="dxa"/>
              <w:bottom w:w="0" w:type="dxa"/>
              <w:right w:w="0" w:type="dxa"/>
            </w:tcMar>
            <w:vAlign w:val="bottom"/>
            <w:hideMark/>
          </w:tcPr>
          <w:p w14:paraId="1546FCB9" w14:textId="77777777" w:rsidR="00000000" w:rsidRDefault="001F1B20">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5F5A07F7" w14:textId="77777777" w:rsidR="00000000" w:rsidRDefault="001F1B20">
            <w:pPr>
              <w:pStyle w:val="a3"/>
              <w:spacing w:before="0" w:beforeAutospacing="0" w:after="0" w:afterAutospacing="0"/>
              <w:rPr>
                <w:sz w:val="20"/>
                <w:szCs w:val="20"/>
              </w:rPr>
            </w:pPr>
            <w:r>
              <w:rPr>
                <w:b/>
                <w:bCs/>
                <w:sz w:val="16"/>
                <w:szCs w:val="16"/>
              </w:rPr>
              <w:t>​</w:t>
            </w:r>
          </w:p>
        </w:tc>
        <w:tc>
          <w:tcPr>
            <w:tcW w:w="866" w:type="pct"/>
            <w:gridSpan w:val="3"/>
            <w:tcMar>
              <w:top w:w="0" w:type="dxa"/>
              <w:left w:w="0" w:type="dxa"/>
              <w:bottom w:w="0" w:type="dxa"/>
              <w:right w:w="0" w:type="dxa"/>
            </w:tcMar>
            <w:vAlign w:val="bottom"/>
            <w:hideMark/>
          </w:tcPr>
          <w:p w14:paraId="1BF088DE"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97" w:type="pct"/>
            <w:tcMar>
              <w:top w:w="0" w:type="dxa"/>
              <w:left w:w="0" w:type="dxa"/>
              <w:bottom w:w="0" w:type="dxa"/>
              <w:right w:w="0" w:type="dxa"/>
            </w:tcMar>
            <w:vAlign w:val="bottom"/>
            <w:hideMark/>
          </w:tcPr>
          <w:p w14:paraId="75BF62F8" w14:textId="77777777" w:rsidR="00000000" w:rsidRDefault="001F1B20">
            <w:pPr>
              <w:pStyle w:val="a3"/>
              <w:spacing w:before="0" w:beforeAutospacing="0" w:after="0" w:afterAutospacing="0"/>
              <w:rPr>
                <w:sz w:val="20"/>
                <w:szCs w:val="20"/>
              </w:rPr>
            </w:pPr>
            <w:r>
              <w:rPr>
                <w:b/>
                <w:bCs/>
                <w:sz w:val="16"/>
                <w:szCs w:val="16"/>
              </w:rPr>
              <w:t>​</w:t>
            </w:r>
          </w:p>
        </w:tc>
        <w:tc>
          <w:tcPr>
            <w:tcW w:w="866" w:type="pct"/>
            <w:gridSpan w:val="3"/>
            <w:tcMar>
              <w:top w:w="0" w:type="dxa"/>
              <w:left w:w="0" w:type="dxa"/>
              <w:bottom w:w="0" w:type="dxa"/>
              <w:right w:w="0" w:type="dxa"/>
            </w:tcMar>
            <w:vAlign w:val="bottom"/>
            <w:hideMark/>
          </w:tcPr>
          <w:p w14:paraId="4A44B862"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r>
      <w:tr w:rsidR="00000000" w14:paraId="5D6B54DE" w14:textId="77777777">
        <w:trPr>
          <w:divId w:val="1226065540"/>
        </w:trPr>
        <w:tc>
          <w:tcPr>
            <w:tcW w:w="3073" w:type="pct"/>
            <w:tcMar>
              <w:top w:w="0" w:type="dxa"/>
              <w:left w:w="0" w:type="dxa"/>
              <w:bottom w:w="0" w:type="dxa"/>
              <w:right w:w="0" w:type="dxa"/>
            </w:tcMar>
            <w:vAlign w:val="bottom"/>
            <w:hideMark/>
          </w:tcPr>
          <w:p w14:paraId="5DB703EE" w14:textId="77777777" w:rsidR="00000000" w:rsidRDefault="001F1B20">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511EA0D8" w14:textId="77777777" w:rsidR="00000000" w:rsidRDefault="001F1B20">
            <w:pPr>
              <w:pStyle w:val="a3"/>
              <w:spacing w:before="0" w:beforeAutospacing="0" w:after="0" w:afterAutospacing="0"/>
              <w:rPr>
                <w:sz w:val="20"/>
                <w:szCs w:val="20"/>
              </w:rPr>
            </w:pPr>
            <w:r>
              <w:rPr>
                <w:b/>
                <w:bCs/>
                <w:sz w:val="16"/>
                <w:szCs w:val="16"/>
              </w:rPr>
              <w:t>​</w:t>
            </w:r>
          </w:p>
        </w:tc>
        <w:tc>
          <w:tcPr>
            <w:tcW w:w="866" w:type="pct"/>
            <w:gridSpan w:val="3"/>
            <w:tcBorders>
              <w:bottom w:val="single" w:sz="6" w:space="0" w:color="000000"/>
            </w:tcBorders>
            <w:tcMar>
              <w:top w:w="0" w:type="dxa"/>
              <w:left w:w="0" w:type="dxa"/>
              <w:bottom w:w="0" w:type="dxa"/>
              <w:right w:w="0" w:type="dxa"/>
            </w:tcMar>
            <w:vAlign w:val="bottom"/>
            <w:hideMark/>
          </w:tcPr>
          <w:p w14:paraId="1F0D6114"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97" w:type="pct"/>
            <w:tcMar>
              <w:top w:w="0" w:type="dxa"/>
              <w:left w:w="0" w:type="dxa"/>
              <w:bottom w:w="0" w:type="dxa"/>
              <w:right w:w="0" w:type="dxa"/>
            </w:tcMar>
            <w:vAlign w:val="bottom"/>
            <w:hideMark/>
          </w:tcPr>
          <w:p w14:paraId="5F51F13D" w14:textId="77777777" w:rsidR="00000000" w:rsidRDefault="001F1B20">
            <w:pPr>
              <w:pStyle w:val="a3"/>
              <w:spacing w:before="0" w:beforeAutospacing="0" w:after="0" w:afterAutospacing="0"/>
              <w:rPr>
                <w:sz w:val="20"/>
                <w:szCs w:val="20"/>
              </w:rPr>
            </w:pPr>
            <w:r>
              <w:rPr>
                <w:b/>
                <w:bCs/>
                <w:sz w:val="16"/>
                <w:szCs w:val="16"/>
              </w:rPr>
              <w:t>​</w:t>
            </w:r>
          </w:p>
        </w:tc>
        <w:tc>
          <w:tcPr>
            <w:tcW w:w="866" w:type="pct"/>
            <w:gridSpan w:val="3"/>
            <w:tcBorders>
              <w:bottom w:val="single" w:sz="6" w:space="0" w:color="000000"/>
            </w:tcBorders>
            <w:tcMar>
              <w:top w:w="0" w:type="dxa"/>
              <w:left w:w="0" w:type="dxa"/>
              <w:bottom w:w="0" w:type="dxa"/>
              <w:right w:w="0" w:type="dxa"/>
            </w:tcMar>
            <w:vAlign w:val="bottom"/>
            <w:hideMark/>
          </w:tcPr>
          <w:p w14:paraId="65A09B1B" w14:textId="77777777" w:rsidR="00000000" w:rsidRDefault="001F1B20">
            <w:pPr>
              <w:pStyle w:val="a3"/>
              <w:spacing w:before="0" w:beforeAutospacing="0" w:after="0" w:afterAutospacing="0"/>
              <w:jc w:val="center"/>
              <w:rPr>
                <w:sz w:val="16"/>
                <w:szCs w:val="16"/>
              </w:rPr>
            </w:pPr>
            <w:r>
              <w:rPr>
                <w:b/>
                <w:bCs/>
                <w:sz w:val="16"/>
                <w:szCs w:val="16"/>
              </w:rPr>
              <w:t>September 30, </w:t>
            </w:r>
          </w:p>
        </w:tc>
      </w:tr>
      <w:tr w:rsidR="00000000" w14:paraId="0074A27E" w14:textId="77777777">
        <w:trPr>
          <w:divId w:val="1226065540"/>
        </w:trPr>
        <w:tc>
          <w:tcPr>
            <w:tcW w:w="3073" w:type="pct"/>
            <w:tcBorders>
              <w:bottom w:val="single" w:sz="6" w:space="0" w:color="000000"/>
            </w:tcBorders>
            <w:tcMar>
              <w:top w:w="0" w:type="dxa"/>
              <w:left w:w="0" w:type="dxa"/>
              <w:bottom w:w="0" w:type="dxa"/>
              <w:right w:w="0" w:type="dxa"/>
            </w:tcMar>
            <w:vAlign w:val="bottom"/>
            <w:hideMark/>
          </w:tcPr>
          <w:p w14:paraId="79A39E5D" w14:textId="77777777" w:rsidR="00000000" w:rsidRDefault="001F1B20">
            <w:pPr>
              <w:pStyle w:val="a3"/>
              <w:spacing w:before="0" w:beforeAutospacing="0" w:after="0" w:afterAutospacing="0"/>
              <w:rPr>
                <w:sz w:val="16"/>
                <w:szCs w:val="16"/>
              </w:rPr>
            </w:pPr>
            <w:r>
              <w:rPr>
                <w:b/>
                <w:bCs/>
                <w:sz w:val="16"/>
                <w:szCs w:val="16"/>
              </w:rPr>
              <w:t>(In thousands)</w:t>
            </w:r>
          </w:p>
        </w:tc>
        <w:tc>
          <w:tcPr>
            <w:tcW w:w="97" w:type="pct"/>
            <w:noWrap/>
            <w:tcMar>
              <w:top w:w="0" w:type="dxa"/>
              <w:left w:w="0" w:type="dxa"/>
              <w:bottom w:w="0" w:type="dxa"/>
              <w:right w:w="0" w:type="dxa"/>
            </w:tcMar>
            <w:vAlign w:val="bottom"/>
            <w:hideMark/>
          </w:tcPr>
          <w:p w14:paraId="14FF4E33" w14:textId="77777777" w:rsidR="00000000" w:rsidRDefault="001F1B20">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noWrap/>
            <w:tcMar>
              <w:top w:w="0" w:type="dxa"/>
              <w:left w:w="0" w:type="dxa"/>
              <w:bottom w:w="0" w:type="dxa"/>
              <w:right w:w="0" w:type="dxa"/>
            </w:tcMar>
            <w:vAlign w:val="bottom"/>
            <w:hideMark/>
          </w:tcPr>
          <w:p w14:paraId="2167AA1C" w14:textId="77777777" w:rsidR="00000000" w:rsidRDefault="001F1B20">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14:paraId="20F5B4C3" w14:textId="77777777" w:rsidR="00000000" w:rsidRDefault="001F1B20">
            <w:pPr>
              <w:pStyle w:val="a3"/>
              <w:spacing w:before="0" w:beforeAutospacing="0" w:after="0" w:afterAutospacing="0"/>
              <w:rPr>
                <w:sz w:val="16"/>
                <w:szCs w:val="16"/>
              </w:rPr>
            </w:pPr>
            <w:r>
              <w:rPr>
                <w:b/>
                <w:bCs/>
                <w:sz w:val="16"/>
                <w:szCs w:val="16"/>
              </w:rPr>
              <w:t>    </w:t>
            </w:r>
          </w:p>
        </w:tc>
        <w:tc>
          <w:tcPr>
            <w:tcW w:w="384" w:type="pct"/>
            <w:tcBorders>
              <w:bottom w:val="single" w:sz="6" w:space="0" w:color="000000"/>
            </w:tcBorders>
            <w:noWrap/>
            <w:tcMar>
              <w:top w:w="0" w:type="dxa"/>
              <w:left w:w="0" w:type="dxa"/>
              <w:bottom w:w="0" w:type="dxa"/>
              <w:right w:w="0" w:type="dxa"/>
            </w:tcMar>
            <w:vAlign w:val="bottom"/>
            <w:hideMark/>
          </w:tcPr>
          <w:p w14:paraId="0D246659" w14:textId="77777777" w:rsidR="00000000" w:rsidRDefault="001F1B20">
            <w:pPr>
              <w:pStyle w:val="a3"/>
              <w:spacing w:before="0" w:beforeAutospacing="0" w:after="0" w:afterAutospacing="0"/>
              <w:jc w:val="center"/>
              <w:rPr>
                <w:sz w:val="16"/>
                <w:szCs w:val="16"/>
              </w:rPr>
            </w:pPr>
            <w:r>
              <w:rPr>
                <w:b/>
                <w:bCs/>
                <w:sz w:val="16"/>
                <w:szCs w:val="16"/>
              </w:rPr>
              <w:t>2020</w:t>
            </w:r>
          </w:p>
        </w:tc>
        <w:tc>
          <w:tcPr>
            <w:tcW w:w="97" w:type="pct"/>
            <w:noWrap/>
            <w:tcMar>
              <w:top w:w="0" w:type="dxa"/>
              <w:left w:w="0" w:type="dxa"/>
              <w:bottom w:w="0" w:type="dxa"/>
              <w:right w:w="0" w:type="dxa"/>
            </w:tcMar>
            <w:vAlign w:val="bottom"/>
            <w:hideMark/>
          </w:tcPr>
          <w:p w14:paraId="48771F13" w14:textId="77777777" w:rsidR="00000000" w:rsidRDefault="001F1B20">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noWrap/>
            <w:tcMar>
              <w:top w:w="0" w:type="dxa"/>
              <w:left w:w="0" w:type="dxa"/>
              <w:bottom w:w="0" w:type="dxa"/>
              <w:right w:w="0" w:type="dxa"/>
            </w:tcMar>
            <w:vAlign w:val="bottom"/>
            <w:hideMark/>
          </w:tcPr>
          <w:p w14:paraId="1CF00554" w14:textId="77777777" w:rsidR="00000000" w:rsidRDefault="001F1B20">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14:paraId="3F0930CC" w14:textId="77777777" w:rsidR="00000000" w:rsidRDefault="001F1B20">
            <w:pPr>
              <w:pStyle w:val="a3"/>
              <w:spacing w:before="0" w:beforeAutospacing="0" w:after="0" w:afterAutospacing="0"/>
              <w:rPr>
                <w:sz w:val="16"/>
                <w:szCs w:val="16"/>
              </w:rPr>
            </w:pPr>
            <w:r>
              <w:rPr>
                <w:b/>
                <w:bCs/>
                <w:sz w:val="16"/>
                <w:szCs w:val="16"/>
              </w:rPr>
              <w:t>    </w:t>
            </w:r>
          </w:p>
        </w:tc>
        <w:tc>
          <w:tcPr>
            <w:tcW w:w="384" w:type="pct"/>
            <w:tcBorders>
              <w:bottom w:val="single" w:sz="6" w:space="0" w:color="000000"/>
            </w:tcBorders>
            <w:noWrap/>
            <w:tcMar>
              <w:top w:w="0" w:type="dxa"/>
              <w:left w:w="0" w:type="dxa"/>
              <w:bottom w:w="0" w:type="dxa"/>
              <w:right w:w="0" w:type="dxa"/>
            </w:tcMar>
            <w:vAlign w:val="bottom"/>
            <w:hideMark/>
          </w:tcPr>
          <w:p w14:paraId="5EA1CE4F" w14:textId="77777777" w:rsidR="00000000" w:rsidRDefault="001F1B20">
            <w:pPr>
              <w:pStyle w:val="a3"/>
              <w:spacing w:before="0" w:beforeAutospacing="0" w:after="0" w:afterAutospacing="0"/>
              <w:jc w:val="center"/>
              <w:rPr>
                <w:sz w:val="16"/>
                <w:szCs w:val="16"/>
              </w:rPr>
            </w:pPr>
            <w:r>
              <w:rPr>
                <w:b/>
                <w:bCs/>
                <w:sz w:val="16"/>
                <w:szCs w:val="16"/>
              </w:rPr>
              <w:t>2020</w:t>
            </w:r>
          </w:p>
        </w:tc>
      </w:tr>
      <w:tr w:rsidR="00000000" w14:paraId="39FC30E7" w14:textId="77777777">
        <w:trPr>
          <w:divId w:val="1226065540"/>
        </w:trPr>
        <w:tc>
          <w:tcPr>
            <w:tcW w:w="3073" w:type="pct"/>
            <w:shd w:val="clear" w:color="auto" w:fill="CCEEFF"/>
            <w:tcMar>
              <w:top w:w="0" w:type="dxa"/>
              <w:left w:w="0" w:type="dxa"/>
              <w:bottom w:w="0" w:type="dxa"/>
              <w:right w:w="0" w:type="dxa"/>
            </w:tcMar>
            <w:hideMark/>
          </w:tcPr>
          <w:p w14:paraId="158A5D92" w14:textId="77777777" w:rsidR="00000000" w:rsidRDefault="001F1B20">
            <w:pPr>
              <w:pStyle w:val="a3"/>
              <w:spacing w:before="0" w:beforeAutospacing="0" w:after="0" w:afterAutospacing="0"/>
              <w:rPr>
                <w:sz w:val="20"/>
                <w:szCs w:val="20"/>
              </w:rPr>
            </w:pPr>
            <w:r>
              <w:rPr>
                <w:sz w:val="20"/>
                <w:szCs w:val="20"/>
              </w:rPr>
              <w:t>Share issuances under equity incentive plans and ESPP </w:t>
            </w:r>
          </w:p>
        </w:tc>
        <w:tc>
          <w:tcPr>
            <w:tcW w:w="97" w:type="pct"/>
            <w:shd w:val="clear" w:color="auto" w:fill="CCEEFF"/>
            <w:noWrap/>
            <w:tcMar>
              <w:top w:w="0" w:type="dxa"/>
              <w:left w:w="0" w:type="dxa"/>
              <w:bottom w:w="0" w:type="dxa"/>
              <w:right w:w="0" w:type="dxa"/>
            </w:tcMar>
            <w:vAlign w:val="bottom"/>
            <w:hideMark/>
          </w:tcPr>
          <w:p w14:paraId="78345A71" w14:textId="77777777" w:rsidR="00000000" w:rsidRDefault="001F1B20">
            <w:pPr>
              <w:pStyle w:val="a3"/>
              <w:spacing w:before="0" w:beforeAutospacing="0" w:after="0" w:afterAutospacing="0"/>
              <w:rPr>
                <w:sz w:val="20"/>
                <w:szCs w:val="20"/>
              </w:rPr>
            </w:pPr>
            <w:r>
              <w:rPr>
                <w:b/>
                <w:bCs/>
                <w:sz w:val="20"/>
                <w:szCs w:val="20"/>
              </w:rPr>
              <w:t>​</w:t>
            </w:r>
          </w:p>
        </w:tc>
        <w:tc>
          <w:tcPr>
            <w:tcW w:w="383" w:type="pct"/>
            <w:shd w:val="clear" w:color="auto" w:fill="CCEEFF"/>
            <w:noWrap/>
            <w:tcMar>
              <w:top w:w="0" w:type="dxa"/>
              <w:left w:w="0" w:type="dxa"/>
              <w:bottom w:w="0" w:type="dxa"/>
              <w:right w:w="0" w:type="dxa"/>
            </w:tcMar>
            <w:vAlign w:val="bottom"/>
            <w:hideMark/>
          </w:tcPr>
          <w:p w14:paraId="0B7E936F" w14:textId="77777777" w:rsidR="00000000" w:rsidRDefault="001F1B20">
            <w:pPr>
              <w:pStyle w:val="a3"/>
              <w:spacing w:before="0" w:beforeAutospacing="0" w:after="0" w:afterAutospacing="0"/>
              <w:ind w:right="60"/>
              <w:jc w:val="right"/>
              <w:rPr>
                <w:sz w:val="20"/>
                <w:szCs w:val="20"/>
              </w:rPr>
            </w:pPr>
            <w:r>
              <w:rPr>
                <w:sz w:val="20"/>
                <w:szCs w:val="20"/>
              </w:rPr>
              <w:t>8,900</w:t>
            </w:r>
          </w:p>
        </w:tc>
        <w:tc>
          <w:tcPr>
            <w:tcW w:w="97" w:type="pct"/>
            <w:shd w:val="clear" w:color="auto" w:fill="CCEEFF"/>
            <w:noWrap/>
            <w:tcMar>
              <w:top w:w="0" w:type="dxa"/>
              <w:left w:w="0" w:type="dxa"/>
              <w:bottom w:w="0" w:type="dxa"/>
              <w:right w:w="0" w:type="dxa"/>
            </w:tcMar>
            <w:vAlign w:val="bottom"/>
            <w:hideMark/>
          </w:tcPr>
          <w:p w14:paraId="11EAB443" w14:textId="77777777" w:rsidR="00000000" w:rsidRDefault="001F1B20">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14:paraId="741224E3" w14:textId="77777777" w:rsidR="00000000" w:rsidRDefault="001F1B20">
            <w:pPr>
              <w:pStyle w:val="a3"/>
              <w:spacing w:before="0" w:beforeAutospacing="0" w:after="0" w:afterAutospacing="0"/>
              <w:ind w:right="60"/>
              <w:jc w:val="right"/>
              <w:rPr>
                <w:sz w:val="20"/>
                <w:szCs w:val="20"/>
              </w:rPr>
            </w:pPr>
            <w:r>
              <w:rPr>
                <w:sz w:val="20"/>
                <w:szCs w:val="20"/>
              </w:rPr>
              <w:t>8,063</w:t>
            </w:r>
          </w:p>
        </w:tc>
        <w:tc>
          <w:tcPr>
            <w:tcW w:w="97" w:type="pct"/>
            <w:shd w:val="clear" w:color="auto" w:fill="CCEEFF"/>
            <w:noWrap/>
            <w:tcMar>
              <w:top w:w="0" w:type="dxa"/>
              <w:left w:w="0" w:type="dxa"/>
              <w:bottom w:w="0" w:type="dxa"/>
              <w:right w:w="0" w:type="dxa"/>
            </w:tcMar>
            <w:vAlign w:val="bottom"/>
            <w:hideMark/>
          </w:tcPr>
          <w:p w14:paraId="771DFB4B" w14:textId="77777777" w:rsidR="00000000" w:rsidRDefault="001F1B20">
            <w:pPr>
              <w:pStyle w:val="a3"/>
              <w:spacing w:before="0" w:beforeAutospacing="0" w:after="0" w:afterAutospacing="0"/>
              <w:rPr>
                <w:sz w:val="20"/>
                <w:szCs w:val="20"/>
              </w:rPr>
            </w:pPr>
            <w:r>
              <w:rPr>
                <w:b/>
                <w:bCs/>
                <w:sz w:val="20"/>
                <w:szCs w:val="20"/>
              </w:rPr>
              <w:t>​</w:t>
            </w:r>
          </w:p>
        </w:tc>
        <w:tc>
          <w:tcPr>
            <w:tcW w:w="383" w:type="pct"/>
            <w:shd w:val="clear" w:color="auto" w:fill="CCEEFF"/>
            <w:noWrap/>
            <w:tcMar>
              <w:top w:w="0" w:type="dxa"/>
              <w:left w:w="0" w:type="dxa"/>
              <w:bottom w:w="0" w:type="dxa"/>
              <w:right w:w="0" w:type="dxa"/>
            </w:tcMar>
            <w:vAlign w:val="bottom"/>
            <w:hideMark/>
          </w:tcPr>
          <w:p w14:paraId="543E5C90" w14:textId="77777777" w:rsidR="00000000" w:rsidRDefault="001F1B20">
            <w:pPr>
              <w:pStyle w:val="a3"/>
              <w:spacing w:before="0" w:beforeAutospacing="0" w:after="0" w:afterAutospacing="0"/>
              <w:ind w:right="60"/>
              <w:jc w:val="right"/>
              <w:rPr>
                <w:sz w:val="20"/>
                <w:szCs w:val="20"/>
              </w:rPr>
            </w:pPr>
            <w:r>
              <w:rPr>
                <w:sz w:val="20"/>
                <w:szCs w:val="20"/>
              </w:rPr>
              <w:t>8,307</w:t>
            </w:r>
          </w:p>
        </w:tc>
        <w:tc>
          <w:tcPr>
            <w:tcW w:w="97" w:type="pct"/>
            <w:shd w:val="clear" w:color="auto" w:fill="CCEEFF"/>
            <w:noWrap/>
            <w:tcMar>
              <w:top w:w="0" w:type="dxa"/>
              <w:left w:w="0" w:type="dxa"/>
              <w:bottom w:w="0" w:type="dxa"/>
              <w:right w:w="0" w:type="dxa"/>
            </w:tcMar>
            <w:vAlign w:val="bottom"/>
            <w:hideMark/>
          </w:tcPr>
          <w:p w14:paraId="7771E4F0" w14:textId="77777777" w:rsidR="00000000" w:rsidRDefault="001F1B20">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14:paraId="6768C937" w14:textId="77777777" w:rsidR="00000000" w:rsidRDefault="001F1B20">
            <w:pPr>
              <w:pStyle w:val="a3"/>
              <w:spacing w:before="0" w:beforeAutospacing="0" w:after="0" w:afterAutospacing="0"/>
              <w:ind w:right="60"/>
              <w:jc w:val="right"/>
              <w:rPr>
                <w:sz w:val="20"/>
                <w:szCs w:val="20"/>
              </w:rPr>
            </w:pPr>
            <w:r>
              <w:rPr>
                <w:sz w:val="20"/>
                <w:szCs w:val="20"/>
              </w:rPr>
              <w:t>6,566</w:t>
            </w:r>
          </w:p>
        </w:tc>
      </w:tr>
      <w:tr w:rsidR="00000000" w14:paraId="013DE387" w14:textId="77777777">
        <w:trPr>
          <w:divId w:val="1226065540"/>
        </w:trPr>
        <w:tc>
          <w:tcPr>
            <w:tcW w:w="3073" w:type="pct"/>
            <w:noWrap/>
            <w:tcMar>
              <w:top w:w="0" w:type="dxa"/>
              <w:left w:w="0" w:type="dxa"/>
              <w:bottom w:w="0" w:type="dxa"/>
              <w:right w:w="0" w:type="dxa"/>
            </w:tcMar>
            <w:hideMark/>
          </w:tcPr>
          <w:p w14:paraId="1AECD34E" w14:textId="77777777" w:rsidR="00000000" w:rsidRDefault="001F1B20">
            <w:pPr>
              <w:pStyle w:val="a3"/>
              <w:spacing w:before="0" w:beforeAutospacing="0" w:after="0" w:afterAutospacing="0"/>
              <w:rPr>
                <w:sz w:val="20"/>
                <w:szCs w:val="20"/>
              </w:rPr>
            </w:pPr>
            <w:r>
              <w:rPr>
                <w:sz w:val="20"/>
                <w:szCs w:val="20"/>
              </w:rPr>
              <w:t xml:space="preserve">Share issuances upon the conversion of convertible senior notes </w:t>
            </w:r>
          </w:p>
        </w:tc>
        <w:tc>
          <w:tcPr>
            <w:tcW w:w="97" w:type="pct"/>
            <w:noWrap/>
            <w:tcMar>
              <w:top w:w="0" w:type="dxa"/>
              <w:left w:w="0" w:type="dxa"/>
              <w:bottom w:w="0" w:type="dxa"/>
              <w:right w:w="0" w:type="dxa"/>
            </w:tcMar>
            <w:vAlign w:val="bottom"/>
            <w:hideMark/>
          </w:tcPr>
          <w:p w14:paraId="0A731275" w14:textId="77777777" w:rsidR="00000000" w:rsidRDefault="001F1B20">
            <w:pPr>
              <w:pStyle w:val="a3"/>
              <w:spacing w:before="0" w:beforeAutospacing="0" w:after="0" w:afterAutospacing="0"/>
              <w:rPr>
                <w:sz w:val="20"/>
                <w:szCs w:val="20"/>
              </w:rPr>
            </w:pPr>
            <w:r>
              <w:rPr>
                <w:b/>
                <w:bCs/>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14:paraId="7B97D20A" w14:textId="77777777" w:rsidR="00000000" w:rsidRDefault="001F1B20">
            <w:pPr>
              <w:pStyle w:val="a3"/>
              <w:spacing w:before="0" w:beforeAutospacing="0" w:after="0" w:afterAutospacing="0"/>
              <w:ind w:right="60"/>
              <w:jc w:val="right"/>
              <w:rPr>
                <w:sz w:val="20"/>
                <w:szCs w:val="20"/>
              </w:rPr>
            </w:pPr>
            <w:r>
              <w:rPr>
                <w:sz w:val="20"/>
                <w:szCs w:val="20"/>
              </w:rPr>
              <w:t>6,676</w:t>
            </w:r>
          </w:p>
        </w:tc>
        <w:tc>
          <w:tcPr>
            <w:tcW w:w="97" w:type="pct"/>
            <w:noWrap/>
            <w:tcMar>
              <w:top w:w="0" w:type="dxa"/>
              <w:left w:w="0" w:type="dxa"/>
              <w:bottom w:w="0" w:type="dxa"/>
              <w:right w:w="0" w:type="dxa"/>
            </w:tcMar>
            <w:vAlign w:val="bottom"/>
            <w:hideMark/>
          </w:tcPr>
          <w:p w14:paraId="0A61CB0A" w14:textId="77777777" w:rsidR="00000000" w:rsidRDefault="001F1B20">
            <w:pPr>
              <w:pStyle w:val="a3"/>
              <w:spacing w:before="0" w:beforeAutospacing="0" w:after="0" w:afterAutospacing="0"/>
              <w:rPr>
                <w:sz w:val="20"/>
                <w:szCs w:val="20"/>
              </w:rPr>
            </w:pPr>
            <w:r>
              <w:rPr>
                <w:sz w:val="20"/>
                <w:szCs w:val="20"/>
              </w:rPr>
              <w:t>​</w:t>
            </w:r>
          </w:p>
        </w:tc>
        <w:tc>
          <w:tcPr>
            <w:tcW w:w="384" w:type="pct"/>
            <w:tcBorders>
              <w:bottom w:val="single" w:sz="6" w:space="0" w:color="000000"/>
            </w:tcBorders>
            <w:noWrap/>
            <w:tcMar>
              <w:top w:w="0" w:type="dxa"/>
              <w:left w:w="0" w:type="dxa"/>
              <w:bottom w:w="0" w:type="dxa"/>
              <w:right w:w="0" w:type="dxa"/>
            </w:tcMar>
            <w:vAlign w:val="bottom"/>
            <w:hideMark/>
          </w:tcPr>
          <w:p w14:paraId="64B6E66B" w14:textId="77777777" w:rsidR="00000000" w:rsidRDefault="001F1B20">
            <w:pPr>
              <w:pStyle w:val="a3"/>
              <w:spacing w:before="0" w:beforeAutospacing="0" w:after="0" w:afterAutospacing="0"/>
              <w:ind w:right="60"/>
              <w:jc w:val="right"/>
              <w:rPr>
                <w:sz w:val="20"/>
                <w:szCs w:val="20"/>
              </w:rPr>
            </w:pPr>
            <w:r>
              <w:rPr>
                <w:sz w:val="20"/>
                <w:szCs w:val="20"/>
              </w:rPr>
              <w:t>6,676</w:t>
            </w:r>
          </w:p>
        </w:tc>
        <w:tc>
          <w:tcPr>
            <w:tcW w:w="97" w:type="pct"/>
            <w:noWrap/>
            <w:tcMar>
              <w:top w:w="0" w:type="dxa"/>
              <w:left w:w="0" w:type="dxa"/>
              <w:bottom w:w="0" w:type="dxa"/>
              <w:right w:w="0" w:type="dxa"/>
            </w:tcMar>
            <w:vAlign w:val="bottom"/>
            <w:hideMark/>
          </w:tcPr>
          <w:p w14:paraId="57B28204" w14:textId="77777777" w:rsidR="00000000" w:rsidRDefault="001F1B20">
            <w:pPr>
              <w:pStyle w:val="a3"/>
              <w:spacing w:before="0" w:beforeAutospacing="0" w:after="0" w:afterAutospacing="0"/>
              <w:rPr>
                <w:sz w:val="20"/>
                <w:szCs w:val="20"/>
              </w:rPr>
            </w:pPr>
            <w:r>
              <w:rPr>
                <w:b/>
                <w:bCs/>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14:paraId="7632C9E9" w14:textId="77777777" w:rsidR="00000000" w:rsidRDefault="001F1B20">
            <w:pPr>
              <w:pStyle w:val="a3"/>
              <w:spacing w:before="0" w:beforeAutospacing="0" w:after="0" w:afterAutospacing="0"/>
              <w:ind w:right="60"/>
              <w:jc w:val="right"/>
              <w:rPr>
                <w:sz w:val="20"/>
                <w:szCs w:val="20"/>
              </w:rPr>
            </w:pPr>
            <w:r>
              <w:rPr>
                <w:sz w:val="20"/>
                <w:szCs w:val="20"/>
              </w:rPr>
              <w:t>6,676</w:t>
            </w:r>
          </w:p>
        </w:tc>
        <w:tc>
          <w:tcPr>
            <w:tcW w:w="97" w:type="pct"/>
            <w:noWrap/>
            <w:tcMar>
              <w:top w:w="0" w:type="dxa"/>
              <w:left w:w="0" w:type="dxa"/>
              <w:bottom w:w="0" w:type="dxa"/>
              <w:right w:w="0" w:type="dxa"/>
            </w:tcMar>
            <w:vAlign w:val="bottom"/>
            <w:hideMark/>
          </w:tcPr>
          <w:p w14:paraId="1578F685" w14:textId="77777777" w:rsidR="00000000" w:rsidRDefault="001F1B20">
            <w:pPr>
              <w:pStyle w:val="a3"/>
              <w:spacing w:before="0" w:beforeAutospacing="0" w:after="0" w:afterAutospacing="0"/>
              <w:rPr>
                <w:sz w:val="20"/>
                <w:szCs w:val="20"/>
              </w:rPr>
            </w:pPr>
            <w:r>
              <w:rPr>
                <w:sz w:val="20"/>
                <w:szCs w:val="20"/>
              </w:rPr>
              <w:t>​</w:t>
            </w:r>
          </w:p>
        </w:tc>
        <w:tc>
          <w:tcPr>
            <w:tcW w:w="384" w:type="pct"/>
            <w:tcBorders>
              <w:bottom w:val="single" w:sz="6" w:space="0" w:color="000000"/>
            </w:tcBorders>
            <w:noWrap/>
            <w:tcMar>
              <w:top w:w="0" w:type="dxa"/>
              <w:left w:w="0" w:type="dxa"/>
              <w:bottom w:w="0" w:type="dxa"/>
              <w:right w:w="0" w:type="dxa"/>
            </w:tcMar>
            <w:vAlign w:val="bottom"/>
            <w:hideMark/>
          </w:tcPr>
          <w:p w14:paraId="5C95FDFE" w14:textId="77777777" w:rsidR="00000000" w:rsidRDefault="001F1B20">
            <w:pPr>
              <w:pStyle w:val="a3"/>
              <w:spacing w:before="0" w:beforeAutospacing="0" w:after="0" w:afterAutospacing="0"/>
              <w:ind w:right="60"/>
              <w:jc w:val="right"/>
              <w:rPr>
                <w:sz w:val="20"/>
                <w:szCs w:val="20"/>
              </w:rPr>
            </w:pPr>
            <w:r>
              <w:rPr>
                <w:sz w:val="20"/>
                <w:szCs w:val="20"/>
              </w:rPr>
              <w:t>6,676</w:t>
            </w:r>
          </w:p>
        </w:tc>
      </w:tr>
      <w:tr w:rsidR="00000000" w14:paraId="07E6E651" w14:textId="77777777">
        <w:trPr>
          <w:divId w:val="1226065540"/>
        </w:trPr>
        <w:tc>
          <w:tcPr>
            <w:tcW w:w="3073" w:type="pct"/>
            <w:shd w:val="clear" w:color="auto" w:fill="CCEEFF"/>
            <w:tcMar>
              <w:top w:w="0" w:type="dxa"/>
              <w:left w:w="0" w:type="dxa"/>
              <w:bottom w:w="0" w:type="dxa"/>
              <w:right w:w="0" w:type="dxa"/>
            </w:tcMar>
            <w:hideMark/>
          </w:tcPr>
          <w:p w14:paraId="3E4E54E3" w14:textId="77777777" w:rsidR="00000000" w:rsidRDefault="001F1B20">
            <w:pPr>
              <w:pStyle w:val="a3"/>
              <w:spacing w:before="0" w:beforeAutospacing="0" w:after="0" w:afterAutospacing="0"/>
              <w:ind w:left="120"/>
              <w:rPr>
                <w:sz w:val="20"/>
                <w:szCs w:val="20"/>
              </w:rPr>
            </w:pPr>
            <w:r>
              <w:rPr>
                <w:sz w:val="20"/>
                <w:szCs w:val="20"/>
              </w:rPr>
              <w:t>Total</w:t>
            </w:r>
          </w:p>
        </w:tc>
        <w:tc>
          <w:tcPr>
            <w:tcW w:w="97" w:type="pct"/>
            <w:shd w:val="clear" w:color="auto" w:fill="CCEEFF"/>
            <w:noWrap/>
            <w:tcMar>
              <w:top w:w="0" w:type="dxa"/>
              <w:left w:w="0" w:type="dxa"/>
              <w:bottom w:w="0" w:type="dxa"/>
              <w:right w:w="0" w:type="dxa"/>
            </w:tcMar>
            <w:vAlign w:val="bottom"/>
            <w:hideMark/>
          </w:tcPr>
          <w:p w14:paraId="5E1B4DB3" w14:textId="77777777" w:rsidR="00000000" w:rsidRDefault="001F1B20">
            <w:pPr>
              <w:pStyle w:val="a3"/>
              <w:spacing w:before="0" w:beforeAutospacing="0" w:after="0" w:afterAutospacing="0"/>
              <w:rPr>
                <w:sz w:val="20"/>
                <w:szCs w:val="20"/>
              </w:rPr>
            </w:pPr>
            <w:r>
              <w:rPr>
                <w:sz w:val="20"/>
                <w:szCs w:val="20"/>
              </w:rPr>
              <w:t> </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14:paraId="5880AB09" w14:textId="77777777" w:rsidR="00000000" w:rsidRDefault="001F1B20">
            <w:pPr>
              <w:pStyle w:val="a3"/>
              <w:spacing w:before="0" w:beforeAutospacing="0" w:after="0" w:afterAutospacing="0"/>
              <w:ind w:right="60"/>
              <w:jc w:val="right"/>
              <w:rPr>
                <w:sz w:val="20"/>
                <w:szCs w:val="20"/>
              </w:rPr>
            </w:pPr>
            <w:r>
              <w:rPr>
                <w:sz w:val="20"/>
                <w:szCs w:val="20"/>
              </w:rPr>
              <w:t>15,576</w:t>
            </w:r>
          </w:p>
        </w:tc>
        <w:tc>
          <w:tcPr>
            <w:tcW w:w="97" w:type="pct"/>
            <w:shd w:val="clear" w:color="auto" w:fill="CCEEFF"/>
            <w:noWrap/>
            <w:tcMar>
              <w:top w:w="0" w:type="dxa"/>
              <w:left w:w="0" w:type="dxa"/>
              <w:bottom w:w="0" w:type="dxa"/>
              <w:right w:w="0" w:type="dxa"/>
            </w:tcMar>
            <w:vAlign w:val="bottom"/>
            <w:hideMark/>
          </w:tcPr>
          <w:p w14:paraId="5B2E5E65" w14:textId="77777777" w:rsidR="00000000" w:rsidRDefault="001F1B20">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14:paraId="1CE838A3" w14:textId="77777777" w:rsidR="00000000" w:rsidRDefault="001F1B20">
            <w:pPr>
              <w:pStyle w:val="a3"/>
              <w:spacing w:before="0" w:beforeAutospacing="0" w:after="0" w:afterAutospacing="0"/>
              <w:ind w:right="60"/>
              <w:jc w:val="right"/>
              <w:rPr>
                <w:sz w:val="20"/>
                <w:szCs w:val="20"/>
              </w:rPr>
            </w:pPr>
            <w:r>
              <w:rPr>
                <w:sz w:val="20"/>
                <w:szCs w:val="20"/>
              </w:rPr>
              <w:t>14,739</w:t>
            </w:r>
          </w:p>
        </w:tc>
        <w:tc>
          <w:tcPr>
            <w:tcW w:w="97" w:type="pct"/>
            <w:shd w:val="clear" w:color="auto" w:fill="CCEEFF"/>
            <w:noWrap/>
            <w:tcMar>
              <w:top w:w="0" w:type="dxa"/>
              <w:left w:w="0" w:type="dxa"/>
              <w:bottom w:w="0" w:type="dxa"/>
              <w:right w:w="0" w:type="dxa"/>
            </w:tcMar>
            <w:vAlign w:val="bottom"/>
            <w:hideMark/>
          </w:tcPr>
          <w:p w14:paraId="13D186EE" w14:textId="77777777" w:rsidR="00000000" w:rsidRDefault="001F1B20">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14:paraId="68321766" w14:textId="77777777" w:rsidR="00000000" w:rsidRDefault="001F1B20">
            <w:pPr>
              <w:pStyle w:val="a3"/>
              <w:spacing w:before="0" w:beforeAutospacing="0" w:after="0" w:afterAutospacing="0"/>
              <w:ind w:right="60"/>
              <w:jc w:val="right"/>
              <w:rPr>
                <w:sz w:val="20"/>
                <w:szCs w:val="20"/>
              </w:rPr>
            </w:pPr>
            <w:r>
              <w:rPr>
                <w:sz w:val="20"/>
                <w:szCs w:val="20"/>
              </w:rPr>
              <w:t>14,983</w:t>
            </w:r>
          </w:p>
        </w:tc>
        <w:tc>
          <w:tcPr>
            <w:tcW w:w="97" w:type="pct"/>
            <w:shd w:val="clear" w:color="auto" w:fill="CCEEFF"/>
            <w:noWrap/>
            <w:tcMar>
              <w:top w:w="0" w:type="dxa"/>
              <w:left w:w="0" w:type="dxa"/>
              <w:bottom w:w="0" w:type="dxa"/>
              <w:right w:w="0" w:type="dxa"/>
            </w:tcMar>
            <w:vAlign w:val="bottom"/>
            <w:hideMark/>
          </w:tcPr>
          <w:p w14:paraId="64B89412" w14:textId="77777777" w:rsidR="00000000" w:rsidRDefault="001F1B20">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14:paraId="18156596" w14:textId="77777777" w:rsidR="00000000" w:rsidRDefault="001F1B20">
            <w:pPr>
              <w:pStyle w:val="a3"/>
              <w:spacing w:before="0" w:beforeAutospacing="0" w:after="0" w:afterAutospacing="0"/>
              <w:ind w:right="60"/>
              <w:jc w:val="right"/>
              <w:rPr>
                <w:sz w:val="20"/>
                <w:szCs w:val="20"/>
              </w:rPr>
            </w:pPr>
            <w:r>
              <w:rPr>
                <w:sz w:val="20"/>
                <w:szCs w:val="20"/>
              </w:rPr>
              <w:t>13,242</w:t>
            </w:r>
          </w:p>
        </w:tc>
      </w:tr>
    </w:tbl>
    <w:p w14:paraId="401E5518" w14:textId="77777777" w:rsidR="00000000" w:rsidRDefault="001F1B20">
      <w:pPr>
        <w:pStyle w:val="a3"/>
        <w:spacing w:before="0" w:beforeAutospacing="0" w:after="0" w:afterAutospacing="0"/>
        <w:divId w:val="1226065540"/>
        <w:rPr>
          <w:sz w:val="20"/>
          <w:szCs w:val="20"/>
        </w:rPr>
      </w:pPr>
      <w:r>
        <w:rPr>
          <w:sz w:val="2"/>
          <w:szCs w:val="2"/>
        </w:rPr>
        <w:t>​</w:t>
      </w:r>
    </w:p>
    <w:p w14:paraId="66B33EE0" w14:textId="77777777" w:rsidR="00000000" w:rsidRDefault="001F1B20">
      <w:pPr>
        <w:pStyle w:val="a3"/>
        <w:spacing w:before="0" w:beforeAutospacing="0" w:after="0" w:afterAutospacing="0"/>
        <w:divId w:val="1226065540"/>
        <w:rPr>
          <w:sz w:val="20"/>
          <w:szCs w:val="20"/>
        </w:rPr>
      </w:pPr>
      <w:r>
        <w:rPr>
          <w:sz w:val="20"/>
          <w:szCs w:val="20"/>
        </w:rPr>
        <w:t>​</w:t>
      </w:r>
    </w:p>
    <w:p w14:paraId="05800A52" w14:textId="77777777" w:rsidR="00000000" w:rsidRDefault="001F1B20">
      <w:pPr>
        <w:pStyle w:val="a3"/>
        <w:spacing w:before="360" w:beforeAutospacing="0" w:after="0" w:afterAutospacing="0"/>
        <w:jc w:val="center"/>
        <w:divId w:val="1317150855"/>
        <w:rPr>
          <w:sz w:val="20"/>
          <w:szCs w:val="20"/>
        </w:rPr>
      </w:pPr>
      <w:r>
        <w:rPr>
          <w:sz w:val="20"/>
          <w:szCs w:val="20"/>
        </w:rPr>
        <w:t>8</w:t>
      </w:r>
    </w:p>
    <w:p w14:paraId="1C189155" w14:textId="77777777" w:rsidR="00000000" w:rsidRDefault="001F1B20">
      <w:pPr>
        <w:pStyle w:val="a3"/>
        <w:spacing w:before="0" w:beforeAutospacing="0" w:after="600" w:afterAutospacing="0"/>
        <w:divId w:val="105276383"/>
        <w:rPr>
          <w:sz w:val="20"/>
          <w:szCs w:val="20"/>
        </w:rPr>
      </w:pPr>
      <w:hyperlink w:anchor="TOC" w:history="1">
        <w:r>
          <w:rPr>
            <w:rStyle w:val="a4"/>
            <w:sz w:val="20"/>
            <w:szCs w:val="20"/>
          </w:rPr>
          <w:t>Table of Contents</w:t>
        </w:r>
      </w:hyperlink>
    </w:p>
    <w:p w14:paraId="758C1D6D" w14:textId="77777777" w:rsidR="00000000" w:rsidRDefault="001F1B20">
      <w:pPr>
        <w:pStyle w:val="a3"/>
        <w:spacing w:before="0" w:beforeAutospacing="0" w:after="0" w:afterAutospacing="0"/>
        <w:divId w:val="627393660"/>
        <w:rPr>
          <w:sz w:val="20"/>
          <w:szCs w:val="20"/>
        </w:rPr>
      </w:pPr>
      <w:r>
        <w:rPr>
          <w:b/>
          <w:bCs/>
          <w:sz w:val="20"/>
          <w:szCs w:val="20"/>
        </w:rPr>
        <w:t>3. Revenue</w:t>
      </w:r>
    </w:p>
    <w:p w14:paraId="1B51DD9B" w14:textId="77777777" w:rsidR="00000000" w:rsidRDefault="001F1B20">
      <w:pPr>
        <w:pStyle w:val="a3"/>
        <w:spacing w:before="0" w:beforeAutospacing="0" w:after="0" w:afterAutospacing="0"/>
        <w:divId w:val="627393660"/>
        <w:rPr>
          <w:sz w:val="20"/>
          <w:szCs w:val="20"/>
        </w:rPr>
      </w:pPr>
      <w:r>
        <w:rPr>
          <w:b/>
          <w:bCs/>
          <w:sz w:val="10"/>
          <w:szCs w:val="10"/>
        </w:rPr>
        <w:t>​</w:t>
      </w:r>
    </w:p>
    <w:p w14:paraId="2EAF324A" w14:textId="77777777" w:rsidR="00000000" w:rsidRDefault="001F1B20">
      <w:pPr>
        <w:pStyle w:val="a3"/>
        <w:spacing w:before="0" w:beforeAutospacing="0" w:after="0" w:afterAutospacing="0"/>
        <w:divId w:val="627393660"/>
        <w:rPr>
          <w:sz w:val="20"/>
          <w:szCs w:val="20"/>
        </w:rPr>
      </w:pPr>
      <w:r>
        <w:rPr>
          <w:b/>
          <w:bCs/>
          <w:i/>
          <w:iCs/>
          <w:sz w:val="20"/>
          <w:szCs w:val="20"/>
        </w:rPr>
        <w:t>Revenue from Collaborative Arrangements</w:t>
      </w:r>
    </w:p>
    <w:p w14:paraId="12291674" w14:textId="77777777" w:rsidR="00000000" w:rsidRDefault="001F1B20">
      <w:pPr>
        <w:pStyle w:val="a3"/>
        <w:spacing w:before="0" w:beforeAutospacing="0" w:after="0" w:afterAutospacing="0"/>
        <w:divId w:val="627393660"/>
        <w:rPr>
          <w:sz w:val="20"/>
          <w:szCs w:val="20"/>
        </w:rPr>
      </w:pPr>
      <w:r>
        <w:rPr>
          <w:i/>
          <w:iCs/>
          <w:sz w:val="10"/>
          <w:szCs w:val="10"/>
        </w:rPr>
        <w:t>​</w:t>
      </w:r>
    </w:p>
    <w:p w14:paraId="4D4F2440" w14:textId="77777777" w:rsidR="00000000" w:rsidRDefault="001F1B20">
      <w:pPr>
        <w:pStyle w:val="a3"/>
        <w:spacing w:before="0" w:beforeAutospacing="0" w:after="0" w:afterAutospacing="0"/>
        <w:ind w:firstLine="720"/>
        <w:divId w:val="627393660"/>
        <w:rPr>
          <w:sz w:val="20"/>
          <w:szCs w:val="20"/>
        </w:rPr>
      </w:pPr>
      <w:r>
        <w:rPr>
          <w:sz w:val="20"/>
          <w:szCs w:val="20"/>
        </w:rPr>
        <w:t>The Company recognized revenues from its collaborative arrangements as follows:</w:t>
      </w:r>
    </w:p>
    <w:p w14:paraId="702E895B" w14:textId="77777777" w:rsidR="00000000" w:rsidRDefault="001F1B20">
      <w:pPr>
        <w:pStyle w:val="a3"/>
        <w:spacing w:before="0" w:beforeAutospacing="0" w:after="0" w:afterAutospacing="0"/>
        <w:ind w:firstLine="720"/>
        <w:divId w:val="627393660"/>
        <w:rPr>
          <w:sz w:val="20"/>
          <w:szCs w:val="20"/>
        </w:rPr>
      </w:pPr>
      <w:r>
        <w:rPr>
          <w:sz w:val="20"/>
          <w:szCs w:val="20"/>
        </w:rPr>
        <w:t>​</w:t>
      </w:r>
    </w:p>
    <w:tbl>
      <w:tblPr>
        <w:tblW w:w="4996" w:type="pct"/>
        <w:tblCellMar>
          <w:top w:w="15" w:type="dxa"/>
          <w:left w:w="0" w:type="dxa"/>
          <w:bottom w:w="15" w:type="dxa"/>
          <w:right w:w="0" w:type="dxa"/>
        </w:tblCellMar>
        <w:tblLook w:val="04A0" w:firstRow="1" w:lastRow="0" w:firstColumn="1" w:lastColumn="0" w:noHBand="0" w:noVBand="1"/>
      </w:tblPr>
      <w:tblGrid>
        <w:gridCol w:w="4729"/>
        <w:gridCol w:w="160"/>
        <w:gridCol w:w="143"/>
        <w:gridCol w:w="587"/>
        <w:gridCol w:w="160"/>
        <w:gridCol w:w="142"/>
        <w:gridCol w:w="591"/>
        <w:gridCol w:w="143"/>
        <w:gridCol w:w="143"/>
        <w:gridCol w:w="588"/>
        <w:gridCol w:w="160"/>
        <w:gridCol w:w="143"/>
        <w:gridCol w:w="610"/>
      </w:tblGrid>
      <w:tr w:rsidR="00000000" w14:paraId="7E190401" w14:textId="77777777">
        <w:trPr>
          <w:divId w:val="627393660"/>
          <w:trHeight w:val="20"/>
        </w:trPr>
        <w:tc>
          <w:tcPr>
            <w:tcW w:w="2852" w:type="pct"/>
            <w:tcMar>
              <w:top w:w="0" w:type="dxa"/>
              <w:left w:w="0" w:type="dxa"/>
              <w:bottom w:w="0" w:type="dxa"/>
              <w:right w:w="0" w:type="dxa"/>
            </w:tcMar>
            <w:hideMark/>
          </w:tcPr>
          <w:p w14:paraId="44586DA8" w14:textId="77777777" w:rsidR="00000000" w:rsidRDefault="001F1B20">
            <w:pPr>
              <w:pStyle w:val="a3"/>
              <w:spacing w:before="0" w:beforeAutospacing="0" w:after="0" w:afterAutospacing="0"/>
              <w:divId w:val="66849337"/>
              <w:rPr>
                <w:sz w:val="20"/>
                <w:szCs w:val="20"/>
              </w:rPr>
            </w:pPr>
            <w:r>
              <w:rPr>
                <w:sz w:val="2"/>
                <w:szCs w:val="2"/>
              </w:rPr>
              <w:t>​</w:t>
            </w:r>
          </w:p>
        </w:tc>
        <w:tc>
          <w:tcPr>
            <w:tcW w:w="90" w:type="pct"/>
            <w:noWrap/>
            <w:tcMar>
              <w:top w:w="0" w:type="dxa"/>
              <w:left w:w="0" w:type="dxa"/>
              <w:bottom w:w="0" w:type="dxa"/>
              <w:right w:w="0" w:type="dxa"/>
            </w:tcMar>
            <w:vAlign w:val="bottom"/>
            <w:hideMark/>
          </w:tcPr>
          <w:p w14:paraId="0F739AC7" w14:textId="77777777" w:rsidR="00000000" w:rsidRDefault="001F1B20">
            <w:pPr>
              <w:pStyle w:val="a3"/>
              <w:spacing w:before="0" w:beforeAutospacing="0" w:after="0" w:afterAutospacing="0"/>
              <w:divId w:val="1544097991"/>
              <w:rPr>
                <w:sz w:val="20"/>
                <w:szCs w:val="20"/>
              </w:rPr>
            </w:pPr>
            <w:r>
              <w:rPr>
                <w:sz w:val="2"/>
                <w:szCs w:val="2"/>
              </w:rPr>
              <w:t>​</w:t>
            </w:r>
          </w:p>
        </w:tc>
        <w:tc>
          <w:tcPr>
            <w:tcW w:w="90" w:type="pct"/>
            <w:noWrap/>
            <w:tcMar>
              <w:top w:w="0" w:type="dxa"/>
              <w:left w:w="0" w:type="dxa"/>
              <w:bottom w:w="0" w:type="dxa"/>
              <w:right w:w="0" w:type="dxa"/>
            </w:tcMar>
            <w:vAlign w:val="bottom"/>
            <w:hideMark/>
          </w:tcPr>
          <w:p w14:paraId="6105887A" w14:textId="77777777" w:rsidR="00000000" w:rsidRDefault="001F1B20">
            <w:pPr>
              <w:pStyle w:val="a3"/>
              <w:spacing w:before="0" w:beforeAutospacing="0" w:after="0" w:afterAutospacing="0"/>
              <w:divId w:val="528104185"/>
              <w:rPr>
                <w:sz w:val="20"/>
                <w:szCs w:val="20"/>
              </w:rPr>
            </w:pPr>
            <w:r>
              <w:rPr>
                <w:sz w:val="2"/>
                <w:szCs w:val="2"/>
              </w:rPr>
              <w:t>​</w:t>
            </w:r>
          </w:p>
        </w:tc>
        <w:tc>
          <w:tcPr>
            <w:tcW w:w="357" w:type="pct"/>
            <w:noWrap/>
            <w:tcMar>
              <w:top w:w="0" w:type="dxa"/>
              <w:left w:w="0" w:type="dxa"/>
              <w:bottom w:w="0" w:type="dxa"/>
              <w:right w:w="0" w:type="dxa"/>
            </w:tcMar>
            <w:vAlign w:val="bottom"/>
            <w:hideMark/>
          </w:tcPr>
          <w:p w14:paraId="2C519566" w14:textId="77777777" w:rsidR="00000000" w:rsidRDefault="001F1B20">
            <w:pPr>
              <w:pStyle w:val="a3"/>
              <w:spacing w:before="0" w:beforeAutospacing="0" w:after="0" w:afterAutospacing="0"/>
              <w:divId w:val="644818612"/>
              <w:rPr>
                <w:sz w:val="20"/>
                <w:szCs w:val="20"/>
              </w:rPr>
            </w:pPr>
            <w:r>
              <w:rPr>
                <w:sz w:val="2"/>
                <w:szCs w:val="2"/>
              </w:rPr>
              <w:t>​</w:t>
            </w:r>
          </w:p>
        </w:tc>
        <w:tc>
          <w:tcPr>
            <w:tcW w:w="89" w:type="pct"/>
            <w:noWrap/>
            <w:tcMar>
              <w:top w:w="0" w:type="dxa"/>
              <w:left w:w="0" w:type="dxa"/>
              <w:bottom w:w="0" w:type="dxa"/>
              <w:right w:w="0" w:type="dxa"/>
            </w:tcMar>
            <w:vAlign w:val="bottom"/>
            <w:hideMark/>
          </w:tcPr>
          <w:p w14:paraId="50DD452B" w14:textId="77777777" w:rsidR="00000000" w:rsidRDefault="001F1B20">
            <w:pPr>
              <w:pStyle w:val="a3"/>
              <w:spacing w:before="0" w:beforeAutospacing="0" w:after="0" w:afterAutospacing="0"/>
              <w:divId w:val="415515695"/>
              <w:rPr>
                <w:sz w:val="20"/>
                <w:szCs w:val="20"/>
              </w:rPr>
            </w:pPr>
            <w:r>
              <w:rPr>
                <w:sz w:val="2"/>
                <w:szCs w:val="2"/>
              </w:rPr>
              <w:t>​</w:t>
            </w:r>
          </w:p>
        </w:tc>
        <w:tc>
          <w:tcPr>
            <w:tcW w:w="89" w:type="pct"/>
            <w:noWrap/>
            <w:tcMar>
              <w:top w:w="0" w:type="dxa"/>
              <w:left w:w="0" w:type="dxa"/>
              <w:bottom w:w="0" w:type="dxa"/>
              <w:right w:w="0" w:type="dxa"/>
            </w:tcMar>
            <w:vAlign w:val="bottom"/>
            <w:hideMark/>
          </w:tcPr>
          <w:p w14:paraId="53B357AA" w14:textId="77777777" w:rsidR="00000000" w:rsidRDefault="001F1B20">
            <w:pPr>
              <w:pStyle w:val="a3"/>
              <w:spacing w:before="0" w:beforeAutospacing="0" w:after="0" w:afterAutospacing="0"/>
              <w:divId w:val="1297222948"/>
              <w:rPr>
                <w:sz w:val="20"/>
                <w:szCs w:val="20"/>
              </w:rPr>
            </w:pPr>
            <w:r>
              <w:rPr>
                <w:sz w:val="2"/>
                <w:szCs w:val="2"/>
              </w:rPr>
              <w:t>​</w:t>
            </w:r>
          </w:p>
        </w:tc>
        <w:tc>
          <w:tcPr>
            <w:tcW w:w="356" w:type="pct"/>
            <w:noWrap/>
            <w:tcMar>
              <w:top w:w="0" w:type="dxa"/>
              <w:left w:w="0" w:type="dxa"/>
              <w:bottom w:w="0" w:type="dxa"/>
              <w:right w:w="0" w:type="dxa"/>
            </w:tcMar>
            <w:vAlign w:val="bottom"/>
            <w:hideMark/>
          </w:tcPr>
          <w:p w14:paraId="2236F4D1" w14:textId="77777777" w:rsidR="00000000" w:rsidRDefault="001F1B20">
            <w:pPr>
              <w:pStyle w:val="a3"/>
              <w:spacing w:before="0" w:beforeAutospacing="0" w:after="0" w:afterAutospacing="0"/>
              <w:divId w:val="399062884"/>
              <w:rPr>
                <w:sz w:val="20"/>
                <w:szCs w:val="20"/>
              </w:rPr>
            </w:pPr>
            <w:r>
              <w:rPr>
                <w:sz w:val="2"/>
                <w:szCs w:val="2"/>
              </w:rPr>
              <w:t>​</w:t>
            </w:r>
          </w:p>
        </w:tc>
        <w:tc>
          <w:tcPr>
            <w:tcW w:w="89" w:type="pct"/>
            <w:noWrap/>
            <w:tcMar>
              <w:top w:w="0" w:type="dxa"/>
              <w:left w:w="0" w:type="dxa"/>
              <w:bottom w:w="0" w:type="dxa"/>
              <w:right w:w="0" w:type="dxa"/>
            </w:tcMar>
            <w:vAlign w:val="bottom"/>
            <w:hideMark/>
          </w:tcPr>
          <w:p w14:paraId="315ACA85" w14:textId="77777777" w:rsidR="00000000" w:rsidRDefault="001F1B20">
            <w:pPr>
              <w:pStyle w:val="a3"/>
              <w:spacing w:before="0" w:beforeAutospacing="0" w:after="0" w:afterAutospacing="0"/>
              <w:divId w:val="1502619371"/>
              <w:rPr>
                <w:sz w:val="20"/>
                <w:szCs w:val="20"/>
              </w:rPr>
            </w:pPr>
            <w:r>
              <w:rPr>
                <w:sz w:val="2"/>
                <w:szCs w:val="2"/>
              </w:rPr>
              <w:t>​</w:t>
            </w:r>
          </w:p>
        </w:tc>
        <w:tc>
          <w:tcPr>
            <w:tcW w:w="89" w:type="pct"/>
            <w:noWrap/>
            <w:tcMar>
              <w:top w:w="0" w:type="dxa"/>
              <w:left w:w="0" w:type="dxa"/>
              <w:bottom w:w="0" w:type="dxa"/>
              <w:right w:w="0" w:type="dxa"/>
            </w:tcMar>
            <w:vAlign w:val="bottom"/>
            <w:hideMark/>
          </w:tcPr>
          <w:p w14:paraId="03182CEF" w14:textId="77777777" w:rsidR="00000000" w:rsidRDefault="001F1B20">
            <w:pPr>
              <w:pStyle w:val="a3"/>
              <w:spacing w:before="0" w:beforeAutospacing="0" w:after="0" w:afterAutospacing="0"/>
              <w:divId w:val="1353192355"/>
              <w:rPr>
                <w:sz w:val="20"/>
                <w:szCs w:val="20"/>
              </w:rPr>
            </w:pPr>
            <w:r>
              <w:rPr>
                <w:sz w:val="2"/>
                <w:szCs w:val="2"/>
              </w:rPr>
              <w:t>​</w:t>
            </w:r>
          </w:p>
        </w:tc>
        <w:tc>
          <w:tcPr>
            <w:tcW w:w="356" w:type="pct"/>
            <w:noWrap/>
            <w:tcMar>
              <w:top w:w="0" w:type="dxa"/>
              <w:left w:w="0" w:type="dxa"/>
              <w:bottom w:w="0" w:type="dxa"/>
              <w:right w:w="0" w:type="dxa"/>
            </w:tcMar>
            <w:vAlign w:val="bottom"/>
            <w:hideMark/>
          </w:tcPr>
          <w:p w14:paraId="51806D6B" w14:textId="77777777" w:rsidR="00000000" w:rsidRDefault="001F1B20">
            <w:pPr>
              <w:pStyle w:val="a3"/>
              <w:spacing w:before="0" w:beforeAutospacing="0" w:after="0" w:afterAutospacing="0"/>
              <w:divId w:val="202337"/>
              <w:rPr>
                <w:sz w:val="20"/>
                <w:szCs w:val="20"/>
              </w:rPr>
            </w:pPr>
            <w:r>
              <w:rPr>
                <w:sz w:val="2"/>
                <w:szCs w:val="2"/>
              </w:rPr>
              <w:t>​</w:t>
            </w:r>
          </w:p>
        </w:tc>
        <w:tc>
          <w:tcPr>
            <w:tcW w:w="89" w:type="pct"/>
            <w:noWrap/>
            <w:tcMar>
              <w:top w:w="0" w:type="dxa"/>
              <w:left w:w="0" w:type="dxa"/>
              <w:bottom w:w="0" w:type="dxa"/>
              <w:right w:w="0" w:type="dxa"/>
            </w:tcMar>
            <w:vAlign w:val="bottom"/>
            <w:hideMark/>
          </w:tcPr>
          <w:p w14:paraId="46F27C3D" w14:textId="77777777" w:rsidR="00000000" w:rsidRDefault="001F1B20">
            <w:pPr>
              <w:pStyle w:val="a3"/>
              <w:spacing w:before="0" w:beforeAutospacing="0" w:after="0" w:afterAutospacing="0"/>
              <w:divId w:val="1954749535"/>
              <w:rPr>
                <w:sz w:val="20"/>
                <w:szCs w:val="20"/>
              </w:rPr>
            </w:pPr>
            <w:r>
              <w:rPr>
                <w:sz w:val="2"/>
                <w:szCs w:val="2"/>
              </w:rPr>
              <w:t>​</w:t>
            </w:r>
          </w:p>
        </w:tc>
        <w:tc>
          <w:tcPr>
            <w:tcW w:w="89" w:type="pct"/>
            <w:noWrap/>
            <w:tcMar>
              <w:top w:w="0" w:type="dxa"/>
              <w:left w:w="0" w:type="dxa"/>
              <w:bottom w:w="0" w:type="dxa"/>
              <w:right w:w="0" w:type="dxa"/>
            </w:tcMar>
            <w:vAlign w:val="bottom"/>
            <w:hideMark/>
          </w:tcPr>
          <w:p w14:paraId="5F94FCE3" w14:textId="77777777" w:rsidR="00000000" w:rsidRDefault="001F1B20">
            <w:pPr>
              <w:pStyle w:val="a3"/>
              <w:spacing w:before="0" w:beforeAutospacing="0" w:after="0" w:afterAutospacing="0"/>
              <w:divId w:val="216206269"/>
              <w:rPr>
                <w:sz w:val="20"/>
                <w:szCs w:val="20"/>
              </w:rPr>
            </w:pPr>
            <w:r>
              <w:rPr>
                <w:sz w:val="2"/>
                <w:szCs w:val="2"/>
              </w:rPr>
              <w:t>​</w:t>
            </w:r>
          </w:p>
        </w:tc>
        <w:tc>
          <w:tcPr>
            <w:tcW w:w="356" w:type="pct"/>
            <w:noWrap/>
            <w:tcMar>
              <w:top w:w="0" w:type="dxa"/>
              <w:left w:w="0" w:type="dxa"/>
              <w:bottom w:w="0" w:type="dxa"/>
              <w:right w:w="0" w:type="dxa"/>
            </w:tcMar>
            <w:vAlign w:val="bottom"/>
            <w:hideMark/>
          </w:tcPr>
          <w:p w14:paraId="71B66A4D" w14:textId="77777777" w:rsidR="00000000" w:rsidRDefault="001F1B20">
            <w:pPr>
              <w:pStyle w:val="a3"/>
              <w:spacing w:before="0" w:beforeAutospacing="0" w:after="0" w:afterAutospacing="0"/>
              <w:divId w:val="1651447440"/>
              <w:rPr>
                <w:sz w:val="20"/>
                <w:szCs w:val="20"/>
              </w:rPr>
            </w:pPr>
            <w:r>
              <w:rPr>
                <w:sz w:val="2"/>
                <w:szCs w:val="2"/>
              </w:rPr>
              <w:t>​</w:t>
            </w:r>
          </w:p>
        </w:tc>
      </w:tr>
      <w:tr w:rsidR="00000000" w14:paraId="352534DC" w14:textId="77777777">
        <w:trPr>
          <w:divId w:val="627393660"/>
        </w:trPr>
        <w:tc>
          <w:tcPr>
            <w:tcW w:w="2852" w:type="pct"/>
            <w:tcMar>
              <w:top w:w="0" w:type="dxa"/>
              <w:left w:w="0" w:type="dxa"/>
              <w:bottom w:w="0" w:type="dxa"/>
              <w:right w:w="0" w:type="dxa"/>
            </w:tcMar>
            <w:vAlign w:val="bottom"/>
            <w:hideMark/>
          </w:tcPr>
          <w:p w14:paraId="20BB9A45" w14:textId="77777777" w:rsidR="00000000" w:rsidRDefault="001F1B20">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14:paraId="5819FEF0" w14:textId="77777777" w:rsidR="00000000" w:rsidRDefault="001F1B20">
            <w:pPr>
              <w:pStyle w:val="a3"/>
              <w:spacing w:before="0" w:beforeAutospacing="0" w:after="0" w:afterAutospacing="0"/>
              <w:rPr>
                <w:sz w:val="20"/>
                <w:szCs w:val="20"/>
              </w:rPr>
            </w:pPr>
            <w:r>
              <w:rPr>
                <w:b/>
                <w:bCs/>
                <w:sz w:val="16"/>
                <w:szCs w:val="16"/>
              </w:rPr>
              <w:t>​</w:t>
            </w:r>
          </w:p>
        </w:tc>
        <w:tc>
          <w:tcPr>
            <w:tcW w:w="984" w:type="pct"/>
            <w:gridSpan w:val="5"/>
            <w:tcMar>
              <w:top w:w="0" w:type="dxa"/>
              <w:left w:w="0" w:type="dxa"/>
              <w:bottom w:w="0" w:type="dxa"/>
              <w:right w:w="0" w:type="dxa"/>
            </w:tcMar>
            <w:vAlign w:val="bottom"/>
            <w:hideMark/>
          </w:tcPr>
          <w:p w14:paraId="78562E07"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89" w:type="pct"/>
            <w:noWrap/>
            <w:tcMar>
              <w:top w:w="0" w:type="dxa"/>
              <w:left w:w="0" w:type="dxa"/>
              <w:bottom w:w="0" w:type="dxa"/>
              <w:right w:w="0" w:type="dxa"/>
            </w:tcMar>
            <w:vAlign w:val="bottom"/>
            <w:hideMark/>
          </w:tcPr>
          <w:p w14:paraId="1D30B184"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noWrap/>
            <w:tcMar>
              <w:top w:w="0" w:type="dxa"/>
              <w:left w:w="0" w:type="dxa"/>
              <w:bottom w:w="0" w:type="dxa"/>
              <w:right w:w="0" w:type="dxa"/>
            </w:tcMar>
            <w:vAlign w:val="bottom"/>
            <w:hideMark/>
          </w:tcPr>
          <w:p w14:paraId="7016C8E0"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r>
      <w:tr w:rsidR="00000000" w14:paraId="319F3E60" w14:textId="77777777">
        <w:trPr>
          <w:divId w:val="627393660"/>
        </w:trPr>
        <w:tc>
          <w:tcPr>
            <w:tcW w:w="2852" w:type="pct"/>
            <w:tcMar>
              <w:top w:w="0" w:type="dxa"/>
              <w:left w:w="0" w:type="dxa"/>
              <w:bottom w:w="0" w:type="dxa"/>
              <w:right w:w="0" w:type="dxa"/>
            </w:tcMar>
            <w:vAlign w:val="bottom"/>
            <w:hideMark/>
          </w:tcPr>
          <w:p w14:paraId="6F699C95" w14:textId="77777777" w:rsidR="00000000" w:rsidRDefault="001F1B20">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14:paraId="41A8F6F7" w14:textId="77777777" w:rsidR="00000000" w:rsidRDefault="001F1B20">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tcMar>
              <w:top w:w="0" w:type="dxa"/>
              <w:left w:w="0" w:type="dxa"/>
              <w:bottom w:w="0" w:type="dxa"/>
              <w:right w:w="0" w:type="dxa"/>
            </w:tcMar>
            <w:vAlign w:val="bottom"/>
            <w:hideMark/>
          </w:tcPr>
          <w:p w14:paraId="0A173EDF"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89" w:type="pct"/>
            <w:noWrap/>
            <w:tcMar>
              <w:top w:w="0" w:type="dxa"/>
              <w:left w:w="0" w:type="dxa"/>
              <w:bottom w:w="0" w:type="dxa"/>
              <w:right w:w="0" w:type="dxa"/>
            </w:tcMar>
            <w:vAlign w:val="bottom"/>
            <w:hideMark/>
          </w:tcPr>
          <w:p w14:paraId="38D39C05"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tcBorders>
              <w:bottom w:val="single" w:sz="6" w:space="0" w:color="000000"/>
            </w:tcBorders>
            <w:noWrap/>
            <w:tcMar>
              <w:top w:w="0" w:type="dxa"/>
              <w:left w:w="0" w:type="dxa"/>
              <w:bottom w:w="0" w:type="dxa"/>
              <w:right w:w="0" w:type="dxa"/>
            </w:tcMar>
            <w:vAlign w:val="bottom"/>
            <w:hideMark/>
          </w:tcPr>
          <w:p w14:paraId="29154FB3" w14:textId="77777777" w:rsidR="00000000" w:rsidRDefault="001F1B20">
            <w:pPr>
              <w:pStyle w:val="a3"/>
              <w:spacing w:before="0" w:beforeAutospacing="0" w:after="0" w:afterAutospacing="0"/>
              <w:jc w:val="center"/>
              <w:rPr>
                <w:sz w:val="16"/>
                <w:szCs w:val="16"/>
              </w:rPr>
            </w:pPr>
            <w:r>
              <w:rPr>
                <w:b/>
                <w:bCs/>
                <w:sz w:val="16"/>
                <w:szCs w:val="16"/>
              </w:rPr>
              <w:t>September 30, </w:t>
            </w:r>
          </w:p>
        </w:tc>
      </w:tr>
      <w:tr w:rsidR="00000000" w14:paraId="341614B8" w14:textId="77777777">
        <w:trPr>
          <w:divId w:val="627393660"/>
        </w:trPr>
        <w:tc>
          <w:tcPr>
            <w:tcW w:w="2852" w:type="pct"/>
            <w:tcBorders>
              <w:bottom w:val="single" w:sz="6" w:space="0" w:color="000000"/>
            </w:tcBorders>
            <w:tcMar>
              <w:top w:w="0" w:type="dxa"/>
              <w:left w:w="0" w:type="dxa"/>
              <w:bottom w:w="0" w:type="dxa"/>
              <w:right w:w="0" w:type="dxa"/>
            </w:tcMar>
            <w:vAlign w:val="bottom"/>
            <w:hideMark/>
          </w:tcPr>
          <w:p w14:paraId="4528B321" w14:textId="77777777" w:rsidR="00000000" w:rsidRDefault="001F1B20">
            <w:pPr>
              <w:pStyle w:val="a3"/>
              <w:spacing w:before="0" w:beforeAutospacing="0" w:after="0" w:afterAutospacing="0"/>
              <w:rPr>
                <w:sz w:val="16"/>
                <w:szCs w:val="16"/>
              </w:rPr>
            </w:pPr>
            <w:r>
              <w:rPr>
                <w:b/>
                <w:bCs/>
                <w:sz w:val="16"/>
                <w:szCs w:val="16"/>
              </w:rPr>
              <w:t>(In </w:t>
            </w:r>
            <w:r>
              <w:rPr>
                <w:b/>
                <w:bCs/>
                <w:sz w:val="16"/>
                <w:szCs w:val="16"/>
              </w:rPr>
              <w:t>thousands)</w:t>
            </w:r>
          </w:p>
        </w:tc>
        <w:tc>
          <w:tcPr>
            <w:tcW w:w="90" w:type="pct"/>
            <w:noWrap/>
            <w:tcMar>
              <w:top w:w="0" w:type="dxa"/>
              <w:left w:w="0" w:type="dxa"/>
              <w:bottom w:w="0" w:type="dxa"/>
              <w:right w:w="0" w:type="dxa"/>
            </w:tcMar>
            <w:vAlign w:val="bottom"/>
            <w:hideMark/>
          </w:tcPr>
          <w:p w14:paraId="456CD30D" w14:textId="77777777" w:rsidR="00000000" w:rsidRDefault="001F1B20">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14:paraId="7AE9804C" w14:textId="77777777" w:rsidR="00000000" w:rsidRDefault="001F1B20">
            <w:pPr>
              <w:pStyle w:val="a3"/>
              <w:spacing w:before="0" w:beforeAutospacing="0" w:after="0" w:afterAutospacing="0"/>
              <w:jc w:val="center"/>
              <w:rPr>
                <w:sz w:val="16"/>
                <w:szCs w:val="16"/>
              </w:rPr>
            </w:pPr>
            <w:r>
              <w:rPr>
                <w:b/>
                <w:bCs/>
                <w:sz w:val="16"/>
                <w:szCs w:val="16"/>
              </w:rPr>
              <w:t>2021</w:t>
            </w:r>
          </w:p>
        </w:tc>
        <w:tc>
          <w:tcPr>
            <w:tcW w:w="89" w:type="pct"/>
            <w:noWrap/>
            <w:tcMar>
              <w:top w:w="0" w:type="dxa"/>
              <w:left w:w="0" w:type="dxa"/>
              <w:bottom w:w="0" w:type="dxa"/>
              <w:right w:w="0" w:type="dxa"/>
            </w:tcMar>
            <w:vAlign w:val="bottom"/>
            <w:hideMark/>
          </w:tcPr>
          <w:p w14:paraId="6AEBD6FF" w14:textId="77777777" w:rsidR="00000000" w:rsidRDefault="001F1B20">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74A3EA59" w14:textId="77777777" w:rsidR="00000000" w:rsidRDefault="001F1B20">
            <w:pPr>
              <w:pStyle w:val="a3"/>
              <w:spacing w:before="0" w:beforeAutospacing="0" w:after="0" w:afterAutospacing="0"/>
              <w:jc w:val="center"/>
              <w:rPr>
                <w:sz w:val="16"/>
                <w:szCs w:val="16"/>
              </w:rPr>
            </w:pPr>
            <w:r>
              <w:rPr>
                <w:b/>
                <w:bCs/>
                <w:sz w:val="16"/>
                <w:szCs w:val="16"/>
              </w:rPr>
              <w:t>2020</w:t>
            </w:r>
          </w:p>
        </w:tc>
        <w:tc>
          <w:tcPr>
            <w:tcW w:w="89" w:type="pct"/>
            <w:noWrap/>
            <w:tcMar>
              <w:top w:w="0" w:type="dxa"/>
              <w:left w:w="0" w:type="dxa"/>
              <w:bottom w:w="0" w:type="dxa"/>
              <w:right w:w="0" w:type="dxa"/>
            </w:tcMar>
            <w:vAlign w:val="bottom"/>
            <w:hideMark/>
          </w:tcPr>
          <w:p w14:paraId="4F623FF5" w14:textId="77777777" w:rsidR="00000000" w:rsidRDefault="001F1B20">
            <w:pPr>
              <w:pStyle w:val="a3"/>
              <w:spacing w:before="0" w:beforeAutospacing="0" w:after="0"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14:paraId="073C7BF0" w14:textId="77777777" w:rsidR="00000000" w:rsidRDefault="001F1B20">
            <w:pPr>
              <w:pStyle w:val="a3"/>
              <w:spacing w:before="0" w:beforeAutospacing="0" w:after="0" w:afterAutospacing="0"/>
              <w:jc w:val="center"/>
              <w:rPr>
                <w:sz w:val="16"/>
                <w:szCs w:val="16"/>
              </w:rPr>
            </w:pPr>
            <w:r>
              <w:rPr>
                <w:b/>
                <w:bCs/>
                <w:sz w:val="16"/>
                <w:szCs w:val="16"/>
              </w:rPr>
              <w:t>2021</w:t>
            </w:r>
          </w:p>
        </w:tc>
        <w:tc>
          <w:tcPr>
            <w:tcW w:w="89" w:type="pct"/>
            <w:noWrap/>
            <w:tcMar>
              <w:top w:w="0" w:type="dxa"/>
              <w:left w:w="0" w:type="dxa"/>
              <w:bottom w:w="0" w:type="dxa"/>
              <w:right w:w="0" w:type="dxa"/>
            </w:tcMar>
            <w:vAlign w:val="bottom"/>
            <w:hideMark/>
          </w:tcPr>
          <w:p w14:paraId="366B692D" w14:textId="77777777" w:rsidR="00000000" w:rsidRDefault="001F1B20">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51AEA5A9" w14:textId="77777777" w:rsidR="00000000" w:rsidRDefault="001F1B20">
            <w:pPr>
              <w:pStyle w:val="a3"/>
              <w:spacing w:before="0" w:beforeAutospacing="0" w:after="0" w:afterAutospacing="0"/>
              <w:jc w:val="center"/>
              <w:rPr>
                <w:sz w:val="16"/>
                <w:szCs w:val="16"/>
              </w:rPr>
            </w:pPr>
            <w:r>
              <w:rPr>
                <w:b/>
                <w:bCs/>
                <w:sz w:val="16"/>
                <w:szCs w:val="16"/>
              </w:rPr>
              <w:t>2020</w:t>
            </w:r>
          </w:p>
        </w:tc>
      </w:tr>
      <w:tr w:rsidR="00000000" w14:paraId="7DEB43A8" w14:textId="77777777">
        <w:trPr>
          <w:divId w:val="627393660"/>
        </w:trPr>
        <w:tc>
          <w:tcPr>
            <w:tcW w:w="2852" w:type="pct"/>
            <w:shd w:val="clear" w:color="auto" w:fill="CCEEFF"/>
            <w:tcMar>
              <w:top w:w="0" w:type="dxa"/>
              <w:left w:w="0" w:type="dxa"/>
              <w:bottom w:w="0" w:type="dxa"/>
              <w:right w:w="0" w:type="dxa"/>
            </w:tcMar>
            <w:hideMark/>
          </w:tcPr>
          <w:p w14:paraId="4E25A5E4" w14:textId="77777777" w:rsidR="00000000" w:rsidRDefault="001F1B20">
            <w:pPr>
              <w:pStyle w:val="a3"/>
              <w:spacing w:before="0" w:beforeAutospacing="0" w:after="0" w:afterAutospacing="0"/>
              <w:rPr>
                <w:sz w:val="20"/>
                <w:szCs w:val="20"/>
              </w:rPr>
            </w:pPr>
            <w:r>
              <w:rPr>
                <w:sz w:val="20"/>
                <w:szCs w:val="20"/>
              </w:rPr>
              <w:t>Janssen</w:t>
            </w:r>
          </w:p>
        </w:tc>
        <w:tc>
          <w:tcPr>
            <w:tcW w:w="90" w:type="pct"/>
            <w:shd w:val="clear" w:color="auto" w:fill="CCEEFF"/>
            <w:noWrap/>
            <w:tcMar>
              <w:top w:w="0" w:type="dxa"/>
              <w:left w:w="0" w:type="dxa"/>
              <w:bottom w:w="0" w:type="dxa"/>
              <w:right w:w="0" w:type="dxa"/>
            </w:tcMar>
            <w:vAlign w:val="bottom"/>
            <w:hideMark/>
          </w:tcPr>
          <w:p w14:paraId="155A0DDF" w14:textId="77777777" w:rsidR="00000000" w:rsidRDefault="001F1B2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3AD2E905" w14:textId="77777777" w:rsidR="00000000" w:rsidRDefault="001F1B20">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14:paraId="484249D2" w14:textId="77777777" w:rsidR="00000000" w:rsidRDefault="001F1B20">
            <w:pPr>
              <w:pStyle w:val="a3"/>
              <w:spacing w:before="0" w:beforeAutospacing="0" w:after="0" w:afterAutospacing="0"/>
              <w:ind w:right="60"/>
              <w:jc w:val="right"/>
              <w:rPr>
                <w:sz w:val="20"/>
                <w:szCs w:val="20"/>
              </w:rPr>
            </w:pPr>
            <w:r>
              <w:rPr>
                <w:sz w:val="20"/>
                <w:szCs w:val="20"/>
              </w:rPr>
              <w:t>2,788</w:t>
            </w:r>
          </w:p>
        </w:tc>
        <w:tc>
          <w:tcPr>
            <w:tcW w:w="89" w:type="pct"/>
            <w:shd w:val="clear" w:color="auto" w:fill="CCEEFF"/>
            <w:noWrap/>
            <w:tcMar>
              <w:top w:w="0" w:type="dxa"/>
              <w:left w:w="0" w:type="dxa"/>
              <w:bottom w:w="0" w:type="dxa"/>
              <w:right w:w="0" w:type="dxa"/>
            </w:tcMar>
            <w:vAlign w:val="bottom"/>
            <w:hideMark/>
          </w:tcPr>
          <w:p w14:paraId="3216D16F" w14:textId="77777777" w:rsidR="00000000" w:rsidRDefault="001F1B2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306D687D" w14:textId="77777777" w:rsidR="00000000" w:rsidRDefault="001F1B20">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14:paraId="704E6317" w14:textId="77777777" w:rsidR="00000000" w:rsidRDefault="001F1B20">
            <w:pPr>
              <w:pStyle w:val="a3"/>
              <w:spacing w:before="0" w:beforeAutospacing="0" w:after="0" w:afterAutospacing="0"/>
              <w:ind w:right="60"/>
              <w:jc w:val="right"/>
              <w:rPr>
                <w:sz w:val="20"/>
                <w:szCs w:val="20"/>
              </w:rPr>
            </w:pPr>
            <w:r>
              <w:rPr>
                <w:sz w:val="20"/>
                <w:szCs w:val="20"/>
              </w:rPr>
              <w:t>7,252</w:t>
            </w:r>
          </w:p>
        </w:tc>
        <w:tc>
          <w:tcPr>
            <w:tcW w:w="89" w:type="pct"/>
            <w:shd w:val="clear" w:color="auto" w:fill="CCEEFF"/>
            <w:noWrap/>
            <w:tcMar>
              <w:top w:w="0" w:type="dxa"/>
              <w:left w:w="0" w:type="dxa"/>
              <w:bottom w:w="0" w:type="dxa"/>
              <w:right w:w="0" w:type="dxa"/>
            </w:tcMar>
            <w:vAlign w:val="bottom"/>
            <w:hideMark/>
          </w:tcPr>
          <w:p w14:paraId="0A3C67D7" w14:textId="77777777" w:rsidR="00000000" w:rsidRDefault="001F1B2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4A684798" w14:textId="77777777" w:rsidR="00000000" w:rsidRDefault="001F1B20">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14:paraId="1D8F7DAB" w14:textId="77777777" w:rsidR="00000000" w:rsidRDefault="001F1B20">
            <w:pPr>
              <w:pStyle w:val="a3"/>
              <w:spacing w:before="0" w:beforeAutospacing="0" w:after="0" w:afterAutospacing="0"/>
              <w:ind w:right="60"/>
              <w:jc w:val="right"/>
              <w:rPr>
                <w:sz w:val="20"/>
                <w:szCs w:val="20"/>
              </w:rPr>
            </w:pPr>
            <w:r>
              <w:rPr>
                <w:sz w:val="20"/>
                <w:szCs w:val="20"/>
              </w:rPr>
              <w:t>8,621</w:t>
            </w:r>
          </w:p>
        </w:tc>
        <w:tc>
          <w:tcPr>
            <w:tcW w:w="89" w:type="pct"/>
            <w:shd w:val="clear" w:color="auto" w:fill="CCEEFF"/>
            <w:noWrap/>
            <w:tcMar>
              <w:top w:w="0" w:type="dxa"/>
              <w:left w:w="0" w:type="dxa"/>
              <w:bottom w:w="0" w:type="dxa"/>
              <w:right w:w="0" w:type="dxa"/>
            </w:tcMar>
            <w:vAlign w:val="bottom"/>
            <w:hideMark/>
          </w:tcPr>
          <w:p w14:paraId="24D4CEBB" w14:textId="77777777" w:rsidR="00000000" w:rsidRDefault="001F1B2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130BABF6" w14:textId="77777777" w:rsidR="00000000" w:rsidRDefault="001F1B20">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14:paraId="41D0AF8B" w14:textId="77777777" w:rsidR="00000000" w:rsidRDefault="001F1B20">
            <w:pPr>
              <w:pStyle w:val="a3"/>
              <w:spacing w:before="0" w:beforeAutospacing="0" w:after="0" w:afterAutospacing="0"/>
              <w:ind w:right="60"/>
              <w:jc w:val="right"/>
              <w:rPr>
                <w:sz w:val="20"/>
                <w:szCs w:val="20"/>
              </w:rPr>
            </w:pPr>
            <w:r>
              <w:rPr>
                <w:sz w:val="20"/>
                <w:szCs w:val="20"/>
              </w:rPr>
              <w:t>19,353</w:t>
            </w:r>
          </w:p>
        </w:tc>
      </w:tr>
      <w:tr w:rsidR="00000000" w14:paraId="15E8364C" w14:textId="77777777">
        <w:trPr>
          <w:divId w:val="627393660"/>
        </w:trPr>
        <w:tc>
          <w:tcPr>
            <w:tcW w:w="2852" w:type="pct"/>
            <w:tcMar>
              <w:top w:w="0" w:type="dxa"/>
              <w:left w:w="0" w:type="dxa"/>
              <w:bottom w:w="0" w:type="dxa"/>
              <w:right w:w="0" w:type="dxa"/>
            </w:tcMar>
            <w:hideMark/>
          </w:tcPr>
          <w:p w14:paraId="458F6DE8" w14:textId="77777777" w:rsidR="00000000" w:rsidRDefault="001F1B20">
            <w:pPr>
              <w:pStyle w:val="a3"/>
              <w:spacing w:before="0" w:beforeAutospacing="0" w:after="0" w:afterAutospacing="0"/>
              <w:rPr>
                <w:sz w:val="20"/>
                <w:szCs w:val="20"/>
              </w:rPr>
            </w:pPr>
            <w:r>
              <w:rPr>
                <w:sz w:val="20"/>
                <w:szCs w:val="20"/>
              </w:rPr>
              <w:t>Other</w:t>
            </w:r>
          </w:p>
        </w:tc>
        <w:tc>
          <w:tcPr>
            <w:tcW w:w="90" w:type="pct"/>
            <w:noWrap/>
            <w:tcMar>
              <w:top w:w="0" w:type="dxa"/>
              <w:left w:w="0" w:type="dxa"/>
              <w:bottom w:w="0" w:type="dxa"/>
              <w:right w:w="0" w:type="dxa"/>
            </w:tcMar>
            <w:vAlign w:val="bottom"/>
            <w:hideMark/>
          </w:tcPr>
          <w:p w14:paraId="2A782A16" w14:textId="77777777" w:rsidR="00000000" w:rsidRDefault="001F1B20">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14:paraId="5EF3486F"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single" w:sz="6" w:space="0" w:color="000000"/>
            </w:tcBorders>
            <w:noWrap/>
            <w:tcMar>
              <w:top w:w="0" w:type="dxa"/>
              <w:left w:w="0" w:type="dxa"/>
              <w:bottom w:w="0" w:type="dxa"/>
              <w:right w:w="0" w:type="dxa"/>
            </w:tcMar>
            <w:vAlign w:val="bottom"/>
            <w:hideMark/>
          </w:tcPr>
          <w:p w14:paraId="362EBE3D" w14:textId="77777777" w:rsidR="00000000" w:rsidRDefault="001F1B20">
            <w:pPr>
              <w:pStyle w:val="a3"/>
              <w:spacing w:before="0" w:beforeAutospacing="0" w:after="0" w:afterAutospacing="0"/>
              <w:ind w:right="60"/>
              <w:jc w:val="right"/>
              <w:rPr>
                <w:sz w:val="20"/>
                <w:szCs w:val="20"/>
              </w:rPr>
            </w:pPr>
            <w:r>
              <w:rPr>
                <w:sz w:val="20"/>
                <w:szCs w:val="20"/>
              </w:rPr>
              <w:t>9</w:t>
            </w:r>
          </w:p>
        </w:tc>
        <w:tc>
          <w:tcPr>
            <w:tcW w:w="89" w:type="pct"/>
            <w:noWrap/>
            <w:tcMar>
              <w:top w:w="0" w:type="dxa"/>
              <w:left w:w="0" w:type="dxa"/>
              <w:bottom w:w="0" w:type="dxa"/>
              <w:right w:w="0" w:type="dxa"/>
            </w:tcMar>
            <w:vAlign w:val="bottom"/>
            <w:hideMark/>
          </w:tcPr>
          <w:p w14:paraId="3A4503ED"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14:paraId="04B465CE" w14:textId="77777777" w:rsidR="00000000" w:rsidRDefault="001F1B20">
            <w:pPr>
              <w:pStyle w:val="a3"/>
              <w:spacing w:before="0" w:beforeAutospacing="0" w:after="0" w:afterAutospacing="0"/>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bottom"/>
            <w:hideMark/>
          </w:tcPr>
          <w:p w14:paraId="17B246FC" w14:textId="77777777" w:rsidR="00000000" w:rsidRDefault="001F1B20">
            <w:pPr>
              <w:pStyle w:val="a3"/>
              <w:spacing w:before="0" w:beforeAutospacing="0" w:after="0" w:afterAutospacing="0"/>
              <w:ind w:right="60"/>
              <w:jc w:val="right"/>
              <w:rPr>
                <w:sz w:val="20"/>
                <w:szCs w:val="20"/>
              </w:rPr>
            </w:pPr>
            <w:r>
              <w:rPr>
                <w:sz w:val="20"/>
                <w:szCs w:val="20"/>
              </w:rPr>
              <w:t>9</w:t>
            </w:r>
          </w:p>
        </w:tc>
        <w:tc>
          <w:tcPr>
            <w:tcW w:w="89" w:type="pct"/>
            <w:noWrap/>
            <w:tcMar>
              <w:top w:w="0" w:type="dxa"/>
              <w:left w:w="0" w:type="dxa"/>
              <w:bottom w:w="0" w:type="dxa"/>
              <w:right w:w="0" w:type="dxa"/>
            </w:tcMar>
            <w:vAlign w:val="bottom"/>
            <w:hideMark/>
          </w:tcPr>
          <w:p w14:paraId="2D59FF66"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14:paraId="70A7BB54" w14:textId="77777777" w:rsidR="00000000" w:rsidRDefault="001F1B20">
            <w:pPr>
              <w:pStyle w:val="a3"/>
              <w:spacing w:before="0" w:beforeAutospacing="0" w:after="0" w:afterAutospacing="0"/>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bottom"/>
            <w:hideMark/>
          </w:tcPr>
          <w:p w14:paraId="6DCA6619" w14:textId="77777777" w:rsidR="00000000" w:rsidRDefault="001F1B20">
            <w:pPr>
              <w:pStyle w:val="a3"/>
              <w:spacing w:before="0" w:beforeAutospacing="0" w:after="0" w:afterAutospacing="0"/>
              <w:ind w:right="60"/>
              <w:jc w:val="right"/>
              <w:rPr>
                <w:sz w:val="20"/>
                <w:szCs w:val="20"/>
              </w:rPr>
            </w:pPr>
            <w:r>
              <w:rPr>
                <w:sz w:val="20"/>
                <w:szCs w:val="20"/>
              </w:rPr>
              <w:t>28</w:t>
            </w:r>
          </w:p>
        </w:tc>
        <w:tc>
          <w:tcPr>
            <w:tcW w:w="89" w:type="pct"/>
            <w:noWrap/>
            <w:tcMar>
              <w:top w:w="0" w:type="dxa"/>
              <w:left w:w="0" w:type="dxa"/>
              <w:bottom w:w="0" w:type="dxa"/>
              <w:right w:w="0" w:type="dxa"/>
            </w:tcMar>
            <w:vAlign w:val="bottom"/>
            <w:hideMark/>
          </w:tcPr>
          <w:p w14:paraId="08BBAC2B"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14:paraId="22C8B46E" w14:textId="77777777" w:rsidR="00000000" w:rsidRDefault="001F1B20">
            <w:pPr>
              <w:pStyle w:val="a3"/>
              <w:spacing w:before="0" w:beforeAutospacing="0" w:after="0" w:afterAutospacing="0"/>
              <w:rPr>
                <w:sz w:val="20"/>
                <w:szCs w:val="20"/>
              </w:rPr>
            </w:pPr>
            <w:r>
              <w:rPr>
                <w:sz w:val="20"/>
                <w:szCs w:val="20"/>
              </w:rPr>
              <w:t>​</w:t>
            </w:r>
          </w:p>
        </w:tc>
        <w:tc>
          <w:tcPr>
            <w:tcW w:w="356" w:type="pct"/>
            <w:tcBorders>
              <w:bottom w:val="single" w:sz="6" w:space="0" w:color="000000"/>
            </w:tcBorders>
            <w:noWrap/>
            <w:tcMar>
              <w:top w:w="0" w:type="dxa"/>
              <w:left w:w="0" w:type="dxa"/>
              <w:bottom w:w="0" w:type="dxa"/>
              <w:right w:w="0" w:type="dxa"/>
            </w:tcMar>
            <w:vAlign w:val="bottom"/>
            <w:hideMark/>
          </w:tcPr>
          <w:p w14:paraId="08BEAC64" w14:textId="77777777" w:rsidR="00000000" w:rsidRDefault="001F1B20">
            <w:pPr>
              <w:pStyle w:val="a3"/>
              <w:spacing w:before="0" w:beforeAutospacing="0" w:after="0" w:afterAutospacing="0"/>
              <w:ind w:right="60"/>
              <w:jc w:val="right"/>
              <w:rPr>
                <w:sz w:val="20"/>
                <w:szCs w:val="20"/>
              </w:rPr>
            </w:pPr>
            <w:r>
              <w:rPr>
                <w:sz w:val="20"/>
                <w:szCs w:val="20"/>
              </w:rPr>
              <w:t>28</w:t>
            </w:r>
          </w:p>
        </w:tc>
      </w:tr>
      <w:tr w:rsidR="00000000" w14:paraId="43175ADC" w14:textId="77777777">
        <w:trPr>
          <w:divId w:val="627393660"/>
        </w:trPr>
        <w:tc>
          <w:tcPr>
            <w:tcW w:w="2852" w:type="pct"/>
            <w:shd w:val="clear" w:color="auto" w:fill="CCEEFF"/>
            <w:tcMar>
              <w:top w:w="0" w:type="dxa"/>
              <w:left w:w="0" w:type="dxa"/>
              <w:bottom w:w="0" w:type="dxa"/>
              <w:right w:w="0" w:type="dxa"/>
            </w:tcMar>
            <w:hideMark/>
          </w:tcPr>
          <w:p w14:paraId="0877BD68" w14:textId="77777777" w:rsidR="00000000" w:rsidRDefault="001F1B20">
            <w:pPr>
              <w:pStyle w:val="a3"/>
              <w:spacing w:before="0" w:beforeAutospacing="0" w:after="0" w:afterAutospacing="0"/>
              <w:ind w:left="240"/>
              <w:rPr>
                <w:sz w:val="20"/>
                <w:szCs w:val="20"/>
              </w:rPr>
            </w:pPr>
            <w:r>
              <w:rPr>
                <w:sz w:val="20"/>
                <w:szCs w:val="20"/>
              </w:rPr>
              <w:t>Total collaboration revenue</w:t>
            </w:r>
          </w:p>
        </w:tc>
        <w:tc>
          <w:tcPr>
            <w:tcW w:w="90" w:type="pct"/>
            <w:shd w:val="clear" w:color="auto" w:fill="CCEEFF"/>
            <w:noWrap/>
            <w:tcMar>
              <w:top w:w="0" w:type="dxa"/>
              <w:left w:w="0" w:type="dxa"/>
              <w:bottom w:w="0" w:type="dxa"/>
              <w:right w:w="0" w:type="dxa"/>
            </w:tcMar>
            <w:vAlign w:val="bottom"/>
            <w:hideMark/>
          </w:tcPr>
          <w:p w14:paraId="74A9F04E" w14:textId="77777777" w:rsidR="00000000" w:rsidRDefault="001F1B20">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14:paraId="3674E303"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14:paraId="3D35BB8A" w14:textId="77777777" w:rsidR="00000000" w:rsidRDefault="001F1B20">
            <w:pPr>
              <w:pStyle w:val="a3"/>
              <w:spacing w:before="0" w:beforeAutospacing="0" w:after="0" w:afterAutospacing="0"/>
              <w:ind w:right="60"/>
              <w:jc w:val="right"/>
              <w:rPr>
                <w:sz w:val="20"/>
                <w:szCs w:val="20"/>
              </w:rPr>
            </w:pPr>
            <w:r>
              <w:rPr>
                <w:sz w:val="20"/>
                <w:szCs w:val="20"/>
              </w:rPr>
              <w:t>2,797</w:t>
            </w:r>
          </w:p>
        </w:tc>
        <w:tc>
          <w:tcPr>
            <w:tcW w:w="89" w:type="pct"/>
            <w:shd w:val="clear" w:color="auto" w:fill="CCEEFF"/>
            <w:noWrap/>
            <w:tcMar>
              <w:top w:w="0" w:type="dxa"/>
              <w:left w:w="0" w:type="dxa"/>
              <w:bottom w:w="0" w:type="dxa"/>
              <w:right w:w="0" w:type="dxa"/>
            </w:tcMar>
            <w:vAlign w:val="bottom"/>
            <w:hideMark/>
          </w:tcPr>
          <w:p w14:paraId="5168619E"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2C75C4FD" w14:textId="77777777" w:rsidR="00000000" w:rsidRDefault="001F1B20">
            <w:pPr>
              <w:pStyle w:val="a3"/>
              <w:spacing w:before="0" w:beforeAutospacing="0" w:after="0" w:afterAutospacing="0"/>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14:paraId="3D12E88A" w14:textId="77777777" w:rsidR="00000000" w:rsidRDefault="001F1B20">
            <w:pPr>
              <w:pStyle w:val="a3"/>
              <w:spacing w:before="0" w:beforeAutospacing="0" w:after="0" w:afterAutospacing="0"/>
              <w:ind w:right="60"/>
              <w:jc w:val="right"/>
              <w:rPr>
                <w:sz w:val="20"/>
                <w:szCs w:val="20"/>
              </w:rPr>
            </w:pPr>
            <w:r>
              <w:rPr>
                <w:sz w:val="20"/>
                <w:szCs w:val="20"/>
              </w:rPr>
              <w:t>7,261</w:t>
            </w:r>
          </w:p>
        </w:tc>
        <w:tc>
          <w:tcPr>
            <w:tcW w:w="89" w:type="pct"/>
            <w:shd w:val="clear" w:color="auto" w:fill="CCEEFF"/>
            <w:noWrap/>
            <w:tcMar>
              <w:top w:w="0" w:type="dxa"/>
              <w:left w:w="0" w:type="dxa"/>
              <w:bottom w:w="0" w:type="dxa"/>
              <w:right w:w="0" w:type="dxa"/>
            </w:tcMar>
            <w:vAlign w:val="bottom"/>
            <w:hideMark/>
          </w:tcPr>
          <w:p w14:paraId="196FCCAD"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710BDAD1" w14:textId="77777777" w:rsidR="00000000" w:rsidRDefault="001F1B20">
            <w:pPr>
              <w:pStyle w:val="a3"/>
              <w:spacing w:before="0" w:beforeAutospacing="0" w:after="0" w:afterAutospacing="0"/>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14:paraId="6ED67930" w14:textId="77777777" w:rsidR="00000000" w:rsidRDefault="001F1B20">
            <w:pPr>
              <w:pStyle w:val="a3"/>
              <w:spacing w:before="0" w:beforeAutospacing="0" w:after="0" w:afterAutospacing="0"/>
              <w:ind w:right="60"/>
              <w:jc w:val="right"/>
              <w:rPr>
                <w:sz w:val="20"/>
                <w:szCs w:val="20"/>
              </w:rPr>
            </w:pPr>
            <w:r>
              <w:rPr>
                <w:sz w:val="20"/>
                <w:szCs w:val="20"/>
              </w:rPr>
              <w:t>8,649</w:t>
            </w:r>
          </w:p>
        </w:tc>
        <w:tc>
          <w:tcPr>
            <w:tcW w:w="89" w:type="pct"/>
            <w:shd w:val="clear" w:color="auto" w:fill="CCEEFF"/>
            <w:noWrap/>
            <w:tcMar>
              <w:top w:w="0" w:type="dxa"/>
              <w:left w:w="0" w:type="dxa"/>
              <w:bottom w:w="0" w:type="dxa"/>
              <w:right w:w="0" w:type="dxa"/>
            </w:tcMar>
            <w:vAlign w:val="bottom"/>
            <w:hideMark/>
          </w:tcPr>
          <w:p w14:paraId="34F40A9E"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114823B2" w14:textId="77777777" w:rsidR="00000000" w:rsidRDefault="001F1B20">
            <w:pPr>
              <w:pStyle w:val="a3"/>
              <w:spacing w:before="0" w:beforeAutospacing="0" w:after="0" w:afterAutospacing="0"/>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14:paraId="178E2468" w14:textId="77777777" w:rsidR="00000000" w:rsidRDefault="001F1B20">
            <w:pPr>
              <w:pStyle w:val="a3"/>
              <w:spacing w:before="0" w:beforeAutospacing="0" w:after="0" w:afterAutospacing="0"/>
              <w:ind w:right="60"/>
              <w:jc w:val="right"/>
              <w:rPr>
                <w:sz w:val="20"/>
                <w:szCs w:val="20"/>
              </w:rPr>
            </w:pPr>
            <w:r>
              <w:rPr>
                <w:sz w:val="20"/>
                <w:szCs w:val="20"/>
              </w:rPr>
              <w:t>19,381</w:t>
            </w:r>
          </w:p>
        </w:tc>
      </w:tr>
    </w:tbl>
    <w:p w14:paraId="720582C9" w14:textId="77777777" w:rsidR="00000000" w:rsidRDefault="001F1B20">
      <w:pPr>
        <w:pStyle w:val="a3"/>
        <w:spacing w:before="0" w:beforeAutospacing="0" w:after="0" w:afterAutospacing="0"/>
        <w:divId w:val="627393660"/>
        <w:rPr>
          <w:sz w:val="20"/>
          <w:szCs w:val="20"/>
        </w:rPr>
      </w:pPr>
      <w:r>
        <w:rPr>
          <w:sz w:val="20"/>
          <w:szCs w:val="20"/>
        </w:rPr>
        <w:t>​</w:t>
      </w:r>
    </w:p>
    <w:p w14:paraId="58774331" w14:textId="77777777" w:rsidR="00000000" w:rsidRDefault="001F1B20">
      <w:pPr>
        <w:pStyle w:val="a3"/>
        <w:spacing w:before="0" w:beforeAutospacing="0" w:after="0" w:afterAutospacing="0"/>
        <w:ind w:firstLine="720"/>
        <w:divId w:val="627393660"/>
        <w:rPr>
          <w:sz w:val="20"/>
          <w:szCs w:val="20"/>
        </w:rPr>
      </w:pPr>
      <w:r>
        <w:rPr>
          <w:sz w:val="20"/>
          <w:szCs w:val="20"/>
        </w:rPr>
        <w:t>All of the recognized revenues from the Company’s collaborative arrangements presented above were included in deferred revenue at the beginning of the respective periods.</w:t>
      </w:r>
    </w:p>
    <w:p w14:paraId="72599779" w14:textId="77777777" w:rsidR="00000000" w:rsidRDefault="001F1B20">
      <w:pPr>
        <w:pStyle w:val="a3"/>
        <w:spacing w:before="240" w:beforeAutospacing="0" w:after="0" w:afterAutospacing="0"/>
        <w:divId w:val="627393660"/>
        <w:rPr>
          <w:sz w:val="20"/>
          <w:szCs w:val="20"/>
        </w:rPr>
      </w:pPr>
      <w:r>
        <w:rPr>
          <w:b/>
          <w:bCs/>
          <w:i/>
          <w:iCs/>
          <w:sz w:val="20"/>
          <w:szCs w:val="20"/>
        </w:rPr>
        <w:t>Janssen Biotech</w:t>
      </w:r>
    </w:p>
    <w:p w14:paraId="7214F3A4" w14:textId="77777777" w:rsidR="00000000" w:rsidRDefault="001F1B20">
      <w:pPr>
        <w:pStyle w:val="a3"/>
        <w:spacing w:before="0" w:beforeAutospacing="0" w:after="0" w:afterAutospacing="0"/>
        <w:divId w:val="627393660"/>
        <w:rPr>
          <w:sz w:val="20"/>
          <w:szCs w:val="20"/>
        </w:rPr>
      </w:pPr>
      <w:r>
        <w:rPr>
          <w:sz w:val="10"/>
          <w:szCs w:val="10"/>
        </w:rPr>
        <w:t>​</w:t>
      </w:r>
    </w:p>
    <w:p w14:paraId="28D3CFFE" w14:textId="77777777" w:rsidR="00000000" w:rsidRDefault="001F1B20">
      <w:pPr>
        <w:pStyle w:val="a3"/>
        <w:spacing w:before="0" w:beforeAutospacing="0" w:after="0" w:afterAutospacing="0"/>
        <w:ind w:firstLine="720"/>
        <w:divId w:val="627393660"/>
        <w:rPr>
          <w:sz w:val="20"/>
          <w:szCs w:val="20"/>
        </w:rPr>
      </w:pPr>
      <w:r>
        <w:rPr>
          <w:sz w:val="20"/>
          <w:szCs w:val="20"/>
        </w:rPr>
        <w:t xml:space="preserve">In February 2018, the Company entered into a global co-development </w:t>
      </w:r>
      <w:r>
        <w:rPr>
          <w:sz w:val="20"/>
          <w:szCs w:val="20"/>
        </w:rPr>
        <w:t>and commercialization agreement with Janssen Biotech, Inc. (“Janssen”) for izencitinib (formerly known as TD-1473) and related back-up compounds for inflammatory intestinal diseases, including ulcerative colitis and Crohn’s disease (the “Janssen Agreement”</w:t>
      </w:r>
      <w:r>
        <w:rPr>
          <w:sz w:val="20"/>
          <w:szCs w:val="20"/>
        </w:rPr>
        <w:t xml:space="preserve">). The Company received an upfront payment of $100.0 million. </w:t>
      </w:r>
    </w:p>
    <w:p w14:paraId="60DF0F06" w14:textId="77777777" w:rsidR="00000000" w:rsidRDefault="001F1B20">
      <w:pPr>
        <w:pStyle w:val="a3"/>
        <w:spacing w:before="0" w:beforeAutospacing="0" w:after="0" w:afterAutospacing="0"/>
        <w:ind w:firstLine="720"/>
        <w:divId w:val="627393660"/>
        <w:rPr>
          <w:sz w:val="20"/>
          <w:szCs w:val="20"/>
        </w:rPr>
      </w:pPr>
      <w:r>
        <w:rPr>
          <w:i/>
          <w:iCs/>
          <w:color w:val="FF0000"/>
          <w:sz w:val="20"/>
          <w:szCs w:val="20"/>
        </w:rPr>
        <w:t>​</w:t>
      </w:r>
    </w:p>
    <w:p w14:paraId="68504B85" w14:textId="77777777" w:rsidR="00000000" w:rsidRDefault="001F1B20">
      <w:pPr>
        <w:pStyle w:val="a3"/>
        <w:spacing w:before="0" w:beforeAutospacing="0" w:after="0" w:afterAutospacing="0"/>
        <w:ind w:firstLine="720"/>
        <w:divId w:val="627393660"/>
        <w:rPr>
          <w:sz w:val="20"/>
          <w:szCs w:val="20"/>
        </w:rPr>
      </w:pPr>
      <w:r>
        <w:rPr>
          <w:sz w:val="20"/>
          <w:szCs w:val="20"/>
        </w:rPr>
        <w:t>Under the terms of the Janssen Agreement, following the initial Phase 2 development period, including the completion of the Phase 2 Crohn’s study, Janssen has the right to obtain an exclusive</w:t>
      </w:r>
      <w:r>
        <w:rPr>
          <w:sz w:val="20"/>
          <w:szCs w:val="20"/>
        </w:rPr>
        <w:t xml:space="preserve"> license to develop and commercialize izencitinib and certain related back-up compounds by paying the Company $200.0 million. Upon any such election, the Company and Janssen would jointly develop and commercialize izencitinib in inflammatory intestinal dis</w:t>
      </w:r>
      <w:r>
        <w:rPr>
          <w:sz w:val="20"/>
          <w:szCs w:val="20"/>
        </w:rPr>
        <w:t>eases and share profits in the US and expenses related to Phase 3 development and registration activities (67% to Janssen; 33% to Theravance Biopharma). The Company would receive royalties on ex-US sales at double-digit tiered percentage royalty rates, and</w:t>
      </w:r>
      <w:r>
        <w:rPr>
          <w:sz w:val="20"/>
          <w:szCs w:val="20"/>
        </w:rPr>
        <w:t xml:space="preserve"> the Company would be eligible to receive additional milestone payments from Janssen.</w:t>
      </w:r>
      <w:r>
        <w:rPr>
          <w:b/>
          <w:bCs/>
          <w:sz w:val="20"/>
          <w:szCs w:val="20"/>
        </w:rPr>
        <w:t xml:space="preserve"> </w:t>
      </w:r>
      <w:r>
        <w:rPr>
          <w:sz w:val="20"/>
          <w:szCs w:val="20"/>
        </w:rPr>
        <w:t>In August 2021, the Company completed a Phase 2b/3 (RHEA) induction and maintenance study of izencitinib in ulcerative colitis and announced that the study results did no</w:t>
      </w:r>
      <w:r>
        <w:rPr>
          <w:sz w:val="20"/>
          <w:szCs w:val="20"/>
        </w:rPr>
        <w:t>t meet its primary endpoint. Based on those results, the Company does not expect to receive any future milestone payments under the Janssen Agreement related to izencitinib. A Phase 2 (DIONE) study of izencitinib in Crohn’s disease is expected to be comple</w:t>
      </w:r>
      <w:r>
        <w:rPr>
          <w:sz w:val="20"/>
          <w:szCs w:val="20"/>
        </w:rPr>
        <w:t>ted in the first quarter of 2022.</w:t>
      </w:r>
    </w:p>
    <w:p w14:paraId="6B6E0E32" w14:textId="77777777" w:rsidR="00000000" w:rsidRDefault="001F1B20">
      <w:pPr>
        <w:pStyle w:val="a3"/>
        <w:spacing w:before="0" w:beforeAutospacing="0" w:after="0" w:afterAutospacing="0"/>
        <w:ind w:firstLine="720"/>
        <w:divId w:val="627393660"/>
        <w:rPr>
          <w:sz w:val="20"/>
          <w:szCs w:val="20"/>
        </w:rPr>
      </w:pPr>
      <w:r>
        <w:rPr>
          <w:sz w:val="20"/>
          <w:szCs w:val="20"/>
        </w:rPr>
        <w:t>​</w:t>
      </w:r>
    </w:p>
    <w:p w14:paraId="78238F0B" w14:textId="77777777" w:rsidR="00000000" w:rsidRDefault="001F1B20">
      <w:pPr>
        <w:pStyle w:val="a3"/>
        <w:spacing w:before="0" w:beforeAutospacing="0" w:after="0" w:afterAutospacing="0"/>
        <w:ind w:firstLine="720"/>
        <w:divId w:val="627393660"/>
        <w:rPr>
          <w:sz w:val="20"/>
          <w:szCs w:val="20"/>
        </w:rPr>
      </w:pPr>
      <w:r>
        <w:rPr>
          <w:sz w:val="20"/>
          <w:szCs w:val="20"/>
        </w:rPr>
        <w:t xml:space="preserve">The Janssen Agreement was considered to be within the scope of Accounting Standards Codification, Topic 808, </w:t>
      </w:r>
      <w:r>
        <w:rPr>
          <w:i/>
          <w:iCs/>
          <w:sz w:val="20"/>
          <w:szCs w:val="20"/>
        </w:rPr>
        <w:t>Collaborative Arrangements</w:t>
      </w:r>
      <w:r>
        <w:rPr>
          <w:i/>
          <w:iCs/>
          <w:sz w:val="20"/>
          <w:szCs w:val="20"/>
        </w:rPr>
        <w:t xml:space="preserve"> </w:t>
      </w:r>
      <w:r>
        <w:rPr>
          <w:sz w:val="20"/>
          <w:szCs w:val="20"/>
        </w:rPr>
        <w:t>(“ASC 808”) and the Company identified research and development activities as its on</w:t>
      </w:r>
      <w:r>
        <w:rPr>
          <w:sz w:val="20"/>
          <w:szCs w:val="20"/>
        </w:rPr>
        <w:t>ly performance obligation. The Company further determined that the transaction price under the arrangement was the $100.0 million upfront payment which was allocated to the single performance obligation</w:t>
      </w:r>
      <w:r>
        <w:rPr>
          <w:sz w:val="20"/>
          <w:szCs w:val="20"/>
        </w:rPr>
        <w:t>.</w:t>
      </w:r>
    </w:p>
    <w:p w14:paraId="07339502" w14:textId="77777777" w:rsidR="00000000" w:rsidRDefault="001F1B20">
      <w:pPr>
        <w:pStyle w:val="a3"/>
        <w:spacing w:before="0" w:beforeAutospacing="0" w:after="0" w:afterAutospacing="0"/>
        <w:divId w:val="627393660"/>
        <w:rPr>
          <w:sz w:val="20"/>
          <w:szCs w:val="20"/>
        </w:rPr>
      </w:pPr>
      <w:r>
        <w:rPr>
          <w:sz w:val="20"/>
          <w:szCs w:val="20"/>
        </w:rPr>
        <w:t>​</w:t>
      </w:r>
    </w:p>
    <w:p w14:paraId="60E81284" w14:textId="77777777" w:rsidR="00000000" w:rsidRDefault="001F1B20">
      <w:pPr>
        <w:pStyle w:val="a3"/>
        <w:spacing w:before="0" w:beforeAutospacing="0" w:after="0" w:afterAutospacing="0"/>
        <w:ind w:firstLine="720"/>
        <w:divId w:val="627393660"/>
        <w:rPr>
          <w:sz w:val="20"/>
          <w:szCs w:val="20"/>
        </w:rPr>
      </w:pPr>
      <w:r>
        <w:rPr>
          <w:sz w:val="20"/>
          <w:szCs w:val="20"/>
        </w:rPr>
        <w:t xml:space="preserve">The $200.0 </w:t>
      </w:r>
      <w:r>
        <w:rPr>
          <w:sz w:val="20"/>
          <w:szCs w:val="20"/>
        </w:rPr>
        <w:t xml:space="preserve">million potential opt-in and other milestones payments were considered variable consideration and not included in the transaction price as they were all determined to be fully constrained under ASC 606. As part of the Company’s evaluation of this variable </w:t>
      </w:r>
      <w:r>
        <w:rPr>
          <w:sz w:val="20"/>
          <w:szCs w:val="20"/>
        </w:rPr>
        <w:t xml:space="preserve">consideration constraint, it determined that the potential payments are contingent upon developmental and regulatory milestones that are uncertain and are highly susceptible to factors outside of its control. </w:t>
      </w:r>
    </w:p>
    <w:p w14:paraId="421B32E9" w14:textId="77777777" w:rsidR="00000000" w:rsidRDefault="001F1B20">
      <w:pPr>
        <w:pStyle w:val="a3"/>
        <w:spacing w:before="0" w:beforeAutospacing="0" w:after="0" w:afterAutospacing="0"/>
        <w:divId w:val="627393660"/>
        <w:rPr>
          <w:sz w:val="20"/>
          <w:szCs w:val="20"/>
        </w:rPr>
      </w:pPr>
      <w:r>
        <w:rPr>
          <w:sz w:val="20"/>
          <w:szCs w:val="20"/>
        </w:rPr>
        <w:t>​</w:t>
      </w:r>
    </w:p>
    <w:p w14:paraId="287CF022" w14:textId="77777777" w:rsidR="00000000" w:rsidRDefault="001F1B20">
      <w:pPr>
        <w:pStyle w:val="a3"/>
        <w:spacing w:before="0" w:beforeAutospacing="0" w:after="0" w:afterAutospacing="0"/>
        <w:ind w:firstLine="720"/>
        <w:divId w:val="627393660"/>
        <w:rPr>
          <w:sz w:val="20"/>
          <w:szCs w:val="20"/>
        </w:rPr>
      </w:pPr>
      <w:r>
        <w:rPr>
          <w:sz w:val="20"/>
          <w:szCs w:val="20"/>
        </w:rPr>
        <w:t>For the three and nine months ended Septembe</w:t>
      </w:r>
      <w:r>
        <w:rPr>
          <w:sz w:val="20"/>
          <w:szCs w:val="20"/>
        </w:rPr>
        <w:t>r 30, 2021, the Company recognized $2.8 million and $8.6 million, respectively, as revenue from collaboration arrangements related to the Janssen Agreement. The remaining transaction price of $2.8 million, related to the $100.0 million upfront payment, was</w:t>
      </w:r>
      <w:r>
        <w:rPr>
          <w:sz w:val="20"/>
          <w:szCs w:val="20"/>
        </w:rPr>
        <w:t xml:space="preserve"> recorded in deferred revenue on the condensed consolidated balance sheets and will be recognized as collaboration revenue as the research and development services are delivered over the remaining Phase 2 development period which is currently expected to c</w:t>
      </w:r>
      <w:r>
        <w:rPr>
          <w:sz w:val="20"/>
          <w:szCs w:val="20"/>
        </w:rPr>
        <w:t xml:space="preserve">ontinue through the first quarter of 2022. </w:t>
      </w:r>
    </w:p>
    <w:p w14:paraId="5C1519DF" w14:textId="77777777" w:rsidR="00000000" w:rsidRDefault="001F1B20">
      <w:pPr>
        <w:pStyle w:val="a3"/>
        <w:spacing w:before="0" w:beforeAutospacing="0" w:after="0" w:afterAutospacing="0"/>
        <w:ind w:firstLine="720"/>
        <w:divId w:val="627393660"/>
        <w:rPr>
          <w:sz w:val="20"/>
          <w:szCs w:val="20"/>
        </w:rPr>
      </w:pPr>
      <w:r>
        <w:rPr>
          <w:sz w:val="20"/>
          <w:szCs w:val="20"/>
        </w:rPr>
        <w:t>​</w:t>
      </w:r>
    </w:p>
    <w:p w14:paraId="308E71D4" w14:textId="77777777" w:rsidR="00000000" w:rsidRDefault="001F1B20">
      <w:pPr>
        <w:pStyle w:val="a3"/>
        <w:spacing w:before="0" w:beforeAutospacing="0" w:after="0" w:afterAutospacing="0"/>
        <w:ind w:firstLine="720"/>
        <w:divId w:val="627393660"/>
        <w:rPr>
          <w:sz w:val="20"/>
          <w:szCs w:val="20"/>
        </w:rPr>
      </w:pPr>
      <w:r>
        <w:rPr>
          <w:sz w:val="20"/>
          <w:szCs w:val="20"/>
        </w:rPr>
        <w:t>Collaboration revenue is recognized for the research and development services based on a measure of the Company’s efforts toward satisfying the performance obligation relative to the total expected efforts or i</w:t>
      </w:r>
      <w:r>
        <w:rPr>
          <w:sz w:val="20"/>
          <w:szCs w:val="20"/>
        </w:rPr>
        <w:t>nputs to satisfy the performance obligation (e.g., costs incurred compared to total budget). Consequently, delays in trial activity and/or changes to the total budget will impact the timing and amount of revenue recognized in any given reporting period. Fo</w:t>
      </w:r>
      <w:r>
        <w:rPr>
          <w:sz w:val="20"/>
          <w:szCs w:val="20"/>
        </w:rPr>
        <w:t xml:space="preserve">r the three and </w:t>
      </w:r>
    </w:p>
    <w:p w14:paraId="63B1A87B" w14:textId="77777777" w:rsidR="00000000" w:rsidRDefault="001F1B20">
      <w:pPr>
        <w:pStyle w:val="a3"/>
        <w:spacing w:before="360" w:beforeAutospacing="0" w:after="0" w:afterAutospacing="0"/>
        <w:jc w:val="center"/>
        <w:divId w:val="1799299248"/>
        <w:rPr>
          <w:sz w:val="20"/>
          <w:szCs w:val="20"/>
        </w:rPr>
      </w:pPr>
      <w:r>
        <w:rPr>
          <w:sz w:val="20"/>
          <w:szCs w:val="20"/>
        </w:rPr>
        <w:t>9</w:t>
      </w:r>
    </w:p>
    <w:p w14:paraId="3199680D" w14:textId="77777777" w:rsidR="00000000" w:rsidRDefault="001F1B20">
      <w:pPr>
        <w:pStyle w:val="a3"/>
        <w:spacing w:before="0" w:beforeAutospacing="0" w:after="600" w:afterAutospacing="0"/>
        <w:divId w:val="842165167"/>
        <w:rPr>
          <w:sz w:val="20"/>
          <w:szCs w:val="20"/>
        </w:rPr>
      </w:pPr>
      <w:hyperlink w:anchor="TOC" w:history="1">
        <w:r>
          <w:rPr>
            <w:rStyle w:val="a4"/>
            <w:sz w:val="20"/>
            <w:szCs w:val="20"/>
          </w:rPr>
          <w:t>Table of Contents</w:t>
        </w:r>
      </w:hyperlink>
    </w:p>
    <w:p w14:paraId="65398DBE" w14:textId="77777777" w:rsidR="00000000" w:rsidRDefault="001F1B20">
      <w:pPr>
        <w:pStyle w:val="a3"/>
        <w:spacing w:before="0" w:beforeAutospacing="0" w:after="0" w:afterAutospacing="0"/>
        <w:divId w:val="1345739578"/>
        <w:rPr>
          <w:sz w:val="20"/>
          <w:szCs w:val="20"/>
        </w:rPr>
      </w:pPr>
      <w:r>
        <w:rPr>
          <w:sz w:val="20"/>
          <w:szCs w:val="20"/>
        </w:rPr>
        <w:t>nine months ended September 30, 2021, the Company incurred $4.7 million and $18.3 million, respectively, in research and development costs related to the Janssen Agreement. For the three and ni</w:t>
      </w:r>
      <w:r>
        <w:rPr>
          <w:sz w:val="20"/>
          <w:szCs w:val="20"/>
        </w:rPr>
        <w:t>ne months ended September 30, 2020, the Company incurred $9.8 million and $29.0 million, respectively, in research and development costs related to the Janssen Agreement. In future reporting periods, the Company will reevaluate the estimates related to its</w:t>
      </w:r>
      <w:r>
        <w:rPr>
          <w:sz w:val="20"/>
          <w:szCs w:val="20"/>
        </w:rPr>
        <w:t xml:space="preserve"> efforts towards satisfying the performance obligation and may record a change in estimate if deemed necessary.</w:t>
      </w:r>
    </w:p>
    <w:p w14:paraId="6BFF95C0" w14:textId="77777777" w:rsidR="00000000" w:rsidRDefault="001F1B20">
      <w:pPr>
        <w:pStyle w:val="a3"/>
        <w:spacing w:before="0" w:beforeAutospacing="0" w:after="0" w:afterAutospacing="0"/>
        <w:ind w:firstLine="720"/>
        <w:divId w:val="1345739578"/>
        <w:rPr>
          <w:sz w:val="20"/>
          <w:szCs w:val="20"/>
        </w:rPr>
      </w:pPr>
      <w:r>
        <w:rPr>
          <w:sz w:val="20"/>
          <w:szCs w:val="20"/>
        </w:rPr>
        <w:t>​</w:t>
      </w:r>
    </w:p>
    <w:p w14:paraId="4720DDE3" w14:textId="77777777" w:rsidR="00000000" w:rsidRDefault="001F1B20">
      <w:pPr>
        <w:pStyle w:val="a3"/>
        <w:shd w:val="clear" w:color="auto" w:fill="FFFFFF"/>
        <w:spacing w:before="0" w:beforeAutospacing="0" w:after="0" w:afterAutospacing="0"/>
        <w:divId w:val="1345739578"/>
        <w:rPr>
          <w:sz w:val="20"/>
          <w:szCs w:val="20"/>
        </w:rPr>
      </w:pPr>
      <w:r>
        <w:rPr>
          <w:b/>
          <w:bCs/>
          <w:i/>
          <w:iCs/>
          <w:sz w:val="20"/>
          <w:szCs w:val="20"/>
        </w:rPr>
        <w:t>Viatris</w:t>
      </w:r>
    </w:p>
    <w:p w14:paraId="52ED201C" w14:textId="77777777" w:rsidR="00000000" w:rsidRDefault="001F1B20">
      <w:pPr>
        <w:pStyle w:val="a3"/>
        <w:spacing w:before="0" w:beforeAutospacing="0" w:after="0" w:afterAutospacing="0"/>
        <w:divId w:val="1345739578"/>
        <w:rPr>
          <w:sz w:val="20"/>
          <w:szCs w:val="20"/>
        </w:rPr>
      </w:pPr>
      <w:r>
        <w:rPr>
          <w:sz w:val="20"/>
          <w:szCs w:val="20"/>
        </w:rPr>
        <w:t>​</w:t>
      </w:r>
    </w:p>
    <w:p w14:paraId="6DF5B96C" w14:textId="77777777" w:rsidR="00000000" w:rsidRDefault="001F1B20">
      <w:pPr>
        <w:pStyle w:val="a3"/>
        <w:spacing w:before="0" w:beforeAutospacing="0" w:after="0" w:afterAutospacing="0"/>
        <w:ind w:firstLine="720"/>
        <w:divId w:val="1345739578"/>
        <w:rPr>
          <w:sz w:val="20"/>
          <w:szCs w:val="20"/>
        </w:rPr>
      </w:pPr>
      <w:r>
        <w:rPr>
          <w:sz w:val="20"/>
          <w:szCs w:val="20"/>
        </w:rPr>
        <w:t>In January 2015, the Company and Viatris Inc. (formerly, Mylan Ireland Limited) (“Viatris”) established a strategic collaboration (t</w:t>
      </w:r>
      <w:r>
        <w:rPr>
          <w:sz w:val="20"/>
          <w:szCs w:val="20"/>
        </w:rPr>
        <w:t>he “Viatris Agreement”) for the development and commercialization of revefenacin, including YUPELR</w:t>
      </w:r>
      <w:r>
        <w:rPr>
          <w:sz w:val="20"/>
          <w:szCs w:val="20"/>
        </w:rPr>
        <w:t>I</w:t>
      </w:r>
      <w:r>
        <w:rPr>
          <w:sz w:val="15"/>
          <w:szCs w:val="15"/>
          <w:vertAlign w:val="superscript"/>
        </w:rPr>
        <w:t>®</w:t>
      </w:r>
      <w:r>
        <w:rPr>
          <w:sz w:val="20"/>
          <w:szCs w:val="20"/>
        </w:rPr>
        <w:t xml:space="preserve"> (revefenacin) inhalation solution. The Company entered into the collaboration to expand the breadth of its revefenacin development program and extend its c</w:t>
      </w:r>
      <w:r>
        <w:rPr>
          <w:sz w:val="20"/>
          <w:szCs w:val="20"/>
        </w:rPr>
        <w:t>ommercial reach beyond the hospital setting.</w:t>
      </w:r>
    </w:p>
    <w:p w14:paraId="06D7499E" w14:textId="77777777" w:rsidR="00000000" w:rsidRDefault="001F1B20">
      <w:pPr>
        <w:pStyle w:val="a3"/>
        <w:spacing w:before="0" w:beforeAutospacing="0" w:after="0" w:afterAutospacing="0"/>
        <w:divId w:val="1345739578"/>
        <w:rPr>
          <w:sz w:val="20"/>
          <w:szCs w:val="20"/>
        </w:rPr>
      </w:pPr>
      <w:r>
        <w:rPr>
          <w:sz w:val="20"/>
          <w:szCs w:val="20"/>
        </w:rPr>
        <w:t>​</w:t>
      </w:r>
    </w:p>
    <w:p w14:paraId="0C2FDCBD" w14:textId="77777777" w:rsidR="00000000" w:rsidRDefault="001F1B20">
      <w:pPr>
        <w:pStyle w:val="a3"/>
        <w:spacing w:before="0" w:beforeAutospacing="0" w:after="0" w:afterAutospacing="0"/>
        <w:ind w:firstLine="720"/>
        <w:divId w:val="1345739578"/>
        <w:rPr>
          <w:sz w:val="20"/>
          <w:szCs w:val="20"/>
        </w:rPr>
      </w:pPr>
      <w:r>
        <w:rPr>
          <w:sz w:val="20"/>
          <w:szCs w:val="20"/>
        </w:rPr>
        <w:t xml:space="preserve">As of September 30, 2021, the Company is eligible to receive from Viatris potential global (ex-China and </w:t>
      </w:r>
      <w:r>
        <w:rPr>
          <w:sz w:val="20"/>
          <w:szCs w:val="20"/>
          <w:shd w:val="clear" w:color="auto" w:fill="FFFFFF"/>
        </w:rPr>
        <w:t>adjacent territories)</w:t>
      </w:r>
      <w:r>
        <w:rPr>
          <w:sz w:val="20"/>
          <w:szCs w:val="20"/>
        </w:rPr>
        <w:t xml:space="preserve"> development, regulatory and sales milestone payments totaling up to $205.0 million</w:t>
      </w:r>
      <w:r>
        <w:rPr>
          <w:sz w:val="20"/>
          <w:szCs w:val="20"/>
        </w:rPr>
        <w:t xml:space="preserve"> in the aggregate, with $160.0 million associated with YUPELRI monotherapy, and $45.0 million associated with future potential combination products. Of the $160.0 million associated with monotherapy, $150.0 million relates to sales milestones based on achi</w:t>
      </w:r>
      <w:r>
        <w:rPr>
          <w:sz w:val="20"/>
          <w:szCs w:val="20"/>
        </w:rPr>
        <w:t>eving certain levels of net sales and $10.0 million relates to regulatory actions in the European Union (“EU”). The $45.0 million associated with future potential combination products relates solely to development and regulatory actions.</w:t>
      </w:r>
    </w:p>
    <w:p w14:paraId="2333E3D4" w14:textId="77777777" w:rsidR="00000000" w:rsidRDefault="001F1B20">
      <w:pPr>
        <w:pStyle w:val="a3"/>
        <w:spacing w:before="0" w:beforeAutospacing="0" w:after="0" w:afterAutospacing="0"/>
        <w:ind w:firstLine="720"/>
        <w:divId w:val="1345739578"/>
        <w:rPr>
          <w:sz w:val="20"/>
          <w:szCs w:val="20"/>
        </w:rPr>
      </w:pPr>
      <w:r>
        <w:rPr>
          <w:sz w:val="20"/>
          <w:szCs w:val="20"/>
        </w:rPr>
        <w:t>​</w:t>
      </w:r>
    </w:p>
    <w:p w14:paraId="18B7F317" w14:textId="77777777" w:rsidR="00000000" w:rsidRDefault="001F1B20">
      <w:pPr>
        <w:pStyle w:val="a3"/>
        <w:spacing w:before="0" w:beforeAutospacing="0" w:after="0" w:afterAutospacing="0"/>
        <w:ind w:firstLine="720"/>
        <w:divId w:val="1345739578"/>
        <w:rPr>
          <w:sz w:val="20"/>
          <w:szCs w:val="20"/>
        </w:rPr>
      </w:pPr>
      <w:r>
        <w:rPr>
          <w:sz w:val="20"/>
          <w:szCs w:val="20"/>
        </w:rPr>
        <w:t>The Viatris Agre</w:t>
      </w:r>
      <w:r>
        <w:rPr>
          <w:sz w:val="20"/>
          <w:szCs w:val="20"/>
        </w:rPr>
        <w:t>ement is considered to be within the scope of ASC 808 and partially within the scope of ASC 606, as the parties are active participants and exposed to the risks and rewards of the collaborative activity with a unit of account provided to Viatris as a custo</w:t>
      </w:r>
      <w:r>
        <w:rPr>
          <w:sz w:val="20"/>
          <w:szCs w:val="20"/>
        </w:rPr>
        <w:t>mer. Under the terms of the Viatris Agreement, which included the delivery by the Company of a license to Viatris to develop and commercialize revefenacin in exchange for $15.0 million received in 2015, Viatris was responsible for reimbursement of the Comp</w:t>
      </w:r>
      <w:r>
        <w:rPr>
          <w:sz w:val="20"/>
          <w:szCs w:val="20"/>
        </w:rPr>
        <w:t>any’s costs related to the registrational program up until the approval of the first new drug application in November 2018, thereafter, R&amp;D expenses are shared. Performing R&amp;D services for reimbursement is considered to be a collaborative activity under th</w:t>
      </w:r>
      <w:r>
        <w:rPr>
          <w:sz w:val="20"/>
          <w:szCs w:val="20"/>
        </w:rPr>
        <w:t>e scope of ASC 808. Reimbursable program costs are recognized proportionately with the performance of the underlying services and accounted for as reductions to R&amp;D expense. For this unit of account, the Company did not recognize revenue or analogize to AS</w:t>
      </w:r>
      <w:r>
        <w:rPr>
          <w:sz w:val="20"/>
          <w:szCs w:val="20"/>
        </w:rPr>
        <w:t>C 606 and, as such, the reimbursable program costs are excluded from the transaction price. The Company determined the license to develop and commercialize revefenacin to be a unit of account and a separate performance obligation for which Viatris is a cus</w:t>
      </w:r>
      <w:r>
        <w:rPr>
          <w:sz w:val="20"/>
          <w:szCs w:val="20"/>
        </w:rPr>
        <w:t>tomer with the $15.0 million for the delivery of the license as the transaction price.</w:t>
      </w:r>
    </w:p>
    <w:p w14:paraId="63F5803C" w14:textId="77777777" w:rsidR="00000000" w:rsidRDefault="001F1B20">
      <w:pPr>
        <w:pStyle w:val="a3"/>
        <w:spacing w:before="0" w:beforeAutospacing="0" w:after="0" w:afterAutospacing="0"/>
        <w:divId w:val="1345739578"/>
        <w:rPr>
          <w:sz w:val="20"/>
          <w:szCs w:val="20"/>
        </w:rPr>
      </w:pPr>
      <w:r>
        <w:rPr>
          <w:sz w:val="20"/>
          <w:szCs w:val="20"/>
        </w:rPr>
        <w:t>​</w:t>
      </w:r>
    </w:p>
    <w:p w14:paraId="5C45778E" w14:textId="77777777" w:rsidR="00000000" w:rsidRDefault="001F1B20">
      <w:pPr>
        <w:pStyle w:val="a3"/>
        <w:spacing w:before="0" w:beforeAutospacing="0" w:after="0" w:afterAutospacing="0"/>
        <w:ind w:firstLine="720"/>
        <w:divId w:val="1345739578"/>
        <w:rPr>
          <w:sz w:val="20"/>
          <w:szCs w:val="20"/>
        </w:rPr>
      </w:pPr>
      <w:r>
        <w:rPr>
          <w:sz w:val="20"/>
          <w:szCs w:val="20"/>
        </w:rPr>
        <w:t>The future potential milestone amounts for</w:t>
      </w:r>
      <w:r>
        <w:rPr>
          <w:color w:val="FF0000"/>
          <w:sz w:val="20"/>
          <w:szCs w:val="20"/>
        </w:rPr>
        <w:t xml:space="preserve"> </w:t>
      </w:r>
      <w:r>
        <w:rPr>
          <w:sz w:val="20"/>
          <w:szCs w:val="20"/>
        </w:rPr>
        <w:t>the Viatris Agreement were not included in the transaction price, as they were all determined to be fully constrained follow</w:t>
      </w:r>
      <w:r>
        <w:rPr>
          <w:sz w:val="20"/>
          <w:szCs w:val="20"/>
        </w:rPr>
        <w:t>ing the concepts of ASC 606. As part of the Company’s evaluation of the development and regulatory milestones constraint, the Company determined that the achievement of such milestones is contingent upon success in future clinical trials and regulatory app</w:t>
      </w:r>
      <w:r>
        <w:rPr>
          <w:sz w:val="20"/>
          <w:szCs w:val="20"/>
        </w:rPr>
        <w:t xml:space="preserve">rovals which are not within its control and uncertain at this stage. The Company expects that the sales-based milestone payments and royalty arrangements will be recognized when the sales occur or the milestone is achieved. </w:t>
      </w:r>
    </w:p>
    <w:p w14:paraId="700862CB" w14:textId="77777777" w:rsidR="00000000" w:rsidRDefault="001F1B20">
      <w:pPr>
        <w:pStyle w:val="a3"/>
        <w:spacing w:before="0" w:beforeAutospacing="0" w:after="0" w:afterAutospacing="0"/>
        <w:divId w:val="1345739578"/>
        <w:rPr>
          <w:sz w:val="20"/>
          <w:szCs w:val="20"/>
        </w:rPr>
      </w:pPr>
      <w:r>
        <w:rPr>
          <w:sz w:val="20"/>
          <w:szCs w:val="20"/>
        </w:rPr>
        <w:t>​</w:t>
      </w:r>
    </w:p>
    <w:p w14:paraId="0CC2E848" w14:textId="77777777" w:rsidR="00000000" w:rsidRDefault="001F1B20">
      <w:pPr>
        <w:pStyle w:val="a3"/>
        <w:spacing w:before="0" w:beforeAutospacing="0" w:after="0" w:afterAutospacing="0"/>
        <w:ind w:firstLine="720"/>
        <w:divId w:val="1345739578"/>
        <w:rPr>
          <w:sz w:val="20"/>
          <w:szCs w:val="20"/>
        </w:rPr>
      </w:pPr>
      <w:r>
        <w:rPr>
          <w:sz w:val="20"/>
          <w:szCs w:val="20"/>
        </w:rPr>
        <w:t xml:space="preserve">The Company is also entitled </w:t>
      </w:r>
      <w:r>
        <w:rPr>
          <w:sz w:val="20"/>
          <w:szCs w:val="20"/>
        </w:rPr>
        <w:t>to a share of US profits and losses (65% to Viatris; 35% to Theravance Biopharma) received in connection with commercialization of YUPELRI, and the Company is entitled to low double-digit tiered royalties on ex-US net sales. Viatris is the principal in the</w:t>
      </w:r>
      <w:r>
        <w:rPr>
          <w:sz w:val="20"/>
          <w:szCs w:val="20"/>
        </w:rPr>
        <w:t xml:space="preserve"> sales transactions, and as a result, the Company does not reflect the product sales in its condensed consolidated financial statements.</w:t>
      </w:r>
    </w:p>
    <w:p w14:paraId="2C55C03D" w14:textId="77777777" w:rsidR="00000000" w:rsidRDefault="001F1B20">
      <w:pPr>
        <w:pStyle w:val="a3"/>
        <w:spacing w:before="0" w:beforeAutospacing="0" w:after="0" w:afterAutospacing="0"/>
        <w:ind w:firstLine="720"/>
        <w:divId w:val="1345739578"/>
        <w:rPr>
          <w:sz w:val="20"/>
          <w:szCs w:val="20"/>
        </w:rPr>
      </w:pPr>
      <w:r>
        <w:rPr>
          <w:sz w:val="20"/>
          <w:szCs w:val="20"/>
        </w:rPr>
        <w:t>​</w:t>
      </w:r>
    </w:p>
    <w:p w14:paraId="70BCB2D5" w14:textId="77777777" w:rsidR="00000000" w:rsidRDefault="001F1B20">
      <w:pPr>
        <w:pStyle w:val="a3"/>
        <w:spacing w:before="0" w:beforeAutospacing="0" w:after="0" w:afterAutospacing="0"/>
        <w:ind w:firstLine="720"/>
        <w:divId w:val="1345739578"/>
        <w:rPr>
          <w:sz w:val="20"/>
          <w:szCs w:val="20"/>
        </w:rPr>
      </w:pPr>
      <w:r>
        <w:rPr>
          <w:sz w:val="20"/>
          <w:szCs w:val="20"/>
        </w:rPr>
        <w:t>Following the US Food and Drug Administration (“FDA”</w:t>
      </w:r>
      <w:r>
        <w:rPr>
          <w:sz w:val="20"/>
          <w:szCs w:val="20"/>
        </w:rPr>
        <w:t xml:space="preserve">) approval of YUPELRI in November 2018, net amounts payable to or receivable from Viatris each quarter under the profit-sharing structure are disaggregated according to their individual components. </w:t>
      </w:r>
      <w:r>
        <w:rPr>
          <w:sz w:val="20"/>
          <w:szCs w:val="20"/>
          <w:shd w:val="clear" w:color="auto" w:fill="FFFFFF"/>
        </w:rPr>
        <w:t>In accordance with the applicable accounting guidance, amo</w:t>
      </w:r>
      <w:r>
        <w:rPr>
          <w:sz w:val="20"/>
          <w:szCs w:val="20"/>
          <w:shd w:val="clear" w:color="auto" w:fill="FFFFFF"/>
        </w:rPr>
        <w:t>unts receivable</w:t>
      </w:r>
      <w:r>
        <w:rPr>
          <w:sz w:val="20"/>
          <w:szCs w:val="20"/>
        </w:rPr>
        <w:t xml:space="preserve"> from Viatris in connection with the commercialization of YUPELRI are recorded within the condensed consolidated statements of operations as revenue from “Viatris collaboration agreement” irrespective of whether the overall collaboration is </w:t>
      </w:r>
      <w:r>
        <w:rPr>
          <w:sz w:val="20"/>
          <w:szCs w:val="20"/>
        </w:rPr>
        <w:t>profitable. A</w:t>
      </w:r>
      <w:r>
        <w:rPr>
          <w:sz w:val="20"/>
          <w:szCs w:val="20"/>
          <w:shd w:val="clear" w:color="auto" w:fill="FFFFFF"/>
        </w:rPr>
        <w:t>mounts payable to Viatris, if any, in connection with the commercialization of YUPELRI are recorded within the condensed consolidated statements of operations as a collaboration loss within selling, general and administrative expenses. Any rei</w:t>
      </w:r>
      <w:r>
        <w:rPr>
          <w:sz w:val="20"/>
          <w:szCs w:val="20"/>
          <w:shd w:val="clear" w:color="auto" w:fill="FFFFFF"/>
        </w:rPr>
        <w:t xml:space="preserve">mbursement from Viatris attributed to the 65% cost-sharing of the Company’s R&amp;D expenses is characterized as a </w:t>
      </w:r>
    </w:p>
    <w:p w14:paraId="12258AF2" w14:textId="77777777" w:rsidR="00000000" w:rsidRDefault="001F1B20">
      <w:pPr>
        <w:pStyle w:val="a3"/>
        <w:spacing w:before="360" w:beforeAutospacing="0" w:after="0" w:afterAutospacing="0"/>
        <w:jc w:val="center"/>
        <w:divId w:val="1801848851"/>
        <w:rPr>
          <w:sz w:val="20"/>
          <w:szCs w:val="20"/>
        </w:rPr>
      </w:pPr>
      <w:r>
        <w:rPr>
          <w:sz w:val="20"/>
          <w:szCs w:val="20"/>
        </w:rPr>
        <w:t>10</w:t>
      </w:r>
    </w:p>
    <w:p w14:paraId="4550193D" w14:textId="77777777" w:rsidR="00000000" w:rsidRDefault="001F1B20">
      <w:pPr>
        <w:pStyle w:val="a3"/>
        <w:spacing w:before="0" w:beforeAutospacing="0" w:after="600" w:afterAutospacing="0"/>
        <w:divId w:val="1926568740"/>
        <w:rPr>
          <w:sz w:val="20"/>
          <w:szCs w:val="20"/>
        </w:rPr>
      </w:pPr>
      <w:hyperlink w:anchor="TOC" w:history="1">
        <w:r>
          <w:rPr>
            <w:rStyle w:val="a4"/>
            <w:sz w:val="20"/>
            <w:szCs w:val="20"/>
          </w:rPr>
          <w:t>Table of Contents</w:t>
        </w:r>
      </w:hyperlink>
    </w:p>
    <w:p w14:paraId="2CE52343" w14:textId="77777777" w:rsidR="00000000" w:rsidRDefault="001F1B20">
      <w:pPr>
        <w:pStyle w:val="a3"/>
        <w:spacing w:before="0" w:beforeAutospacing="0" w:after="0" w:afterAutospacing="0"/>
        <w:divId w:val="1388529006"/>
        <w:rPr>
          <w:sz w:val="20"/>
          <w:szCs w:val="20"/>
        </w:rPr>
      </w:pPr>
      <w:r>
        <w:rPr>
          <w:sz w:val="20"/>
          <w:szCs w:val="20"/>
          <w:shd w:val="clear" w:color="auto" w:fill="FFFFFF"/>
        </w:rPr>
        <w:t>reduction of R&amp;D expense, as the Company does not consider performing research and development se</w:t>
      </w:r>
      <w:r>
        <w:rPr>
          <w:sz w:val="20"/>
          <w:szCs w:val="20"/>
          <w:shd w:val="clear" w:color="auto" w:fill="FFFFFF"/>
        </w:rPr>
        <w:t xml:space="preserve">rvices for reimbursement to be a part of its ordinary activities. </w:t>
      </w:r>
    </w:p>
    <w:p w14:paraId="6D867C9B" w14:textId="77777777" w:rsidR="00000000" w:rsidRDefault="001F1B20">
      <w:pPr>
        <w:pStyle w:val="a3"/>
        <w:spacing w:before="0" w:beforeAutospacing="0" w:after="0" w:afterAutospacing="0"/>
        <w:ind w:firstLine="720"/>
        <w:divId w:val="1388529006"/>
        <w:rPr>
          <w:sz w:val="20"/>
          <w:szCs w:val="20"/>
        </w:rPr>
      </w:pPr>
      <w:r>
        <w:rPr>
          <w:sz w:val="20"/>
          <w:szCs w:val="20"/>
          <w:shd w:val="clear" w:color="auto" w:fill="FFFFFF"/>
        </w:rPr>
        <w:t>​</w:t>
      </w:r>
    </w:p>
    <w:p w14:paraId="5B673A25" w14:textId="77777777" w:rsidR="00000000" w:rsidRDefault="001F1B20">
      <w:pPr>
        <w:pStyle w:val="a3"/>
        <w:spacing w:before="0" w:beforeAutospacing="0" w:after="0" w:afterAutospacing="0"/>
        <w:ind w:firstLine="720"/>
        <w:divId w:val="1388529006"/>
        <w:rPr>
          <w:sz w:val="20"/>
          <w:szCs w:val="20"/>
        </w:rPr>
      </w:pPr>
      <w:r>
        <w:rPr>
          <w:sz w:val="20"/>
          <w:szCs w:val="20"/>
        </w:rPr>
        <w:t>The following YUPELRI-related amounts were recognized within revenue in the Company’s condensed consolidated statements of operations:</w:t>
      </w:r>
    </w:p>
    <w:p w14:paraId="222E96C1" w14:textId="77777777" w:rsidR="00000000" w:rsidRDefault="001F1B20">
      <w:pPr>
        <w:pStyle w:val="a3"/>
        <w:spacing w:before="0" w:beforeAutospacing="0" w:after="0" w:afterAutospacing="0"/>
        <w:ind w:firstLine="720"/>
        <w:divId w:val="138852900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34"/>
        <w:gridCol w:w="143"/>
        <w:gridCol w:w="141"/>
        <w:gridCol w:w="610"/>
        <w:gridCol w:w="141"/>
        <w:gridCol w:w="141"/>
        <w:gridCol w:w="610"/>
        <w:gridCol w:w="141"/>
        <w:gridCol w:w="141"/>
        <w:gridCol w:w="610"/>
        <w:gridCol w:w="142"/>
        <w:gridCol w:w="142"/>
        <w:gridCol w:w="610"/>
      </w:tblGrid>
      <w:tr w:rsidR="00000000" w14:paraId="1C9452CD" w14:textId="77777777">
        <w:trPr>
          <w:divId w:val="1388529006"/>
          <w:trHeight w:val="20"/>
        </w:trPr>
        <w:tc>
          <w:tcPr>
            <w:tcW w:w="2852" w:type="pct"/>
            <w:tcMar>
              <w:top w:w="0" w:type="dxa"/>
              <w:left w:w="0" w:type="dxa"/>
              <w:bottom w:w="0" w:type="dxa"/>
              <w:right w:w="0" w:type="dxa"/>
            </w:tcMar>
            <w:vAlign w:val="center"/>
            <w:hideMark/>
          </w:tcPr>
          <w:p w14:paraId="705A2082" w14:textId="77777777" w:rsidR="00000000" w:rsidRDefault="001F1B20">
            <w:pPr>
              <w:pStyle w:val="a3"/>
              <w:spacing w:before="0" w:beforeAutospacing="0" w:after="0" w:afterAutospacing="0"/>
              <w:divId w:val="1330407727"/>
              <w:rPr>
                <w:sz w:val="20"/>
                <w:szCs w:val="20"/>
              </w:rPr>
            </w:pPr>
            <w:r>
              <w:rPr>
                <w:sz w:val="2"/>
                <w:szCs w:val="2"/>
              </w:rPr>
              <w:t>​</w:t>
            </w:r>
          </w:p>
        </w:tc>
        <w:tc>
          <w:tcPr>
            <w:tcW w:w="90" w:type="pct"/>
            <w:tcMar>
              <w:top w:w="0" w:type="dxa"/>
              <w:left w:w="0" w:type="dxa"/>
              <w:bottom w:w="0" w:type="dxa"/>
              <w:right w:w="0" w:type="dxa"/>
            </w:tcMar>
            <w:vAlign w:val="bottom"/>
            <w:hideMark/>
          </w:tcPr>
          <w:p w14:paraId="4C9E167C" w14:textId="77777777" w:rsidR="00000000" w:rsidRDefault="001F1B20">
            <w:pPr>
              <w:pStyle w:val="a3"/>
              <w:spacing w:before="0" w:beforeAutospacing="0" w:after="0" w:afterAutospacing="0"/>
              <w:divId w:val="1390618256"/>
              <w:rPr>
                <w:sz w:val="20"/>
                <w:szCs w:val="20"/>
              </w:rPr>
            </w:pPr>
            <w:r>
              <w:rPr>
                <w:sz w:val="2"/>
                <w:szCs w:val="2"/>
              </w:rPr>
              <w:t>​</w:t>
            </w:r>
          </w:p>
        </w:tc>
        <w:tc>
          <w:tcPr>
            <w:tcW w:w="89" w:type="pct"/>
            <w:noWrap/>
            <w:tcMar>
              <w:top w:w="0" w:type="dxa"/>
              <w:left w:w="0" w:type="dxa"/>
              <w:bottom w:w="0" w:type="dxa"/>
              <w:right w:w="0" w:type="dxa"/>
            </w:tcMar>
            <w:vAlign w:val="bottom"/>
            <w:hideMark/>
          </w:tcPr>
          <w:p w14:paraId="67D1653E" w14:textId="77777777" w:rsidR="00000000" w:rsidRDefault="001F1B20">
            <w:pPr>
              <w:pStyle w:val="a3"/>
              <w:spacing w:before="0" w:beforeAutospacing="0" w:after="0" w:afterAutospacing="0"/>
              <w:divId w:val="700712051"/>
              <w:rPr>
                <w:sz w:val="20"/>
                <w:szCs w:val="20"/>
              </w:rPr>
            </w:pPr>
            <w:r>
              <w:rPr>
                <w:sz w:val="2"/>
                <w:szCs w:val="2"/>
              </w:rPr>
              <w:t>​</w:t>
            </w:r>
          </w:p>
        </w:tc>
        <w:tc>
          <w:tcPr>
            <w:tcW w:w="357" w:type="pct"/>
            <w:noWrap/>
            <w:tcMar>
              <w:top w:w="0" w:type="dxa"/>
              <w:left w:w="0" w:type="dxa"/>
              <w:bottom w:w="0" w:type="dxa"/>
              <w:right w:w="0" w:type="dxa"/>
            </w:tcMar>
            <w:vAlign w:val="bottom"/>
            <w:hideMark/>
          </w:tcPr>
          <w:p w14:paraId="6725DF53" w14:textId="77777777" w:rsidR="00000000" w:rsidRDefault="001F1B20">
            <w:pPr>
              <w:pStyle w:val="a3"/>
              <w:spacing w:before="0" w:beforeAutospacing="0" w:after="0" w:afterAutospacing="0"/>
              <w:divId w:val="822506425"/>
              <w:rPr>
                <w:sz w:val="20"/>
                <w:szCs w:val="20"/>
              </w:rPr>
            </w:pPr>
            <w:r>
              <w:rPr>
                <w:sz w:val="2"/>
                <w:szCs w:val="2"/>
              </w:rPr>
              <w:t>​</w:t>
            </w:r>
          </w:p>
        </w:tc>
        <w:tc>
          <w:tcPr>
            <w:tcW w:w="89" w:type="pct"/>
            <w:noWrap/>
            <w:tcMar>
              <w:top w:w="0" w:type="dxa"/>
              <w:left w:w="0" w:type="dxa"/>
              <w:bottom w:w="0" w:type="dxa"/>
              <w:right w:w="0" w:type="dxa"/>
            </w:tcMar>
            <w:vAlign w:val="bottom"/>
            <w:hideMark/>
          </w:tcPr>
          <w:p w14:paraId="32F57142" w14:textId="77777777" w:rsidR="00000000" w:rsidRDefault="001F1B20">
            <w:pPr>
              <w:pStyle w:val="a3"/>
              <w:spacing w:before="0" w:beforeAutospacing="0" w:after="0" w:afterAutospacing="0"/>
              <w:divId w:val="1686858006"/>
              <w:rPr>
                <w:sz w:val="20"/>
                <w:szCs w:val="20"/>
              </w:rPr>
            </w:pPr>
            <w:r>
              <w:rPr>
                <w:sz w:val="2"/>
                <w:szCs w:val="2"/>
              </w:rPr>
              <w:t>​</w:t>
            </w:r>
          </w:p>
        </w:tc>
        <w:tc>
          <w:tcPr>
            <w:tcW w:w="89" w:type="pct"/>
            <w:noWrap/>
            <w:tcMar>
              <w:top w:w="0" w:type="dxa"/>
              <w:left w:w="0" w:type="dxa"/>
              <w:bottom w:w="0" w:type="dxa"/>
              <w:right w:w="0" w:type="dxa"/>
            </w:tcMar>
            <w:vAlign w:val="bottom"/>
            <w:hideMark/>
          </w:tcPr>
          <w:p w14:paraId="0D06BF5B" w14:textId="77777777" w:rsidR="00000000" w:rsidRDefault="001F1B20">
            <w:pPr>
              <w:pStyle w:val="a3"/>
              <w:spacing w:before="0" w:beforeAutospacing="0" w:after="0" w:afterAutospacing="0"/>
              <w:divId w:val="1878857749"/>
              <w:rPr>
                <w:sz w:val="20"/>
                <w:szCs w:val="20"/>
              </w:rPr>
            </w:pPr>
            <w:r>
              <w:rPr>
                <w:sz w:val="2"/>
                <w:szCs w:val="2"/>
              </w:rPr>
              <w:t>​</w:t>
            </w:r>
          </w:p>
        </w:tc>
        <w:tc>
          <w:tcPr>
            <w:tcW w:w="357" w:type="pct"/>
            <w:noWrap/>
            <w:tcMar>
              <w:top w:w="0" w:type="dxa"/>
              <w:left w:w="0" w:type="dxa"/>
              <w:bottom w:w="0" w:type="dxa"/>
              <w:right w:w="0" w:type="dxa"/>
            </w:tcMar>
            <w:vAlign w:val="bottom"/>
            <w:hideMark/>
          </w:tcPr>
          <w:p w14:paraId="56E7B962" w14:textId="77777777" w:rsidR="00000000" w:rsidRDefault="001F1B20">
            <w:pPr>
              <w:pStyle w:val="a3"/>
              <w:spacing w:before="0" w:beforeAutospacing="0" w:after="0" w:afterAutospacing="0"/>
              <w:divId w:val="833842812"/>
              <w:rPr>
                <w:sz w:val="20"/>
                <w:szCs w:val="20"/>
              </w:rPr>
            </w:pPr>
            <w:r>
              <w:rPr>
                <w:sz w:val="2"/>
                <w:szCs w:val="2"/>
              </w:rPr>
              <w:t>​</w:t>
            </w:r>
          </w:p>
        </w:tc>
        <w:tc>
          <w:tcPr>
            <w:tcW w:w="89" w:type="pct"/>
            <w:noWrap/>
            <w:tcMar>
              <w:top w:w="0" w:type="dxa"/>
              <w:left w:w="0" w:type="dxa"/>
              <w:bottom w:w="0" w:type="dxa"/>
              <w:right w:w="0" w:type="dxa"/>
            </w:tcMar>
            <w:vAlign w:val="bottom"/>
            <w:hideMark/>
          </w:tcPr>
          <w:p w14:paraId="12BFCEB4" w14:textId="77777777" w:rsidR="00000000" w:rsidRDefault="001F1B20">
            <w:pPr>
              <w:pStyle w:val="a3"/>
              <w:spacing w:before="0" w:beforeAutospacing="0" w:after="0" w:afterAutospacing="0"/>
              <w:divId w:val="1909613222"/>
              <w:rPr>
                <w:sz w:val="20"/>
                <w:szCs w:val="20"/>
              </w:rPr>
            </w:pPr>
            <w:r>
              <w:rPr>
                <w:sz w:val="2"/>
                <w:szCs w:val="2"/>
              </w:rPr>
              <w:t>​</w:t>
            </w:r>
          </w:p>
        </w:tc>
        <w:tc>
          <w:tcPr>
            <w:tcW w:w="89" w:type="pct"/>
            <w:noWrap/>
            <w:tcMar>
              <w:top w:w="0" w:type="dxa"/>
              <w:left w:w="0" w:type="dxa"/>
              <w:bottom w:w="0" w:type="dxa"/>
              <w:right w:w="0" w:type="dxa"/>
            </w:tcMar>
            <w:vAlign w:val="bottom"/>
            <w:hideMark/>
          </w:tcPr>
          <w:p w14:paraId="63698AA8" w14:textId="77777777" w:rsidR="00000000" w:rsidRDefault="001F1B20">
            <w:pPr>
              <w:pStyle w:val="a3"/>
              <w:spacing w:before="0" w:beforeAutospacing="0" w:after="0" w:afterAutospacing="0"/>
              <w:divId w:val="903949339"/>
              <w:rPr>
                <w:sz w:val="20"/>
                <w:szCs w:val="20"/>
              </w:rPr>
            </w:pPr>
            <w:r>
              <w:rPr>
                <w:sz w:val="2"/>
                <w:szCs w:val="2"/>
              </w:rPr>
              <w:t>​</w:t>
            </w:r>
          </w:p>
        </w:tc>
        <w:tc>
          <w:tcPr>
            <w:tcW w:w="357" w:type="pct"/>
            <w:noWrap/>
            <w:tcMar>
              <w:top w:w="0" w:type="dxa"/>
              <w:left w:w="0" w:type="dxa"/>
              <w:bottom w:w="0" w:type="dxa"/>
              <w:right w:w="0" w:type="dxa"/>
            </w:tcMar>
            <w:vAlign w:val="bottom"/>
            <w:hideMark/>
          </w:tcPr>
          <w:p w14:paraId="62F942DE" w14:textId="77777777" w:rsidR="00000000" w:rsidRDefault="001F1B20">
            <w:pPr>
              <w:pStyle w:val="a3"/>
              <w:spacing w:before="0" w:beforeAutospacing="0" w:after="0" w:afterAutospacing="0"/>
              <w:divId w:val="1647197754"/>
              <w:rPr>
                <w:sz w:val="20"/>
                <w:szCs w:val="20"/>
              </w:rPr>
            </w:pPr>
            <w:r>
              <w:rPr>
                <w:sz w:val="2"/>
                <w:szCs w:val="2"/>
              </w:rPr>
              <w:t>​</w:t>
            </w:r>
          </w:p>
        </w:tc>
        <w:tc>
          <w:tcPr>
            <w:tcW w:w="89" w:type="pct"/>
            <w:noWrap/>
            <w:tcMar>
              <w:top w:w="0" w:type="dxa"/>
              <w:left w:w="0" w:type="dxa"/>
              <w:bottom w:w="0" w:type="dxa"/>
              <w:right w:w="0" w:type="dxa"/>
            </w:tcMar>
            <w:vAlign w:val="bottom"/>
            <w:hideMark/>
          </w:tcPr>
          <w:p w14:paraId="0F8737D0" w14:textId="77777777" w:rsidR="00000000" w:rsidRDefault="001F1B20">
            <w:pPr>
              <w:pStyle w:val="a3"/>
              <w:spacing w:before="0" w:beforeAutospacing="0" w:after="0" w:afterAutospacing="0"/>
              <w:divId w:val="46151285"/>
              <w:rPr>
                <w:sz w:val="20"/>
                <w:szCs w:val="20"/>
              </w:rPr>
            </w:pPr>
            <w:r>
              <w:rPr>
                <w:sz w:val="2"/>
                <w:szCs w:val="2"/>
              </w:rPr>
              <w:t>​</w:t>
            </w:r>
          </w:p>
        </w:tc>
        <w:tc>
          <w:tcPr>
            <w:tcW w:w="89" w:type="pct"/>
            <w:noWrap/>
            <w:tcMar>
              <w:top w:w="0" w:type="dxa"/>
              <w:left w:w="0" w:type="dxa"/>
              <w:bottom w:w="0" w:type="dxa"/>
              <w:right w:w="0" w:type="dxa"/>
            </w:tcMar>
            <w:vAlign w:val="bottom"/>
            <w:hideMark/>
          </w:tcPr>
          <w:p w14:paraId="5174CF06" w14:textId="77777777" w:rsidR="00000000" w:rsidRDefault="001F1B20">
            <w:pPr>
              <w:pStyle w:val="a3"/>
              <w:spacing w:before="0" w:beforeAutospacing="0" w:after="0" w:afterAutospacing="0"/>
              <w:divId w:val="2140492839"/>
              <w:rPr>
                <w:sz w:val="20"/>
                <w:szCs w:val="20"/>
              </w:rPr>
            </w:pPr>
            <w:r>
              <w:rPr>
                <w:sz w:val="2"/>
                <w:szCs w:val="2"/>
              </w:rPr>
              <w:t>​</w:t>
            </w:r>
          </w:p>
        </w:tc>
        <w:tc>
          <w:tcPr>
            <w:tcW w:w="357" w:type="pct"/>
            <w:noWrap/>
            <w:tcMar>
              <w:top w:w="0" w:type="dxa"/>
              <w:left w:w="0" w:type="dxa"/>
              <w:bottom w:w="0" w:type="dxa"/>
              <w:right w:w="0" w:type="dxa"/>
            </w:tcMar>
            <w:vAlign w:val="bottom"/>
            <w:hideMark/>
          </w:tcPr>
          <w:p w14:paraId="0936F652" w14:textId="77777777" w:rsidR="00000000" w:rsidRDefault="001F1B20">
            <w:pPr>
              <w:pStyle w:val="a3"/>
              <w:spacing w:before="0" w:beforeAutospacing="0" w:after="0" w:afterAutospacing="0"/>
              <w:divId w:val="1037924192"/>
              <w:rPr>
                <w:sz w:val="20"/>
                <w:szCs w:val="20"/>
              </w:rPr>
            </w:pPr>
            <w:r>
              <w:rPr>
                <w:sz w:val="2"/>
                <w:szCs w:val="2"/>
              </w:rPr>
              <w:t>​</w:t>
            </w:r>
          </w:p>
        </w:tc>
      </w:tr>
      <w:tr w:rsidR="00000000" w14:paraId="65D96EB6" w14:textId="77777777">
        <w:trPr>
          <w:divId w:val="1388529006"/>
        </w:trPr>
        <w:tc>
          <w:tcPr>
            <w:tcW w:w="2852" w:type="pct"/>
            <w:tcMar>
              <w:top w:w="0" w:type="dxa"/>
              <w:left w:w="0" w:type="dxa"/>
              <w:bottom w:w="0" w:type="dxa"/>
              <w:right w:w="0" w:type="dxa"/>
            </w:tcMar>
            <w:vAlign w:val="bottom"/>
            <w:hideMark/>
          </w:tcPr>
          <w:p w14:paraId="01393FFE" w14:textId="77777777" w:rsidR="00000000" w:rsidRDefault="001F1B20">
            <w:pPr>
              <w:pStyle w:val="a3"/>
              <w:spacing w:before="0" w:beforeAutospacing="0" w:after="0" w:afterAutospacing="0"/>
              <w:rPr>
                <w:sz w:val="20"/>
                <w:szCs w:val="20"/>
              </w:rPr>
            </w:pPr>
            <w:r>
              <w:rPr>
                <w:b/>
                <w:bCs/>
                <w:sz w:val="16"/>
                <w:szCs w:val="16"/>
              </w:rPr>
              <w:t>​</w:t>
            </w:r>
          </w:p>
        </w:tc>
        <w:tc>
          <w:tcPr>
            <w:tcW w:w="90" w:type="pct"/>
            <w:tcMar>
              <w:top w:w="0" w:type="dxa"/>
              <w:left w:w="0" w:type="dxa"/>
              <w:bottom w:w="0" w:type="dxa"/>
              <w:right w:w="0" w:type="dxa"/>
            </w:tcMar>
            <w:vAlign w:val="bottom"/>
            <w:hideMark/>
          </w:tcPr>
          <w:p w14:paraId="0C58AB9F"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tcMar>
              <w:top w:w="0" w:type="dxa"/>
              <w:left w:w="0" w:type="dxa"/>
              <w:bottom w:w="0" w:type="dxa"/>
              <w:right w:w="0" w:type="dxa"/>
            </w:tcMar>
            <w:vAlign w:val="bottom"/>
            <w:hideMark/>
          </w:tcPr>
          <w:p w14:paraId="40BCBD04"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89" w:type="pct"/>
            <w:noWrap/>
            <w:tcMar>
              <w:top w:w="0" w:type="dxa"/>
              <w:left w:w="0" w:type="dxa"/>
              <w:bottom w:w="0" w:type="dxa"/>
              <w:right w:w="0" w:type="dxa"/>
            </w:tcMar>
            <w:vAlign w:val="bottom"/>
            <w:hideMark/>
          </w:tcPr>
          <w:p w14:paraId="23AC2805"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tcMar>
              <w:top w:w="0" w:type="dxa"/>
              <w:left w:w="0" w:type="dxa"/>
              <w:bottom w:w="0" w:type="dxa"/>
              <w:right w:w="0" w:type="dxa"/>
            </w:tcMar>
            <w:vAlign w:val="bottom"/>
            <w:hideMark/>
          </w:tcPr>
          <w:p w14:paraId="1E8816A5"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r>
      <w:tr w:rsidR="00000000" w14:paraId="02EFF4CB" w14:textId="77777777">
        <w:trPr>
          <w:divId w:val="1388529006"/>
        </w:trPr>
        <w:tc>
          <w:tcPr>
            <w:tcW w:w="2852" w:type="pct"/>
            <w:tcMar>
              <w:top w:w="0" w:type="dxa"/>
              <w:left w:w="0" w:type="dxa"/>
              <w:bottom w:w="0" w:type="dxa"/>
              <w:right w:w="0" w:type="dxa"/>
            </w:tcMar>
            <w:vAlign w:val="bottom"/>
            <w:hideMark/>
          </w:tcPr>
          <w:p w14:paraId="617933DA" w14:textId="77777777" w:rsidR="00000000" w:rsidRDefault="001F1B20">
            <w:pPr>
              <w:pStyle w:val="a3"/>
              <w:spacing w:before="0" w:beforeAutospacing="0" w:after="0" w:afterAutospacing="0"/>
              <w:rPr>
                <w:sz w:val="20"/>
                <w:szCs w:val="20"/>
              </w:rPr>
            </w:pPr>
            <w:r>
              <w:rPr>
                <w:b/>
                <w:bCs/>
                <w:sz w:val="16"/>
                <w:szCs w:val="16"/>
              </w:rPr>
              <w:t>​</w:t>
            </w:r>
          </w:p>
        </w:tc>
        <w:tc>
          <w:tcPr>
            <w:tcW w:w="90" w:type="pct"/>
            <w:tcMar>
              <w:top w:w="0" w:type="dxa"/>
              <w:left w:w="0" w:type="dxa"/>
              <w:bottom w:w="0" w:type="dxa"/>
              <w:right w:w="0" w:type="dxa"/>
            </w:tcMar>
            <w:vAlign w:val="bottom"/>
            <w:hideMark/>
          </w:tcPr>
          <w:p w14:paraId="01C71614"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tcBorders>
              <w:bottom w:val="single" w:sz="6" w:space="0" w:color="000000"/>
            </w:tcBorders>
            <w:tcMar>
              <w:top w:w="0" w:type="dxa"/>
              <w:left w:w="0" w:type="dxa"/>
              <w:bottom w:w="0" w:type="dxa"/>
              <w:right w:w="0" w:type="dxa"/>
            </w:tcMar>
            <w:vAlign w:val="bottom"/>
            <w:hideMark/>
          </w:tcPr>
          <w:p w14:paraId="4DA6B59C"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89" w:type="pct"/>
            <w:noWrap/>
            <w:tcMar>
              <w:top w:w="0" w:type="dxa"/>
              <w:left w:w="0" w:type="dxa"/>
              <w:bottom w:w="0" w:type="dxa"/>
              <w:right w:w="0" w:type="dxa"/>
            </w:tcMar>
            <w:vAlign w:val="bottom"/>
            <w:hideMark/>
          </w:tcPr>
          <w:p w14:paraId="0F92124B"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tcBorders>
              <w:bottom w:val="single" w:sz="6" w:space="0" w:color="000000"/>
            </w:tcBorders>
            <w:tcMar>
              <w:top w:w="0" w:type="dxa"/>
              <w:left w:w="0" w:type="dxa"/>
              <w:bottom w:w="0" w:type="dxa"/>
              <w:right w:w="0" w:type="dxa"/>
            </w:tcMar>
            <w:vAlign w:val="bottom"/>
            <w:hideMark/>
          </w:tcPr>
          <w:p w14:paraId="71D491F2" w14:textId="77777777" w:rsidR="00000000" w:rsidRDefault="001F1B20">
            <w:pPr>
              <w:pStyle w:val="a3"/>
              <w:spacing w:before="0" w:beforeAutospacing="0" w:after="0" w:afterAutospacing="0"/>
              <w:jc w:val="center"/>
              <w:rPr>
                <w:sz w:val="16"/>
                <w:szCs w:val="16"/>
              </w:rPr>
            </w:pPr>
            <w:r>
              <w:rPr>
                <w:b/>
                <w:bCs/>
                <w:sz w:val="16"/>
                <w:szCs w:val="16"/>
              </w:rPr>
              <w:t>September 30, </w:t>
            </w:r>
          </w:p>
        </w:tc>
      </w:tr>
      <w:tr w:rsidR="00000000" w14:paraId="735D12D5" w14:textId="77777777">
        <w:trPr>
          <w:divId w:val="1388529006"/>
        </w:trPr>
        <w:tc>
          <w:tcPr>
            <w:tcW w:w="2852" w:type="pct"/>
            <w:tcBorders>
              <w:bottom w:val="single" w:sz="6" w:space="0" w:color="000000"/>
            </w:tcBorders>
            <w:tcMar>
              <w:top w:w="0" w:type="dxa"/>
              <w:left w:w="0" w:type="dxa"/>
              <w:bottom w:w="0" w:type="dxa"/>
              <w:right w:w="0" w:type="dxa"/>
            </w:tcMar>
            <w:vAlign w:val="bottom"/>
            <w:hideMark/>
          </w:tcPr>
          <w:p w14:paraId="4A8EB73C" w14:textId="77777777" w:rsidR="00000000" w:rsidRDefault="001F1B20">
            <w:pPr>
              <w:pStyle w:val="a3"/>
              <w:spacing w:before="0" w:beforeAutospacing="0" w:after="0" w:afterAutospacing="0"/>
              <w:rPr>
                <w:sz w:val="16"/>
                <w:szCs w:val="16"/>
              </w:rPr>
            </w:pPr>
            <w:r>
              <w:rPr>
                <w:b/>
                <w:bCs/>
                <w:sz w:val="16"/>
                <w:szCs w:val="16"/>
              </w:rPr>
              <w:t>(In thousands)</w:t>
            </w:r>
          </w:p>
        </w:tc>
        <w:tc>
          <w:tcPr>
            <w:tcW w:w="90" w:type="pct"/>
            <w:noWrap/>
            <w:tcMar>
              <w:top w:w="0" w:type="dxa"/>
              <w:left w:w="0" w:type="dxa"/>
              <w:bottom w:w="0" w:type="dxa"/>
              <w:right w:w="0" w:type="dxa"/>
            </w:tcMar>
            <w:vAlign w:val="bottom"/>
            <w:hideMark/>
          </w:tcPr>
          <w:p w14:paraId="60184812" w14:textId="77777777" w:rsidR="00000000" w:rsidRDefault="001F1B20">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14:paraId="1E91D221" w14:textId="77777777" w:rsidR="00000000" w:rsidRDefault="001F1B20">
            <w:pPr>
              <w:pStyle w:val="a3"/>
              <w:spacing w:before="0" w:beforeAutospacing="0" w:after="0" w:afterAutospacing="0"/>
              <w:jc w:val="center"/>
              <w:rPr>
                <w:sz w:val="16"/>
                <w:szCs w:val="16"/>
              </w:rPr>
            </w:pPr>
            <w:r>
              <w:rPr>
                <w:b/>
                <w:bCs/>
                <w:sz w:val="16"/>
                <w:szCs w:val="16"/>
              </w:rPr>
              <w:t>2021</w:t>
            </w:r>
          </w:p>
        </w:tc>
        <w:tc>
          <w:tcPr>
            <w:tcW w:w="89" w:type="pct"/>
            <w:noWrap/>
            <w:tcMar>
              <w:top w:w="0" w:type="dxa"/>
              <w:left w:w="0" w:type="dxa"/>
              <w:bottom w:w="0" w:type="dxa"/>
              <w:right w:w="0" w:type="dxa"/>
            </w:tcMar>
            <w:vAlign w:val="bottom"/>
            <w:hideMark/>
          </w:tcPr>
          <w:p w14:paraId="5B36EB91" w14:textId="77777777" w:rsidR="00000000" w:rsidRDefault="001F1B20">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14:paraId="64F800A0" w14:textId="77777777" w:rsidR="00000000" w:rsidRDefault="001F1B20">
            <w:pPr>
              <w:pStyle w:val="a3"/>
              <w:spacing w:before="0" w:beforeAutospacing="0" w:after="0" w:afterAutospacing="0"/>
              <w:jc w:val="center"/>
              <w:rPr>
                <w:sz w:val="16"/>
                <w:szCs w:val="16"/>
              </w:rPr>
            </w:pPr>
            <w:r>
              <w:rPr>
                <w:b/>
                <w:bCs/>
                <w:sz w:val="16"/>
                <w:szCs w:val="16"/>
              </w:rPr>
              <w:t>2020</w:t>
            </w:r>
          </w:p>
        </w:tc>
        <w:tc>
          <w:tcPr>
            <w:tcW w:w="89" w:type="pct"/>
            <w:noWrap/>
            <w:tcMar>
              <w:top w:w="0" w:type="dxa"/>
              <w:left w:w="0" w:type="dxa"/>
              <w:bottom w:w="0" w:type="dxa"/>
              <w:right w:w="0" w:type="dxa"/>
            </w:tcMar>
            <w:vAlign w:val="bottom"/>
            <w:hideMark/>
          </w:tcPr>
          <w:p w14:paraId="193CE9FF" w14:textId="77777777" w:rsidR="00000000" w:rsidRDefault="001F1B20">
            <w:pPr>
              <w:pStyle w:val="a3"/>
              <w:spacing w:before="0" w:beforeAutospacing="0" w:after="0" w:afterAutospacing="0"/>
              <w:jc w:val="center"/>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14:paraId="50E99661" w14:textId="77777777" w:rsidR="00000000" w:rsidRDefault="001F1B20">
            <w:pPr>
              <w:pStyle w:val="a3"/>
              <w:spacing w:before="0" w:beforeAutospacing="0" w:after="0" w:afterAutospacing="0"/>
              <w:jc w:val="center"/>
              <w:rPr>
                <w:sz w:val="16"/>
                <w:szCs w:val="16"/>
              </w:rPr>
            </w:pPr>
            <w:r>
              <w:rPr>
                <w:b/>
                <w:bCs/>
                <w:sz w:val="16"/>
                <w:szCs w:val="16"/>
              </w:rPr>
              <w:t>2021</w:t>
            </w:r>
          </w:p>
        </w:tc>
        <w:tc>
          <w:tcPr>
            <w:tcW w:w="89" w:type="pct"/>
            <w:noWrap/>
            <w:tcMar>
              <w:top w:w="0" w:type="dxa"/>
              <w:left w:w="0" w:type="dxa"/>
              <w:bottom w:w="0" w:type="dxa"/>
              <w:right w:w="0" w:type="dxa"/>
            </w:tcMar>
            <w:vAlign w:val="bottom"/>
            <w:hideMark/>
          </w:tcPr>
          <w:p w14:paraId="2C3AF0AA" w14:textId="77777777" w:rsidR="00000000" w:rsidRDefault="001F1B20">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14:paraId="6C2F7309" w14:textId="77777777" w:rsidR="00000000" w:rsidRDefault="001F1B20">
            <w:pPr>
              <w:pStyle w:val="a3"/>
              <w:spacing w:before="0" w:beforeAutospacing="0" w:after="0" w:afterAutospacing="0"/>
              <w:jc w:val="center"/>
              <w:rPr>
                <w:sz w:val="16"/>
                <w:szCs w:val="16"/>
              </w:rPr>
            </w:pPr>
            <w:r>
              <w:rPr>
                <w:b/>
                <w:bCs/>
                <w:sz w:val="16"/>
                <w:szCs w:val="16"/>
              </w:rPr>
              <w:t>2020</w:t>
            </w:r>
          </w:p>
        </w:tc>
      </w:tr>
      <w:tr w:rsidR="00000000" w14:paraId="6DA4806C" w14:textId="77777777">
        <w:trPr>
          <w:divId w:val="1388529006"/>
        </w:trPr>
        <w:tc>
          <w:tcPr>
            <w:tcW w:w="2852" w:type="pct"/>
            <w:shd w:val="clear" w:color="auto" w:fill="CCEEFF"/>
            <w:tcMar>
              <w:top w:w="0" w:type="dxa"/>
              <w:left w:w="0" w:type="dxa"/>
              <w:bottom w:w="0" w:type="dxa"/>
              <w:right w:w="0" w:type="dxa"/>
            </w:tcMar>
            <w:vAlign w:val="center"/>
            <w:hideMark/>
          </w:tcPr>
          <w:p w14:paraId="54A86B3D" w14:textId="77777777" w:rsidR="00000000" w:rsidRDefault="001F1B20">
            <w:pPr>
              <w:pStyle w:val="a3"/>
              <w:spacing w:before="0" w:beforeAutospacing="0" w:after="0" w:afterAutospacing="0"/>
              <w:rPr>
                <w:sz w:val="20"/>
                <w:szCs w:val="20"/>
              </w:rPr>
            </w:pPr>
            <w:r>
              <w:rPr>
                <w:sz w:val="20"/>
                <w:szCs w:val="20"/>
              </w:rPr>
              <w:t xml:space="preserve">Viatris collaboration agreement - </w:t>
            </w:r>
            <w:r>
              <w:rPr>
                <w:i/>
                <w:iCs/>
                <w:sz w:val="20"/>
                <w:szCs w:val="20"/>
              </w:rPr>
              <w:t>Amounts receivable from Viatris</w:t>
            </w:r>
          </w:p>
        </w:tc>
        <w:tc>
          <w:tcPr>
            <w:tcW w:w="90" w:type="pct"/>
            <w:shd w:val="clear" w:color="auto" w:fill="CCEEFF"/>
            <w:tcMar>
              <w:top w:w="0" w:type="dxa"/>
              <w:left w:w="0" w:type="dxa"/>
              <w:bottom w:w="0" w:type="dxa"/>
              <w:right w:w="0" w:type="dxa"/>
            </w:tcMar>
            <w:vAlign w:val="bottom"/>
            <w:hideMark/>
          </w:tcPr>
          <w:p w14:paraId="5C26F8B9" w14:textId="77777777" w:rsidR="00000000" w:rsidRDefault="001F1B20">
            <w:pPr>
              <w:pStyle w:val="a3"/>
              <w:spacing w:before="0" w:beforeAutospacing="0" w:after="0" w:afterAutospacing="0"/>
              <w:rPr>
                <w:sz w:val="20"/>
                <w:szCs w:val="20"/>
              </w:rPr>
            </w:pPr>
            <w:r>
              <w:rPr>
                <w:b/>
                <w:bCs/>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5E20AAD2"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14:paraId="26461D6C" w14:textId="77777777" w:rsidR="00000000" w:rsidRDefault="001F1B20">
            <w:pPr>
              <w:pStyle w:val="a3"/>
              <w:spacing w:before="0" w:beforeAutospacing="0" w:after="0" w:afterAutospacing="0"/>
              <w:ind w:right="60"/>
              <w:jc w:val="right"/>
              <w:rPr>
                <w:sz w:val="20"/>
                <w:szCs w:val="20"/>
              </w:rPr>
            </w:pPr>
            <w:r>
              <w:rPr>
                <w:sz w:val="20"/>
                <w:szCs w:val="20"/>
              </w:rPr>
              <w:t>10,397</w:t>
            </w:r>
          </w:p>
        </w:tc>
        <w:tc>
          <w:tcPr>
            <w:tcW w:w="89" w:type="pct"/>
            <w:shd w:val="clear" w:color="auto" w:fill="CCEEFF"/>
            <w:noWrap/>
            <w:tcMar>
              <w:top w:w="0" w:type="dxa"/>
              <w:left w:w="0" w:type="dxa"/>
              <w:bottom w:w="0" w:type="dxa"/>
              <w:right w:w="0" w:type="dxa"/>
            </w:tcMar>
            <w:vAlign w:val="bottom"/>
            <w:hideMark/>
          </w:tcPr>
          <w:p w14:paraId="6AE3779F"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3371023A"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14:paraId="116F4177" w14:textId="77777777" w:rsidR="00000000" w:rsidRDefault="001F1B20">
            <w:pPr>
              <w:pStyle w:val="a3"/>
              <w:spacing w:before="0" w:beforeAutospacing="0" w:after="0" w:afterAutospacing="0"/>
              <w:ind w:right="60"/>
              <w:jc w:val="right"/>
              <w:rPr>
                <w:sz w:val="20"/>
                <w:szCs w:val="20"/>
              </w:rPr>
            </w:pPr>
            <w:r>
              <w:rPr>
                <w:sz w:val="20"/>
                <w:szCs w:val="20"/>
              </w:rPr>
              <w:t>10,996</w:t>
            </w:r>
          </w:p>
        </w:tc>
        <w:tc>
          <w:tcPr>
            <w:tcW w:w="89" w:type="pct"/>
            <w:shd w:val="clear" w:color="auto" w:fill="CCEEFF"/>
            <w:noWrap/>
            <w:tcMar>
              <w:top w:w="0" w:type="dxa"/>
              <w:left w:w="0" w:type="dxa"/>
              <w:bottom w:w="0" w:type="dxa"/>
              <w:right w:w="0" w:type="dxa"/>
            </w:tcMar>
            <w:vAlign w:val="bottom"/>
            <w:hideMark/>
          </w:tcPr>
          <w:p w14:paraId="742F3643" w14:textId="77777777" w:rsidR="00000000" w:rsidRDefault="001F1B20">
            <w:pPr>
              <w:pStyle w:val="a3"/>
              <w:spacing w:before="0" w:beforeAutospacing="0" w:after="0" w:afterAutospacing="0"/>
              <w:jc w:val="center"/>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5241A5D8"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14:paraId="3B8432E6" w14:textId="77777777" w:rsidR="00000000" w:rsidRDefault="001F1B20">
            <w:pPr>
              <w:pStyle w:val="a3"/>
              <w:spacing w:before="0" w:beforeAutospacing="0" w:after="0" w:afterAutospacing="0"/>
              <w:ind w:right="60"/>
              <w:jc w:val="right"/>
              <w:rPr>
                <w:sz w:val="20"/>
                <w:szCs w:val="20"/>
              </w:rPr>
            </w:pPr>
            <w:r>
              <w:rPr>
                <w:sz w:val="20"/>
                <w:szCs w:val="20"/>
              </w:rPr>
              <w:t>31,716</w:t>
            </w:r>
          </w:p>
        </w:tc>
        <w:tc>
          <w:tcPr>
            <w:tcW w:w="89" w:type="pct"/>
            <w:shd w:val="clear" w:color="auto" w:fill="CCEEFF"/>
            <w:noWrap/>
            <w:tcMar>
              <w:top w:w="0" w:type="dxa"/>
              <w:left w:w="0" w:type="dxa"/>
              <w:bottom w:w="0" w:type="dxa"/>
              <w:right w:w="0" w:type="dxa"/>
            </w:tcMar>
            <w:vAlign w:val="bottom"/>
            <w:hideMark/>
          </w:tcPr>
          <w:p w14:paraId="59A17CD1"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233E40E8"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14:paraId="264CDC19" w14:textId="77777777" w:rsidR="00000000" w:rsidRDefault="001F1B20">
            <w:pPr>
              <w:pStyle w:val="a3"/>
              <w:spacing w:before="0" w:beforeAutospacing="0" w:after="0" w:afterAutospacing="0"/>
              <w:ind w:right="60"/>
              <w:jc w:val="right"/>
              <w:rPr>
                <w:sz w:val="20"/>
                <w:szCs w:val="20"/>
              </w:rPr>
            </w:pPr>
            <w:r>
              <w:rPr>
                <w:sz w:val="20"/>
                <w:szCs w:val="20"/>
              </w:rPr>
              <w:t>32,246</w:t>
            </w:r>
          </w:p>
        </w:tc>
      </w:tr>
    </w:tbl>
    <w:p w14:paraId="5ADFAB2A" w14:textId="77777777" w:rsidR="00000000" w:rsidRDefault="001F1B20">
      <w:pPr>
        <w:pStyle w:val="a3"/>
        <w:spacing w:before="0" w:beforeAutospacing="0" w:after="0" w:afterAutospacing="0"/>
        <w:divId w:val="1388529006"/>
        <w:rPr>
          <w:sz w:val="20"/>
          <w:szCs w:val="20"/>
        </w:rPr>
      </w:pPr>
      <w:r>
        <w:rPr>
          <w:color w:val="FF0000"/>
          <w:sz w:val="20"/>
          <w:szCs w:val="20"/>
        </w:rPr>
        <w:t>​</w:t>
      </w:r>
    </w:p>
    <w:p w14:paraId="51B654E1" w14:textId="77777777" w:rsidR="00000000" w:rsidRDefault="001F1B20">
      <w:pPr>
        <w:pStyle w:val="a3"/>
        <w:spacing w:before="0" w:beforeAutospacing="0" w:after="0" w:afterAutospacing="0"/>
        <w:ind w:firstLine="720"/>
        <w:divId w:val="1388529006"/>
        <w:rPr>
          <w:sz w:val="20"/>
          <w:szCs w:val="20"/>
        </w:rPr>
      </w:pPr>
      <w:r>
        <w:rPr>
          <w:sz w:val="20"/>
          <w:szCs w:val="20"/>
        </w:rPr>
        <w:t>While Viatris records the total net sales of YUPELRI within its consolidated financial statements, Viatris collaboration agreement revenue includes the Company’s implied 35% share of net sales of YUPELRI for the three and nine months ended September 30, 20</w:t>
      </w:r>
      <w:r>
        <w:rPr>
          <w:sz w:val="20"/>
          <w:szCs w:val="20"/>
        </w:rPr>
        <w:t>21 of $13.8 million and $41.3 million, respectively, before deducting shared expenses.</w:t>
      </w:r>
    </w:p>
    <w:p w14:paraId="5AE327C9" w14:textId="77777777" w:rsidR="00000000" w:rsidRDefault="001F1B20">
      <w:pPr>
        <w:pStyle w:val="a3"/>
        <w:spacing w:before="0" w:beforeAutospacing="0" w:after="0" w:afterAutospacing="0"/>
        <w:divId w:val="1388529006"/>
        <w:rPr>
          <w:sz w:val="20"/>
          <w:szCs w:val="20"/>
        </w:rPr>
      </w:pPr>
      <w:r>
        <w:rPr>
          <w:sz w:val="20"/>
          <w:szCs w:val="20"/>
        </w:rPr>
        <w:t>For the three and nine months ended September 30, 2020, the Company’s implied 35% share of net sales of YUPELRI was $13.0 million and $36.4 million, respectively, before</w:t>
      </w:r>
      <w:r>
        <w:rPr>
          <w:sz w:val="20"/>
          <w:szCs w:val="20"/>
        </w:rPr>
        <w:t xml:space="preserve"> deducting shared expenses.</w:t>
      </w:r>
    </w:p>
    <w:p w14:paraId="577A2103" w14:textId="77777777" w:rsidR="00000000" w:rsidRDefault="001F1B20">
      <w:pPr>
        <w:pStyle w:val="a3"/>
        <w:spacing w:before="0" w:beforeAutospacing="0" w:after="0" w:afterAutospacing="0"/>
        <w:divId w:val="1388529006"/>
        <w:rPr>
          <w:sz w:val="20"/>
          <w:szCs w:val="20"/>
        </w:rPr>
      </w:pPr>
      <w:r>
        <w:rPr>
          <w:color w:val="FF0000"/>
          <w:sz w:val="20"/>
          <w:szCs w:val="20"/>
        </w:rPr>
        <w:t>​</w:t>
      </w:r>
    </w:p>
    <w:p w14:paraId="03514583" w14:textId="77777777" w:rsidR="00000000" w:rsidRDefault="001F1B20">
      <w:pPr>
        <w:pStyle w:val="a3"/>
        <w:spacing w:before="0" w:beforeAutospacing="0" w:after="0" w:afterAutospacing="0"/>
        <w:divId w:val="1388529006"/>
        <w:rPr>
          <w:sz w:val="20"/>
          <w:szCs w:val="20"/>
        </w:rPr>
      </w:pPr>
      <w:r>
        <w:rPr>
          <w:b/>
          <w:bCs/>
          <w:i/>
          <w:iCs/>
          <w:sz w:val="20"/>
          <w:szCs w:val="20"/>
        </w:rPr>
        <w:t>Reimbursement of R&amp;D Expense</w:t>
      </w:r>
    </w:p>
    <w:p w14:paraId="5FE468C3" w14:textId="77777777" w:rsidR="00000000" w:rsidRDefault="001F1B20">
      <w:pPr>
        <w:pStyle w:val="a3"/>
        <w:spacing w:before="0" w:beforeAutospacing="0" w:after="0" w:afterAutospacing="0"/>
        <w:divId w:val="1388529006"/>
        <w:rPr>
          <w:sz w:val="20"/>
          <w:szCs w:val="20"/>
        </w:rPr>
      </w:pPr>
      <w:r>
        <w:rPr>
          <w:sz w:val="10"/>
          <w:szCs w:val="10"/>
        </w:rPr>
        <w:t>​</w:t>
      </w:r>
    </w:p>
    <w:p w14:paraId="5893E731" w14:textId="77777777" w:rsidR="00000000" w:rsidRDefault="001F1B20">
      <w:pPr>
        <w:pStyle w:val="a3"/>
        <w:spacing w:before="0" w:beforeAutospacing="0" w:after="0" w:afterAutospacing="0"/>
        <w:ind w:firstLine="720"/>
        <w:divId w:val="1388529006"/>
        <w:rPr>
          <w:sz w:val="20"/>
          <w:szCs w:val="20"/>
        </w:rPr>
      </w:pPr>
      <w:r>
        <w:rPr>
          <w:sz w:val="20"/>
          <w:szCs w:val="20"/>
        </w:rPr>
        <w:t>As noted above, under certain collaborative arrangements the Company is entitled to reimbursement of certain R&amp;D expenses. Activities under collaborative arrangements for which the Company is entitled to reimbursement are considered to be collaborative act</w:t>
      </w:r>
      <w:r>
        <w:rPr>
          <w:sz w:val="20"/>
          <w:szCs w:val="20"/>
        </w:rPr>
        <w:t>ivities under the scope of ASC 808. For these units of account, the Company does not analogize to ASC 606 or recognize revenue. The Company records reimbursement payments received from its collaboration partners as reductions to R&amp;D expense.</w:t>
      </w:r>
    </w:p>
    <w:p w14:paraId="3D19384A" w14:textId="77777777" w:rsidR="00000000" w:rsidRDefault="001F1B20">
      <w:pPr>
        <w:pStyle w:val="a3"/>
        <w:spacing w:before="0" w:beforeAutospacing="0" w:after="0" w:afterAutospacing="0"/>
        <w:divId w:val="1388529006"/>
        <w:rPr>
          <w:sz w:val="20"/>
          <w:szCs w:val="20"/>
        </w:rPr>
      </w:pPr>
      <w:r>
        <w:rPr>
          <w:sz w:val="20"/>
          <w:szCs w:val="20"/>
        </w:rPr>
        <w:t>​</w:t>
      </w:r>
    </w:p>
    <w:p w14:paraId="0B914188" w14:textId="77777777" w:rsidR="00000000" w:rsidRDefault="001F1B20">
      <w:pPr>
        <w:pStyle w:val="a3"/>
        <w:spacing w:before="0" w:beforeAutospacing="0" w:after="0" w:afterAutospacing="0"/>
        <w:ind w:firstLine="720"/>
        <w:divId w:val="1388529006"/>
        <w:rPr>
          <w:sz w:val="20"/>
          <w:szCs w:val="20"/>
        </w:rPr>
      </w:pPr>
      <w:r>
        <w:rPr>
          <w:sz w:val="20"/>
          <w:szCs w:val="20"/>
        </w:rPr>
        <w:t>The followin</w:t>
      </w:r>
      <w:r>
        <w:rPr>
          <w:sz w:val="20"/>
          <w:szCs w:val="20"/>
        </w:rPr>
        <w:t>g table summarizes the reductions to R&amp;D expense related to the reimbursement payments:</w:t>
      </w:r>
    </w:p>
    <w:p w14:paraId="5E8BBF4B" w14:textId="77777777" w:rsidR="00000000" w:rsidRDefault="001F1B20">
      <w:pPr>
        <w:pStyle w:val="a3"/>
        <w:spacing w:before="0" w:beforeAutospacing="0" w:after="0" w:afterAutospacing="0"/>
        <w:ind w:firstLine="720"/>
        <w:divId w:val="1388529006"/>
        <w:rPr>
          <w:sz w:val="20"/>
          <w:szCs w:val="20"/>
        </w:rPr>
      </w:pPr>
      <w:r>
        <w:rPr>
          <w:sz w:val="20"/>
          <w:szCs w:val="20"/>
        </w:rPr>
        <w:t>​</w:t>
      </w:r>
    </w:p>
    <w:p w14:paraId="323685A0" w14:textId="77777777" w:rsidR="00000000" w:rsidRDefault="001F1B20">
      <w:pPr>
        <w:pStyle w:val="a3"/>
        <w:spacing w:before="0" w:beforeAutospacing="0" w:after="0" w:afterAutospacing="0"/>
        <w:ind w:firstLine="720"/>
        <w:divId w:val="138852900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737"/>
        <w:gridCol w:w="160"/>
        <w:gridCol w:w="144"/>
        <w:gridCol w:w="589"/>
        <w:gridCol w:w="160"/>
        <w:gridCol w:w="145"/>
        <w:gridCol w:w="593"/>
        <w:gridCol w:w="145"/>
        <w:gridCol w:w="145"/>
        <w:gridCol w:w="590"/>
        <w:gridCol w:w="160"/>
        <w:gridCol w:w="145"/>
        <w:gridCol w:w="593"/>
      </w:tblGrid>
      <w:tr w:rsidR="00000000" w14:paraId="36F05E4C" w14:textId="77777777">
        <w:trPr>
          <w:divId w:val="1388529006"/>
          <w:trHeight w:val="20"/>
        </w:trPr>
        <w:tc>
          <w:tcPr>
            <w:tcW w:w="2852" w:type="pct"/>
            <w:tcMar>
              <w:top w:w="0" w:type="dxa"/>
              <w:left w:w="0" w:type="dxa"/>
              <w:bottom w:w="0" w:type="dxa"/>
              <w:right w:w="0" w:type="dxa"/>
            </w:tcMar>
            <w:vAlign w:val="bottom"/>
            <w:hideMark/>
          </w:tcPr>
          <w:p w14:paraId="70B11BBF" w14:textId="77777777" w:rsidR="00000000" w:rsidRDefault="001F1B20">
            <w:pPr>
              <w:pStyle w:val="a3"/>
              <w:spacing w:before="0" w:beforeAutospacing="0" w:after="0" w:afterAutospacing="0"/>
              <w:divId w:val="998460194"/>
              <w:rPr>
                <w:sz w:val="20"/>
                <w:szCs w:val="20"/>
              </w:rPr>
            </w:pPr>
            <w:r>
              <w:rPr>
                <w:sz w:val="2"/>
                <w:szCs w:val="2"/>
              </w:rPr>
              <w:t>​</w:t>
            </w:r>
          </w:p>
        </w:tc>
        <w:tc>
          <w:tcPr>
            <w:tcW w:w="90" w:type="pct"/>
            <w:noWrap/>
            <w:tcMar>
              <w:top w:w="0" w:type="dxa"/>
              <w:left w:w="0" w:type="dxa"/>
              <w:bottom w:w="0" w:type="dxa"/>
              <w:right w:w="0" w:type="dxa"/>
            </w:tcMar>
            <w:vAlign w:val="bottom"/>
            <w:hideMark/>
          </w:tcPr>
          <w:p w14:paraId="5582594F" w14:textId="77777777" w:rsidR="00000000" w:rsidRDefault="001F1B20">
            <w:pPr>
              <w:pStyle w:val="a3"/>
              <w:spacing w:before="0" w:beforeAutospacing="0" w:after="0" w:afterAutospacing="0"/>
              <w:divId w:val="1804040285"/>
              <w:rPr>
                <w:sz w:val="20"/>
                <w:szCs w:val="20"/>
              </w:rPr>
            </w:pPr>
            <w:r>
              <w:rPr>
                <w:sz w:val="2"/>
                <w:szCs w:val="2"/>
              </w:rPr>
              <w:t>​</w:t>
            </w:r>
          </w:p>
        </w:tc>
        <w:tc>
          <w:tcPr>
            <w:tcW w:w="89" w:type="pct"/>
            <w:noWrap/>
            <w:tcMar>
              <w:top w:w="0" w:type="dxa"/>
              <w:left w:w="0" w:type="dxa"/>
              <w:bottom w:w="0" w:type="dxa"/>
              <w:right w:w="0" w:type="dxa"/>
            </w:tcMar>
            <w:vAlign w:val="bottom"/>
            <w:hideMark/>
          </w:tcPr>
          <w:p w14:paraId="04A90D56" w14:textId="77777777" w:rsidR="00000000" w:rsidRDefault="001F1B20">
            <w:pPr>
              <w:pStyle w:val="a3"/>
              <w:spacing w:before="0" w:beforeAutospacing="0" w:after="0" w:afterAutospacing="0"/>
              <w:divId w:val="1882595001"/>
              <w:rPr>
                <w:sz w:val="20"/>
                <w:szCs w:val="20"/>
              </w:rPr>
            </w:pPr>
            <w:r>
              <w:rPr>
                <w:sz w:val="2"/>
                <w:szCs w:val="2"/>
              </w:rPr>
              <w:t>​</w:t>
            </w:r>
          </w:p>
        </w:tc>
        <w:tc>
          <w:tcPr>
            <w:tcW w:w="357" w:type="pct"/>
            <w:noWrap/>
            <w:tcMar>
              <w:top w:w="0" w:type="dxa"/>
              <w:left w:w="0" w:type="dxa"/>
              <w:bottom w:w="0" w:type="dxa"/>
              <w:right w:w="0" w:type="dxa"/>
            </w:tcMar>
            <w:vAlign w:val="center"/>
            <w:hideMark/>
          </w:tcPr>
          <w:p w14:paraId="6471435A" w14:textId="77777777" w:rsidR="00000000" w:rsidRDefault="001F1B20">
            <w:pPr>
              <w:pStyle w:val="a3"/>
              <w:spacing w:before="0" w:beforeAutospacing="0" w:after="0" w:afterAutospacing="0"/>
              <w:divId w:val="1451127941"/>
              <w:rPr>
                <w:sz w:val="20"/>
                <w:szCs w:val="20"/>
              </w:rPr>
            </w:pPr>
            <w:r>
              <w:rPr>
                <w:sz w:val="2"/>
                <w:szCs w:val="2"/>
              </w:rPr>
              <w:t>​</w:t>
            </w:r>
          </w:p>
        </w:tc>
        <w:tc>
          <w:tcPr>
            <w:tcW w:w="89" w:type="pct"/>
            <w:noWrap/>
            <w:tcMar>
              <w:top w:w="0" w:type="dxa"/>
              <w:left w:w="0" w:type="dxa"/>
              <w:bottom w:w="0" w:type="dxa"/>
              <w:right w:w="0" w:type="dxa"/>
            </w:tcMar>
            <w:vAlign w:val="bottom"/>
            <w:hideMark/>
          </w:tcPr>
          <w:p w14:paraId="6831CCDA" w14:textId="77777777" w:rsidR="00000000" w:rsidRDefault="001F1B20">
            <w:pPr>
              <w:pStyle w:val="a3"/>
              <w:spacing w:before="0" w:beforeAutospacing="0" w:after="0" w:afterAutospacing="0"/>
              <w:divId w:val="633878112"/>
              <w:rPr>
                <w:sz w:val="20"/>
                <w:szCs w:val="20"/>
              </w:rPr>
            </w:pPr>
            <w:r>
              <w:rPr>
                <w:sz w:val="2"/>
                <w:szCs w:val="2"/>
              </w:rPr>
              <w:t>​</w:t>
            </w:r>
          </w:p>
        </w:tc>
        <w:tc>
          <w:tcPr>
            <w:tcW w:w="89" w:type="pct"/>
            <w:noWrap/>
            <w:tcMar>
              <w:top w:w="0" w:type="dxa"/>
              <w:left w:w="0" w:type="dxa"/>
              <w:bottom w:w="0" w:type="dxa"/>
              <w:right w:w="0" w:type="dxa"/>
            </w:tcMar>
            <w:vAlign w:val="bottom"/>
            <w:hideMark/>
          </w:tcPr>
          <w:p w14:paraId="598CBC62" w14:textId="77777777" w:rsidR="00000000" w:rsidRDefault="001F1B20">
            <w:pPr>
              <w:pStyle w:val="a3"/>
              <w:spacing w:before="0" w:beforeAutospacing="0" w:after="0" w:afterAutospacing="0"/>
              <w:divId w:val="1951277532"/>
              <w:rPr>
                <w:sz w:val="20"/>
                <w:szCs w:val="20"/>
              </w:rPr>
            </w:pPr>
            <w:r>
              <w:rPr>
                <w:sz w:val="2"/>
                <w:szCs w:val="2"/>
              </w:rPr>
              <w:t>​</w:t>
            </w:r>
          </w:p>
        </w:tc>
        <w:tc>
          <w:tcPr>
            <w:tcW w:w="357" w:type="pct"/>
            <w:noWrap/>
            <w:tcMar>
              <w:top w:w="0" w:type="dxa"/>
              <w:left w:w="0" w:type="dxa"/>
              <w:bottom w:w="0" w:type="dxa"/>
              <w:right w:w="0" w:type="dxa"/>
            </w:tcMar>
            <w:vAlign w:val="center"/>
            <w:hideMark/>
          </w:tcPr>
          <w:p w14:paraId="0723D8BE" w14:textId="77777777" w:rsidR="00000000" w:rsidRDefault="001F1B20">
            <w:pPr>
              <w:pStyle w:val="a3"/>
              <w:spacing w:before="0" w:beforeAutospacing="0" w:after="0" w:afterAutospacing="0"/>
              <w:divId w:val="2040201538"/>
              <w:rPr>
                <w:sz w:val="20"/>
                <w:szCs w:val="20"/>
              </w:rPr>
            </w:pPr>
            <w:r>
              <w:rPr>
                <w:sz w:val="2"/>
                <w:szCs w:val="2"/>
              </w:rPr>
              <w:t>​</w:t>
            </w:r>
          </w:p>
        </w:tc>
        <w:tc>
          <w:tcPr>
            <w:tcW w:w="89" w:type="pct"/>
            <w:noWrap/>
            <w:tcMar>
              <w:top w:w="0" w:type="dxa"/>
              <w:left w:w="0" w:type="dxa"/>
              <w:bottom w:w="0" w:type="dxa"/>
              <w:right w:w="0" w:type="dxa"/>
            </w:tcMar>
            <w:vAlign w:val="bottom"/>
            <w:hideMark/>
          </w:tcPr>
          <w:p w14:paraId="053E9C09" w14:textId="77777777" w:rsidR="00000000" w:rsidRDefault="001F1B20">
            <w:pPr>
              <w:pStyle w:val="a3"/>
              <w:spacing w:before="0" w:beforeAutospacing="0" w:after="0" w:afterAutospacing="0"/>
              <w:divId w:val="994720676"/>
              <w:rPr>
                <w:sz w:val="20"/>
                <w:szCs w:val="20"/>
              </w:rPr>
            </w:pPr>
            <w:r>
              <w:rPr>
                <w:sz w:val="2"/>
                <w:szCs w:val="2"/>
              </w:rPr>
              <w:t>​</w:t>
            </w:r>
          </w:p>
        </w:tc>
        <w:tc>
          <w:tcPr>
            <w:tcW w:w="89" w:type="pct"/>
            <w:noWrap/>
            <w:tcMar>
              <w:top w:w="0" w:type="dxa"/>
              <w:left w:w="0" w:type="dxa"/>
              <w:bottom w:w="0" w:type="dxa"/>
              <w:right w:w="0" w:type="dxa"/>
            </w:tcMar>
            <w:vAlign w:val="bottom"/>
            <w:hideMark/>
          </w:tcPr>
          <w:p w14:paraId="4DF4C2C9" w14:textId="77777777" w:rsidR="00000000" w:rsidRDefault="001F1B20">
            <w:pPr>
              <w:pStyle w:val="a3"/>
              <w:spacing w:before="0" w:beforeAutospacing="0" w:after="0" w:afterAutospacing="0"/>
              <w:divId w:val="885874443"/>
              <w:rPr>
                <w:sz w:val="20"/>
                <w:szCs w:val="20"/>
              </w:rPr>
            </w:pPr>
            <w:r>
              <w:rPr>
                <w:sz w:val="2"/>
                <w:szCs w:val="2"/>
              </w:rPr>
              <w:t>​</w:t>
            </w:r>
          </w:p>
        </w:tc>
        <w:tc>
          <w:tcPr>
            <w:tcW w:w="357" w:type="pct"/>
            <w:noWrap/>
            <w:tcMar>
              <w:top w:w="0" w:type="dxa"/>
              <w:left w:w="0" w:type="dxa"/>
              <w:bottom w:w="0" w:type="dxa"/>
              <w:right w:w="0" w:type="dxa"/>
            </w:tcMar>
            <w:vAlign w:val="center"/>
            <w:hideMark/>
          </w:tcPr>
          <w:p w14:paraId="41E177BB" w14:textId="77777777" w:rsidR="00000000" w:rsidRDefault="001F1B20">
            <w:pPr>
              <w:pStyle w:val="a3"/>
              <w:spacing w:before="0" w:beforeAutospacing="0" w:after="0" w:afterAutospacing="0"/>
              <w:divId w:val="239293529"/>
              <w:rPr>
                <w:sz w:val="20"/>
                <w:szCs w:val="20"/>
              </w:rPr>
            </w:pPr>
            <w:r>
              <w:rPr>
                <w:sz w:val="2"/>
                <w:szCs w:val="2"/>
              </w:rPr>
              <w:t>​</w:t>
            </w:r>
          </w:p>
        </w:tc>
        <w:tc>
          <w:tcPr>
            <w:tcW w:w="89" w:type="pct"/>
            <w:noWrap/>
            <w:tcMar>
              <w:top w:w="0" w:type="dxa"/>
              <w:left w:w="0" w:type="dxa"/>
              <w:bottom w:w="0" w:type="dxa"/>
              <w:right w:w="0" w:type="dxa"/>
            </w:tcMar>
            <w:vAlign w:val="bottom"/>
            <w:hideMark/>
          </w:tcPr>
          <w:p w14:paraId="01BB0B31" w14:textId="77777777" w:rsidR="00000000" w:rsidRDefault="001F1B20">
            <w:pPr>
              <w:pStyle w:val="a3"/>
              <w:spacing w:before="0" w:beforeAutospacing="0" w:after="0" w:afterAutospacing="0"/>
              <w:divId w:val="1107966440"/>
              <w:rPr>
                <w:sz w:val="20"/>
                <w:szCs w:val="20"/>
              </w:rPr>
            </w:pPr>
            <w:r>
              <w:rPr>
                <w:sz w:val="2"/>
                <w:szCs w:val="2"/>
              </w:rPr>
              <w:t>​</w:t>
            </w:r>
          </w:p>
        </w:tc>
        <w:tc>
          <w:tcPr>
            <w:tcW w:w="89" w:type="pct"/>
            <w:noWrap/>
            <w:tcMar>
              <w:top w:w="0" w:type="dxa"/>
              <w:left w:w="0" w:type="dxa"/>
              <w:bottom w:w="0" w:type="dxa"/>
              <w:right w:w="0" w:type="dxa"/>
            </w:tcMar>
            <w:vAlign w:val="bottom"/>
            <w:hideMark/>
          </w:tcPr>
          <w:p w14:paraId="7FA90A7F" w14:textId="77777777" w:rsidR="00000000" w:rsidRDefault="001F1B20">
            <w:pPr>
              <w:pStyle w:val="a3"/>
              <w:spacing w:before="0" w:beforeAutospacing="0" w:after="0" w:afterAutospacing="0"/>
              <w:divId w:val="1523545255"/>
              <w:rPr>
                <w:sz w:val="20"/>
                <w:szCs w:val="20"/>
              </w:rPr>
            </w:pPr>
            <w:r>
              <w:rPr>
                <w:sz w:val="2"/>
                <w:szCs w:val="2"/>
              </w:rPr>
              <w:t>​</w:t>
            </w:r>
          </w:p>
        </w:tc>
        <w:tc>
          <w:tcPr>
            <w:tcW w:w="357" w:type="pct"/>
            <w:noWrap/>
            <w:tcMar>
              <w:top w:w="0" w:type="dxa"/>
              <w:left w:w="0" w:type="dxa"/>
              <w:bottom w:w="0" w:type="dxa"/>
              <w:right w:w="0" w:type="dxa"/>
            </w:tcMar>
            <w:vAlign w:val="center"/>
            <w:hideMark/>
          </w:tcPr>
          <w:p w14:paraId="1304B715" w14:textId="77777777" w:rsidR="00000000" w:rsidRDefault="001F1B20">
            <w:pPr>
              <w:pStyle w:val="a3"/>
              <w:spacing w:before="0" w:beforeAutospacing="0" w:after="0" w:afterAutospacing="0"/>
              <w:divId w:val="480852641"/>
              <w:rPr>
                <w:sz w:val="20"/>
                <w:szCs w:val="20"/>
              </w:rPr>
            </w:pPr>
            <w:r>
              <w:rPr>
                <w:sz w:val="2"/>
                <w:szCs w:val="2"/>
              </w:rPr>
              <w:t>​</w:t>
            </w:r>
          </w:p>
        </w:tc>
      </w:tr>
      <w:tr w:rsidR="00000000" w14:paraId="66AE4F5A" w14:textId="77777777">
        <w:trPr>
          <w:divId w:val="1388529006"/>
        </w:trPr>
        <w:tc>
          <w:tcPr>
            <w:tcW w:w="2852" w:type="pct"/>
            <w:tcMar>
              <w:top w:w="0" w:type="dxa"/>
              <w:left w:w="0" w:type="dxa"/>
              <w:bottom w:w="0" w:type="dxa"/>
              <w:right w:w="0" w:type="dxa"/>
            </w:tcMar>
            <w:vAlign w:val="bottom"/>
            <w:hideMark/>
          </w:tcPr>
          <w:p w14:paraId="3E5E4FE4" w14:textId="77777777" w:rsidR="00000000" w:rsidRDefault="001F1B20">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14:paraId="432BC634"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tcMar>
              <w:top w:w="0" w:type="dxa"/>
              <w:left w:w="0" w:type="dxa"/>
              <w:bottom w:w="0" w:type="dxa"/>
              <w:right w:w="0" w:type="dxa"/>
            </w:tcMar>
            <w:vAlign w:val="bottom"/>
            <w:hideMark/>
          </w:tcPr>
          <w:p w14:paraId="015F93B5"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89" w:type="pct"/>
            <w:noWrap/>
            <w:tcMar>
              <w:top w:w="0" w:type="dxa"/>
              <w:left w:w="0" w:type="dxa"/>
              <w:bottom w:w="0" w:type="dxa"/>
              <w:right w:w="0" w:type="dxa"/>
            </w:tcMar>
            <w:vAlign w:val="bottom"/>
            <w:hideMark/>
          </w:tcPr>
          <w:p w14:paraId="4AB23FED"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noWrap/>
            <w:tcMar>
              <w:top w:w="0" w:type="dxa"/>
              <w:left w:w="0" w:type="dxa"/>
              <w:bottom w:w="0" w:type="dxa"/>
              <w:right w:w="0" w:type="dxa"/>
            </w:tcMar>
            <w:vAlign w:val="bottom"/>
            <w:hideMark/>
          </w:tcPr>
          <w:p w14:paraId="334B3147"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r>
      <w:tr w:rsidR="00000000" w14:paraId="77C6FB89" w14:textId="77777777">
        <w:trPr>
          <w:divId w:val="1388529006"/>
        </w:trPr>
        <w:tc>
          <w:tcPr>
            <w:tcW w:w="2852" w:type="pct"/>
            <w:tcMar>
              <w:top w:w="0" w:type="dxa"/>
              <w:left w:w="0" w:type="dxa"/>
              <w:bottom w:w="0" w:type="dxa"/>
              <w:right w:w="0" w:type="dxa"/>
            </w:tcMar>
            <w:vAlign w:val="bottom"/>
            <w:hideMark/>
          </w:tcPr>
          <w:p w14:paraId="48271260" w14:textId="77777777" w:rsidR="00000000" w:rsidRDefault="001F1B20">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14:paraId="1DF8CF2F"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tcBorders>
              <w:bottom w:val="single" w:sz="6" w:space="0" w:color="000000"/>
            </w:tcBorders>
            <w:tcMar>
              <w:top w:w="0" w:type="dxa"/>
              <w:left w:w="0" w:type="dxa"/>
              <w:bottom w:w="0" w:type="dxa"/>
              <w:right w:w="0" w:type="dxa"/>
            </w:tcMar>
            <w:vAlign w:val="bottom"/>
            <w:hideMark/>
          </w:tcPr>
          <w:p w14:paraId="6D30FD89"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89" w:type="pct"/>
            <w:noWrap/>
            <w:tcMar>
              <w:top w:w="0" w:type="dxa"/>
              <w:left w:w="0" w:type="dxa"/>
              <w:bottom w:w="0" w:type="dxa"/>
              <w:right w:w="0" w:type="dxa"/>
            </w:tcMar>
            <w:vAlign w:val="bottom"/>
            <w:hideMark/>
          </w:tcPr>
          <w:p w14:paraId="0B7B6B35"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tcBorders>
              <w:bottom w:val="single" w:sz="6" w:space="0" w:color="000000"/>
            </w:tcBorders>
            <w:noWrap/>
            <w:tcMar>
              <w:top w:w="0" w:type="dxa"/>
              <w:left w:w="0" w:type="dxa"/>
              <w:bottom w:w="0" w:type="dxa"/>
              <w:right w:w="0" w:type="dxa"/>
            </w:tcMar>
            <w:vAlign w:val="bottom"/>
            <w:hideMark/>
          </w:tcPr>
          <w:p w14:paraId="18CC7C3D" w14:textId="77777777" w:rsidR="00000000" w:rsidRDefault="001F1B20">
            <w:pPr>
              <w:pStyle w:val="a3"/>
              <w:spacing w:before="0" w:beforeAutospacing="0" w:after="0" w:afterAutospacing="0"/>
              <w:jc w:val="center"/>
              <w:rPr>
                <w:sz w:val="16"/>
                <w:szCs w:val="16"/>
              </w:rPr>
            </w:pPr>
            <w:r>
              <w:rPr>
                <w:b/>
                <w:bCs/>
                <w:sz w:val="16"/>
                <w:szCs w:val="16"/>
              </w:rPr>
              <w:t>September 30, </w:t>
            </w:r>
          </w:p>
        </w:tc>
      </w:tr>
      <w:tr w:rsidR="00000000" w14:paraId="2ED1735B" w14:textId="77777777">
        <w:trPr>
          <w:divId w:val="1388529006"/>
        </w:trPr>
        <w:tc>
          <w:tcPr>
            <w:tcW w:w="2852" w:type="pct"/>
            <w:tcBorders>
              <w:bottom w:val="single" w:sz="6" w:space="0" w:color="000000"/>
            </w:tcBorders>
            <w:tcMar>
              <w:top w:w="0" w:type="dxa"/>
              <w:left w:w="0" w:type="dxa"/>
              <w:bottom w:w="0" w:type="dxa"/>
              <w:right w:w="0" w:type="dxa"/>
            </w:tcMar>
            <w:vAlign w:val="bottom"/>
            <w:hideMark/>
          </w:tcPr>
          <w:p w14:paraId="27ACACA2" w14:textId="77777777" w:rsidR="00000000" w:rsidRDefault="001F1B20">
            <w:pPr>
              <w:pStyle w:val="a3"/>
              <w:spacing w:before="0" w:beforeAutospacing="0" w:after="0" w:afterAutospacing="0"/>
              <w:rPr>
                <w:sz w:val="16"/>
                <w:szCs w:val="16"/>
              </w:rPr>
            </w:pPr>
            <w:r>
              <w:rPr>
                <w:b/>
                <w:bCs/>
                <w:sz w:val="16"/>
                <w:szCs w:val="16"/>
              </w:rPr>
              <w:t>(In thousands)</w:t>
            </w:r>
          </w:p>
        </w:tc>
        <w:tc>
          <w:tcPr>
            <w:tcW w:w="90" w:type="pct"/>
            <w:noWrap/>
            <w:tcMar>
              <w:top w:w="0" w:type="dxa"/>
              <w:left w:w="0" w:type="dxa"/>
              <w:bottom w:w="0" w:type="dxa"/>
              <w:right w:w="0" w:type="dxa"/>
            </w:tcMar>
            <w:vAlign w:val="bottom"/>
            <w:hideMark/>
          </w:tcPr>
          <w:p w14:paraId="2667920D" w14:textId="77777777" w:rsidR="00000000" w:rsidRDefault="001F1B20">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6E5AD656" w14:textId="77777777" w:rsidR="00000000" w:rsidRDefault="001F1B20">
            <w:pPr>
              <w:pStyle w:val="a3"/>
              <w:spacing w:before="0" w:beforeAutospacing="0" w:after="0" w:afterAutospacing="0"/>
              <w:jc w:val="center"/>
              <w:rPr>
                <w:sz w:val="16"/>
                <w:szCs w:val="16"/>
              </w:rPr>
            </w:pPr>
            <w:r>
              <w:rPr>
                <w:b/>
                <w:bCs/>
                <w:sz w:val="16"/>
                <w:szCs w:val="16"/>
              </w:rPr>
              <w:t>2021</w:t>
            </w:r>
          </w:p>
        </w:tc>
        <w:tc>
          <w:tcPr>
            <w:tcW w:w="89" w:type="pct"/>
            <w:noWrap/>
            <w:tcMar>
              <w:top w:w="0" w:type="dxa"/>
              <w:left w:w="0" w:type="dxa"/>
              <w:bottom w:w="0" w:type="dxa"/>
              <w:right w:w="0" w:type="dxa"/>
            </w:tcMar>
            <w:vAlign w:val="bottom"/>
            <w:hideMark/>
          </w:tcPr>
          <w:p w14:paraId="2DDD8460" w14:textId="77777777" w:rsidR="00000000" w:rsidRDefault="001F1B20">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262C1657" w14:textId="77777777" w:rsidR="00000000" w:rsidRDefault="001F1B20">
            <w:pPr>
              <w:pStyle w:val="a3"/>
              <w:spacing w:before="0" w:beforeAutospacing="0" w:after="0" w:afterAutospacing="0"/>
              <w:jc w:val="center"/>
              <w:rPr>
                <w:sz w:val="16"/>
                <w:szCs w:val="16"/>
              </w:rPr>
            </w:pPr>
            <w:r>
              <w:rPr>
                <w:b/>
                <w:bCs/>
                <w:sz w:val="16"/>
                <w:szCs w:val="16"/>
              </w:rPr>
              <w:t>2020</w:t>
            </w:r>
          </w:p>
        </w:tc>
        <w:tc>
          <w:tcPr>
            <w:tcW w:w="89" w:type="pct"/>
            <w:noWrap/>
            <w:tcMar>
              <w:top w:w="0" w:type="dxa"/>
              <w:left w:w="0" w:type="dxa"/>
              <w:bottom w:w="0" w:type="dxa"/>
              <w:right w:w="0" w:type="dxa"/>
            </w:tcMar>
            <w:vAlign w:val="bottom"/>
            <w:hideMark/>
          </w:tcPr>
          <w:p w14:paraId="0461DBAE" w14:textId="77777777" w:rsidR="00000000" w:rsidRDefault="001F1B20">
            <w:pPr>
              <w:pStyle w:val="a3"/>
              <w:spacing w:before="0" w:beforeAutospacing="0" w:after="0"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14:paraId="39354E0B" w14:textId="77777777" w:rsidR="00000000" w:rsidRDefault="001F1B20">
            <w:pPr>
              <w:pStyle w:val="a3"/>
              <w:spacing w:before="0" w:beforeAutospacing="0" w:after="0" w:afterAutospacing="0"/>
              <w:jc w:val="center"/>
              <w:rPr>
                <w:sz w:val="16"/>
                <w:szCs w:val="16"/>
              </w:rPr>
            </w:pPr>
            <w:r>
              <w:rPr>
                <w:b/>
                <w:bCs/>
                <w:sz w:val="16"/>
                <w:szCs w:val="16"/>
              </w:rPr>
              <w:t>2021</w:t>
            </w:r>
          </w:p>
        </w:tc>
        <w:tc>
          <w:tcPr>
            <w:tcW w:w="89" w:type="pct"/>
            <w:noWrap/>
            <w:tcMar>
              <w:top w:w="0" w:type="dxa"/>
              <w:left w:w="0" w:type="dxa"/>
              <w:bottom w:w="0" w:type="dxa"/>
              <w:right w:w="0" w:type="dxa"/>
            </w:tcMar>
            <w:vAlign w:val="bottom"/>
            <w:hideMark/>
          </w:tcPr>
          <w:p w14:paraId="4CFFDFCD" w14:textId="77777777" w:rsidR="00000000" w:rsidRDefault="001F1B20">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0F399338" w14:textId="77777777" w:rsidR="00000000" w:rsidRDefault="001F1B20">
            <w:pPr>
              <w:pStyle w:val="a3"/>
              <w:spacing w:before="0" w:beforeAutospacing="0" w:after="0" w:afterAutospacing="0"/>
              <w:jc w:val="center"/>
              <w:rPr>
                <w:sz w:val="16"/>
                <w:szCs w:val="16"/>
              </w:rPr>
            </w:pPr>
            <w:r>
              <w:rPr>
                <w:b/>
                <w:bCs/>
                <w:sz w:val="16"/>
                <w:szCs w:val="16"/>
              </w:rPr>
              <w:t>2020</w:t>
            </w:r>
          </w:p>
        </w:tc>
      </w:tr>
      <w:tr w:rsidR="00000000" w14:paraId="51386C3B" w14:textId="77777777">
        <w:trPr>
          <w:divId w:val="1388529006"/>
        </w:trPr>
        <w:tc>
          <w:tcPr>
            <w:tcW w:w="2852" w:type="pct"/>
            <w:shd w:val="clear" w:color="auto" w:fill="CCEEFF"/>
            <w:tcMar>
              <w:top w:w="0" w:type="dxa"/>
              <w:left w:w="0" w:type="dxa"/>
              <w:bottom w:w="0" w:type="dxa"/>
              <w:right w:w="0" w:type="dxa"/>
            </w:tcMar>
            <w:vAlign w:val="bottom"/>
            <w:hideMark/>
          </w:tcPr>
          <w:p w14:paraId="344343C0" w14:textId="77777777" w:rsidR="00000000" w:rsidRDefault="001F1B20">
            <w:pPr>
              <w:pStyle w:val="a3"/>
              <w:spacing w:before="0" w:beforeAutospacing="0" w:after="0" w:afterAutospacing="0"/>
              <w:rPr>
                <w:sz w:val="20"/>
                <w:szCs w:val="20"/>
              </w:rPr>
            </w:pPr>
            <w:r>
              <w:rPr>
                <w:sz w:val="20"/>
                <w:szCs w:val="20"/>
              </w:rPr>
              <w:t>Janssen</w:t>
            </w:r>
          </w:p>
        </w:tc>
        <w:tc>
          <w:tcPr>
            <w:tcW w:w="90" w:type="pct"/>
            <w:shd w:val="clear" w:color="auto" w:fill="CCEEFF"/>
            <w:noWrap/>
            <w:tcMar>
              <w:top w:w="0" w:type="dxa"/>
              <w:left w:w="0" w:type="dxa"/>
              <w:bottom w:w="0" w:type="dxa"/>
              <w:right w:w="0" w:type="dxa"/>
            </w:tcMar>
            <w:vAlign w:val="bottom"/>
            <w:hideMark/>
          </w:tcPr>
          <w:p w14:paraId="138AE07D" w14:textId="77777777" w:rsidR="00000000" w:rsidRDefault="001F1B20">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14:paraId="51D2D6AD" w14:textId="77777777" w:rsidR="00000000" w:rsidRDefault="001F1B20">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center"/>
            <w:hideMark/>
          </w:tcPr>
          <w:p w14:paraId="20829EB0" w14:textId="77777777" w:rsidR="00000000" w:rsidRDefault="001F1B20">
            <w:pPr>
              <w:pStyle w:val="a3"/>
              <w:spacing w:before="0" w:beforeAutospacing="0" w:after="0" w:afterAutospacing="0"/>
              <w:ind w:right="60"/>
              <w:jc w:val="right"/>
              <w:rPr>
                <w:sz w:val="20"/>
                <w:szCs w:val="20"/>
              </w:rPr>
            </w:pPr>
            <w:r>
              <w:rPr>
                <w:sz w:val="20"/>
                <w:szCs w:val="20"/>
              </w:rPr>
              <w:t>2,205</w:t>
            </w:r>
          </w:p>
        </w:tc>
        <w:tc>
          <w:tcPr>
            <w:tcW w:w="89" w:type="pct"/>
            <w:shd w:val="clear" w:color="auto" w:fill="CCEEFF"/>
            <w:noWrap/>
            <w:tcMar>
              <w:top w:w="0" w:type="dxa"/>
              <w:left w:w="0" w:type="dxa"/>
              <w:bottom w:w="0" w:type="dxa"/>
              <w:right w:w="0" w:type="dxa"/>
            </w:tcMar>
            <w:vAlign w:val="bottom"/>
            <w:hideMark/>
          </w:tcPr>
          <w:p w14:paraId="4E0E98BC" w14:textId="77777777" w:rsidR="00000000" w:rsidRDefault="001F1B20">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14:paraId="21063320" w14:textId="77777777" w:rsidR="00000000" w:rsidRDefault="001F1B20">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center"/>
            <w:hideMark/>
          </w:tcPr>
          <w:p w14:paraId="05E40967" w14:textId="77777777" w:rsidR="00000000" w:rsidRDefault="001F1B20">
            <w:pPr>
              <w:pStyle w:val="a3"/>
              <w:spacing w:before="0" w:beforeAutospacing="0" w:after="0" w:afterAutospacing="0"/>
              <w:ind w:right="60"/>
              <w:jc w:val="right"/>
              <w:rPr>
                <w:sz w:val="20"/>
                <w:szCs w:val="20"/>
              </w:rPr>
            </w:pPr>
            <w:r>
              <w:rPr>
                <w:sz w:val="20"/>
                <w:szCs w:val="20"/>
              </w:rPr>
              <w:t>1,461</w:t>
            </w:r>
          </w:p>
        </w:tc>
        <w:tc>
          <w:tcPr>
            <w:tcW w:w="89" w:type="pct"/>
            <w:shd w:val="clear" w:color="auto" w:fill="CCEEFF"/>
            <w:noWrap/>
            <w:tcMar>
              <w:top w:w="0" w:type="dxa"/>
              <w:left w:w="0" w:type="dxa"/>
              <w:bottom w:w="0" w:type="dxa"/>
              <w:right w:w="0" w:type="dxa"/>
            </w:tcMar>
            <w:vAlign w:val="bottom"/>
            <w:hideMark/>
          </w:tcPr>
          <w:p w14:paraId="18495F6E" w14:textId="77777777" w:rsidR="00000000" w:rsidRDefault="001F1B20">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14:paraId="51DEBC7A" w14:textId="77777777" w:rsidR="00000000" w:rsidRDefault="001F1B20">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center"/>
            <w:hideMark/>
          </w:tcPr>
          <w:p w14:paraId="68F17307" w14:textId="77777777" w:rsidR="00000000" w:rsidRDefault="001F1B20">
            <w:pPr>
              <w:pStyle w:val="a3"/>
              <w:spacing w:before="0" w:beforeAutospacing="0" w:after="0" w:afterAutospacing="0"/>
              <w:ind w:right="60"/>
              <w:jc w:val="right"/>
              <w:rPr>
                <w:sz w:val="20"/>
                <w:szCs w:val="20"/>
              </w:rPr>
            </w:pPr>
            <w:r>
              <w:rPr>
                <w:sz w:val="20"/>
                <w:szCs w:val="20"/>
              </w:rPr>
              <w:t>4,730</w:t>
            </w:r>
          </w:p>
        </w:tc>
        <w:tc>
          <w:tcPr>
            <w:tcW w:w="89" w:type="pct"/>
            <w:shd w:val="clear" w:color="auto" w:fill="CCEEFF"/>
            <w:noWrap/>
            <w:tcMar>
              <w:top w:w="0" w:type="dxa"/>
              <w:left w:w="0" w:type="dxa"/>
              <w:bottom w:w="0" w:type="dxa"/>
              <w:right w:w="0" w:type="dxa"/>
            </w:tcMar>
            <w:vAlign w:val="bottom"/>
            <w:hideMark/>
          </w:tcPr>
          <w:p w14:paraId="11D6C42A" w14:textId="77777777" w:rsidR="00000000" w:rsidRDefault="001F1B20">
            <w:pPr>
              <w:pStyle w:val="a3"/>
              <w:spacing w:before="0" w:beforeAutospacing="0" w:after="0" w:afterAutospacing="0"/>
              <w:rPr>
                <w:sz w:val="20"/>
                <w:szCs w:val="20"/>
              </w:rPr>
            </w:pPr>
            <w:r>
              <w:rPr>
                <w:b/>
                <w:bCs/>
                <w:sz w:val="20"/>
                <w:szCs w:val="20"/>
              </w:rPr>
              <w:t>​</w:t>
            </w:r>
          </w:p>
        </w:tc>
        <w:tc>
          <w:tcPr>
            <w:tcW w:w="89" w:type="pct"/>
            <w:shd w:val="clear" w:color="auto" w:fill="CCEEFF"/>
            <w:noWrap/>
            <w:tcMar>
              <w:top w:w="0" w:type="dxa"/>
              <w:left w:w="0" w:type="dxa"/>
              <w:bottom w:w="0" w:type="dxa"/>
              <w:right w:w="0" w:type="dxa"/>
            </w:tcMar>
            <w:vAlign w:val="bottom"/>
            <w:hideMark/>
          </w:tcPr>
          <w:p w14:paraId="773032F5" w14:textId="77777777" w:rsidR="00000000" w:rsidRDefault="001F1B20">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center"/>
            <w:hideMark/>
          </w:tcPr>
          <w:p w14:paraId="0F1FC796" w14:textId="77777777" w:rsidR="00000000" w:rsidRDefault="001F1B20">
            <w:pPr>
              <w:pStyle w:val="a3"/>
              <w:spacing w:before="0" w:beforeAutospacing="0" w:after="0" w:afterAutospacing="0"/>
              <w:ind w:right="60"/>
              <w:jc w:val="right"/>
              <w:rPr>
                <w:sz w:val="20"/>
                <w:szCs w:val="20"/>
              </w:rPr>
            </w:pPr>
            <w:r>
              <w:rPr>
                <w:sz w:val="20"/>
                <w:szCs w:val="20"/>
              </w:rPr>
              <w:t>4,231</w:t>
            </w:r>
          </w:p>
        </w:tc>
      </w:tr>
      <w:tr w:rsidR="00000000" w14:paraId="7E28CD12" w14:textId="77777777">
        <w:trPr>
          <w:divId w:val="1388529006"/>
        </w:trPr>
        <w:tc>
          <w:tcPr>
            <w:tcW w:w="2852" w:type="pct"/>
            <w:tcMar>
              <w:top w:w="0" w:type="dxa"/>
              <w:left w:w="0" w:type="dxa"/>
              <w:bottom w:w="0" w:type="dxa"/>
              <w:right w:w="0" w:type="dxa"/>
            </w:tcMar>
            <w:vAlign w:val="bottom"/>
            <w:hideMark/>
          </w:tcPr>
          <w:p w14:paraId="7C9CE9BF" w14:textId="77777777" w:rsidR="00000000" w:rsidRDefault="001F1B20">
            <w:pPr>
              <w:pStyle w:val="a3"/>
              <w:spacing w:before="0" w:beforeAutospacing="0" w:after="0" w:afterAutospacing="0"/>
              <w:rPr>
                <w:sz w:val="20"/>
                <w:szCs w:val="20"/>
              </w:rPr>
            </w:pPr>
            <w:r>
              <w:rPr>
                <w:sz w:val="20"/>
                <w:szCs w:val="20"/>
              </w:rPr>
              <w:t>Viatris</w:t>
            </w:r>
          </w:p>
        </w:tc>
        <w:tc>
          <w:tcPr>
            <w:tcW w:w="90" w:type="pct"/>
            <w:noWrap/>
            <w:tcMar>
              <w:top w:w="0" w:type="dxa"/>
              <w:left w:w="0" w:type="dxa"/>
              <w:bottom w:w="0" w:type="dxa"/>
              <w:right w:w="0" w:type="dxa"/>
            </w:tcMar>
            <w:vAlign w:val="bottom"/>
            <w:hideMark/>
          </w:tcPr>
          <w:p w14:paraId="2AC04E2E" w14:textId="77777777" w:rsidR="00000000" w:rsidRDefault="001F1B20">
            <w:pPr>
              <w:pStyle w:val="a3"/>
              <w:spacing w:before="0" w:beforeAutospacing="0" w:after="0" w:afterAutospacing="0"/>
              <w:rPr>
                <w:sz w:val="20"/>
                <w:szCs w:val="20"/>
              </w:rPr>
            </w:pPr>
            <w:r>
              <w:rPr>
                <w:b/>
                <w:bCs/>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14:paraId="2E84160D"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single" w:sz="6" w:space="0" w:color="000000"/>
            </w:tcBorders>
            <w:noWrap/>
            <w:tcMar>
              <w:top w:w="0" w:type="dxa"/>
              <w:left w:w="0" w:type="dxa"/>
              <w:bottom w:w="0" w:type="dxa"/>
              <w:right w:w="0" w:type="dxa"/>
            </w:tcMar>
            <w:vAlign w:val="center"/>
            <w:hideMark/>
          </w:tcPr>
          <w:p w14:paraId="1C4EB44F" w14:textId="77777777" w:rsidR="00000000" w:rsidRDefault="001F1B20">
            <w:pPr>
              <w:pStyle w:val="a3"/>
              <w:spacing w:before="0" w:beforeAutospacing="0" w:after="0" w:afterAutospacing="0"/>
              <w:ind w:right="60"/>
              <w:jc w:val="right"/>
              <w:rPr>
                <w:sz w:val="20"/>
                <w:szCs w:val="20"/>
              </w:rPr>
            </w:pPr>
            <w:r>
              <w:rPr>
                <w:sz w:val="20"/>
                <w:szCs w:val="20"/>
              </w:rPr>
              <w:t>1,096</w:t>
            </w:r>
          </w:p>
        </w:tc>
        <w:tc>
          <w:tcPr>
            <w:tcW w:w="89" w:type="pct"/>
            <w:noWrap/>
            <w:tcMar>
              <w:top w:w="0" w:type="dxa"/>
              <w:left w:w="0" w:type="dxa"/>
              <w:bottom w:w="0" w:type="dxa"/>
              <w:right w:w="0" w:type="dxa"/>
            </w:tcMar>
            <w:vAlign w:val="bottom"/>
            <w:hideMark/>
          </w:tcPr>
          <w:p w14:paraId="12680E66" w14:textId="77777777" w:rsidR="00000000" w:rsidRDefault="001F1B20">
            <w:pPr>
              <w:pStyle w:val="a3"/>
              <w:spacing w:before="0" w:beforeAutospacing="0" w:after="0" w:afterAutospacing="0"/>
              <w:rPr>
                <w:sz w:val="20"/>
                <w:szCs w:val="20"/>
              </w:rPr>
            </w:pPr>
            <w:r>
              <w:rPr>
                <w:b/>
                <w:bCs/>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14:paraId="3CFD0E69"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single" w:sz="6" w:space="0" w:color="000000"/>
            </w:tcBorders>
            <w:noWrap/>
            <w:tcMar>
              <w:top w:w="0" w:type="dxa"/>
              <w:left w:w="0" w:type="dxa"/>
              <w:bottom w:w="0" w:type="dxa"/>
              <w:right w:w="0" w:type="dxa"/>
            </w:tcMar>
            <w:vAlign w:val="center"/>
            <w:hideMark/>
          </w:tcPr>
          <w:p w14:paraId="531EA431" w14:textId="77777777" w:rsidR="00000000" w:rsidRDefault="001F1B20">
            <w:pPr>
              <w:pStyle w:val="a3"/>
              <w:spacing w:before="0" w:beforeAutospacing="0" w:after="0" w:afterAutospacing="0"/>
              <w:jc w:val="right"/>
              <w:rPr>
                <w:sz w:val="20"/>
                <w:szCs w:val="20"/>
              </w:rPr>
            </w:pPr>
            <w:r>
              <w:rPr>
                <w:sz w:val="20"/>
                <w:szCs w:val="20"/>
              </w:rPr>
              <w:t>(57)</w:t>
            </w:r>
          </w:p>
        </w:tc>
        <w:tc>
          <w:tcPr>
            <w:tcW w:w="89" w:type="pct"/>
            <w:noWrap/>
            <w:tcMar>
              <w:top w:w="0" w:type="dxa"/>
              <w:left w:w="0" w:type="dxa"/>
              <w:bottom w:w="0" w:type="dxa"/>
              <w:right w:w="0" w:type="dxa"/>
            </w:tcMar>
            <w:vAlign w:val="bottom"/>
            <w:hideMark/>
          </w:tcPr>
          <w:p w14:paraId="598DC1AB" w14:textId="77777777" w:rsidR="00000000" w:rsidRDefault="001F1B20">
            <w:pPr>
              <w:pStyle w:val="a3"/>
              <w:spacing w:before="0" w:beforeAutospacing="0" w:after="0" w:afterAutospacing="0"/>
              <w:rPr>
                <w:sz w:val="20"/>
                <w:szCs w:val="20"/>
              </w:rPr>
            </w:pPr>
            <w:r>
              <w:rPr>
                <w:b/>
                <w:bCs/>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14:paraId="2E4B9D1B"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single" w:sz="6" w:space="0" w:color="000000"/>
            </w:tcBorders>
            <w:noWrap/>
            <w:tcMar>
              <w:top w:w="0" w:type="dxa"/>
              <w:left w:w="0" w:type="dxa"/>
              <w:bottom w:w="0" w:type="dxa"/>
              <w:right w:w="0" w:type="dxa"/>
            </w:tcMar>
            <w:vAlign w:val="center"/>
            <w:hideMark/>
          </w:tcPr>
          <w:p w14:paraId="25D6E270" w14:textId="77777777" w:rsidR="00000000" w:rsidRDefault="001F1B20">
            <w:pPr>
              <w:pStyle w:val="a3"/>
              <w:spacing w:before="0" w:beforeAutospacing="0" w:after="0" w:afterAutospacing="0"/>
              <w:ind w:right="60"/>
              <w:jc w:val="right"/>
              <w:rPr>
                <w:sz w:val="20"/>
                <w:szCs w:val="20"/>
              </w:rPr>
            </w:pPr>
            <w:r>
              <w:rPr>
                <w:sz w:val="20"/>
                <w:szCs w:val="20"/>
              </w:rPr>
              <w:t>1,257</w:t>
            </w:r>
          </w:p>
        </w:tc>
        <w:tc>
          <w:tcPr>
            <w:tcW w:w="89" w:type="pct"/>
            <w:noWrap/>
            <w:tcMar>
              <w:top w:w="0" w:type="dxa"/>
              <w:left w:w="0" w:type="dxa"/>
              <w:bottom w:w="0" w:type="dxa"/>
              <w:right w:w="0" w:type="dxa"/>
            </w:tcMar>
            <w:vAlign w:val="bottom"/>
            <w:hideMark/>
          </w:tcPr>
          <w:p w14:paraId="3FB99D0F" w14:textId="77777777" w:rsidR="00000000" w:rsidRDefault="001F1B20">
            <w:pPr>
              <w:pStyle w:val="a3"/>
              <w:spacing w:before="0" w:beforeAutospacing="0" w:after="0" w:afterAutospacing="0"/>
              <w:rPr>
                <w:sz w:val="20"/>
                <w:szCs w:val="20"/>
              </w:rPr>
            </w:pPr>
            <w:r>
              <w:rPr>
                <w:b/>
                <w:bCs/>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14:paraId="4ECB0F08"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single" w:sz="6" w:space="0" w:color="000000"/>
            </w:tcBorders>
            <w:noWrap/>
            <w:tcMar>
              <w:top w:w="0" w:type="dxa"/>
              <w:left w:w="0" w:type="dxa"/>
              <w:bottom w:w="0" w:type="dxa"/>
              <w:right w:w="0" w:type="dxa"/>
            </w:tcMar>
            <w:vAlign w:val="center"/>
            <w:hideMark/>
          </w:tcPr>
          <w:p w14:paraId="5F0C83CA" w14:textId="77777777" w:rsidR="00000000" w:rsidRDefault="001F1B20">
            <w:pPr>
              <w:pStyle w:val="a3"/>
              <w:spacing w:before="0" w:beforeAutospacing="0" w:after="0" w:afterAutospacing="0"/>
              <w:ind w:right="60"/>
              <w:jc w:val="right"/>
              <w:rPr>
                <w:sz w:val="20"/>
                <w:szCs w:val="20"/>
              </w:rPr>
            </w:pPr>
            <w:r>
              <w:rPr>
                <w:sz w:val="20"/>
                <w:szCs w:val="20"/>
              </w:rPr>
              <w:t>1,565</w:t>
            </w:r>
          </w:p>
        </w:tc>
      </w:tr>
      <w:tr w:rsidR="00000000" w14:paraId="22800091" w14:textId="77777777">
        <w:trPr>
          <w:divId w:val="1388529006"/>
        </w:trPr>
        <w:tc>
          <w:tcPr>
            <w:tcW w:w="2852" w:type="pct"/>
            <w:shd w:val="clear" w:color="auto" w:fill="CCEEFF"/>
            <w:tcMar>
              <w:top w:w="0" w:type="dxa"/>
              <w:left w:w="0" w:type="dxa"/>
              <w:bottom w:w="0" w:type="dxa"/>
              <w:right w:w="0" w:type="dxa"/>
            </w:tcMar>
            <w:vAlign w:val="bottom"/>
            <w:hideMark/>
          </w:tcPr>
          <w:p w14:paraId="7E5032EE" w14:textId="77777777" w:rsidR="00000000" w:rsidRDefault="001F1B20">
            <w:pPr>
              <w:pStyle w:val="a3"/>
              <w:spacing w:before="0" w:beforeAutospacing="0" w:after="0" w:afterAutospacing="0"/>
              <w:ind w:left="240"/>
              <w:rPr>
                <w:sz w:val="20"/>
                <w:szCs w:val="20"/>
              </w:rPr>
            </w:pPr>
            <w:r>
              <w:rPr>
                <w:sz w:val="20"/>
                <w:szCs w:val="20"/>
              </w:rPr>
              <w:t>Total reduction to R&amp;D expense, net</w:t>
            </w:r>
          </w:p>
        </w:tc>
        <w:tc>
          <w:tcPr>
            <w:tcW w:w="90" w:type="pct"/>
            <w:shd w:val="clear" w:color="auto" w:fill="CCEEFF"/>
            <w:noWrap/>
            <w:tcMar>
              <w:top w:w="0" w:type="dxa"/>
              <w:left w:w="0" w:type="dxa"/>
              <w:bottom w:w="0" w:type="dxa"/>
              <w:right w:w="0" w:type="dxa"/>
            </w:tcMar>
            <w:vAlign w:val="bottom"/>
            <w:hideMark/>
          </w:tcPr>
          <w:p w14:paraId="65BEDD5A"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663EC080"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center"/>
            <w:hideMark/>
          </w:tcPr>
          <w:p w14:paraId="106BE38B" w14:textId="77777777" w:rsidR="00000000" w:rsidRDefault="001F1B20">
            <w:pPr>
              <w:pStyle w:val="a3"/>
              <w:spacing w:before="0" w:beforeAutospacing="0" w:after="0" w:afterAutospacing="0"/>
              <w:ind w:right="60"/>
              <w:jc w:val="right"/>
              <w:rPr>
                <w:sz w:val="20"/>
                <w:szCs w:val="20"/>
              </w:rPr>
            </w:pPr>
            <w:r>
              <w:rPr>
                <w:sz w:val="20"/>
                <w:szCs w:val="20"/>
              </w:rPr>
              <w:t>3,301</w:t>
            </w:r>
          </w:p>
        </w:tc>
        <w:tc>
          <w:tcPr>
            <w:tcW w:w="89" w:type="pct"/>
            <w:shd w:val="clear" w:color="auto" w:fill="CCEEFF"/>
            <w:noWrap/>
            <w:tcMar>
              <w:top w:w="0" w:type="dxa"/>
              <w:left w:w="0" w:type="dxa"/>
              <w:bottom w:w="0" w:type="dxa"/>
              <w:right w:w="0" w:type="dxa"/>
            </w:tcMar>
            <w:vAlign w:val="bottom"/>
            <w:hideMark/>
          </w:tcPr>
          <w:p w14:paraId="1604F456"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571E3A7E"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center"/>
            <w:hideMark/>
          </w:tcPr>
          <w:p w14:paraId="3DB6D6E7" w14:textId="77777777" w:rsidR="00000000" w:rsidRDefault="001F1B20">
            <w:pPr>
              <w:pStyle w:val="a3"/>
              <w:spacing w:before="0" w:beforeAutospacing="0" w:after="0" w:afterAutospacing="0"/>
              <w:ind w:right="60"/>
              <w:jc w:val="right"/>
              <w:rPr>
                <w:sz w:val="20"/>
                <w:szCs w:val="20"/>
              </w:rPr>
            </w:pPr>
            <w:r>
              <w:rPr>
                <w:sz w:val="20"/>
                <w:szCs w:val="20"/>
              </w:rPr>
              <w:t>1,404</w:t>
            </w:r>
          </w:p>
        </w:tc>
        <w:tc>
          <w:tcPr>
            <w:tcW w:w="89" w:type="pct"/>
            <w:shd w:val="clear" w:color="auto" w:fill="CCEEFF"/>
            <w:noWrap/>
            <w:tcMar>
              <w:top w:w="0" w:type="dxa"/>
              <w:left w:w="0" w:type="dxa"/>
              <w:bottom w:w="0" w:type="dxa"/>
              <w:right w:w="0" w:type="dxa"/>
            </w:tcMar>
            <w:vAlign w:val="bottom"/>
            <w:hideMark/>
          </w:tcPr>
          <w:p w14:paraId="2A5F41AC"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23673096"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center"/>
            <w:hideMark/>
          </w:tcPr>
          <w:p w14:paraId="48BFC0CF" w14:textId="77777777" w:rsidR="00000000" w:rsidRDefault="001F1B20">
            <w:pPr>
              <w:pStyle w:val="a3"/>
              <w:spacing w:before="0" w:beforeAutospacing="0" w:after="0" w:afterAutospacing="0"/>
              <w:ind w:right="60"/>
              <w:jc w:val="right"/>
              <w:rPr>
                <w:sz w:val="20"/>
                <w:szCs w:val="20"/>
              </w:rPr>
            </w:pPr>
            <w:r>
              <w:rPr>
                <w:sz w:val="20"/>
                <w:szCs w:val="20"/>
              </w:rPr>
              <w:t>5,987</w:t>
            </w:r>
          </w:p>
        </w:tc>
        <w:tc>
          <w:tcPr>
            <w:tcW w:w="89" w:type="pct"/>
            <w:shd w:val="clear" w:color="auto" w:fill="CCEEFF"/>
            <w:noWrap/>
            <w:tcMar>
              <w:top w:w="0" w:type="dxa"/>
              <w:left w:w="0" w:type="dxa"/>
              <w:bottom w:w="0" w:type="dxa"/>
              <w:right w:w="0" w:type="dxa"/>
            </w:tcMar>
            <w:vAlign w:val="bottom"/>
            <w:hideMark/>
          </w:tcPr>
          <w:p w14:paraId="7F54A8A0" w14:textId="77777777" w:rsidR="00000000" w:rsidRDefault="001F1B2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14:paraId="6DD603C0" w14:textId="77777777" w:rsidR="00000000" w:rsidRDefault="001F1B20">
            <w:pPr>
              <w:pStyle w:val="a3"/>
              <w:spacing w:before="0" w:beforeAutospacing="0" w:after="0"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center"/>
            <w:hideMark/>
          </w:tcPr>
          <w:p w14:paraId="465ABFE1" w14:textId="77777777" w:rsidR="00000000" w:rsidRDefault="001F1B20">
            <w:pPr>
              <w:pStyle w:val="a3"/>
              <w:spacing w:before="0" w:beforeAutospacing="0" w:after="0" w:afterAutospacing="0"/>
              <w:ind w:right="60"/>
              <w:jc w:val="right"/>
              <w:rPr>
                <w:sz w:val="20"/>
                <w:szCs w:val="20"/>
              </w:rPr>
            </w:pPr>
            <w:r>
              <w:rPr>
                <w:sz w:val="20"/>
                <w:szCs w:val="20"/>
              </w:rPr>
              <w:t>5,796</w:t>
            </w:r>
          </w:p>
        </w:tc>
      </w:tr>
    </w:tbl>
    <w:p w14:paraId="23A28EBF" w14:textId="77777777" w:rsidR="00000000" w:rsidRDefault="001F1B20">
      <w:pPr>
        <w:pStyle w:val="a3"/>
        <w:spacing w:before="0" w:beforeAutospacing="0" w:after="0" w:afterAutospacing="0"/>
        <w:divId w:val="1388529006"/>
        <w:rPr>
          <w:sz w:val="20"/>
          <w:szCs w:val="20"/>
        </w:rPr>
      </w:pPr>
      <w:r>
        <w:rPr>
          <w:sz w:val="20"/>
          <w:szCs w:val="20"/>
        </w:rPr>
        <w:t>​</w:t>
      </w:r>
    </w:p>
    <w:p w14:paraId="2E4B0796" w14:textId="77777777" w:rsidR="00000000" w:rsidRDefault="001F1B20">
      <w:pPr>
        <w:pStyle w:val="a3"/>
        <w:spacing w:before="0" w:beforeAutospacing="0" w:after="0" w:afterAutospacing="0"/>
        <w:divId w:val="1388529006"/>
        <w:rPr>
          <w:sz w:val="20"/>
          <w:szCs w:val="20"/>
        </w:rPr>
      </w:pPr>
      <w:r>
        <w:rPr>
          <w:b/>
          <w:bCs/>
          <w:i/>
          <w:iCs/>
          <w:sz w:val="20"/>
          <w:szCs w:val="20"/>
        </w:rPr>
        <w:t>Revenue from Licensing Arrangements</w:t>
      </w:r>
    </w:p>
    <w:p w14:paraId="0F6EC2F0" w14:textId="77777777" w:rsidR="00000000" w:rsidRDefault="001F1B20">
      <w:pPr>
        <w:pStyle w:val="a3"/>
        <w:spacing w:before="0" w:beforeAutospacing="0" w:after="0" w:afterAutospacing="0"/>
        <w:divId w:val="1388529006"/>
        <w:rPr>
          <w:sz w:val="20"/>
          <w:szCs w:val="20"/>
        </w:rPr>
      </w:pPr>
      <w:r>
        <w:rPr>
          <w:b/>
          <w:bCs/>
          <w:i/>
          <w:iCs/>
          <w:sz w:val="20"/>
          <w:szCs w:val="20"/>
        </w:rPr>
        <w:t>​</w:t>
      </w:r>
    </w:p>
    <w:p w14:paraId="27392291" w14:textId="77777777" w:rsidR="00000000" w:rsidRDefault="001F1B20">
      <w:pPr>
        <w:pStyle w:val="a3"/>
        <w:shd w:val="clear" w:color="auto" w:fill="FFFFFF"/>
        <w:spacing w:before="0" w:beforeAutospacing="0" w:after="120" w:afterAutospacing="0"/>
        <w:divId w:val="1388529006"/>
        <w:rPr>
          <w:sz w:val="20"/>
          <w:szCs w:val="20"/>
        </w:rPr>
      </w:pPr>
      <w:r>
        <w:rPr>
          <w:b/>
          <w:bCs/>
          <w:i/>
          <w:iCs/>
          <w:sz w:val="20"/>
          <w:szCs w:val="20"/>
        </w:rPr>
        <w:t>Viatris</w:t>
      </w:r>
    </w:p>
    <w:p w14:paraId="55EFE30D" w14:textId="77777777" w:rsidR="00000000" w:rsidRDefault="001F1B20">
      <w:pPr>
        <w:pStyle w:val="a3"/>
        <w:spacing w:before="0" w:beforeAutospacing="0" w:after="0" w:afterAutospacing="0"/>
        <w:ind w:firstLine="720"/>
        <w:divId w:val="1388529006"/>
        <w:rPr>
          <w:sz w:val="20"/>
          <w:szCs w:val="20"/>
        </w:rPr>
      </w:pPr>
      <w:r>
        <w:rPr>
          <w:sz w:val="20"/>
          <w:szCs w:val="20"/>
          <w:shd w:val="clear" w:color="auto" w:fill="FFFFFF"/>
        </w:rPr>
        <w:t>In June 2019, the Company announced the expansion of the Viatris Agreement (the “Viatris Amendment”) to grant Viatris exclusive development and commercialization rights to nebulized revefenacin in China and adj</w:t>
      </w:r>
      <w:r>
        <w:rPr>
          <w:sz w:val="20"/>
          <w:szCs w:val="20"/>
          <w:shd w:val="clear" w:color="auto" w:fill="FFFFFF"/>
        </w:rPr>
        <w:t>acent territories. In exchange, the Company received an upfront payment of $18.5 million (before a required tax withholding) and will be eligible to receive potential development and sales milestones totaling $54.0 million and low double-digit tiered royal</w:t>
      </w:r>
      <w:r>
        <w:rPr>
          <w:sz w:val="20"/>
          <w:szCs w:val="20"/>
          <w:shd w:val="clear" w:color="auto" w:fill="FFFFFF"/>
        </w:rPr>
        <w:t xml:space="preserve">ties on net sales of nebulized revefenacin, if approved. Of the $54.0 million in potential milestones, $9.0 million is associated with the development of </w:t>
      </w:r>
      <w:r>
        <w:rPr>
          <w:sz w:val="20"/>
          <w:szCs w:val="20"/>
        </w:rPr>
        <w:t>YUPELRI monotherapy, $7.5 million associated with the development of future potential combination prod</w:t>
      </w:r>
      <w:r>
        <w:rPr>
          <w:sz w:val="20"/>
          <w:szCs w:val="20"/>
        </w:rPr>
        <w:t xml:space="preserve">ucts, and </w:t>
      </w:r>
      <w:r>
        <w:rPr>
          <w:sz w:val="20"/>
          <w:szCs w:val="20"/>
          <w:shd w:val="clear" w:color="auto" w:fill="FFFFFF"/>
        </w:rPr>
        <w:t xml:space="preserve">$37.5 million is associated with sales milestones. Viatris is responsible for all aspects of development and commercialization in the partnered regions, including pre- and post-launch activities and product registration and all associated costs. </w:t>
      </w:r>
    </w:p>
    <w:p w14:paraId="6EE64369" w14:textId="77777777" w:rsidR="00000000" w:rsidRDefault="001F1B20">
      <w:pPr>
        <w:pStyle w:val="a3"/>
        <w:spacing w:before="0" w:beforeAutospacing="0" w:after="0" w:afterAutospacing="0"/>
        <w:divId w:val="1388529006"/>
        <w:rPr>
          <w:sz w:val="20"/>
          <w:szCs w:val="20"/>
        </w:rPr>
      </w:pPr>
      <w:r>
        <w:rPr>
          <w:sz w:val="20"/>
          <w:szCs w:val="20"/>
        </w:rPr>
        <w:t>​</w:t>
      </w:r>
    </w:p>
    <w:p w14:paraId="12B4FD3F" w14:textId="77777777" w:rsidR="00000000" w:rsidRDefault="001F1B20">
      <w:pPr>
        <w:pStyle w:val="a3"/>
        <w:spacing w:before="0" w:beforeAutospacing="0" w:after="0" w:afterAutospacing="0"/>
        <w:ind w:firstLine="720"/>
        <w:divId w:val="1388529006"/>
        <w:rPr>
          <w:sz w:val="20"/>
          <w:szCs w:val="20"/>
        </w:rPr>
      </w:pPr>
      <w:r>
        <w:rPr>
          <w:sz w:val="20"/>
          <w:szCs w:val="20"/>
          <w:shd w:val="clear" w:color="auto" w:fill="FFFFFF"/>
        </w:rPr>
        <w:t>The Viatris Amendment is accounted for under ASC 606 as a separate contract from the original Viatris Agreement that was entered into in January 2015. The Company identified a</w:t>
      </w:r>
      <w:r>
        <w:rPr>
          <w:sz w:val="20"/>
          <w:szCs w:val="20"/>
        </w:rPr>
        <w:t xml:space="preserve"> single performance obligation comprising of the delivery of the license to de</w:t>
      </w:r>
      <w:r>
        <w:rPr>
          <w:sz w:val="20"/>
          <w:szCs w:val="20"/>
        </w:rPr>
        <w:t>velop and commercialize revefenacin in China and adjacent territories. The transaction price was determined to be the upfront payment of $18.5 million</w:t>
      </w:r>
      <w:r>
        <w:rPr>
          <w:sz w:val="20"/>
          <w:szCs w:val="20"/>
          <w:shd w:val="clear" w:color="auto" w:fill="FFFFFF"/>
        </w:rPr>
        <w:t xml:space="preserve"> </w:t>
      </w:r>
      <w:r>
        <w:rPr>
          <w:sz w:val="20"/>
          <w:szCs w:val="20"/>
        </w:rPr>
        <w:t xml:space="preserve">which the Company recognized as licensing revenue following the completion of the performance obligation </w:t>
      </w:r>
      <w:r>
        <w:rPr>
          <w:sz w:val="20"/>
          <w:szCs w:val="20"/>
        </w:rPr>
        <w:t xml:space="preserve">in June 2019. </w:t>
      </w:r>
    </w:p>
    <w:p w14:paraId="44641528" w14:textId="77777777" w:rsidR="00000000" w:rsidRDefault="001F1B20">
      <w:pPr>
        <w:pStyle w:val="a3"/>
        <w:spacing w:before="0" w:beforeAutospacing="0" w:after="0" w:afterAutospacing="0"/>
        <w:ind w:firstLine="720"/>
        <w:divId w:val="1388529006"/>
        <w:rPr>
          <w:sz w:val="20"/>
          <w:szCs w:val="20"/>
        </w:rPr>
      </w:pPr>
      <w:r>
        <w:rPr>
          <w:sz w:val="20"/>
          <w:szCs w:val="20"/>
        </w:rPr>
        <w:t>​</w:t>
      </w:r>
    </w:p>
    <w:p w14:paraId="4E8C6D02" w14:textId="77777777" w:rsidR="00000000" w:rsidRDefault="001F1B20">
      <w:pPr>
        <w:pStyle w:val="a3"/>
        <w:spacing w:before="0" w:beforeAutospacing="0" w:after="0" w:afterAutospacing="0"/>
        <w:ind w:firstLine="720"/>
        <w:divId w:val="1388529006"/>
        <w:rPr>
          <w:sz w:val="20"/>
          <w:szCs w:val="20"/>
        </w:rPr>
      </w:pPr>
      <w:r>
        <w:rPr>
          <w:sz w:val="20"/>
          <w:szCs w:val="20"/>
        </w:rPr>
        <w:t>The future potential milestone amounts for</w:t>
      </w:r>
      <w:r>
        <w:rPr>
          <w:color w:val="FF0000"/>
          <w:sz w:val="20"/>
          <w:szCs w:val="20"/>
        </w:rPr>
        <w:t xml:space="preserve"> </w:t>
      </w:r>
      <w:r>
        <w:rPr>
          <w:sz w:val="20"/>
          <w:szCs w:val="20"/>
        </w:rPr>
        <w:t xml:space="preserve">the Viatris Amendment were not included in the transaction price, as they were all determined to be fully constrained following the concepts of ASC 606. As part of the Company’s evaluation of </w:t>
      </w:r>
    </w:p>
    <w:p w14:paraId="7C3EB885" w14:textId="77777777" w:rsidR="00000000" w:rsidRDefault="001F1B20">
      <w:pPr>
        <w:pStyle w:val="a3"/>
        <w:spacing w:before="360" w:beforeAutospacing="0" w:after="0" w:afterAutospacing="0"/>
        <w:jc w:val="center"/>
        <w:divId w:val="820970652"/>
        <w:rPr>
          <w:sz w:val="20"/>
          <w:szCs w:val="20"/>
        </w:rPr>
      </w:pPr>
      <w:r>
        <w:rPr>
          <w:sz w:val="20"/>
          <w:szCs w:val="20"/>
        </w:rPr>
        <w:t>11</w:t>
      </w:r>
    </w:p>
    <w:p w14:paraId="0D39BB82" w14:textId="77777777" w:rsidR="00000000" w:rsidRDefault="001F1B20">
      <w:pPr>
        <w:pStyle w:val="a3"/>
        <w:spacing w:before="0" w:beforeAutospacing="0" w:after="600" w:afterAutospacing="0"/>
        <w:divId w:val="2000303967"/>
        <w:rPr>
          <w:sz w:val="20"/>
          <w:szCs w:val="20"/>
        </w:rPr>
      </w:pPr>
      <w:hyperlink w:anchor="TOC" w:history="1">
        <w:r>
          <w:rPr>
            <w:rStyle w:val="a4"/>
            <w:sz w:val="20"/>
            <w:szCs w:val="20"/>
          </w:rPr>
          <w:t>Table of Contents</w:t>
        </w:r>
      </w:hyperlink>
    </w:p>
    <w:p w14:paraId="7ADB20FF" w14:textId="77777777" w:rsidR="00000000" w:rsidRDefault="001F1B20">
      <w:pPr>
        <w:pStyle w:val="a3"/>
        <w:spacing w:before="0" w:beforeAutospacing="0" w:after="0" w:afterAutospacing="0"/>
        <w:divId w:val="2054885378"/>
        <w:rPr>
          <w:sz w:val="20"/>
          <w:szCs w:val="20"/>
        </w:rPr>
      </w:pPr>
      <w:r>
        <w:rPr>
          <w:sz w:val="20"/>
          <w:szCs w:val="20"/>
        </w:rPr>
        <w:t xml:space="preserve">the development </w:t>
      </w:r>
      <w:r>
        <w:rPr>
          <w:sz w:val="20"/>
          <w:szCs w:val="20"/>
        </w:rPr>
        <w:t>milestones constraint, the Company determined that the achievement of such milestones is contingent upon success in future clinical trials and regulatory approvals which are not within its control and uncertain at this stage. The Company expects that the s</w:t>
      </w:r>
      <w:r>
        <w:rPr>
          <w:sz w:val="20"/>
          <w:szCs w:val="20"/>
        </w:rPr>
        <w:t>ales-based milestone payments and royalty arrangements will be recognized when the sales occur or the milestone is achieved. The Company will re-evaluate the transaction price each quarter and as uncertain events are resolved or other changes in circumstan</w:t>
      </w:r>
      <w:r>
        <w:rPr>
          <w:sz w:val="20"/>
          <w:szCs w:val="20"/>
        </w:rPr>
        <w:t xml:space="preserve">ces occur. </w:t>
      </w:r>
    </w:p>
    <w:p w14:paraId="438DCE5F" w14:textId="77777777" w:rsidR="00000000" w:rsidRDefault="001F1B20">
      <w:pPr>
        <w:pStyle w:val="a3"/>
        <w:spacing w:before="0" w:beforeAutospacing="0" w:after="0" w:afterAutospacing="0"/>
        <w:ind w:firstLine="720"/>
        <w:divId w:val="2054885378"/>
        <w:rPr>
          <w:sz w:val="20"/>
          <w:szCs w:val="20"/>
        </w:rPr>
      </w:pPr>
      <w:r>
        <w:rPr>
          <w:sz w:val="20"/>
          <w:szCs w:val="20"/>
        </w:rPr>
        <w:t>​</w:t>
      </w:r>
    </w:p>
    <w:p w14:paraId="3232F68B" w14:textId="77777777" w:rsidR="00000000" w:rsidRDefault="001F1B20">
      <w:pPr>
        <w:pStyle w:val="a3"/>
        <w:spacing w:before="0" w:beforeAutospacing="0" w:after="0" w:afterAutospacing="0"/>
        <w:ind w:firstLine="720"/>
        <w:divId w:val="2054885378"/>
        <w:rPr>
          <w:sz w:val="20"/>
          <w:szCs w:val="20"/>
        </w:rPr>
      </w:pPr>
      <w:r>
        <w:rPr>
          <w:sz w:val="20"/>
          <w:szCs w:val="20"/>
          <w:shd w:val="clear" w:color="auto" w:fill="FFFFFF"/>
        </w:rPr>
        <w:t>In March 2020, the Company earned a $1.5 million development milestone payment for the acceptance of a clinical trial application associated with the use of YUPELRI monotherapy in China and adjacent territories.</w:t>
      </w:r>
    </w:p>
    <w:p w14:paraId="6828F8C7" w14:textId="77777777" w:rsidR="00000000" w:rsidRDefault="001F1B20">
      <w:pPr>
        <w:pStyle w:val="a3"/>
        <w:spacing w:before="0" w:beforeAutospacing="0" w:after="0" w:afterAutospacing="0"/>
        <w:divId w:val="2054885378"/>
        <w:rPr>
          <w:sz w:val="20"/>
          <w:szCs w:val="20"/>
        </w:rPr>
      </w:pPr>
      <w:r>
        <w:rPr>
          <w:sz w:val="20"/>
          <w:szCs w:val="20"/>
        </w:rPr>
        <w:t>​</w:t>
      </w:r>
    </w:p>
    <w:p w14:paraId="06DCD2AC" w14:textId="77777777" w:rsidR="00000000" w:rsidRDefault="001F1B20">
      <w:pPr>
        <w:pStyle w:val="a3"/>
        <w:spacing w:before="0" w:beforeAutospacing="0" w:after="0" w:afterAutospacing="0"/>
        <w:divId w:val="2054885378"/>
        <w:rPr>
          <w:sz w:val="20"/>
          <w:szCs w:val="20"/>
        </w:rPr>
      </w:pPr>
      <w:r>
        <w:rPr>
          <w:b/>
          <w:bCs/>
          <w:sz w:val="20"/>
          <w:szCs w:val="20"/>
        </w:rPr>
        <w:t>4. Cash, Cash Equivalents, a</w:t>
      </w:r>
      <w:r>
        <w:rPr>
          <w:b/>
          <w:bCs/>
          <w:sz w:val="20"/>
          <w:szCs w:val="20"/>
        </w:rPr>
        <w:t>nd Restricted Cash</w:t>
      </w:r>
    </w:p>
    <w:p w14:paraId="608AC4EF" w14:textId="77777777" w:rsidR="00000000" w:rsidRDefault="001F1B20">
      <w:pPr>
        <w:pStyle w:val="a3"/>
        <w:spacing w:before="0" w:beforeAutospacing="0" w:after="0" w:afterAutospacing="0"/>
        <w:divId w:val="2054885378"/>
        <w:rPr>
          <w:sz w:val="20"/>
          <w:szCs w:val="20"/>
        </w:rPr>
      </w:pPr>
      <w:r>
        <w:rPr>
          <w:b/>
          <w:bCs/>
          <w:sz w:val="10"/>
          <w:szCs w:val="10"/>
        </w:rPr>
        <w:t>​</w:t>
      </w:r>
    </w:p>
    <w:p w14:paraId="46B1E45C" w14:textId="77777777" w:rsidR="00000000" w:rsidRDefault="001F1B20">
      <w:pPr>
        <w:pStyle w:val="a3"/>
        <w:spacing w:before="0" w:beforeAutospacing="0" w:after="0" w:afterAutospacing="0"/>
        <w:ind w:firstLine="720"/>
        <w:divId w:val="2054885378"/>
        <w:rPr>
          <w:sz w:val="20"/>
          <w:szCs w:val="20"/>
        </w:rPr>
      </w:pPr>
      <w:r>
        <w:rPr>
          <w:sz w:val="20"/>
          <w:szCs w:val="20"/>
        </w:rPr>
        <w:t>The following table provides a reconciliation of cash, cash equivalents, and restricted cash reported within the current period and comparable prior year period condensed consolidated balance sheets that sum to the total of the same su</w:t>
      </w:r>
      <w:r>
        <w:rPr>
          <w:sz w:val="20"/>
          <w:szCs w:val="20"/>
        </w:rPr>
        <w:t>ch amount shown on the condensed consolidated statements of cash flows.</w:t>
      </w:r>
    </w:p>
    <w:p w14:paraId="3192679A" w14:textId="77777777" w:rsidR="00000000" w:rsidRDefault="001F1B20">
      <w:pPr>
        <w:pStyle w:val="a3"/>
        <w:spacing w:before="0" w:beforeAutospacing="0" w:after="0" w:afterAutospacing="0"/>
        <w:ind w:firstLine="720"/>
        <w:divId w:val="205488537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4"/>
        <w:gridCol w:w="192"/>
        <w:gridCol w:w="191"/>
        <w:gridCol w:w="753"/>
        <w:gridCol w:w="191"/>
        <w:gridCol w:w="191"/>
        <w:gridCol w:w="754"/>
      </w:tblGrid>
      <w:tr w:rsidR="00000000" w14:paraId="541ABC1C" w14:textId="77777777">
        <w:trPr>
          <w:divId w:val="2054885378"/>
          <w:trHeight w:val="20"/>
        </w:trPr>
        <w:tc>
          <w:tcPr>
            <w:tcW w:w="3631" w:type="pct"/>
            <w:tcMar>
              <w:top w:w="0" w:type="dxa"/>
              <w:left w:w="0" w:type="dxa"/>
              <w:bottom w:w="0" w:type="dxa"/>
              <w:right w:w="0" w:type="dxa"/>
            </w:tcMar>
            <w:vAlign w:val="center"/>
            <w:hideMark/>
          </w:tcPr>
          <w:p w14:paraId="589D520A" w14:textId="77777777" w:rsidR="00000000" w:rsidRDefault="001F1B20">
            <w:pPr>
              <w:pStyle w:val="a3"/>
              <w:spacing w:before="0" w:beforeAutospacing="0" w:after="0" w:afterAutospacing="0"/>
              <w:divId w:val="1392340201"/>
              <w:rPr>
                <w:sz w:val="20"/>
                <w:szCs w:val="20"/>
              </w:rPr>
            </w:pPr>
            <w:r>
              <w:rPr>
                <w:sz w:val="2"/>
                <w:szCs w:val="2"/>
              </w:rPr>
              <w:t>​</w:t>
            </w:r>
          </w:p>
        </w:tc>
        <w:tc>
          <w:tcPr>
            <w:tcW w:w="115" w:type="pct"/>
            <w:tcMar>
              <w:top w:w="0" w:type="dxa"/>
              <w:left w:w="0" w:type="dxa"/>
              <w:bottom w:w="0" w:type="dxa"/>
              <w:right w:w="0" w:type="dxa"/>
            </w:tcMar>
            <w:vAlign w:val="center"/>
            <w:hideMark/>
          </w:tcPr>
          <w:p w14:paraId="26613455" w14:textId="77777777" w:rsidR="00000000" w:rsidRDefault="001F1B20">
            <w:pPr>
              <w:pStyle w:val="a3"/>
              <w:spacing w:before="0" w:beforeAutospacing="0" w:after="0" w:afterAutospacing="0"/>
              <w:divId w:val="1246962920"/>
              <w:rPr>
                <w:sz w:val="20"/>
                <w:szCs w:val="20"/>
              </w:rPr>
            </w:pPr>
            <w:r>
              <w:rPr>
                <w:sz w:val="2"/>
                <w:szCs w:val="2"/>
              </w:rPr>
              <w:t>​</w:t>
            </w:r>
          </w:p>
        </w:tc>
        <w:tc>
          <w:tcPr>
            <w:tcW w:w="115" w:type="pct"/>
            <w:tcMar>
              <w:top w:w="0" w:type="dxa"/>
              <w:left w:w="0" w:type="dxa"/>
              <w:bottom w:w="0" w:type="dxa"/>
              <w:right w:w="0" w:type="dxa"/>
            </w:tcMar>
            <w:vAlign w:val="center"/>
            <w:hideMark/>
          </w:tcPr>
          <w:p w14:paraId="7A216D87" w14:textId="77777777" w:rsidR="00000000" w:rsidRDefault="001F1B20">
            <w:pPr>
              <w:pStyle w:val="a3"/>
              <w:spacing w:before="0" w:beforeAutospacing="0" w:after="0" w:afterAutospacing="0"/>
              <w:divId w:val="1554272052"/>
              <w:rPr>
                <w:sz w:val="20"/>
                <w:szCs w:val="20"/>
              </w:rPr>
            </w:pPr>
            <w:r>
              <w:rPr>
                <w:sz w:val="2"/>
                <w:szCs w:val="2"/>
              </w:rPr>
              <w:t>​</w:t>
            </w:r>
          </w:p>
        </w:tc>
        <w:tc>
          <w:tcPr>
            <w:tcW w:w="453" w:type="pct"/>
            <w:noWrap/>
            <w:tcMar>
              <w:top w:w="0" w:type="dxa"/>
              <w:left w:w="0" w:type="dxa"/>
              <w:bottom w:w="0" w:type="dxa"/>
              <w:right w:w="0" w:type="dxa"/>
            </w:tcMar>
            <w:vAlign w:val="center"/>
            <w:hideMark/>
          </w:tcPr>
          <w:p w14:paraId="6F73CD46" w14:textId="77777777" w:rsidR="00000000" w:rsidRDefault="001F1B20">
            <w:pPr>
              <w:pStyle w:val="a3"/>
              <w:spacing w:before="0" w:beforeAutospacing="0" w:after="0" w:afterAutospacing="0"/>
              <w:divId w:val="1355617926"/>
              <w:rPr>
                <w:sz w:val="20"/>
                <w:szCs w:val="20"/>
              </w:rPr>
            </w:pPr>
            <w:r>
              <w:rPr>
                <w:sz w:val="2"/>
                <w:szCs w:val="2"/>
              </w:rPr>
              <w:t>​</w:t>
            </w:r>
          </w:p>
        </w:tc>
        <w:tc>
          <w:tcPr>
            <w:tcW w:w="115" w:type="pct"/>
            <w:noWrap/>
            <w:tcMar>
              <w:top w:w="0" w:type="dxa"/>
              <w:left w:w="0" w:type="dxa"/>
              <w:bottom w:w="0" w:type="dxa"/>
              <w:right w:w="0" w:type="dxa"/>
            </w:tcMar>
            <w:vAlign w:val="bottom"/>
            <w:hideMark/>
          </w:tcPr>
          <w:p w14:paraId="4896F2BC" w14:textId="77777777" w:rsidR="00000000" w:rsidRDefault="001F1B20">
            <w:pPr>
              <w:pStyle w:val="a3"/>
              <w:spacing w:before="0" w:beforeAutospacing="0" w:after="0" w:afterAutospacing="0"/>
              <w:divId w:val="2091273575"/>
              <w:rPr>
                <w:sz w:val="20"/>
                <w:szCs w:val="20"/>
              </w:rPr>
            </w:pPr>
            <w:r>
              <w:rPr>
                <w:sz w:val="2"/>
                <w:szCs w:val="2"/>
              </w:rPr>
              <w:t>​</w:t>
            </w:r>
          </w:p>
        </w:tc>
        <w:tc>
          <w:tcPr>
            <w:tcW w:w="115" w:type="pct"/>
            <w:tcMar>
              <w:top w:w="0" w:type="dxa"/>
              <w:left w:w="0" w:type="dxa"/>
              <w:bottom w:w="0" w:type="dxa"/>
              <w:right w:w="0" w:type="dxa"/>
            </w:tcMar>
            <w:vAlign w:val="center"/>
            <w:hideMark/>
          </w:tcPr>
          <w:p w14:paraId="61EAFD52" w14:textId="77777777" w:rsidR="00000000" w:rsidRDefault="001F1B20">
            <w:pPr>
              <w:pStyle w:val="a3"/>
              <w:spacing w:before="0" w:beforeAutospacing="0" w:after="0" w:afterAutospacing="0"/>
              <w:divId w:val="950742756"/>
              <w:rPr>
                <w:sz w:val="20"/>
                <w:szCs w:val="20"/>
              </w:rPr>
            </w:pPr>
            <w:r>
              <w:rPr>
                <w:sz w:val="2"/>
                <w:szCs w:val="2"/>
              </w:rPr>
              <w:t>​</w:t>
            </w:r>
          </w:p>
        </w:tc>
        <w:tc>
          <w:tcPr>
            <w:tcW w:w="453" w:type="pct"/>
            <w:noWrap/>
            <w:tcMar>
              <w:top w:w="0" w:type="dxa"/>
              <w:left w:w="0" w:type="dxa"/>
              <w:bottom w:w="0" w:type="dxa"/>
              <w:right w:w="0" w:type="dxa"/>
            </w:tcMar>
            <w:vAlign w:val="center"/>
            <w:hideMark/>
          </w:tcPr>
          <w:p w14:paraId="0F0529A1" w14:textId="77777777" w:rsidR="00000000" w:rsidRDefault="001F1B20">
            <w:pPr>
              <w:pStyle w:val="a3"/>
              <w:spacing w:before="0" w:beforeAutospacing="0" w:after="0" w:afterAutospacing="0"/>
              <w:divId w:val="484512868"/>
              <w:rPr>
                <w:sz w:val="20"/>
                <w:szCs w:val="20"/>
              </w:rPr>
            </w:pPr>
            <w:r>
              <w:rPr>
                <w:sz w:val="2"/>
                <w:szCs w:val="2"/>
              </w:rPr>
              <w:t>​</w:t>
            </w:r>
          </w:p>
        </w:tc>
      </w:tr>
      <w:tr w:rsidR="00000000" w14:paraId="635406D9" w14:textId="77777777">
        <w:trPr>
          <w:divId w:val="2054885378"/>
        </w:trPr>
        <w:tc>
          <w:tcPr>
            <w:tcW w:w="3631" w:type="pct"/>
            <w:tcMar>
              <w:top w:w="0" w:type="dxa"/>
              <w:left w:w="0" w:type="dxa"/>
              <w:bottom w:w="0" w:type="dxa"/>
              <w:right w:w="0" w:type="dxa"/>
            </w:tcMar>
            <w:vAlign w:val="center"/>
            <w:hideMark/>
          </w:tcPr>
          <w:p w14:paraId="20AF67F9" w14:textId="77777777" w:rsidR="00000000" w:rsidRDefault="001F1B20">
            <w:pPr>
              <w:pStyle w:val="a3"/>
              <w:spacing w:before="0" w:beforeAutospacing="0" w:after="0" w:afterAutospacing="0"/>
              <w:rPr>
                <w:sz w:val="20"/>
                <w:szCs w:val="20"/>
              </w:rPr>
            </w:pPr>
            <w:r>
              <w:rPr>
                <w:b/>
                <w:bCs/>
                <w:sz w:val="16"/>
                <w:szCs w:val="16"/>
              </w:rPr>
              <w:t>​</w:t>
            </w:r>
          </w:p>
        </w:tc>
        <w:tc>
          <w:tcPr>
            <w:tcW w:w="115" w:type="pct"/>
            <w:tcMar>
              <w:top w:w="0" w:type="dxa"/>
              <w:left w:w="0" w:type="dxa"/>
              <w:bottom w:w="0" w:type="dxa"/>
              <w:right w:w="0" w:type="dxa"/>
            </w:tcMar>
            <w:vAlign w:val="center"/>
            <w:hideMark/>
          </w:tcPr>
          <w:p w14:paraId="04348138" w14:textId="77777777" w:rsidR="00000000" w:rsidRDefault="001F1B20">
            <w:pPr>
              <w:pStyle w:val="a3"/>
              <w:spacing w:before="0" w:beforeAutospacing="0" w:after="0" w:afterAutospacing="0"/>
              <w:jc w:val="center"/>
              <w:rPr>
                <w:sz w:val="20"/>
                <w:szCs w:val="20"/>
              </w:rPr>
            </w:pPr>
            <w:r>
              <w:rPr>
                <w:b/>
                <w:bCs/>
                <w:sz w:val="16"/>
                <w:szCs w:val="16"/>
              </w:rPr>
              <w:t>​</w:t>
            </w:r>
          </w:p>
        </w:tc>
        <w:tc>
          <w:tcPr>
            <w:tcW w:w="1252" w:type="pct"/>
            <w:gridSpan w:val="5"/>
            <w:tcBorders>
              <w:bottom w:val="single" w:sz="6" w:space="0" w:color="000000"/>
            </w:tcBorders>
            <w:tcMar>
              <w:top w:w="0" w:type="dxa"/>
              <w:left w:w="0" w:type="dxa"/>
              <w:bottom w:w="0" w:type="dxa"/>
              <w:right w:w="0" w:type="dxa"/>
            </w:tcMar>
            <w:vAlign w:val="bottom"/>
            <w:hideMark/>
          </w:tcPr>
          <w:p w14:paraId="6D4DF8F0" w14:textId="77777777" w:rsidR="00000000" w:rsidRDefault="001F1B20">
            <w:pPr>
              <w:pStyle w:val="a3"/>
              <w:spacing w:before="0" w:beforeAutospacing="0" w:after="0" w:afterAutospacing="0"/>
              <w:jc w:val="center"/>
              <w:rPr>
                <w:sz w:val="16"/>
                <w:szCs w:val="16"/>
              </w:rPr>
            </w:pPr>
            <w:r>
              <w:rPr>
                <w:b/>
                <w:bCs/>
                <w:sz w:val="16"/>
                <w:szCs w:val="16"/>
              </w:rPr>
              <w:t>September 30, </w:t>
            </w:r>
          </w:p>
        </w:tc>
      </w:tr>
      <w:tr w:rsidR="00000000" w14:paraId="53A67A4F" w14:textId="77777777">
        <w:trPr>
          <w:divId w:val="2054885378"/>
        </w:trPr>
        <w:tc>
          <w:tcPr>
            <w:tcW w:w="3631" w:type="pct"/>
            <w:tcBorders>
              <w:bottom w:val="single" w:sz="6" w:space="0" w:color="000000"/>
            </w:tcBorders>
            <w:tcMar>
              <w:top w:w="0" w:type="dxa"/>
              <w:left w:w="0" w:type="dxa"/>
              <w:bottom w:w="0" w:type="dxa"/>
              <w:right w:w="0" w:type="dxa"/>
            </w:tcMar>
            <w:vAlign w:val="center"/>
            <w:hideMark/>
          </w:tcPr>
          <w:p w14:paraId="29978FD2" w14:textId="77777777" w:rsidR="00000000" w:rsidRDefault="001F1B20">
            <w:pPr>
              <w:pStyle w:val="a3"/>
              <w:spacing w:before="0" w:beforeAutospacing="0" w:after="0" w:afterAutospacing="0"/>
              <w:rPr>
                <w:sz w:val="16"/>
                <w:szCs w:val="16"/>
              </w:rPr>
            </w:pPr>
            <w:r>
              <w:rPr>
                <w:b/>
                <w:bCs/>
                <w:sz w:val="16"/>
                <w:szCs w:val="16"/>
              </w:rPr>
              <w:t>(In thousands)</w:t>
            </w:r>
          </w:p>
        </w:tc>
        <w:tc>
          <w:tcPr>
            <w:tcW w:w="115" w:type="pct"/>
            <w:tcMar>
              <w:top w:w="0" w:type="dxa"/>
              <w:left w:w="0" w:type="dxa"/>
              <w:bottom w:w="0" w:type="dxa"/>
              <w:right w:w="0" w:type="dxa"/>
            </w:tcMar>
            <w:vAlign w:val="center"/>
            <w:hideMark/>
          </w:tcPr>
          <w:p w14:paraId="36752EBA" w14:textId="77777777" w:rsidR="00000000" w:rsidRDefault="001F1B20">
            <w:pPr>
              <w:pStyle w:val="a3"/>
              <w:spacing w:before="0" w:beforeAutospacing="0" w:after="0" w:afterAutospacing="0"/>
              <w:jc w:val="center"/>
              <w:rPr>
                <w:sz w:val="20"/>
                <w:szCs w:val="20"/>
              </w:rPr>
            </w:pPr>
            <w:r>
              <w:rPr>
                <w:b/>
                <w:bCs/>
                <w:sz w:val="16"/>
                <w:szCs w:val="16"/>
              </w:rPr>
              <w:t>​</w:t>
            </w:r>
          </w:p>
        </w:tc>
        <w:tc>
          <w:tcPr>
            <w:tcW w:w="568" w:type="pct"/>
            <w:gridSpan w:val="2"/>
            <w:tcBorders>
              <w:bottom w:val="single" w:sz="6" w:space="0" w:color="000000"/>
            </w:tcBorders>
            <w:noWrap/>
            <w:tcMar>
              <w:top w:w="0" w:type="dxa"/>
              <w:left w:w="0" w:type="dxa"/>
              <w:bottom w:w="0" w:type="dxa"/>
              <w:right w:w="0" w:type="dxa"/>
            </w:tcMar>
            <w:vAlign w:val="bottom"/>
            <w:hideMark/>
          </w:tcPr>
          <w:p w14:paraId="488E5B54" w14:textId="77777777" w:rsidR="00000000" w:rsidRDefault="001F1B20">
            <w:pPr>
              <w:pStyle w:val="a3"/>
              <w:spacing w:before="0" w:beforeAutospacing="0" w:after="0" w:afterAutospacing="0"/>
              <w:jc w:val="center"/>
              <w:rPr>
                <w:sz w:val="16"/>
                <w:szCs w:val="16"/>
              </w:rPr>
            </w:pPr>
            <w:r>
              <w:rPr>
                <w:b/>
                <w:bCs/>
                <w:sz w:val="16"/>
                <w:szCs w:val="16"/>
              </w:rPr>
              <w:t>2021</w:t>
            </w:r>
          </w:p>
        </w:tc>
        <w:tc>
          <w:tcPr>
            <w:tcW w:w="115" w:type="pct"/>
            <w:tcMar>
              <w:top w:w="0" w:type="dxa"/>
              <w:left w:w="0" w:type="dxa"/>
              <w:bottom w:w="0" w:type="dxa"/>
              <w:right w:w="0" w:type="dxa"/>
            </w:tcMar>
            <w:vAlign w:val="center"/>
            <w:hideMark/>
          </w:tcPr>
          <w:p w14:paraId="1852837A" w14:textId="77777777" w:rsidR="00000000" w:rsidRDefault="001F1B20">
            <w:pPr>
              <w:pStyle w:val="a3"/>
              <w:spacing w:before="0" w:beforeAutospacing="0" w:after="0" w:afterAutospacing="0"/>
              <w:jc w:val="center"/>
              <w:rPr>
                <w:sz w:val="20"/>
                <w:szCs w:val="20"/>
              </w:rPr>
            </w:pPr>
            <w:r>
              <w:rPr>
                <w:b/>
                <w:bCs/>
                <w:sz w:val="16"/>
                <w:szCs w:val="16"/>
              </w:rPr>
              <w:t>​</w:t>
            </w:r>
          </w:p>
        </w:tc>
        <w:tc>
          <w:tcPr>
            <w:tcW w:w="568" w:type="pct"/>
            <w:gridSpan w:val="2"/>
            <w:tcBorders>
              <w:bottom w:val="single" w:sz="6" w:space="0" w:color="000000"/>
            </w:tcBorders>
            <w:noWrap/>
            <w:tcMar>
              <w:top w:w="0" w:type="dxa"/>
              <w:left w:w="0" w:type="dxa"/>
              <w:bottom w:w="0" w:type="dxa"/>
              <w:right w:w="0" w:type="dxa"/>
            </w:tcMar>
            <w:vAlign w:val="bottom"/>
            <w:hideMark/>
          </w:tcPr>
          <w:p w14:paraId="308AB09E" w14:textId="77777777" w:rsidR="00000000" w:rsidRDefault="001F1B20">
            <w:pPr>
              <w:pStyle w:val="a3"/>
              <w:spacing w:before="0" w:beforeAutospacing="0" w:after="0" w:afterAutospacing="0"/>
              <w:jc w:val="center"/>
              <w:rPr>
                <w:sz w:val="16"/>
                <w:szCs w:val="16"/>
              </w:rPr>
            </w:pPr>
            <w:r>
              <w:rPr>
                <w:b/>
                <w:bCs/>
                <w:sz w:val="16"/>
                <w:szCs w:val="16"/>
              </w:rPr>
              <w:t>2020</w:t>
            </w:r>
          </w:p>
        </w:tc>
      </w:tr>
      <w:tr w:rsidR="00000000" w14:paraId="3C6D0780" w14:textId="77777777">
        <w:trPr>
          <w:divId w:val="2054885378"/>
        </w:trPr>
        <w:tc>
          <w:tcPr>
            <w:tcW w:w="3631" w:type="pct"/>
            <w:shd w:val="clear" w:color="auto" w:fill="CCEEFF"/>
            <w:tcMar>
              <w:top w:w="0" w:type="dxa"/>
              <w:left w:w="0" w:type="dxa"/>
              <w:bottom w:w="0" w:type="dxa"/>
              <w:right w:w="0" w:type="dxa"/>
            </w:tcMar>
            <w:vAlign w:val="center"/>
            <w:hideMark/>
          </w:tcPr>
          <w:p w14:paraId="34AF0B88" w14:textId="77777777" w:rsidR="00000000" w:rsidRDefault="001F1B20">
            <w:pPr>
              <w:pStyle w:val="a3"/>
              <w:spacing w:before="0" w:beforeAutospacing="0" w:after="0" w:afterAutospacing="0"/>
              <w:rPr>
                <w:sz w:val="20"/>
                <w:szCs w:val="20"/>
              </w:rPr>
            </w:pPr>
            <w:r>
              <w:rPr>
                <w:sz w:val="20"/>
                <w:szCs w:val="20"/>
              </w:rPr>
              <w:t>Cash and cash equivalents</w:t>
            </w:r>
          </w:p>
        </w:tc>
        <w:tc>
          <w:tcPr>
            <w:tcW w:w="115" w:type="pct"/>
            <w:shd w:val="clear" w:color="auto" w:fill="CCEEFF"/>
            <w:tcMar>
              <w:top w:w="0" w:type="dxa"/>
              <w:left w:w="0" w:type="dxa"/>
              <w:bottom w:w="0" w:type="dxa"/>
              <w:right w:w="0" w:type="dxa"/>
            </w:tcMar>
            <w:vAlign w:val="center"/>
            <w:hideMark/>
          </w:tcPr>
          <w:p w14:paraId="3A5A2A49" w14:textId="77777777" w:rsidR="00000000" w:rsidRDefault="001F1B20">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14:paraId="3015101B" w14:textId="77777777" w:rsidR="00000000" w:rsidRDefault="001F1B20">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center"/>
            <w:hideMark/>
          </w:tcPr>
          <w:p w14:paraId="3317B0A1" w14:textId="77777777" w:rsidR="00000000" w:rsidRDefault="001F1B20">
            <w:pPr>
              <w:pStyle w:val="a3"/>
              <w:spacing w:before="0" w:beforeAutospacing="0" w:after="0" w:afterAutospacing="0"/>
              <w:ind w:right="60"/>
              <w:jc w:val="right"/>
              <w:rPr>
                <w:sz w:val="20"/>
                <w:szCs w:val="20"/>
              </w:rPr>
            </w:pPr>
            <w:r>
              <w:rPr>
                <w:sz w:val="20"/>
                <w:szCs w:val="20"/>
              </w:rPr>
              <w:t>121,424</w:t>
            </w:r>
          </w:p>
        </w:tc>
        <w:tc>
          <w:tcPr>
            <w:tcW w:w="115" w:type="pct"/>
            <w:shd w:val="clear" w:color="auto" w:fill="CCEEFF"/>
            <w:noWrap/>
            <w:tcMar>
              <w:top w:w="0" w:type="dxa"/>
              <w:left w:w="0" w:type="dxa"/>
              <w:bottom w:w="0" w:type="dxa"/>
              <w:right w:w="0" w:type="dxa"/>
            </w:tcMar>
            <w:vAlign w:val="bottom"/>
            <w:hideMark/>
          </w:tcPr>
          <w:p w14:paraId="2EDFDBA5" w14:textId="77777777" w:rsidR="00000000" w:rsidRDefault="001F1B20">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center"/>
            <w:hideMark/>
          </w:tcPr>
          <w:p w14:paraId="5CFA0389" w14:textId="77777777" w:rsidR="00000000" w:rsidRDefault="001F1B20">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center"/>
            <w:hideMark/>
          </w:tcPr>
          <w:p w14:paraId="7E667A41" w14:textId="77777777" w:rsidR="00000000" w:rsidRDefault="001F1B20">
            <w:pPr>
              <w:pStyle w:val="a3"/>
              <w:spacing w:before="0" w:beforeAutospacing="0" w:after="0" w:afterAutospacing="0"/>
              <w:ind w:right="60"/>
              <w:jc w:val="right"/>
              <w:rPr>
                <w:sz w:val="20"/>
                <w:szCs w:val="20"/>
              </w:rPr>
            </w:pPr>
            <w:r>
              <w:rPr>
                <w:sz w:val="20"/>
                <w:szCs w:val="20"/>
              </w:rPr>
              <w:t>93,282</w:t>
            </w:r>
          </w:p>
        </w:tc>
      </w:tr>
      <w:tr w:rsidR="00000000" w14:paraId="20A1D533" w14:textId="77777777">
        <w:trPr>
          <w:divId w:val="2054885378"/>
        </w:trPr>
        <w:tc>
          <w:tcPr>
            <w:tcW w:w="3631" w:type="pct"/>
            <w:tcMar>
              <w:top w:w="0" w:type="dxa"/>
              <w:left w:w="0" w:type="dxa"/>
              <w:bottom w:w="0" w:type="dxa"/>
              <w:right w:w="0" w:type="dxa"/>
            </w:tcMar>
            <w:vAlign w:val="center"/>
            <w:hideMark/>
          </w:tcPr>
          <w:p w14:paraId="3DC584F4" w14:textId="77777777" w:rsidR="00000000" w:rsidRDefault="001F1B20">
            <w:pPr>
              <w:pStyle w:val="a3"/>
              <w:spacing w:before="0" w:beforeAutospacing="0" w:after="0" w:afterAutospacing="0"/>
              <w:rPr>
                <w:sz w:val="20"/>
                <w:szCs w:val="20"/>
              </w:rPr>
            </w:pPr>
            <w:r>
              <w:rPr>
                <w:sz w:val="20"/>
                <w:szCs w:val="20"/>
              </w:rPr>
              <w:t>Restricted cash</w:t>
            </w:r>
          </w:p>
        </w:tc>
        <w:tc>
          <w:tcPr>
            <w:tcW w:w="115" w:type="pct"/>
            <w:tcMar>
              <w:top w:w="0" w:type="dxa"/>
              <w:left w:w="0" w:type="dxa"/>
              <w:bottom w:w="0" w:type="dxa"/>
              <w:right w:w="0" w:type="dxa"/>
            </w:tcMar>
            <w:vAlign w:val="center"/>
            <w:hideMark/>
          </w:tcPr>
          <w:p w14:paraId="5D8A5B1B" w14:textId="77777777" w:rsidR="00000000" w:rsidRDefault="001F1B20">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14:paraId="1FD60C2D" w14:textId="77777777" w:rsidR="00000000" w:rsidRDefault="001F1B20">
            <w:pPr>
              <w:pStyle w:val="a3"/>
              <w:spacing w:before="0" w:beforeAutospacing="0" w:after="0" w:afterAutospacing="0"/>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center"/>
            <w:hideMark/>
          </w:tcPr>
          <w:p w14:paraId="719DED5E" w14:textId="77777777" w:rsidR="00000000" w:rsidRDefault="001F1B20">
            <w:pPr>
              <w:pStyle w:val="a3"/>
              <w:spacing w:before="0" w:beforeAutospacing="0" w:after="0" w:afterAutospacing="0"/>
              <w:ind w:right="60"/>
              <w:jc w:val="right"/>
              <w:rPr>
                <w:sz w:val="20"/>
                <w:szCs w:val="20"/>
              </w:rPr>
            </w:pPr>
            <w:r>
              <w:rPr>
                <w:sz w:val="20"/>
                <w:szCs w:val="20"/>
              </w:rPr>
              <w:t>833</w:t>
            </w:r>
          </w:p>
        </w:tc>
        <w:tc>
          <w:tcPr>
            <w:tcW w:w="115" w:type="pct"/>
            <w:noWrap/>
            <w:tcMar>
              <w:top w:w="0" w:type="dxa"/>
              <w:left w:w="0" w:type="dxa"/>
              <w:bottom w:w="0" w:type="dxa"/>
              <w:right w:w="0" w:type="dxa"/>
            </w:tcMar>
            <w:vAlign w:val="bottom"/>
            <w:hideMark/>
          </w:tcPr>
          <w:p w14:paraId="52A812E1" w14:textId="77777777" w:rsidR="00000000" w:rsidRDefault="001F1B20">
            <w:pPr>
              <w:pStyle w:val="a3"/>
              <w:spacing w:before="0" w:beforeAutospacing="0" w:after="0" w:afterAutospacing="0"/>
              <w:rPr>
                <w:sz w:val="20"/>
                <w:szCs w:val="20"/>
              </w:rPr>
            </w:pPr>
            <w:r>
              <w:rPr>
                <w:sz w:val="20"/>
                <w:szCs w:val="20"/>
              </w:rPr>
              <w:t>​</w:t>
            </w:r>
          </w:p>
        </w:tc>
        <w:tc>
          <w:tcPr>
            <w:tcW w:w="115" w:type="pct"/>
            <w:tcBorders>
              <w:bottom w:val="single" w:sz="6" w:space="0" w:color="000000"/>
            </w:tcBorders>
            <w:tcMar>
              <w:top w:w="0" w:type="dxa"/>
              <w:left w:w="0" w:type="dxa"/>
              <w:bottom w:w="0" w:type="dxa"/>
              <w:right w:w="0" w:type="dxa"/>
            </w:tcMar>
            <w:vAlign w:val="center"/>
            <w:hideMark/>
          </w:tcPr>
          <w:p w14:paraId="14E91297" w14:textId="77777777" w:rsidR="00000000" w:rsidRDefault="001F1B20">
            <w:pPr>
              <w:pStyle w:val="a3"/>
              <w:spacing w:before="0" w:beforeAutospacing="0" w:after="0" w:afterAutospacing="0"/>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center"/>
            <w:hideMark/>
          </w:tcPr>
          <w:p w14:paraId="4C7ADDF5" w14:textId="77777777" w:rsidR="00000000" w:rsidRDefault="001F1B20">
            <w:pPr>
              <w:pStyle w:val="a3"/>
              <w:spacing w:before="0" w:beforeAutospacing="0" w:after="0" w:afterAutospacing="0"/>
              <w:ind w:right="60"/>
              <w:jc w:val="right"/>
              <w:rPr>
                <w:sz w:val="20"/>
                <w:szCs w:val="20"/>
              </w:rPr>
            </w:pPr>
            <w:r>
              <w:rPr>
                <w:sz w:val="20"/>
                <w:szCs w:val="20"/>
              </w:rPr>
              <w:t>833</w:t>
            </w:r>
          </w:p>
        </w:tc>
      </w:tr>
      <w:tr w:rsidR="00000000" w14:paraId="50427814" w14:textId="77777777">
        <w:trPr>
          <w:divId w:val="2054885378"/>
        </w:trPr>
        <w:tc>
          <w:tcPr>
            <w:tcW w:w="3631" w:type="pct"/>
            <w:shd w:val="clear" w:color="auto" w:fill="CCEEFF"/>
            <w:tcMar>
              <w:top w:w="0" w:type="dxa"/>
              <w:left w:w="0" w:type="dxa"/>
              <w:bottom w:w="0" w:type="dxa"/>
              <w:right w:w="0" w:type="dxa"/>
            </w:tcMar>
            <w:vAlign w:val="center"/>
            <w:hideMark/>
          </w:tcPr>
          <w:p w14:paraId="7B7CCD28" w14:textId="77777777" w:rsidR="00000000" w:rsidRDefault="001F1B20">
            <w:pPr>
              <w:pStyle w:val="a3"/>
              <w:spacing w:before="0" w:beforeAutospacing="0" w:after="0" w:afterAutospacing="0"/>
              <w:ind w:left="240" w:hanging="120"/>
              <w:rPr>
                <w:sz w:val="20"/>
                <w:szCs w:val="20"/>
              </w:rPr>
            </w:pPr>
            <w:r>
              <w:rPr>
                <w:sz w:val="20"/>
                <w:szCs w:val="20"/>
              </w:rPr>
              <w:t>Total cash, cash equivalents, and restricted cash shown on the condensed</w:t>
            </w:r>
            <w:r>
              <w:rPr>
                <w:sz w:val="20"/>
                <w:szCs w:val="20"/>
              </w:rPr>
              <w:br/>
              <w:t>consolidated statements of cash flows</w:t>
            </w:r>
          </w:p>
        </w:tc>
        <w:tc>
          <w:tcPr>
            <w:tcW w:w="115" w:type="pct"/>
            <w:shd w:val="clear" w:color="auto" w:fill="CCEEFF"/>
            <w:tcMar>
              <w:top w:w="0" w:type="dxa"/>
              <w:left w:w="0" w:type="dxa"/>
              <w:bottom w:w="0" w:type="dxa"/>
              <w:right w:w="0" w:type="dxa"/>
            </w:tcMar>
            <w:vAlign w:val="center"/>
            <w:hideMark/>
          </w:tcPr>
          <w:p w14:paraId="7DD76A3E" w14:textId="77777777" w:rsidR="00000000" w:rsidRDefault="001F1B20">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4C13D052" w14:textId="77777777" w:rsidR="00000000" w:rsidRDefault="001F1B20">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14:paraId="2F2BC71C" w14:textId="77777777" w:rsidR="00000000" w:rsidRDefault="001F1B20">
            <w:pPr>
              <w:pStyle w:val="a3"/>
              <w:spacing w:before="0" w:beforeAutospacing="0" w:after="0" w:afterAutospacing="0"/>
              <w:ind w:right="60"/>
              <w:jc w:val="right"/>
              <w:rPr>
                <w:sz w:val="20"/>
                <w:szCs w:val="20"/>
              </w:rPr>
            </w:pPr>
            <w:r>
              <w:rPr>
                <w:sz w:val="20"/>
                <w:szCs w:val="20"/>
              </w:rPr>
              <w:t>122,257</w:t>
            </w:r>
          </w:p>
        </w:tc>
        <w:tc>
          <w:tcPr>
            <w:tcW w:w="115" w:type="pct"/>
            <w:shd w:val="clear" w:color="auto" w:fill="CCEEFF"/>
            <w:noWrap/>
            <w:tcMar>
              <w:top w:w="0" w:type="dxa"/>
              <w:left w:w="0" w:type="dxa"/>
              <w:bottom w:w="0" w:type="dxa"/>
              <w:right w:w="0" w:type="dxa"/>
            </w:tcMar>
            <w:vAlign w:val="bottom"/>
            <w:hideMark/>
          </w:tcPr>
          <w:p w14:paraId="3D825789" w14:textId="77777777" w:rsidR="00000000" w:rsidRDefault="001F1B20">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4C64FEDB" w14:textId="77777777" w:rsidR="00000000" w:rsidRDefault="001F1B20">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14:paraId="5991FA76" w14:textId="77777777" w:rsidR="00000000" w:rsidRDefault="001F1B20">
            <w:pPr>
              <w:pStyle w:val="a3"/>
              <w:spacing w:before="0" w:beforeAutospacing="0" w:after="0" w:afterAutospacing="0"/>
              <w:ind w:right="60"/>
              <w:jc w:val="right"/>
              <w:rPr>
                <w:sz w:val="20"/>
                <w:szCs w:val="20"/>
              </w:rPr>
            </w:pPr>
            <w:r>
              <w:rPr>
                <w:sz w:val="20"/>
                <w:szCs w:val="20"/>
              </w:rPr>
              <w:t>94,115</w:t>
            </w:r>
          </w:p>
        </w:tc>
      </w:tr>
    </w:tbl>
    <w:p w14:paraId="210570BB" w14:textId="77777777" w:rsidR="00000000" w:rsidRDefault="001F1B20">
      <w:pPr>
        <w:pStyle w:val="a3"/>
        <w:spacing w:before="0" w:beforeAutospacing="0" w:after="0" w:afterAutospacing="0"/>
        <w:ind w:firstLine="720"/>
        <w:divId w:val="2054885378"/>
        <w:rPr>
          <w:sz w:val="20"/>
          <w:szCs w:val="20"/>
        </w:rPr>
      </w:pPr>
      <w:r>
        <w:rPr>
          <w:sz w:val="20"/>
          <w:szCs w:val="20"/>
        </w:rPr>
        <w:t>​</w:t>
      </w:r>
    </w:p>
    <w:p w14:paraId="68C28B20" w14:textId="77777777" w:rsidR="00000000" w:rsidRDefault="001F1B20">
      <w:pPr>
        <w:pStyle w:val="a3"/>
        <w:spacing w:before="0" w:beforeAutospacing="0" w:after="0" w:afterAutospacing="0"/>
        <w:ind w:firstLine="720"/>
        <w:divId w:val="2054885378"/>
        <w:rPr>
          <w:sz w:val="20"/>
          <w:szCs w:val="20"/>
        </w:rPr>
      </w:pPr>
      <w:r>
        <w:rPr>
          <w:sz w:val="20"/>
          <w:szCs w:val="20"/>
        </w:rPr>
        <w:t>The Company maintains restricted cash for certain lease agreements and letters of credit by which the Company has pledged cash and cash equivalents as collateral. The Company also maintains restricted cash for debt servicing of its 9.5% non-recourse 2035 n</w:t>
      </w:r>
      <w:r>
        <w:rPr>
          <w:sz w:val="20"/>
          <w:szCs w:val="20"/>
        </w:rPr>
        <w:t xml:space="preserve">otes. See </w:t>
      </w:r>
      <w:r>
        <w:rPr>
          <w:i/>
          <w:iCs/>
          <w:sz w:val="20"/>
          <w:szCs w:val="20"/>
        </w:rPr>
        <w:t>“Note 6. Debt”</w:t>
      </w:r>
      <w:r>
        <w:rPr>
          <w:sz w:val="20"/>
          <w:szCs w:val="20"/>
        </w:rPr>
        <w:t xml:space="preserve"> for further information regarding the 9.5% non-recourse 2035 notes. The cash-related amounts reported in the table above exclude the Company’s investments in short and long-term marketable securities that are reported separately on</w:t>
      </w:r>
      <w:r>
        <w:rPr>
          <w:sz w:val="20"/>
          <w:szCs w:val="20"/>
        </w:rPr>
        <w:t xml:space="preserve"> the condensed consolidated balance sheets.</w:t>
      </w:r>
    </w:p>
    <w:p w14:paraId="0A6038A0" w14:textId="77777777" w:rsidR="00000000" w:rsidRDefault="001F1B20">
      <w:pPr>
        <w:pStyle w:val="a3"/>
        <w:spacing w:before="0" w:beforeAutospacing="0" w:after="0" w:afterAutospacing="0"/>
        <w:divId w:val="2054885378"/>
        <w:rPr>
          <w:sz w:val="20"/>
          <w:szCs w:val="20"/>
        </w:rPr>
      </w:pPr>
      <w:r>
        <w:rPr>
          <w:sz w:val="20"/>
          <w:szCs w:val="20"/>
        </w:rPr>
        <w:t>​</w:t>
      </w:r>
    </w:p>
    <w:p w14:paraId="2868F81E" w14:textId="77777777" w:rsidR="00000000" w:rsidRDefault="001F1B20">
      <w:pPr>
        <w:pStyle w:val="a3"/>
        <w:spacing w:before="0" w:beforeAutospacing="0" w:after="0" w:afterAutospacing="0"/>
        <w:divId w:val="2054885378"/>
        <w:rPr>
          <w:sz w:val="20"/>
          <w:szCs w:val="20"/>
        </w:rPr>
      </w:pPr>
      <w:r>
        <w:rPr>
          <w:b/>
          <w:bCs/>
          <w:sz w:val="20"/>
          <w:szCs w:val="20"/>
        </w:rPr>
        <w:t>5.</w:t>
      </w:r>
      <w:r>
        <w:rPr>
          <w:sz w:val="20"/>
          <w:szCs w:val="20"/>
        </w:rPr>
        <w:t xml:space="preserve"> </w:t>
      </w:r>
      <w:r>
        <w:rPr>
          <w:b/>
          <w:bCs/>
          <w:sz w:val="20"/>
          <w:szCs w:val="20"/>
        </w:rPr>
        <w:t>Investments and Fair Value Measurements</w:t>
      </w:r>
    </w:p>
    <w:p w14:paraId="5E034DE5" w14:textId="77777777" w:rsidR="00000000" w:rsidRDefault="001F1B20">
      <w:pPr>
        <w:pStyle w:val="a3"/>
        <w:spacing w:before="0" w:beforeAutospacing="0" w:after="0" w:afterAutospacing="0"/>
        <w:divId w:val="2054885378"/>
        <w:rPr>
          <w:sz w:val="20"/>
          <w:szCs w:val="20"/>
        </w:rPr>
      </w:pPr>
      <w:r>
        <w:rPr>
          <w:sz w:val="10"/>
          <w:szCs w:val="10"/>
        </w:rPr>
        <w:t>​</w:t>
      </w:r>
    </w:p>
    <w:p w14:paraId="3FD03078" w14:textId="77777777" w:rsidR="00000000" w:rsidRDefault="001F1B20">
      <w:pPr>
        <w:pStyle w:val="a3"/>
        <w:spacing w:before="0" w:beforeAutospacing="0" w:after="0" w:afterAutospacing="0"/>
        <w:divId w:val="2054885378"/>
        <w:rPr>
          <w:sz w:val="20"/>
          <w:szCs w:val="20"/>
        </w:rPr>
      </w:pPr>
      <w:r>
        <w:rPr>
          <w:b/>
          <w:bCs/>
          <w:i/>
          <w:iCs/>
          <w:sz w:val="20"/>
          <w:szCs w:val="20"/>
        </w:rPr>
        <w:t>Available-for-Sale Securities</w:t>
      </w:r>
    </w:p>
    <w:p w14:paraId="30E0431C" w14:textId="77777777" w:rsidR="00000000" w:rsidRDefault="001F1B20">
      <w:pPr>
        <w:pStyle w:val="a3"/>
        <w:spacing w:before="0" w:beforeAutospacing="0" w:after="0" w:afterAutospacing="0"/>
        <w:divId w:val="2054885378"/>
        <w:rPr>
          <w:sz w:val="20"/>
          <w:szCs w:val="20"/>
        </w:rPr>
      </w:pPr>
      <w:r>
        <w:rPr>
          <w:sz w:val="20"/>
          <w:szCs w:val="20"/>
        </w:rPr>
        <w:t>​</w:t>
      </w:r>
    </w:p>
    <w:p w14:paraId="267B6902" w14:textId="77777777" w:rsidR="00000000" w:rsidRDefault="001F1B20">
      <w:pPr>
        <w:pStyle w:val="a3"/>
        <w:spacing w:before="0" w:beforeAutospacing="0" w:after="0" w:afterAutospacing="0"/>
        <w:ind w:firstLine="720"/>
        <w:divId w:val="2054885378"/>
        <w:rPr>
          <w:sz w:val="20"/>
          <w:szCs w:val="20"/>
        </w:rPr>
      </w:pPr>
      <w:r>
        <w:rPr>
          <w:sz w:val="20"/>
          <w:szCs w:val="20"/>
        </w:rPr>
        <w:t>The estimated fair value of marketable securities is based on quoted market prices for these or similar investments obtained from a c</w:t>
      </w:r>
      <w:r>
        <w:rPr>
          <w:sz w:val="20"/>
          <w:szCs w:val="20"/>
        </w:rPr>
        <w:t xml:space="preserve">ommercial pricing service. The fair market value of marketable securities classified within Level 1 is based on quoted prices for identical instruments in active markets. The fair value of marketable securities classified within Level 2 is based on quoted </w:t>
      </w:r>
      <w:r>
        <w:rPr>
          <w:sz w:val="20"/>
          <w:szCs w:val="20"/>
        </w:rPr>
        <w:t>prices for similar instruments in active markets; quoted prices for identical or similar instruments in markets that are not active; or model-driven valuations whose inputs are observable or whose significant value drivers are observable. Observable inputs</w:t>
      </w:r>
      <w:r>
        <w:rPr>
          <w:sz w:val="20"/>
          <w:szCs w:val="20"/>
        </w:rPr>
        <w:t xml:space="preserve"> may include benchmark yields, reported trades, broker/dealer quotes, issuer spreads, two-sided markets, benchmark securities, bids, offers and reference data including market research publications. </w:t>
      </w:r>
    </w:p>
    <w:p w14:paraId="6778316A" w14:textId="77777777" w:rsidR="00000000" w:rsidRDefault="001F1B20">
      <w:pPr>
        <w:pStyle w:val="a3"/>
        <w:spacing w:before="0" w:beforeAutospacing="0" w:after="0" w:afterAutospacing="0"/>
        <w:divId w:val="2054885378"/>
        <w:rPr>
          <w:sz w:val="20"/>
          <w:szCs w:val="20"/>
        </w:rPr>
      </w:pPr>
      <w:r>
        <w:rPr>
          <w:sz w:val="20"/>
          <w:szCs w:val="20"/>
        </w:rPr>
        <w:t>​</w:t>
      </w:r>
    </w:p>
    <w:p w14:paraId="090C987C" w14:textId="77777777" w:rsidR="00000000" w:rsidRDefault="001F1B20">
      <w:pPr>
        <w:pStyle w:val="a3"/>
        <w:spacing w:before="0" w:beforeAutospacing="0" w:after="0" w:afterAutospacing="0"/>
        <w:ind w:firstLine="720"/>
        <w:divId w:val="2054885378"/>
        <w:rPr>
          <w:sz w:val="20"/>
          <w:szCs w:val="20"/>
        </w:rPr>
      </w:pPr>
      <w:r>
        <w:rPr>
          <w:sz w:val="20"/>
          <w:szCs w:val="20"/>
        </w:rPr>
        <w:t>Available-for-sale securities are summarized below:</w:t>
      </w:r>
    </w:p>
    <w:p w14:paraId="434292E1" w14:textId="77777777" w:rsidR="00000000" w:rsidRDefault="001F1B20">
      <w:pPr>
        <w:pStyle w:val="a3"/>
        <w:spacing w:before="0" w:beforeAutospacing="0" w:after="0" w:afterAutospacing="0"/>
        <w:divId w:val="205488537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24"/>
        <w:gridCol w:w="160"/>
        <w:gridCol w:w="619"/>
        <w:gridCol w:w="160"/>
        <w:gridCol w:w="144"/>
        <w:gridCol w:w="710"/>
        <w:gridCol w:w="160"/>
        <w:gridCol w:w="152"/>
        <w:gridCol w:w="624"/>
        <w:gridCol w:w="160"/>
        <w:gridCol w:w="152"/>
        <w:gridCol w:w="625"/>
        <w:gridCol w:w="160"/>
        <w:gridCol w:w="146"/>
        <w:gridCol w:w="710"/>
      </w:tblGrid>
      <w:tr w:rsidR="00000000" w14:paraId="74EFD2FB" w14:textId="77777777">
        <w:trPr>
          <w:divId w:val="2054885378"/>
          <w:trHeight w:val="20"/>
        </w:trPr>
        <w:tc>
          <w:tcPr>
            <w:tcW w:w="2187" w:type="pct"/>
            <w:tcMar>
              <w:top w:w="0" w:type="dxa"/>
              <w:left w:w="0" w:type="dxa"/>
              <w:bottom w:w="0" w:type="dxa"/>
              <w:right w:w="0" w:type="dxa"/>
            </w:tcMar>
            <w:vAlign w:val="center"/>
            <w:hideMark/>
          </w:tcPr>
          <w:p w14:paraId="6C09A6AA" w14:textId="77777777" w:rsidR="00000000" w:rsidRDefault="001F1B20">
            <w:pPr>
              <w:pStyle w:val="a3"/>
              <w:spacing w:before="0" w:beforeAutospacing="0" w:after="0" w:afterAutospacing="0"/>
              <w:divId w:val="404307831"/>
              <w:rPr>
                <w:sz w:val="20"/>
                <w:szCs w:val="20"/>
              </w:rPr>
            </w:pPr>
            <w:r>
              <w:rPr>
                <w:sz w:val="2"/>
                <w:szCs w:val="2"/>
              </w:rPr>
              <w:t>​</w:t>
            </w:r>
          </w:p>
        </w:tc>
        <w:tc>
          <w:tcPr>
            <w:tcW w:w="97" w:type="pct"/>
            <w:noWrap/>
            <w:tcMar>
              <w:top w:w="0" w:type="dxa"/>
              <w:left w:w="0" w:type="dxa"/>
              <w:bottom w:w="0" w:type="dxa"/>
              <w:right w:w="0" w:type="dxa"/>
            </w:tcMar>
            <w:vAlign w:val="bottom"/>
            <w:hideMark/>
          </w:tcPr>
          <w:p w14:paraId="494BBB4C" w14:textId="77777777" w:rsidR="00000000" w:rsidRDefault="001F1B20">
            <w:pPr>
              <w:pStyle w:val="a3"/>
              <w:spacing w:before="0" w:beforeAutospacing="0" w:after="0" w:afterAutospacing="0"/>
              <w:divId w:val="137693675"/>
              <w:rPr>
                <w:sz w:val="20"/>
                <w:szCs w:val="20"/>
              </w:rPr>
            </w:pPr>
            <w:r>
              <w:rPr>
                <w:sz w:val="2"/>
                <w:szCs w:val="2"/>
              </w:rPr>
              <w:t>​</w:t>
            </w:r>
          </w:p>
        </w:tc>
        <w:tc>
          <w:tcPr>
            <w:tcW w:w="385" w:type="pct"/>
            <w:noWrap/>
            <w:tcMar>
              <w:top w:w="0" w:type="dxa"/>
              <w:left w:w="0" w:type="dxa"/>
              <w:bottom w:w="0" w:type="dxa"/>
              <w:right w:w="0" w:type="dxa"/>
            </w:tcMar>
            <w:vAlign w:val="center"/>
            <w:hideMark/>
          </w:tcPr>
          <w:p w14:paraId="795D300B" w14:textId="77777777" w:rsidR="00000000" w:rsidRDefault="001F1B20">
            <w:pPr>
              <w:pStyle w:val="a3"/>
              <w:spacing w:before="0" w:beforeAutospacing="0" w:after="0" w:afterAutospacing="0"/>
              <w:divId w:val="1462848061"/>
              <w:rPr>
                <w:sz w:val="20"/>
                <w:szCs w:val="20"/>
              </w:rPr>
            </w:pPr>
            <w:r>
              <w:rPr>
                <w:sz w:val="2"/>
                <w:szCs w:val="2"/>
              </w:rPr>
              <w:t>​</w:t>
            </w:r>
          </w:p>
        </w:tc>
        <w:tc>
          <w:tcPr>
            <w:tcW w:w="98" w:type="pct"/>
            <w:noWrap/>
            <w:tcMar>
              <w:top w:w="0" w:type="dxa"/>
              <w:left w:w="0" w:type="dxa"/>
              <w:bottom w:w="0" w:type="dxa"/>
              <w:right w:w="0" w:type="dxa"/>
            </w:tcMar>
            <w:vAlign w:val="bottom"/>
            <w:hideMark/>
          </w:tcPr>
          <w:p w14:paraId="0709033F" w14:textId="77777777" w:rsidR="00000000" w:rsidRDefault="001F1B20">
            <w:pPr>
              <w:pStyle w:val="a3"/>
              <w:spacing w:before="0" w:beforeAutospacing="0" w:after="0" w:afterAutospacing="0"/>
              <w:divId w:val="2126659093"/>
              <w:rPr>
                <w:sz w:val="20"/>
                <w:szCs w:val="20"/>
              </w:rPr>
            </w:pPr>
            <w:r>
              <w:rPr>
                <w:sz w:val="2"/>
                <w:szCs w:val="2"/>
              </w:rPr>
              <w:t>​</w:t>
            </w:r>
          </w:p>
        </w:tc>
        <w:tc>
          <w:tcPr>
            <w:tcW w:w="98" w:type="pct"/>
            <w:noWrap/>
            <w:tcMar>
              <w:top w:w="0" w:type="dxa"/>
              <w:left w:w="0" w:type="dxa"/>
              <w:bottom w:w="0" w:type="dxa"/>
              <w:right w:w="0" w:type="dxa"/>
            </w:tcMar>
            <w:vAlign w:val="bottom"/>
            <w:hideMark/>
          </w:tcPr>
          <w:p w14:paraId="7FCE3511" w14:textId="77777777" w:rsidR="00000000" w:rsidRDefault="001F1B20">
            <w:pPr>
              <w:pStyle w:val="a3"/>
              <w:spacing w:before="0" w:beforeAutospacing="0" w:after="0" w:afterAutospacing="0"/>
              <w:divId w:val="1731491188"/>
              <w:rPr>
                <w:sz w:val="20"/>
                <w:szCs w:val="20"/>
              </w:rPr>
            </w:pPr>
            <w:r>
              <w:rPr>
                <w:sz w:val="2"/>
                <w:szCs w:val="2"/>
              </w:rPr>
              <w:t>​</w:t>
            </w:r>
          </w:p>
        </w:tc>
        <w:tc>
          <w:tcPr>
            <w:tcW w:w="385" w:type="pct"/>
            <w:noWrap/>
            <w:tcMar>
              <w:top w:w="0" w:type="dxa"/>
              <w:left w:w="0" w:type="dxa"/>
              <w:bottom w:w="0" w:type="dxa"/>
              <w:right w:w="0" w:type="dxa"/>
            </w:tcMar>
            <w:vAlign w:val="center"/>
            <w:hideMark/>
          </w:tcPr>
          <w:p w14:paraId="24D6BB53" w14:textId="77777777" w:rsidR="00000000" w:rsidRDefault="001F1B20">
            <w:pPr>
              <w:pStyle w:val="a3"/>
              <w:spacing w:before="0" w:beforeAutospacing="0" w:after="0" w:afterAutospacing="0"/>
              <w:divId w:val="1478911300"/>
              <w:rPr>
                <w:sz w:val="20"/>
                <w:szCs w:val="20"/>
              </w:rPr>
            </w:pPr>
            <w:r>
              <w:rPr>
                <w:sz w:val="2"/>
                <w:szCs w:val="2"/>
              </w:rPr>
              <w:t>​</w:t>
            </w:r>
          </w:p>
        </w:tc>
        <w:tc>
          <w:tcPr>
            <w:tcW w:w="98" w:type="pct"/>
            <w:noWrap/>
            <w:tcMar>
              <w:top w:w="0" w:type="dxa"/>
              <w:left w:w="0" w:type="dxa"/>
              <w:bottom w:w="0" w:type="dxa"/>
              <w:right w:w="0" w:type="dxa"/>
            </w:tcMar>
            <w:vAlign w:val="bottom"/>
            <w:hideMark/>
          </w:tcPr>
          <w:p w14:paraId="5CDD133A" w14:textId="77777777" w:rsidR="00000000" w:rsidRDefault="001F1B20">
            <w:pPr>
              <w:pStyle w:val="a3"/>
              <w:spacing w:before="0" w:beforeAutospacing="0" w:after="0" w:afterAutospacing="0"/>
              <w:divId w:val="381247760"/>
              <w:rPr>
                <w:sz w:val="20"/>
                <w:szCs w:val="20"/>
              </w:rPr>
            </w:pPr>
            <w:r>
              <w:rPr>
                <w:sz w:val="2"/>
                <w:szCs w:val="2"/>
              </w:rPr>
              <w:t>​</w:t>
            </w:r>
          </w:p>
        </w:tc>
        <w:tc>
          <w:tcPr>
            <w:tcW w:w="98" w:type="pct"/>
            <w:noWrap/>
            <w:tcMar>
              <w:top w:w="0" w:type="dxa"/>
              <w:left w:w="0" w:type="dxa"/>
              <w:bottom w:w="0" w:type="dxa"/>
              <w:right w:w="0" w:type="dxa"/>
            </w:tcMar>
            <w:vAlign w:val="bottom"/>
            <w:hideMark/>
          </w:tcPr>
          <w:p w14:paraId="28377B21" w14:textId="77777777" w:rsidR="00000000" w:rsidRDefault="001F1B20">
            <w:pPr>
              <w:pStyle w:val="a3"/>
              <w:spacing w:before="0" w:beforeAutospacing="0" w:after="0" w:afterAutospacing="0"/>
              <w:divId w:val="1665426581"/>
              <w:rPr>
                <w:sz w:val="20"/>
                <w:szCs w:val="20"/>
              </w:rPr>
            </w:pPr>
            <w:r>
              <w:rPr>
                <w:sz w:val="2"/>
                <w:szCs w:val="2"/>
              </w:rPr>
              <w:t>​</w:t>
            </w:r>
          </w:p>
        </w:tc>
        <w:tc>
          <w:tcPr>
            <w:tcW w:w="385" w:type="pct"/>
            <w:noWrap/>
            <w:tcMar>
              <w:top w:w="0" w:type="dxa"/>
              <w:left w:w="0" w:type="dxa"/>
              <w:bottom w:w="0" w:type="dxa"/>
              <w:right w:w="0" w:type="dxa"/>
            </w:tcMar>
            <w:vAlign w:val="center"/>
            <w:hideMark/>
          </w:tcPr>
          <w:p w14:paraId="737B5968" w14:textId="77777777" w:rsidR="00000000" w:rsidRDefault="001F1B20">
            <w:pPr>
              <w:pStyle w:val="a3"/>
              <w:spacing w:before="0" w:beforeAutospacing="0" w:after="0" w:afterAutospacing="0"/>
              <w:divId w:val="999232094"/>
              <w:rPr>
                <w:sz w:val="20"/>
                <w:szCs w:val="20"/>
              </w:rPr>
            </w:pPr>
            <w:r>
              <w:rPr>
                <w:sz w:val="2"/>
                <w:szCs w:val="2"/>
              </w:rPr>
              <w:t>​</w:t>
            </w:r>
          </w:p>
        </w:tc>
        <w:tc>
          <w:tcPr>
            <w:tcW w:w="98" w:type="pct"/>
            <w:noWrap/>
            <w:tcMar>
              <w:top w:w="0" w:type="dxa"/>
              <w:left w:w="0" w:type="dxa"/>
              <w:bottom w:w="0" w:type="dxa"/>
              <w:right w:w="0" w:type="dxa"/>
            </w:tcMar>
            <w:vAlign w:val="bottom"/>
            <w:hideMark/>
          </w:tcPr>
          <w:p w14:paraId="5E21E25E" w14:textId="77777777" w:rsidR="00000000" w:rsidRDefault="001F1B20">
            <w:pPr>
              <w:pStyle w:val="a3"/>
              <w:spacing w:before="0" w:beforeAutospacing="0" w:after="0" w:afterAutospacing="0"/>
              <w:divId w:val="105740171"/>
              <w:rPr>
                <w:sz w:val="20"/>
                <w:szCs w:val="20"/>
              </w:rPr>
            </w:pPr>
            <w:r>
              <w:rPr>
                <w:sz w:val="2"/>
                <w:szCs w:val="2"/>
              </w:rPr>
              <w:t>​</w:t>
            </w:r>
          </w:p>
        </w:tc>
        <w:tc>
          <w:tcPr>
            <w:tcW w:w="98" w:type="pct"/>
            <w:noWrap/>
            <w:tcMar>
              <w:top w:w="0" w:type="dxa"/>
              <w:left w:w="0" w:type="dxa"/>
              <w:bottom w:w="0" w:type="dxa"/>
              <w:right w:w="0" w:type="dxa"/>
            </w:tcMar>
            <w:vAlign w:val="bottom"/>
            <w:hideMark/>
          </w:tcPr>
          <w:p w14:paraId="54F60617" w14:textId="77777777" w:rsidR="00000000" w:rsidRDefault="001F1B20">
            <w:pPr>
              <w:pStyle w:val="a3"/>
              <w:spacing w:before="0" w:beforeAutospacing="0" w:after="0" w:afterAutospacing="0"/>
              <w:divId w:val="1162046900"/>
              <w:rPr>
                <w:sz w:val="20"/>
                <w:szCs w:val="20"/>
              </w:rPr>
            </w:pPr>
            <w:r>
              <w:rPr>
                <w:sz w:val="2"/>
                <w:szCs w:val="2"/>
              </w:rPr>
              <w:t>​</w:t>
            </w:r>
          </w:p>
        </w:tc>
        <w:tc>
          <w:tcPr>
            <w:tcW w:w="385" w:type="pct"/>
            <w:noWrap/>
            <w:tcMar>
              <w:top w:w="0" w:type="dxa"/>
              <w:left w:w="0" w:type="dxa"/>
              <w:bottom w:w="0" w:type="dxa"/>
              <w:right w:w="0" w:type="dxa"/>
            </w:tcMar>
            <w:vAlign w:val="center"/>
            <w:hideMark/>
          </w:tcPr>
          <w:p w14:paraId="7D54874E" w14:textId="77777777" w:rsidR="00000000" w:rsidRDefault="001F1B20">
            <w:pPr>
              <w:pStyle w:val="a3"/>
              <w:spacing w:before="0" w:beforeAutospacing="0" w:after="0" w:afterAutospacing="0"/>
              <w:divId w:val="1177768782"/>
              <w:rPr>
                <w:sz w:val="20"/>
                <w:szCs w:val="20"/>
              </w:rPr>
            </w:pPr>
            <w:r>
              <w:rPr>
                <w:sz w:val="2"/>
                <w:szCs w:val="2"/>
              </w:rPr>
              <w:t>​</w:t>
            </w:r>
          </w:p>
        </w:tc>
        <w:tc>
          <w:tcPr>
            <w:tcW w:w="98" w:type="pct"/>
            <w:noWrap/>
            <w:tcMar>
              <w:top w:w="0" w:type="dxa"/>
              <w:left w:w="0" w:type="dxa"/>
              <w:bottom w:w="0" w:type="dxa"/>
              <w:right w:w="0" w:type="dxa"/>
            </w:tcMar>
            <w:vAlign w:val="bottom"/>
            <w:hideMark/>
          </w:tcPr>
          <w:p w14:paraId="2ED7AB35" w14:textId="77777777" w:rsidR="00000000" w:rsidRDefault="001F1B20">
            <w:pPr>
              <w:pStyle w:val="a3"/>
              <w:spacing w:before="0" w:beforeAutospacing="0" w:after="0" w:afterAutospacing="0"/>
              <w:divId w:val="233781607"/>
              <w:rPr>
                <w:sz w:val="20"/>
                <w:szCs w:val="20"/>
              </w:rPr>
            </w:pPr>
            <w:r>
              <w:rPr>
                <w:sz w:val="2"/>
                <w:szCs w:val="2"/>
              </w:rPr>
              <w:t>​</w:t>
            </w:r>
          </w:p>
        </w:tc>
        <w:tc>
          <w:tcPr>
            <w:tcW w:w="98" w:type="pct"/>
            <w:noWrap/>
            <w:tcMar>
              <w:top w:w="0" w:type="dxa"/>
              <w:left w:w="0" w:type="dxa"/>
              <w:bottom w:w="0" w:type="dxa"/>
              <w:right w:w="0" w:type="dxa"/>
            </w:tcMar>
            <w:vAlign w:val="bottom"/>
            <w:hideMark/>
          </w:tcPr>
          <w:p w14:paraId="22CFCB13" w14:textId="77777777" w:rsidR="00000000" w:rsidRDefault="001F1B20">
            <w:pPr>
              <w:pStyle w:val="a3"/>
              <w:spacing w:before="0" w:beforeAutospacing="0" w:after="0" w:afterAutospacing="0"/>
              <w:divId w:val="1888175938"/>
              <w:rPr>
                <w:sz w:val="20"/>
                <w:szCs w:val="20"/>
              </w:rPr>
            </w:pPr>
            <w:r>
              <w:rPr>
                <w:sz w:val="2"/>
                <w:szCs w:val="2"/>
              </w:rPr>
              <w:t>​</w:t>
            </w:r>
          </w:p>
        </w:tc>
        <w:tc>
          <w:tcPr>
            <w:tcW w:w="385" w:type="pct"/>
            <w:noWrap/>
            <w:tcMar>
              <w:top w:w="0" w:type="dxa"/>
              <w:left w:w="0" w:type="dxa"/>
              <w:bottom w:w="0" w:type="dxa"/>
              <w:right w:w="0" w:type="dxa"/>
            </w:tcMar>
            <w:vAlign w:val="center"/>
            <w:hideMark/>
          </w:tcPr>
          <w:p w14:paraId="18AE61EF" w14:textId="77777777" w:rsidR="00000000" w:rsidRDefault="001F1B20">
            <w:pPr>
              <w:pStyle w:val="a3"/>
              <w:spacing w:before="0" w:beforeAutospacing="0" w:after="0" w:afterAutospacing="0"/>
              <w:divId w:val="1803688272"/>
              <w:rPr>
                <w:sz w:val="20"/>
                <w:szCs w:val="20"/>
              </w:rPr>
            </w:pPr>
            <w:r>
              <w:rPr>
                <w:sz w:val="2"/>
                <w:szCs w:val="2"/>
              </w:rPr>
              <w:t>​</w:t>
            </w:r>
          </w:p>
        </w:tc>
      </w:tr>
      <w:tr w:rsidR="00000000" w14:paraId="31AF4BF5" w14:textId="77777777">
        <w:trPr>
          <w:divId w:val="2054885378"/>
        </w:trPr>
        <w:tc>
          <w:tcPr>
            <w:tcW w:w="2187" w:type="pct"/>
            <w:tcMar>
              <w:top w:w="0" w:type="dxa"/>
              <w:left w:w="0" w:type="dxa"/>
              <w:bottom w:w="0" w:type="dxa"/>
              <w:right w:w="0" w:type="dxa"/>
            </w:tcMar>
            <w:vAlign w:val="bottom"/>
            <w:hideMark/>
          </w:tcPr>
          <w:p w14:paraId="2F7DDA20" w14:textId="77777777" w:rsidR="00000000" w:rsidRDefault="001F1B20">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0A25C9AE" w14:textId="77777777" w:rsidR="00000000" w:rsidRDefault="001F1B20">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14:paraId="66B6D9B2" w14:textId="77777777" w:rsidR="00000000" w:rsidRDefault="001F1B20">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0FCA786E" w14:textId="77777777" w:rsidR="00000000" w:rsidRDefault="001F1B20">
            <w:pPr>
              <w:pStyle w:val="a3"/>
              <w:spacing w:before="0" w:beforeAutospacing="0" w:after="0" w:afterAutospacing="0"/>
              <w:rPr>
                <w:sz w:val="20"/>
                <w:szCs w:val="20"/>
              </w:rPr>
            </w:pPr>
            <w:r>
              <w:rPr>
                <w:b/>
                <w:bCs/>
                <w:sz w:val="16"/>
                <w:szCs w:val="16"/>
              </w:rPr>
              <w:t>​</w:t>
            </w:r>
          </w:p>
        </w:tc>
        <w:tc>
          <w:tcPr>
            <w:tcW w:w="2231" w:type="pct"/>
            <w:gridSpan w:val="11"/>
            <w:tcBorders>
              <w:bottom w:val="single" w:sz="6" w:space="0" w:color="000000"/>
            </w:tcBorders>
            <w:noWrap/>
            <w:tcMar>
              <w:top w:w="0" w:type="dxa"/>
              <w:left w:w="0" w:type="dxa"/>
              <w:bottom w:w="0" w:type="dxa"/>
              <w:right w:w="0" w:type="dxa"/>
            </w:tcMar>
            <w:vAlign w:val="bottom"/>
            <w:hideMark/>
          </w:tcPr>
          <w:p w14:paraId="657AC39D" w14:textId="77777777" w:rsidR="00000000" w:rsidRDefault="001F1B20">
            <w:pPr>
              <w:pStyle w:val="a3"/>
              <w:spacing w:before="0" w:beforeAutospacing="0" w:after="0" w:afterAutospacing="0"/>
              <w:jc w:val="center"/>
              <w:rPr>
                <w:sz w:val="16"/>
                <w:szCs w:val="16"/>
              </w:rPr>
            </w:pPr>
            <w:r>
              <w:rPr>
                <w:b/>
                <w:bCs/>
                <w:sz w:val="16"/>
                <w:szCs w:val="16"/>
              </w:rPr>
              <w:t>September 30, 2021</w:t>
            </w:r>
          </w:p>
        </w:tc>
      </w:tr>
      <w:tr w:rsidR="00000000" w14:paraId="2C19D4D4" w14:textId="77777777">
        <w:trPr>
          <w:divId w:val="2054885378"/>
        </w:trPr>
        <w:tc>
          <w:tcPr>
            <w:tcW w:w="2187" w:type="pct"/>
            <w:tcMar>
              <w:top w:w="0" w:type="dxa"/>
              <w:left w:w="0" w:type="dxa"/>
              <w:bottom w:w="0" w:type="dxa"/>
              <w:right w:w="0" w:type="dxa"/>
            </w:tcMar>
            <w:vAlign w:val="bottom"/>
            <w:hideMark/>
          </w:tcPr>
          <w:p w14:paraId="2D01BB64" w14:textId="77777777" w:rsidR="00000000" w:rsidRDefault="001F1B20">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367EA673" w14:textId="77777777" w:rsidR="00000000" w:rsidRDefault="001F1B20">
            <w:pPr>
              <w:pStyle w:val="a3"/>
              <w:spacing w:before="0" w:beforeAutospacing="0" w:after="0" w:afterAutospacing="0"/>
              <w:rPr>
                <w:sz w:val="16"/>
                <w:szCs w:val="16"/>
              </w:rPr>
            </w:pPr>
            <w:r>
              <w:rPr>
                <w:b/>
                <w:bCs/>
                <w:sz w:val="16"/>
                <w:szCs w:val="16"/>
              </w:rPr>
              <w:t>    </w:t>
            </w:r>
          </w:p>
        </w:tc>
        <w:tc>
          <w:tcPr>
            <w:tcW w:w="385" w:type="pct"/>
            <w:tcMar>
              <w:top w:w="0" w:type="dxa"/>
              <w:left w:w="0" w:type="dxa"/>
              <w:bottom w:w="0" w:type="dxa"/>
              <w:right w:w="0" w:type="dxa"/>
            </w:tcMar>
            <w:vAlign w:val="bottom"/>
            <w:hideMark/>
          </w:tcPr>
          <w:p w14:paraId="33C44951" w14:textId="77777777" w:rsidR="00000000" w:rsidRDefault="001F1B20">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0C3D8378" w14:textId="77777777" w:rsidR="00000000" w:rsidRDefault="001F1B20">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14:paraId="2EE93A4F" w14:textId="77777777" w:rsidR="00000000" w:rsidRDefault="001F1B20">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14:paraId="446EA684" w14:textId="77777777" w:rsidR="00000000" w:rsidRDefault="001F1B20">
            <w:pPr>
              <w:pStyle w:val="a3"/>
              <w:spacing w:before="0" w:beforeAutospacing="0" w:after="0"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14:paraId="63F6EA2C" w14:textId="77777777" w:rsidR="00000000" w:rsidRDefault="001F1B20">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14:paraId="12827A1F" w14:textId="77777777" w:rsidR="00000000" w:rsidRDefault="001F1B20">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14:paraId="3293AC76" w14:textId="77777777" w:rsidR="00000000" w:rsidRDefault="001F1B20">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14:paraId="664C035B" w14:textId="77777777" w:rsidR="00000000" w:rsidRDefault="001F1B20">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14:paraId="0D29A7C2" w14:textId="77777777" w:rsidR="00000000" w:rsidRDefault="001F1B20">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14:paraId="12156DF5" w14:textId="77777777" w:rsidR="00000000" w:rsidRDefault="001F1B20">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14:paraId="5B28177C" w14:textId="77777777" w:rsidR="00000000" w:rsidRDefault="001F1B20">
            <w:pPr>
              <w:pStyle w:val="a3"/>
              <w:spacing w:before="0" w:beforeAutospacing="0" w:after="0" w:afterAutospacing="0"/>
              <w:jc w:val="center"/>
              <w:rPr>
                <w:sz w:val="20"/>
                <w:szCs w:val="20"/>
              </w:rPr>
            </w:pPr>
            <w:r>
              <w:rPr>
                <w:b/>
                <w:bCs/>
                <w:sz w:val="16"/>
                <w:szCs w:val="16"/>
              </w:rPr>
              <w:t>​</w:t>
            </w:r>
          </w:p>
        </w:tc>
      </w:tr>
      <w:tr w:rsidR="00000000" w14:paraId="15971CA6" w14:textId="77777777">
        <w:trPr>
          <w:divId w:val="2054885378"/>
        </w:trPr>
        <w:tc>
          <w:tcPr>
            <w:tcW w:w="2187" w:type="pct"/>
            <w:tcMar>
              <w:top w:w="0" w:type="dxa"/>
              <w:left w:w="0" w:type="dxa"/>
              <w:bottom w:w="0" w:type="dxa"/>
              <w:right w:w="0" w:type="dxa"/>
            </w:tcMar>
            <w:vAlign w:val="bottom"/>
            <w:hideMark/>
          </w:tcPr>
          <w:p w14:paraId="76068841" w14:textId="77777777" w:rsidR="00000000" w:rsidRDefault="001F1B20">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73A60B23" w14:textId="77777777" w:rsidR="00000000" w:rsidRDefault="001F1B20">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14:paraId="440642B6" w14:textId="77777777" w:rsidR="00000000" w:rsidRDefault="001F1B20">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3F3A29D7"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35640242" w14:textId="77777777" w:rsidR="00000000" w:rsidRDefault="001F1B20">
            <w:pPr>
              <w:pStyle w:val="a3"/>
              <w:spacing w:before="0" w:beforeAutospacing="0" w:after="0" w:afterAutospacing="0"/>
              <w:jc w:val="center"/>
              <w:rPr>
                <w:sz w:val="16"/>
                <w:szCs w:val="16"/>
              </w:rPr>
            </w:pPr>
            <w:r>
              <w:rPr>
                <w:b/>
                <w:bCs/>
                <w:sz w:val="16"/>
                <w:szCs w:val="16"/>
              </w:rPr>
              <w:t>Amortized</w:t>
            </w:r>
          </w:p>
        </w:tc>
        <w:tc>
          <w:tcPr>
            <w:tcW w:w="98" w:type="pct"/>
            <w:noWrap/>
            <w:tcMar>
              <w:top w:w="0" w:type="dxa"/>
              <w:left w:w="0" w:type="dxa"/>
              <w:bottom w:w="0" w:type="dxa"/>
              <w:right w:w="0" w:type="dxa"/>
            </w:tcMar>
            <w:vAlign w:val="bottom"/>
            <w:hideMark/>
          </w:tcPr>
          <w:p w14:paraId="58B7800E"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12B89060" w14:textId="77777777" w:rsidR="00000000" w:rsidRDefault="001F1B20">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14:paraId="4D876CF2"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5F6B50FC" w14:textId="77777777" w:rsidR="00000000" w:rsidRDefault="001F1B20">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14:paraId="330EC1EB"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58321D33" w14:textId="77777777" w:rsidR="00000000" w:rsidRDefault="001F1B20">
            <w:pPr>
              <w:pStyle w:val="a3"/>
              <w:spacing w:before="0" w:beforeAutospacing="0" w:after="0" w:afterAutospacing="0"/>
              <w:jc w:val="center"/>
              <w:rPr>
                <w:sz w:val="16"/>
                <w:szCs w:val="16"/>
              </w:rPr>
            </w:pPr>
            <w:r>
              <w:rPr>
                <w:b/>
                <w:bCs/>
                <w:sz w:val="16"/>
                <w:szCs w:val="16"/>
              </w:rPr>
              <w:t>Estimated</w:t>
            </w:r>
          </w:p>
        </w:tc>
      </w:tr>
      <w:tr w:rsidR="00000000" w14:paraId="3ED591C3" w14:textId="77777777">
        <w:trPr>
          <w:divId w:val="2054885378"/>
        </w:trPr>
        <w:tc>
          <w:tcPr>
            <w:tcW w:w="2187" w:type="pct"/>
            <w:tcBorders>
              <w:bottom w:val="single" w:sz="6" w:space="0" w:color="000000"/>
            </w:tcBorders>
            <w:tcMar>
              <w:top w:w="0" w:type="dxa"/>
              <w:left w:w="0" w:type="dxa"/>
              <w:bottom w:w="0" w:type="dxa"/>
              <w:right w:w="0" w:type="dxa"/>
            </w:tcMar>
            <w:vAlign w:val="bottom"/>
            <w:hideMark/>
          </w:tcPr>
          <w:p w14:paraId="6132CE17" w14:textId="77777777" w:rsidR="00000000" w:rsidRDefault="001F1B20">
            <w:pPr>
              <w:pStyle w:val="a3"/>
              <w:spacing w:before="0" w:beforeAutospacing="0" w:after="0" w:afterAutospacing="0"/>
              <w:rPr>
                <w:sz w:val="16"/>
                <w:szCs w:val="16"/>
              </w:rPr>
            </w:pPr>
            <w:r>
              <w:rPr>
                <w:b/>
                <w:bCs/>
                <w:sz w:val="16"/>
                <w:szCs w:val="16"/>
              </w:rPr>
              <w:t>(In thousands)</w:t>
            </w:r>
          </w:p>
        </w:tc>
        <w:tc>
          <w:tcPr>
            <w:tcW w:w="97" w:type="pct"/>
            <w:tcMar>
              <w:top w:w="0" w:type="dxa"/>
              <w:left w:w="0" w:type="dxa"/>
              <w:bottom w:w="0" w:type="dxa"/>
              <w:right w:w="0" w:type="dxa"/>
            </w:tcMar>
            <w:vAlign w:val="bottom"/>
            <w:hideMark/>
          </w:tcPr>
          <w:p w14:paraId="751934A0" w14:textId="77777777" w:rsidR="00000000" w:rsidRDefault="001F1B20">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14:paraId="6304CA05" w14:textId="77777777" w:rsidR="00000000" w:rsidRDefault="001F1B20">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49C7113C"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74ED0874" w14:textId="77777777" w:rsidR="00000000" w:rsidRDefault="001F1B20">
            <w:pPr>
              <w:pStyle w:val="a3"/>
              <w:spacing w:before="0" w:beforeAutospacing="0" w:after="0" w:afterAutospacing="0"/>
              <w:jc w:val="center"/>
              <w:rPr>
                <w:sz w:val="16"/>
                <w:szCs w:val="16"/>
              </w:rPr>
            </w:pPr>
            <w:r>
              <w:rPr>
                <w:b/>
                <w:bCs/>
                <w:sz w:val="16"/>
                <w:szCs w:val="16"/>
              </w:rPr>
              <w:t>Cost</w:t>
            </w:r>
          </w:p>
        </w:tc>
        <w:tc>
          <w:tcPr>
            <w:tcW w:w="98" w:type="pct"/>
            <w:noWrap/>
            <w:tcMar>
              <w:top w:w="0" w:type="dxa"/>
              <w:left w:w="0" w:type="dxa"/>
              <w:bottom w:w="0" w:type="dxa"/>
              <w:right w:w="0" w:type="dxa"/>
            </w:tcMar>
            <w:vAlign w:val="bottom"/>
            <w:hideMark/>
          </w:tcPr>
          <w:p w14:paraId="446A4C4B"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3CFDA05B" w14:textId="77777777" w:rsidR="00000000" w:rsidRDefault="001F1B20">
            <w:pPr>
              <w:pStyle w:val="a3"/>
              <w:spacing w:before="0" w:beforeAutospacing="0" w:after="0" w:afterAutospacing="0"/>
              <w:jc w:val="center"/>
              <w:rPr>
                <w:sz w:val="16"/>
                <w:szCs w:val="16"/>
              </w:rPr>
            </w:pPr>
            <w:r>
              <w:rPr>
                <w:b/>
                <w:bCs/>
                <w:sz w:val="16"/>
                <w:szCs w:val="16"/>
              </w:rPr>
              <w:t>Gains</w:t>
            </w:r>
          </w:p>
        </w:tc>
        <w:tc>
          <w:tcPr>
            <w:tcW w:w="98" w:type="pct"/>
            <w:noWrap/>
            <w:tcMar>
              <w:top w:w="0" w:type="dxa"/>
              <w:left w:w="0" w:type="dxa"/>
              <w:bottom w:w="0" w:type="dxa"/>
              <w:right w:w="0" w:type="dxa"/>
            </w:tcMar>
            <w:vAlign w:val="bottom"/>
            <w:hideMark/>
          </w:tcPr>
          <w:p w14:paraId="68FD84FE"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60E3FE7B" w14:textId="77777777" w:rsidR="00000000" w:rsidRDefault="001F1B20">
            <w:pPr>
              <w:pStyle w:val="a3"/>
              <w:spacing w:before="0" w:beforeAutospacing="0" w:after="0"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14:paraId="25A69857"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032F0B6A" w14:textId="77777777" w:rsidR="00000000" w:rsidRDefault="001F1B20">
            <w:pPr>
              <w:pStyle w:val="a3"/>
              <w:spacing w:before="0" w:beforeAutospacing="0" w:after="0" w:afterAutospacing="0"/>
              <w:jc w:val="center"/>
              <w:rPr>
                <w:sz w:val="16"/>
                <w:szCs w:val="16"/>
              </w:rPr>
            </w:pPr>
            <w:r>
              <w:rPr>
                <w:b/>
                <w:bCs/>
                <w:sz w:val="16"/>
                <w:szCs w:val="16"/>
              </w:rPr>
              <w:t>Fair Value</w:t>
            </w:r>
          </w:p>
        </w:tc>
      </w:tr>
      <w:tr w:rsidR="00000000" w14:paraId="1851DE62" w14:textId="77777777">
        <w:trPr>
          <w:divId w:val="2054885378"/>
        </w:trPr>
        <w:tc>
          <w:tcPr>
            <w:tcW w:w="2187" w:type="pct"/>
            <w:shd w:val="clear" w:color="auto" w:fill="CCEEFF"/>
            <w:tcMar>
              <w:top w:w="0" w:type="dxa"/>
              <w:left w:w="0" w:type="dxa"/>
              <w:bottom w:w="0" w:type="dxa"/>
              <w:right w:w="0" w:type="dxa"/>
            </w:tcMar>
            <w:vAlign w:val="center"/>
            <w:hideMark/>
          </w:tcPr>
          <w:p w14:paraId="2245BEC9" w14:textId="77777777" w:rsidR="00000000" w:rsidRDefault="001F1B20">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14:paraId="68B4E06F"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7E130419" w14:textId="77777777" w:rsidR="00000000" w:rsidRDefault="001F1B20">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14:paraId="3A912400"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6D1EE3A5"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5510345D" w14:textId="77777777" w:rsidR="00000000" w:rsidRDefault="001F1B20">
            <w:pPr>
              <w:pStyle w:val="a3"/>
              <w:spacing w:before="0" w:beforeAutospacing="0" w:after="0" w:afterAutospacing="0"/>
              <w:ind w:right="60"/>
              <w:jc w:val="right"/>
              <w:rPr>
                <w:sz w:val="20"/>
                <w:szCs w:val="20"/>
              </w:rPr>
            </w:pPr>
            <w:r>
              <w:rPr>
                <w:sz w:val="20"/>
                <w:szCs w:val="20"/>
              </w:rPr>
              <w:t>5,000</w:t>
            </w:r>
          </w:p>
        </w:tc>
        <w:tc>
          <w:tcPr>
            <w:tcW w:w="98" w:type="pct"/>
            <w:shd w:val="clear" w:color="auto" w:fill="CCEEFF"/>
            <w:noWrap/>
            <w:tcMar>
              <w:top w:w="0" w:type="dxa"/>
              <w:left w:w="0" w:type="dxa"/>
              <w:bottom w:w="0" w:type="dxa"/>
              <w:right w:w="0" w:type="dxa"/>
            </w:tcMar>
            <w:vAlign w:val="bottom"/>
            <w:hideMark/>
          </w:tcPr>
          <w:p w14:paraId="69B5C4B3"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7D47FCF6"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4DC065D3"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690F1E40"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04086BD9"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521E1B34"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68067CA5"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BE8AF37"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0896B2B1" w14:textId="77777777" w:rsidR="00000000" w:rsidRDefault="001F1B20">
            <w:pPr>
              <w:pStyle w:val="a3"/>
              <w:spacing w:before="0" w:beforeAutospacing="0" w:after="0" w:afterAutospacing="0"/>
              <w:ind w:right="60"/>
              <w:jc w:val="right"/>
              <w:rPr>
                <w:sz w:val="20"/>
                <w:szCs w:val="20"/>
              </w:rPr>
            </w:pPr>
            <w:r>
              <w:rPr>
                <w:sz w:val="20"/>
                <w:szCs w:val="20"/>
              </w:rPr>
              <w:t>5,000</w:t>
            </w:r>
          </w:p>
        </w:tc>
      </w:tr>
      <w:tr w:rsidR="00000000" w14:paraId="6D45553B" w14:textId="77777777">
        <w:trPr>
          <w:divId w:val="2054885378"/>
        </w:trPr>
        <w:tc>
          <w:tcPr>
            <w:tcW w:w="2187" w:type="pct"/>
            <w:tcMar>
              <w:top w:w="0" w:type="dxa"/>
              <w:left w:w="0" w:type="dxa"/>
              <w:bottom w:w="0" w:type="dxa"/>
              <w:right w:w="0" w:type="dxa"/>
            </w:tcMar>
            <w:vAlign w:val="center"/>
            <w:hideMark/>
          </w:tcPr>
          <w:p w14:paraId="17CD2447" w14:textId="77777777" w:rsidR="00000000" w:rsidRDefault="001F1B20">
            <w:pPr>
              <w:pStyle w:val="a3"/>
              <w:spacing w:before="0" w:beforeAutospacing="0" w:after="0" w:afterAutospacing="0"/>
              <w:rPr>
                <w:sz w:val="20"/>
                <w:szCs w:val="20"/>
              </w:rPr>
            </w:pPr>
            <w:r>
              <w:rPr>
                <w:sz w:val="20"/>
                <w:szCs w:val="20"/>
              </w:rPr>
              <w:t>Corporate notes</w:t>
            </w:r>
          </w:p>
        </w:tc>
        <w:tc>
          <w:tcPr>
            <w:tcW w:w="97" w:type="pct"/>
            <w:noWrap/>
            <w:tcMar>
              <w:top w:w="0" w:type="dxa"/>
              <w:left w:w="0" w:type="dxa"/>
              <w:bottom w:w="0" w:type="dxa"/>
              <w:right w:w="0" w:type="dxa"/>
            </w:tcMar>
            <w:vAlign w:val="bottom"/>
            <w:hideMark/>
          </w:tcPr>
          <w:p w14:paraId="33F586FE"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6D4897E3" w14:textId="77777777" w:rsidR="00000000" w:rsidRDefault="001F1B20">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14:paraId="14F7C299"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7FF1270B" w14:textId="77777777" w:rsidR="00000000" w:rsidRDefault="001F1B20">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14:paraId="6173CB6D" w14:textId="77777777" w:rsidR="00000000" w:rsidRDefault="001F1B20">
            <w:pPr>
              <w:pStyle w:val="a3"/>
              <w:spacing w:before="0" w:beforeAutospacing="0" w:after="0" w:afterAutospacing="0"/>
              <w:ind w:right="60"/>
              <w:jc w:val="right"/>
              <w:rPr>
                <w:sz w:val="20"/>
                <w:szCs w:val="20"/>
              </w:rPr>
            </w:pPr>
            <w:r>
              <w:rPr>
                <w:sz w:val="20"/>
                <w:szCs w:val="20"/>
              </w:rPr>
              <w:t>4,800</w:t>
            </w:r>
          </w:p>
        </w:tc>
        <w:tc>
          <w:tcPr>
            <w:tcW w:w="98" w:type="pct"/>
            <w:noWrap/>
            <w:tcMar>
              <w:top w:w="0" w:type="dxa"/>
              <w:left w:w="0" w:type="dxa"/>
              <w:bottom w:w="0" w:type="dxa"/>
              <w:right w:w="0" w:type="dxa"/>
            </w:tcMar>
            <w:vAlign w:val="bottom"/>
            <w:hideMark/>
          </w:tcPr>
          <w:p w14:paraId="32500D4F"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441B5B14"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6881DDC3" w14:textId="77777777" w:rsidR="00000000" w:rsidRDefault="001F1B20">
            <w:pPr>
              <w:pStyle w:val="a3"/>
              <w:spacing w:before="0" w:beforeAutospacing="0" w:after="0" w:afterAutospacing="0"/>
              <w:ind w:right="60"/>
              <w:jc w:val="right"/>
              <w:rPr>
                <w:sz w:val="20"/>
                <w:szCs w:val="20"/>
              </w:rPr>
            </w:pPr>
            <w:r>
              <w:rPr>
                <w:sz w:val="20"/>
                <w:szCs w:val="20"/>
              </w:rPr>
              <w:t>6</w:t>
            </w:r>
          </w:p>
        </w:tc>
        <w:tc>
          <w:tcPr>
            <w:tcW w:w="98" w:type="pct"/>
            <w:noWrap/>
            <w:tcMar>
              <w:top w:w="0" w:type="dxa"/>
              <w:left w:w="0" w:type="dxa"/>
              <w:bottom w:w="0" w:type="dxa"/>
              <w:right w:w="0" w:type="dxa"/>
            </w:tcMar>
            <w:vAlign w:val="bottom"/>
            <w:hideMark/>
          </w:tcPr>
          <w:p w14:paraId="59257754"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0D5FA42A"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2929A026"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3CF190D2"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1A4D98EA" w14:textId="77777777" w:rsidR="00000000" w:rsidRDefault="001F1B20">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14:paraId="2DF00D92" w14:textId="77777777" w:rsidR="00000000" w:rsidRDefault="001F1B20">
            <w:pPr>
              <w:pStyle w:val="a3"/>
              <w:spacing w:before="0" w:beforeAutospacing="0" w:after="0" w:afterAutospacing="0"/>
              <w:ind w:right="60"/>
              <w:jc w:val="right"/>
              <w:rPr>
                <w:sz w:val="20"/>
                <w:szCs w:val="20"/>
              </w:rPr>
            </w:pPr>
            <w:r>
              <w:rPr>
                <w:sz w:val="20"/>
                <w:szCs w:val="20"/>
              </w:rPr>
              <w:t>4,806</w:t>
            </w:r>
          </w:p>
        </w:tc>
      </w:tr>
      <w:tr w:rsidR="00000000" w14:paraId="0BF3FD52" w14:textId="77777777">
        <w:trPr>
          <w:divId w:val="2054885378"/>
        </w:trPr>
        <w:tc>
          <w:tcPr>
            <w:tcW w:w="2187" w:type="pct"/>
            <w:shd w:val="clear" w:color="auto" w:fill="CCEEFF"/>
            <w:tcMar>
              <w:top w:w="0" w:type="dxa"/>
              <w:left w:w="0" w:type="dxa"/>
              <w:bottom w:w="0" w:type="dxa"/>
              <w:right w:w="0" w:type="dxa"/>
            </w:tcMar>
            <w:vAlign w:val="bottom"/>
            <w:hideMark/>
          </w:tcPr>
          <w:p w14:paraId="17E3A54F" w14:textId="77777777" w:rsidR="00000000" w:rsidRDefault="001F1B20">
            <w:pPr>
              <w:pStyle w:val="a3"/>
              <w:spacing w:before="0" w:beforeAutospacing="0" w:after="0" w:afterAutospacing="0"/>
              <w:rPr>
                <w:sz w:val="20"/>
                <w:szCs w:val="20"/>
              </w:rPr>
            </w:pPr>
            <w:r>
              <w:rPr>
                <w:sz w:val="20"/>
                <w:szCs w:val="20"/>
              </w:rPr>
              <w:t>Commercial paper</w:t>
            </w:r>
          </w:p>
        </w:tc>
        <w:tc>
          <w:tcPr>
            <w:tcW w:w="97" w:type="pct"/>
            <w:shd w:val="clear" w:color="auto" w:fill="CCEEFF"/>
            <w:noWrap/>
            <w:tcMar>
              <w:top w:w="0" w:type="dxa"/>
              <w:left w:w="0" w:type="dxa"/>
              <w:bottom w:w="0" w:type="dxa"/>
              <w:right w:w="0" w:type="dxa"/>
            </w:tcMar>
            <w:vAlign w:val="bottom"/>
            <w:hideMark/>
          </w:tcPr>
          <w:p w14:paraId="13497855"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049A03F0" w14:textId="77777777" w:rsidR="00000000" w:rsidRDefault="001F1B20">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14:paraId="2395C45D"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439AE3C6"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14:paraId="2821016B" w14:textId="77777777" w:rsidR="00000000" w:rsidRDefault="001F1B20">
            <w:pPr>
              <w:pStyle w:val="a3"/>
              <w:spacing w:before="0" w:beforeAutospacing="0" w:after="0" w:afterAutospacing="0"/>
              <w:ind w:right="60"/>
              <w:jc w:val="right"/>
              <w:rPr>
                <w:sz w:val="20"/>
                <w:szCs w:val="20"/>
              </w:rPr>
            </w:pPr>
            <w:r>
              <w:rPr>
                <w:sz w:val="20"/>
                <w:szCs w:val="20"/>
              </w:rPr>
              <w:t>94,978</w:t>
            </w:r>
          </w:p>
        </w:tc>
        <w:tc>
          <w:tcPr>
            <w:tcW w:w="98" w:type="pct"/>
            <w:shd w:val="clear" w:color="auto" w:fill="CCEEFF"/>
            <w:noWrap/>
            <w:tcMar>
              <w:top w:w="0" w:type="dxa"/>
              <w:left w:w="0" w:type="dxa"/>
              <w:bottom w:w="0" w:type="dxa"/>
              <w:right w:w="0" w:type="dxa"/>
            </w:tcMar>
            <w:vAlign w:val="bottom"/>
            <w:hideMark/>
          </w:tcPr>
          <w:p w14:paraId="15401B39"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576119C5"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14:paraId="43268005" w14:textId="77777777" w:rsidR="00000000" w:rsidRDefault="001F1B20">
            <w:pPr>
              <w:pStyle w:val="a3"/>
              <w:spacing w:before="0" w:beforeAutospacing="0" w:after="0" w:afterAutospacing="0"/>
              <w:ind w:right="60"/>
              <w:jc w:val="right"/>
              <w:rPr>
                <w:sz w:val="20"/>
                <w:szCs w:val="20"/>
              </w:rPr>
            </w:pPr>
            <w:r>
              <w:rPr>
                <w:sz w:val="20"/>
                <w:szCs w:val="20"/>
              </w:rPr>
              <w:t>4</w:t>
            </w:r>
          </w:p>
        </w:tc>
        <w:tc>
          <w:tcPr>
            <w:tcW w:w="98" w:type="pct"/>
            <w:shd w:val="clear" w:color="auto" w:fill="CCEEFF"/>
            <w:noWrap/>
            <w:tcMar>
              <w:top w:w="0" w:type="dxa"/>
              <w:left w:w="0" w:type="dxa"/>
              <w:bottom w:w="0" w:type="dxa"/>
              <w:right w:w="0" w:type="dxa"/>
            </w:tcMar>
            <w:vAlign w:val="bottom"/>
            <w:hideMark/>
          </w:tcPr>
          <w:p w14:paraId="370A1769"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1930D796"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14:paraId="01CB5110"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6FF195CC"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220C9BCA"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14:paraId="58C15558" w14:textId="77777777" w:rsidR="00000000" w:rsidRDefault="001F1B20">
            <w:pPr>
              <w:pStyle w:val="a3"/>
              <w:spacing w:before="0" w:beforeAutospacing="0" w:after="0" w:afterAutospacing="0"/>
              <w:ind w:right="60"/>
              <w:jc w:val="right"/>
              <w:rPr>
                <w:sz w:val="20"/>
                <w:szCs w:val="20"/>
              </w:rPr>
            </w:pPr>
            <w:r>
              <w:rPr>
                <w:sz w:val="20"/>
                <w:szCs w:val="20"/>
              </w:rPr>
              <w:t>94,982</w:t>
            </w:r>
          </w:p>
        </w:tc>
      </w:tr>
      <w:tr w:rsidR="00000000" w14:paraId="2169D94C" w14:textId="77777777">
        <w:trPr>
          <w:divId w:val="2054885378"/>
        </w:trPr>
        <w:tc>
          <w:tcPr>
            <w:tcW w:w="2187" w:type="pct"/>
            <w:tcMar>
              <w:top w:w="0" w:type="dxa"/>
              <w:left w:w="0" w:type="dxa"/>
              <w:bottom w:w="0" w:type="dxa"/>
              <w:right w:w="0" w:type="dxa"/>
            </w:tcMar>
            <w:vAlign w:val="bottom"/>
            <w:hideMark/>
          </w:tcPr>
          <w:p w14:paraId="2A49D8EE" w14:textId="77777777" w:rsidR="00000000" w:rsidRDefault="001F1B20">
            <w:pPr>
              <w:pStyle w:val="a3"/>
              <w:spacing w:before="0" w:beforeAutospacing="0" w:after="0" w:afterAutospacing="0"/>
              <w:ind w:left="120"/>
              <w:rPr>
                <w:sz w:val="20"/>
                <w:szCs w:val="20"/>
              </w:rPr>
            </w:pPr>
            <w:r>
              <w:rPr>
                <w:sz w:val="20"/>
                <w:szCs w:val="20"/>
              </w:rPr>
              <w:t>Marketable securities</w:t>
            </w:r>
          </w:p>
        </w:tc>
        <w:tc>
          <w:tcPr>
            <w:tcW w:w="97" w:type="pct"/>
            <w:noWrap/>
            <w:tcMar>
              <w:top w:w="0" w:type="dxa"/>
              <w:left w:w="0" w:type="dxa"/>
              <w:bottom w:w="0" w:type="dxa"/>
              <w:right w:w="0" w:type="dxa"/>
            </w:tcMar>
            <w:vAlign w:val="bottom"/>
            <w:hideMark/>
          </w:tcPr>
          <w:p w14:paraId="6E13E764"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0CA0EBBB" w14:textId="77777777" w:rsidR="00000000" w:rsidRDefault="001F1B20">
            <w:pPr>
              <w:pStyle w:val="a3"/>
              <w:spacing w:before="0" w:beforeAutospacing="0" w:after="0"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14:paraId="148016EA"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10FBC868"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2643F681" w14:textId="77777777" w:rsidR="00000000" w:rsidRDefault="001F1B20">
            <w:pPr>
              <w:pStyle w:val="a3"/>
              <w:spacing w:before="0" w:beforeAutospacing="0" w:after="0" w:afterAutospacing="0"/>
              <w:ind w:right="60"/>
              <w:jc w:val="right"/>
              <w:rPr>
                <w:sz w:val="20"/>
                <w:szCs w:val="20"/>
              </w:rPr>
            </w:pPr>
            <w:r>
              <w:rPr>
                <w:sz w:val="20"/>
                <w:szCs w:val="20"/>
              </w:rPr>
              <w:t>104,778</w:t>
            </w:r>
          </w:p>
        </w:tc>
        <w:tc>
          <w:tcPr>
            <w:tcW w:w="98" w:type="pct"/>
            <w:noWrap/>
            <w:tcMar>
              <w:top w:w="0" w:type="dxa"/>
              <w:left w:w="0" w:type="dxa"/>
              <w:bottom w:w="0" w:type="dxa"/>
              <w:right w:w="0" w:type="dxa"/>
            </w:tcMar>
            <w:vAlign w:val="bottom"/>
            <w:hideMark/>
          </w:tcPr>
          <w:p w14:paraId="18547999"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7BC9A80A"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02407016" w14:textId="77777777" w:rsidR="00000000" w:rsidRDefault="001F1B20">
            <w:pPr>
              <w:pStyle w:val="a3"/>
              <w:spacing w:before="0" w:beforeAutospacing="0" w:after="0" w:afterAutospacing="0"/>
              <w:ind w:right="60"/>
              <w:jc w:val="right"/>
              <w:rPr>
                <w:sz w:val="20"/>
                <w:szCs w:val="20"/>
              </w:rPr>
            </w:pPr>
            <w:r>
              <w:rPr>
                <w:sz w:val="20"/>
                <w:szCs w:val="20"/>
              </w:rPr>
              <w:t>10</w:t>
            </w:r>
          </w:p>
        </w:tc>
        <w:tc>
          <w:tcPr>
            <w:tcW w:w="98" w:type="pct"/>
            <w:noWrap/>
            <w:tcMar>
              <w:top w:w="0" w:type="dxa"/>
              <w:left w:w="0" w:type="dxa"/>
              <w:bottom w:w="0" w:type="dxa"/>
              <w:right w:w="0" w:type="dxa"/>
            </w:tcMar>
            <w:vAlign w:val="bottom"/>
            <w:hideMark/>
          </w:tcPr>
          <w:p w14:paraId="7D18B78F"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3846D24D"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0FFEAD5E"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384D9703"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13A719D8"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0C973F73" w14:textId="77777777" w:rsidR="00000000" w:rsidRDefault="001F1B20">
            <w:pPr>
              <w:pStyle w:val="a3"/>
              <w:spacing w:before="0" w:beforeAutospacing="0" w:after="0" w:afterAutospacing="0"/>
              <w:ind w:right="60"/>
              <w:jc w:val="right"/>
              <w:rPr>
                <w:sz w:val="20"/>
                <w:szCs w:val="20"/>
              </w:rPr>
            </w:pPr>
            <w:r>
              <w:rPr>
                <w:sz w:val="20"/>
                <w:szCs w:val="20"/>
              </w:rPr>
              <w:t>104,788</w:t>
            </w:r>
          </w:p>
        </w:tc>
      </w:tr>
      <w:tr w:rsidR="00000000" w14:paraId="44F949D8" w14:textId="77777777">
        <w:trPr>
          <w:divId w:val="2054885378"/>
        </w:trPr>
        <w:tc>
          <w:tcPr>
            <w:tcW w:w="2187" w:type="pct"/>
            <w:shd w:val="clear" w:color="auto" w:fill="CCEEFF"/>
            <w:tcMar>
              <w:top w:w="0" w:type="dxa"/>
              <w:left w:w="0" w:type="dxa"/>
              <w:bottom w:w="0" w:type="dxa"/>
              <w:right w:w="0" w:type="dxa"/>
            </w:tcMar>
            <w:vAlign w:val="bottom"/>
            <w:hideMark/>
          </w:tcPr>
          <w:p w14:paraId="74C20D20" w14:textId="77777777" w:rsidR="00000000" w:rsidRDefault="001F1B20">
            <w:pPr>
              <w:pStyle w:val="a3"/>
              <w:spacing w:before="0" w:beforeAutospacing="0" w:after="0" w:afterAutospacing="0"/>
              <w:rPr>
                <w:sz w:val="20"/>
                <w:szCs w:val="20"/>
              </w:rPr>
            </w:pPr>
            <w:r>
              <w:rPr>
                <w:sz w:val="20"/>
                <w:szCs w:val="20"/>
              </w:rPr>
              <w:t xml:space="preserve">Money market funds </w:t>
            </w:r>
          </w:p>
        </w:tc>
        <w:tc>
          <w:tcPr>
            <w:tcW w:w="97" w:type="pct"/>
            <w:shd w:val="clear" w:color="auto" w:fill="CCEEFF"/>
            <w:noWrap/>
            <w:tcMar>
              <w:top w:w="0" w:type="dxa"/>
              <w:left w:w="0" w:type="dxa"/>
              <w:bottom w:w="0" w:type="dxa"/>
              <w:right w:w="0" w:type="dxa"/>
            </w:tcMar>
            <w:vAlign w:val="bottom"/>
            <w:hideMark/>
          </w:tcPr>
          <w:p w14:paraId="537E80A1"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37199201" w14:textId="77777777" w:rsidR="00000000" w:rsidRDefault="001F1B20">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14:paraId="6B031151"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6FBC5246"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14:paraId="26AD3F64" w14:textId="77777777" w:rsidR="00000000" w:rsidRDefault="001F1B20">
            <w:pPr>
              <w:pStyle w:val="a3"/>
              <w:spacing w:before="0" w:beforeAutospacing="0" w:after="0" w:afterAutospacing="0"/>
              <w:ind w:right="60"/>
              <w:jc w:val="right"/>
              <w:rPr>
                <w:sz w:val="20"/>
                <w:szCs w:val="20"/>
              </w:rPr>
            </w:pPr>
            <w:r>
              <w:rPr>
                <w:sz w:val="20"/>
                <w:szCs w:val="20"/>
              </w:rPr>
              <w:t>80,836</w:t>
            </w:r>
          </w:p>
        </w:tc>
        <w:tc>
          <w:tcPr>
            <w:tcW w:w="98" w:type="pct"/>
            <w:shd w:val="clear" w:color="auto" w:fill="CCEEFF"/>
            <w:noWrap/>
            <w:tcMar>
              <w:top w:w="0" w:type="dxa"/>
              <w:left w:w="0" w:type="dxa"/>
              <w:bottom w:w="0" w:type="dxa"/>
              <w:right w:w="0" w:type="dxa"/>
            </w:tcMar>
            <w:vAlign w:val="bottom"/>
            <w:hideMark/>
          </w:tcPr>
          <w:p w14:paraId="5F65B1D3"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5B63C4F7"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14:paraId="1D88255A"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0B0DBD93"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292E55A5"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14:paraId="719858FB"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7C9A7E4E"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14:paraId="4DEC708B"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shd w:val="clear" w:color="auto" w:fill="CCEEFF"/>
            <w:noWrap/>
            <w:tcMar>
              <w:top w:w="0" w:type="dxa"/>
              <w:left w:w="0" w:type="dxa"/>
              <w:bottom w:w="0" w:type="dxa"/>
              <w:right w:w="0" w:type="dxa"/>
            </w:tcMar>
            <w:vAlign w:val="center"/>
            <w:hideMark/>
          </w:tcPr>
          <w:p w14:paraId="02A6683B" w14:textId="77777777" w:rsidR="00000000" w:rsidRDefault="001F1B20">
            <w:pPr>
              <w:pStyle w:val="a3"/>
              <w:spacing w:before="0" w:beforeAutospacing="0" w:after="0" w:afterAutospacing="0"/>
              <w:ind w:right="60"/>
              <w:jc w:val="right"/>
              <w:rPr>
                <w:sz w:val="20"/>
                <w:szCs w:val="20"/>
              </w:rPr>
            </w:pPr>
            <w:r>
              <w:rPr>
                <w:sz w:val="20"/>
                <w:szCs w:val="20"/>
              </w:rPr>
              <w:t>80,836</w:t>
            </w:r>
          </w:p>
        </w:tc>
      </w:tr>
      <w:tr w:rsidR="00000000" w14:paraId="0F906A1B" w14:textId="77777777">
        <w:trPr>
          <w:divId w:val="2054885378"/>
        </w:trPr>
        <w:tc>
          <w:tcPr>
            <w:tcW w:w="2187" w:type="pct"/>
            <w:tcMar>
              <w:top w:w="0" w:type="dxa"/>
              <w:left w:w="0" w:type="dxa"/>
              <w:bottom w:w="0" w:type="dxa"/>
              <w:right w:w="0" w:type="dxa"/>
            </w:tcMar>
            <w:vAlign w:val="center"/>
            <w:hideMark/>
          </w:tcPr>
          <w:p w14:paraId="2A92B5F8" w14:textId="77777777" w:rsidR="00000000" w:rsidRDefault="001F1B20">
            <w:pPr>
              <w:pStyle w:val="a3"/>
              <w:spacing w:before="0" w:beforeAutospacing="0" w:after="0" w:afterAutospacing="0"/>
              <w:ind w:left="240"/>
              <w:rPr>
                <w:sz w:val="20"/>
                <w:szCs w:val="20"/>
              </w:rPr>
            </w:pPr>
            <w:r>
              <w:rPr>
                <w:sz w:val="20"/>
                <w:szCs w:val="20"/>
              </w:rPr>
              <w:t xml:space="preserve">Total </w:t>
            </w:r>
          </w:p>
        </w:tc>
        <w:tc>
          <w:tcPr>
            <w:tcW w:w="97" w:type="pct"/>
            <w:noWrap/>
            <w:tcMar>
              <w:top w:w="0" w:type="dxa"/>
              <w:left w:w="0" w:type="dxa"/>
              <w:bottom w:w="0" w:type="dxa"/>
              <w:right w:w="0" w:type="dxa"/>
            </w:tcMar>
            <w:vAlign w:val="bottom"/>
            <w:hideMark/>
          </w:tcPr>
          <w:p w14:paraId="595BB50C"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14:paraId="2E3D71EA" w14:textId="77777777" w:rsidR="00000000" w:rsidRDefault="001F1B20">
            <w:pPr>
              <w:pStyle w:val="a3"/>
              <w:spacing w:before="0" w:beforeAutospacing="0" w:after="0" w:afterAutospacing="0"/>
              <w:ind w:left="240"/>
              <w:rPr>
                <w:sz w:val="20"/>
                <w:szCs w:val="20"/>
              </w:rPr>
            </w:pPr>
            <w:r>
              <w:rPr>
                <w:sz w:val="20"/>
                <w:szCs w:val="20"/>
              </w:rPr>
              <w:t>​</w:t>
            </w:r>
          </w:p>
        </w:tc>
        <w:tc>
          <w:tcPr>
            <w:tcW w:w="98" w:type="pct"/>
            <w:noWrap/>
            <w:tcMar>
              <w:top w:w="0" w:type="dxa"/>
              <w:left w:w="0" w:type="dxa"/>
              <w:bottom w:w="0" w:type="dxa"/>
              <w:right w:w="0" w:type="dxa"/>
            </w:tcMar>
            <w:vAlign w:val="bottom"/>
            <w:hideMark/>
          </w:tcPr>
          <w:p w14:paraId="0647EEB6"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14:paraId="109D6149"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14:paraId="00A9E499" w14:textId="77777777" w:rsidR="00000000" w:rsidRDefault="001F1B20">
            <w:pPr>
              <w:pStyle w:val="a3"/>
              <w:spacing w:before="0" w:beforeAutospacing="0" w:after="0" w:afterAutospacing="0"/>
              <w:ind w:right="60"/>
              <w:jc w:val="right"/>
              <w:rPr>
                <w:sz w:val="20"/>
                <w:szCs w:val="20"/>
              </w:rPr>
            </w:pPr>
            <w:r>
              <w:rPr>
                <w:sz w:val="20"/>
                <w:szCs w:val="20"/>
              </w:rPr>
              <w:t>185,614</w:t>
            </w:r>
          </w:p>
        </w:tc>
        <w:tc>
          <w:tcPr>
            <w:tcW w:w="98" w:type="pct"/>
            <w:noWrap/>
            <w:tcMar>
              <w:top w:w="0" w:type="dxa"/>
              <w:left w:w="0" w:type="dxa"/>
              <w:bottom w:w="0" w:type="dxa"/>
              <w:right w:w="0" w:type="dxa"/>
            </w:tcMar>
            <w:vAlign w:val="bottom"/>
            <w:hideMark/>
          </w:tcPr>
          <w:p w14:paraId="10B3621B"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14:paraId="4CC752D7"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14:paraId="15C1EDD1" w14:textId="77777777" w:rsidR="00000000" w:rsidRDefault="001F1B20">
            <w:pPr>
              <w:pStyle w:val="a3"/>
              <w:spacing w:before="0" w:beforeAutospacing="0" w:after="0" w:afterAutospacing="0"/>
              <w:ind w:right="60"/>
              <w:jc w:val="right"/>
              <w:rPr>
                <w:sz w:val="20"/>
                <w:szCs w:val="20"/>
              </w:rPr>
            </w:pPr>
            <w:r>
              <w:rPr>
                <w:sz w:val="20"/>
                <w:szCs w:val="20"/>
              </w:rPr>
              <w:t>10</w:t>
            </w:r>
          </w:p>
        </w:tc>
        <w:tc>
          <w:tcPr>
            <w:tcW w:w="98" w:type="pct"/>
            <w:noWrap/>
            <w:tcMar>
              <w:top w:w="0" w:type="dxa"/>
              <w:left w:w="0" w:type="dxa"/>
              <w:bottom w:w="0" w:type="dxa"/>
              <w:right w:w="0" w:type="dxa"/>
            </w:tcMar>
            <w:vAlign w:val="bottom"/>
            <w:hideMark/>
          </w:tcPr>
          <w:p w14:paraId="4BCD35B4"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14:paraId="1A921EDF"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14:paraId="72B71ABD"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7589BAAB"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14:paraId="3FCB359F"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center"/>
            <w:hideMark/>
          </w:tcPr>
          <w:p w14:paraId="71D4E635" w14:textId="77777777" w:rsidR="00000000" w:rsidRDefault="001F1B20">
            <w:pPr>
              <w:pStyle w:val="a3"/>
              <w:spacing w:before="0" w:beforeAutospacing="0" w:after="0" w:afterAutospacing="0"/>
              <w:ind w:right="60"/>
              <w:jc w:val="right"/>
              <w:rPr>
                <w:sz w:val="20"/>
                <w:szCs w:val="20"/>
              </w:rPr>
            </w:pPr>
            <w:r>
              <w:rPr>
                <w:sz w:val="20"/>
                <w:szCs w:val="20"/>
              </w:rPr>
              <w:t>185,624</w:t>
            </w:r>
          </w:p>
        </w:tc>
      </w:tr>
    </w:tbl>
    <w:p w14:paraId="3243422F" w14:textId="77777777" w:rsidR="00000000" w:rsidRDefault="001F1B20">
      <w:pPr>
        <w:pStyle w:val="a3"/>
        <w:spacing w:before="0" w:beforeAutospacing="0" w:after="0" w:afterAutospacing="0"/>
        <w:divId w:val="2054885378"/>
        <w:rPr>
          <w:sz w:val="20"/>
          <w:szCs w:val="20"/>
        </w:rPr>
      </w:pPr>
      <w:r>
        <w:rPr>
          <w:sz w:val="20"/>
          <w:szCs w:val="20"/>
        </w:rPr>
        <w:t>​</w:t>
      </w:r>
    </w:p>
    <w:p w14:paraId="594EDDA3" w14:textId="77777777" w:rsidR="00000000" w:rsidRDefault="001F1B20">
      <w:pPr>
        <w:pStyle w:val="a3"/>
        <w:spacing w:before="360" w:beforeAutospacing="0" w:after="0" w:afterAutospacing="0"/>
        <w:jc w:val="center"/>
        <w:divId w:val="480999419"/>
        <w:rPr>
          <w:sz w:val="20"/>
          <w:szCs w:val="20"/>
        </w:rPr>
      </w:pPr>
      <w:r>
        <w:rPr>
          <w:sz w:val="20"/>
          <w:szCs w:val="20"/>
        </w:rPr>
        <w:t>12</w:t>
      </w:r>
    </w:p>
    <w:p w14:paraId="4199AAE1" w14:textId="77777777" w:rsidR="00000000" w:rsidRDefault="001F1B20">
      <w:pPr>
        <w:pStyle w:val="a3"/>
        <w:spacing w:before="0" w:beforeAutospacing="0" w:after="600" w:afterAutospacing="0"/>
        <w:divId w:val="1960650364"/>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3624"/>
        <w:gridCol w:w="160"/>
        <w:gridCol w:w="619"/>
        <w:gridCol w:w="160"/>
        <w:gridCol w:w="144"/>
        <w:gridCol w:w="710"/>
        <w:gridCol w:w="160"/>
        <w:gridCol w:w="152"/>
        <w:gridCol w:w="624"/>
        <w:gridCol w:w="160"/>
        <w:gridCol w:w="152"/>
        <w:gridCol w:w="625"/>
        <w:gridCol w:w="160"/>
        <w:gridCol w:w="146"/>
        <w:gridCol w:w="710"/>
      </w:tblGrid>
      <w:tr w:rsidR="00000000" w14:paraId="4E27460C" w14:textId="77777777">
        <w:trPr>
          <w:divId w:val="52973892"/>
          <w:trHeight w:val="20"/>
        </w:trPr>
        <w:tc>
          <w:tcPr>
            <w:tcW w:w="2187" w:type="pct"/>
            <w:tcMar>
              <w:top w:w="0" w:type="dxa"/>
              <w:left w:w="0" w:type="dxa"/>
              <w:bottom w:w="0" w:type="dxa"/>
              <w:right w:w="0" w:type="dxa"/>
            </w:tcMar>
            <w:vAlign w:val="center"/>
            <w:hideMark/>
          </w:tcPr>
          <w:p w14:paraId="3F3D4C76" w14:textId="77777777" w:rsidR="00000000" w:rsidRDefault="001F1B20">
            <w:pPr>
              <w:pStyle w:val="a3"/>
              <w:spacing w:before="0" w:beforeAutospacing="0" w:after="0" w:afterAutospacing="0"/>
              <w:divId w:val="1809057008"/>
              <w:rPr>
                <w:sz w:val="20"/>
                <w:szCs w:val="20"/>
              </w:rPr>
            </w:pPr>
            <w:r>
              <w:rPr>
                <w:sz w:val="2"/>
                <w:szCs w:val="2"/>
              </w:rPr>
              <w:t>​</w:t>
            </w:r>
          </w:p>
        </w:tc>
        <w:tc>
          <w:tcPr>
            <w:tcW w:w="97" w:type="pct"/>
            <w:noWrap/>
            <w:tcMar>
              <w:top w:w="0" w:type="dxa"/>
              <w:left w:w="0" w:type="dxa"/>
              <w:bottom w:w="0" w:type="dxa"/>
              <w:right w:w="0" w:type="dxa"/>
            </w:tcMar>
            <w:vAlign w:val="bottom"/>
            <w:hideMark/>
          </w:tcPr>
          <w:p w14:paraId="2DAB12BA" w14:textId="77777777" w:rsidR="00000000" w:rsidRDefault="001F1B20">
            <w:pPr>
              <w:pStyle w:val="a3"/>
              <w:spacing w:before="0" w:beforeAutospacing="0" w:after="0" w:afterAutospacing="0"/>
              <w:divId w:val="2081249160"/>
              <w:rPr>
                <w:sz w:val="20"/>
                <w:szCs w:val="20"/>
              </w:rPr>
            </w:pPr>
            <w:r>
              <w:rPr>
                <w:sz w:val="2"/>
                <w:szCs w:val="2"/>
              </w:rPr>
              <w:t>​</w:t>
            </w:r>
          </w:p>
        </w:tc>
        <w:tc>
          <w:tcPr>
            <w:tcW w:w="385" w:type="pct"/>
            <w:noWrap/>
            <w:tcMar>
              <w:top w:w="0" w:type="dxa"/>
              <w:left w:w="0" w:type="dxa"/>
              <w:bottom w:w="0" w:type="dxa"/>
              <w:right w:w="0" w:type="dxa"/>
            </w:tcMar>
            <w:vAlign w:val="center"/>
            <w:hideMark/>
          </w:tcPr>
          <w:p w14:paraId="16FA2477" w14:textId="77777777" w:rsidR="00000000" w:rsidRDefault="001F1B20">
            <w:pPr>
              <w:pStyle w:val="a3"/>
              <w:spacing w:before="0" w:beforeAutospacing="0" w:after="0" w:afterAutospacing="0"/>
              <w:divId w:val="284580723"/>
              <w:rPr>
                <w:sz w:val="20"/>
                <w:szCs w:val="20"/>
              </w:rPr>
            </w:pPr>
            <w:r>
              <w:rPr>
                <w:sz w:val="2"/>
                <w:szCs w:val="2"/>
              </w:rPr>
              <w:t>​</w:t>
            </w:r>
          </w:p>
        </w:tc>
        <w:tc>
          <w:tcPr>
            <w:tcW w:w="98" w:type="pct"/>
            <w:noWrap/>
            <w:tcMar>
              <w:top w:w="0" w:type="dxa"/>
              <w:left w:w="0" w:type="dxa"/>
              <w:bottom w:w="0" w:type="dxa"/>
              <w:right w:w="0" w:type="dxa"/>
            </w:tcMar>
            <w:vAlign w:val="bottom"/>
            <w:hideMark/>
          </w:tcPr>
          <w:p w14:paraId="1555BA3B" w14:textId="77777777" w:rsidR="00000000" w:rsidRDefault="001F1B20">
            <w:pPr>
              <w:pStyle w:val="a3"/>
              <w:spacing w:before="0" w:beforeAutospacing="0" w:after="0" w:afterAutospacing="0"/>
              <w:divId w:val="517696100"/>
              <w:rPr>
                <w:sz w:val="20"/>
                <w:szCs w:val="20"/>
              </w:rPr>
            </w:pPr>
            <w:r>
              <w:rPr>
                <w:sz w:val="2"/>
                <w:szCs w:val="2"/>
              </w:rPr>
              <w:t>​</w:t>
            </w:r>
          </w:p>
        </w:tc>
        <w:tc>
          <w:tcPr>
            <w:tcW w:w="98" w:type="pct"/>
            <w:noWrap/>
            <w:tcMar>
              <w:top w:w="0" w:type="dxa"/>
              <w:left w:w="0" w:type="dxa"/>
              <w:bottom w:w="0" w:type="dxa"/>
              <w:right w:w="0" w:type="dxa"/>
            </w:tcMar>
            <w:vAlign w:val="bottom"/>
            <w:hideMark/>
          </w:tcPr>
          <w:p w14:paraId="14D62A79" w14:textId="77777777" w:rsidR="00000000" w:rsidRDefault="001F1B20">
            <w:pPr>
              <w:pStyle w:val="a3"/>
              <w:spacing w:before="0" w:beforeAutospacing="0" w:after="0" w:afterAutospacing="0"/>
              <w:divId w:val="79643418"/>
              <w:rPr>
                <w:sz w:val="20"/>
                <w:szCs w:val="20"/>
              </w:rPr>
            </w:pPr>
            <w:r>
              <w:rPr>
                <w:sz w:val="2"/>
                <w:szCs w:val="2"/>
              </w:rPr>
              <w:t>​</w:t>
            </w:r>
          </w:p>
        </w:tc>
        <w:tc>
          <w:tcPr>
            <w:tcW w:w="385" w:type="pct"/>
            <w:noWrap/>
            <w:tcMar>
              <w:top w:w="0" w:type="dxa"/>
              <w:left w:w="0" w:type="dxa"/>
              <w:bottom w:w="0" w:type="dxa"/>
              <w:right w:w="0" w:type="dxa"/>
            </w:tcMar>
            <w:vAlign w:val="center"/>
            <w:hideMark/>
          </w:tcPr>
          <w:p w14:paraId="772830E8" w14:textId="77777777" w:rsidR="00000000" w:rsidRDefault="001F1B20">
            <w:pPr>
              <w:pStyle w:val="a3"/>
              <w:spacing w:before="0" w:beforeAutospacing="0" w:after="0" w:afterAutospacing="0"/>
              <w:divId w:val="525020862"/>
              <w:rPr>
                <w:sz w:val="20"/>
                <w:szCs w:val="20"/>
              </w:rPr>
            </w:pPr>
            <w:r>
              <w:rPr>
                <w:sz w:val="2"/>
                <w:szCs w:val="2"/>
              </w:rPr>
              <w:t>​</w:t>
            </w:r>
          </w:p>
        </w:tc>
        <w:tc>
          <w:tcPr>
            <w:tcW w:w="98" w:type="pct"/>
            <w:noWrap/>
            <w:tcMar>
              <w:top w:w="0" w:type="dxa"/>
              <w:left w:w="0" w:type="dxa"/>
              <w:bottom w:w="0" w:type="dxa"/>
              <w:right w:w="0" w:type="dxa"/>
            </w:tcMar>
            <w:vAlign w:val="bottom"/>
            <w:hideMark/>
          </w:tcPr>
          <w:p w14:paraId="5BE92306" w14:textId="77777777" w:rsidR="00000000" w:rsidRDefault="001F1B20">
            <w:pPr>
              <w:pStyle w:val="a3"/>
              <w:spacing w:before="0" w:beforeAutospacing="0" w:after="0" w:afterAutospacing="0"/>
              <w:divId w:val="1304777180"/>
              <w:rPr>
                <w:sz w:val="20"/>
                <w:szCs w:val="20"/>
              </w:rPr>
            </w:pPr>
            <w:r>
              <w:rPr>
                <w:sz w:val="2"/>
                <w:szCs w:val="2"/>
              </w:rPr>
              <w:t>​</w:t>
            </w:r>
          </w:p>
        </w:tc>
        <w:tc>
          <w:tcPr>
            <w:tcW w:w="98" w:type="pct"/>
            <w:noWrap/>
            <w:tcMar>
              <w:top w:w="0" w:type="dxa"/>
              <w:left w:w="0" w:type="dxa"/>
              <w:bottom w:w="0" w:type="dxa"/>
              <w:right w:w="0" w:type="dxa"/>
            </w:tcMar>
            <w:vAlign w:val="bottom"/>
            <w:hideMark/>
          </w:tcPr>
          <w:p w14:paraId="19F18901" w14:textId="77777777" w:rsidR="00000000" w:rsidRDefault="001F1B20">
            <w:pPr>
              <w:pStyle w:val="a3"/>
              <w:spacing w:before="0" w:beforeAutospacing="0" w:after="0" w:afterAutospacing="0"/>
              <w:divId w:val="894585725"/>
              <w:rPr>
                <w:sz w:val="20"/>
                <w:szCs w:val="20"/>
              </w:rPr>
            </w:pPr>
            <w:r>
              <w:rPr>
                <w:sz w:val="2"/>
                <w:szCs w:val="2"/>
              </w:rPr>
              <w:t>​</w:t>
            </w:r>
          </w:p>
        </w:tc>
        <w:tc>
          <w:tcPr>
            <w:tcW w:w="385" w:type="pct"/>
            <w:noWrap/>
            <w:tcMar>
              <w:top w:w="0" w:type="dxa"/>
              <w:left w:w="0" w:type="dxa"/>
              <w:bottom w:w="0" w:type="dxa"/>
              <w:right w:w="0" w:type="dxa"/>
            </w:tcMar>
            <w:vAlign w:val="center"/>
            <w:hideMark/>
          </w:tcPr>
          <w:p w14:paraId="6221AD73" w14:textId="77777777" w:rsidR="00000000" w:rsidRDefault="001F1B20">
            <w:pPr>
              <w:pStyle w:val="a3"/>
              <w:spacing w:before="0" w:beforeAutospacing="0" w:after="0" w:afterAutospacing="0"/>
              <w:divId w:val="725227346"/>
              <w:rPr>
                <w:sz w:val="20"/>
                <w:szCs w:val="20"/>
              </w:rPr>
            </w:pPr>
            <w:r>
              <w:rPr>
                <w:sz w:val="2"/>
                <w:szCs w:val="2"/>
              </w:rPr>
              <w:t>​</w:t>
            </w:r>
          </w:p>
        </w:tc>
        <w:tc>
          <w:tcPr>
            <w:tcW w:w="98" w:type="pct"/>
            <w:noWrap/>
            <w:tcMar>
              <w:top w:w="0" w:type="dxa"/>
              <w:left w:w="0" w:type="dxa"/>
              <w:bottom w:w="0" w:type="dxa"/>
              <w:right w:w="0" w:type="dxa"/>
            </w:tcMar>
            <w:vAlign w:val="bottom"/>
            <w:hideMark/>
          </w:tcPr>
          <w:p w14:paraId="4107F68F" w14:textId="77777777" w:rsidR="00000000" w:rsidRDefault="001F1B20">
            <w:pPr>
              <w:pStyle w:val="a3"/>
              <w:spacing w:before="0" w:beforeAutospacing="0" w:after="0" w:afterAutospacing="0"/>
              <w:divId w:val="521169474"/>
              <w:rPr>
                <w:sz w:val="20"/>
                <w:szCs w:val="20"/>
              </w:rPr>
            </w:pPr>
            <w:r>
              <w:rPr>
                <w:sz w:val="2"/>
                <w:szCs w:val="2"/>
              </w:rPr>
              <w:t>​</w:t>
            </w:r>
          </w:p>
        </w:tc>
        <w:tc>
          <w:tcPr>
            <w:tcW w:w="98" w:type="pct"/>
            <w:noWrap/>
            <w:tcMar>
              <w:top w:w="0" w:type="dxa"/>
              <w:left w:w="0" w:type="dxa"/>
              <w:bottom w:w="0" w:type="dxa"/>
              <w:right w:w="0" w:type="dxa"/>
            </w:tcMar>
            <w:vAlign w:val="bottom"/>
            <w:hideMark/>
          </w:tcPr>
          <w:p w14:paraId="698AA75C" w14:textId="77777777" w:rsidR="00000000" w:rsidRDefault="001F1B20">
            <w:pPr>
              <w:pStyle w:val="a3"/>
              <w:spacing w:before="0" w:beforeAutospacing="0" w:after="0" w:afterAutospacing="0"/>
              <w:divId w:val="1257985586"/>
              <w:rPr>
                <w:sz w:val="20"/>
                <w:szCs w:val="20"/>
              </w:rPr>
            </w:pPr>
            <w:r>
              <w:rPr>
                <w:sz w:val="2"/>
                <w:szCs w:val="2"/>
              </w:rPr>
              <w:t>​</w:t>
            </w:r>
          </w:p>
        </w:tc>
        <w:tc>
          <w:tcPr>
            <w:tcW w:w="385" w:type="pct"/>
            <w:noWrap/>
            <w:tcMar>
              <w:top w:w="0" w:type="dxa"/>
              <w:left w:w="0" w:type="dxa"/>
              <w:bottom w:w="0" w:type="dxa"/>
              <w:right w:w="0" w:type="dxa"/>
            </w:tcMar>
            <w:vAlign w:val="center"/>
            <w:hideMark/>
          </w:tcPr>
          <w:p w14:paraId="07436558" w14:textId="77777777" w:rsidR="00000000" w:rsidRDefault="001F1B20">
            <w:pPr>
              <w:pStyle w:val="a3"/>
              <w:spacing w:before="0" w:beforeAutospacing="0" w:after="0" w:afterAutospacing="0"/>
              <w:divId w:val="1536116641"/>
              <w:rPr>
                <w:sz w:val="20"/>
                <w:szCs w:val="20"/>
              </w:rPr>
            </w:pPr>
            <w:r>
              <w:rPr>
                <w:sz w:val="2"/>
                <w:szCs w:val="2"/>
              </w:rPr>
              <w:t>​</w:t>
            </w:r>
          </w:p>
        </w:tc>
        <w:tc>
          <w:tcPr>
            <w:tcW w:w="98" w:type="pct"/>
            <w:noWrap/>
            <w:tcMar>
              <w:top w:w="0" w:type="dxa"/>
              <w:left w:w="0" w:type="dxa"/>
              <w:bottom w:w="0" w:type="dxa"/>
              <w:right w:w="0" w:type="dxa"/>
            </w:tcMar>
            <w:vAlign w:val="bottom"/>
            <w:hideMark/>
          </w:tcPr>
          <w:p w14:paraId="3F938A2E" w14:textId="77777777" w:rsidR="00000000" w:rsidRDefault="001F1B20">
            <w:pPr>
              <w:pStyle w:val="a3"/>
              <w:spacing w:before="0" w:beforeAutospacing="0" w:after="0" w:afterAutospacing="0"/>
              <w:divId w:val="101994087"/>
              <w:rPr>
                <w:sz w:val="20"/>
                <w:szCs w:val="20"/>
              </w:rPr>
            </w:pPr>
            <w:r>
              <w:rPr>
                <w:sz w:val="2"/>
                <w:szCs w:val="2"/>
              </w:rPr>
              <w:t>​</w:t>
            </w:r>
          </w:p>
        </w:tc>
        <w:tc>
          <w:tcPr>
            <w:tcW w:w="98" w:type="pct"/>
            <w:noWrap/>
            <w:tcMar>
              <w:top w:w="0" w:type="dxa"/>
              <w:left w:w="0" w:type="dxa"/>
              <w:bottom w:w="0" w:type="dxa"/>
              <w:right w:w="0" w:type="dxa"/>
            </w:tcMar>
            <w:vAlign w:val="bottom"/>
            <w:hideMark/>
          </w:tcPr>
          <w:p w14:paraId="1A28DCCE" w14:textId="77777777" w:rsidR="00000000" w:rsidRDefault="001F1B20">
            <w:pPr>
              <w:pStyle w:val="a3"/>
              <w:spacing w:before="0" w:beforeAutospacing="0" w:after="0" w:afterAutospacing="0"/>
              <w:divId w:val="1296057231"/>
              <w:rPr>
                <w:sz w:val="20"/>
                <w:szCs w:val="20"/>
              </w:rPr>
            </w:pPr>
            <w:r>
              <w:rPr>
                <w:sz w:val="2"/>
                <w:szCs w:val="2"/>
              </w:rPr>
              <w:t>​</w:t>
            </w:r>
          </w:p>
        </w:tc>
        <w:tc>
          <w:tcPr>
            <w:tcW w:w="385" w:type="pct"/>
            <w:noWrap/>
            <w:tcMar>
              <w:top w:w="0" w:type="dxa"/>
              <w:left w:w="0" w:type="dxa"/>
              <w:bottom w:w="0" w:type="dxa"/>
              <w:right w:w="0" w:type="dxa"/>
            </w:tcMar>
            <w:vAlign w:val="center"/>
            <w:hideMark/>
          </w:tcPr>
          <w:p w14:paraId="2CAB995D" w14:textId="77777777" w:rsidR="00000000" w:rsidRDefault="001F1B20">
            <w:pPr>
              <w:pStyle w:val="a3"/>
              <w:spacing w:before="0" w:beforeAutospacing="0" w:after="0" w:afterAutospacing="0"/>
              <w:divId w:val="1687177106"/>
              <w:rPr>
                <w:sz w:val="20"/>
                <w:szCs w:val="20"/>
              </w:rPr>
            </w:pPr>
            <w:r>
              <w:rPr>
                <w:sz w:val="2"/>
                <w:szCs w:val="2"/>
              </w:rPr>
              <w:t>​</w:t>
            </w:r>
          </w:p>
        </w:tc>
      </w:tr>
      <w:tr w:rsidR="00000000" w14:paraId="4117135C" w14:textId="77777777">
        <w:trPr>
          <w:divId w:val="52973892"/>
        </w:trPr>
        <w:tc>
          <w:tcPr>
            <w:tcW w:w="2187" w:type="pct"/>
            <w:tcMar>
              <w:top w:w="0" w:type="dxa"/>
              <w:left w:w="0" w:type="dxa"/>
              <w:bottom w:w="0" w:type="dxa"/>
              <w:right w:w="0" w:type="dxa"/>
            </w:tcMar>
            <w:vAlign w:val="bottom"/>
            <w:hideMark/>
          </w:tcPr>
          <w:p w14:paraId="53B71C37" w14:textId="77777777" w:rsidR="00000000" w:rsidRDefault="001F1B20">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32C24C5D" w14:textId="77777777" w:rsidR="00000000" w:rsidRDefault="001F1B20">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14:paraId="62F85237" w14:textId="77777777" w:rsidR="00000000" w:rsidRDefault="001F1B20">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6B76FE4A" w14:textId="77777777" w:rsidR="00000000" w:rsidRDefault="001F1B20">
            <w:pPr>
              <w:pStyle w:val="a3"/>
              <w:spacing w:before="0" w:beforeAutospacing="0" w:after="0" w:afterAutospacing="0"/>
              <w:rPr>
                <w:sz w:val="20"/>
                <w:szCs w:val="20"/>
              </w:rPr>
            </w:pPr>
            <w:r>
              <w:rPr>
                <w:b/>
                <w:bCs/>
                <w:sz w:val="16"/>
                <w:szCs w:val="16"/>
              </w:rPr>
              <w:t>​</w:t>
            </w:r>
          </w:p>
        </w:tc>
        <w:tc>
          <w:tcPr>
            <w:tcW w:w="2231" w:type="pct"/>
            <w:gridSpan w:val="11"/>
            <w:tcBorders>
              <w:bottom w:val="single" w:sz="6" w:space="0" w:color="000000"/>
            </w:tcBorders>
            <w:noWrap/>
            <w:tcMar>
              <w:top w:w="0" w:type="dxa"/>
              <w:left w:w="0" w:type="dxa"/>
              <w:bottom w:w="0" w:type="dxa"/>
              <w:right w:w="0" w:type="dxa"/>
            </w:tcMar>
            <w:vAlign w:val="bottom"/>
            <w:hideMark/>
          </w:tcPr>
          <w:p w14:paraId="4F0655D1" w14:textId="77777777" w:rsidR="00000000" w:rsidRDefault="001F1B20">
            <w:pPr>
              <w:pStyle w:val="a3"/>
              <w:spacing w:before="0" w:beforeAutospacing="0" w:after="0" w:afterAutospacing="0"/>
              <w:jc w:val="center"/>
              <w:rPr>
                <w:sz w:val="16"/>
                <w:szCs w:val="16"/>
              </w:rPr>
            </w:pPr>
            <w:r>
              <w:rPr>
                <w:b/>
                <w:bCs/>
                <w:sz w:val="16"/>
                <w:szCs w:val="16"/>
              </w:rPr>
              <w:t>December 31, 2020</w:t>
            </w:r>
          </w:p>
        </w:tc>
      </w:tr>
      <w:tr w:rsidR="00000000" w14:paraId="63B79D36" w14:textId="77777777">
        <w:trPr>
          <w:divId w:val="52973892"/>
        </w:trPr>
        <w:tc>
          <w:tcPr>
            <w:tcW w:w="2187" w:type="pct"/>
            <w:tcMar>
              <w:top w:w="0" w:type="dxa"/>
              <w:left w:w="0" w:type="dxa"/>
              <w:bottom w:w="0" w:type="dxa"/>
              <w:right w:w="0" w:type="dxa"/>
            </w:tcMar>
            <w:vAlign w:val="bottom"/>
            <w:hideMark/>
          </w:tcPr>
          <w:p w14:paraId="2D4E817F" w14:textId="77777777" w:rsidR="00000000" w:rsidRDefault="001F1B20">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37CAAD25" w14:textId="77777777" w:rsidR="00000000" w:rsidRDefault="001F1B20">
            <w:pPr>
              <w:pStyle w:val="a3"/>
              <w:spacing w:before="0" w:beforeAutospacing="0" w:after="0" w:afterAutospacing="0"/>
              <w:rPr>
                <w:sz w:val="16"/>
                <w:szCs w:val="16"/>
              </w:rPr>
            </w:pPr>
            <w:r>
              <w:rPr>
                <w:b/>
                <w:bCs/>
                <w:sz w:val="16"/>
                <w:szCs w:val="16"/>
              </w:rPr>
              <w:t>    </w:t>
            </w:r>
          </w:p>
        </w:tc>
        <w:tc>
          <w:tcPr>
            <w:tcW w:w="385" w:type="pct"/>
            <w:tcMar>
              <w:top w:w="0" w:type="dxa"/>
              <w:left w:w="0" w:type="dxa"/>
              <w:bottom w:w="0" w:type="dxa"/>
              <w:right w:w="0" w:type="dxa"/>
            </w:tcMar>
            <w:vAlign w:val="bottom"/>
            <w:hideMark/>
          </w:tcPr>
          <w:p w14:paraId="75612D45" w14:textId="77777777" w:rsidR="00000000" w:rsidRDefault="001F1B20">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2C129F30" w14:textId="77777777" w:rsidR="00000000" w:rsidRDefault="001F1B20">
            <w:pPr>
              <w:pStyle w:val="a3"/>
              <w:spacing w:before="0" w:beforeAutospacing="0" w:after="0" w:afterAutospacing="0"/>
              <w:rPr>
                <w:sz w:val="16"/>
                <w:szCs w:val="16"/>
              </w:rPr>
            </w:pPr>
            <w:r>
              <w:rPr>
                <w:b/>
                <w:bCs/>
                <w:sz w:val="16"/>
                <w:szCs w:val="16"/>
              </w:rPr>
              <w:t>  </w:t>
            </w:r>
            <w:r>
              <w:rPr>
                <w:b/>
                <w:bCs/>
                <w:sz w:val="16"/>
                <w:szCs w:val="16"/>
              </w:rPr>
              <w:t>  </w:t>
            </w:r>
          </w:p>
        </w:tc>
        <w:tc>
          <w:tcPr>
            <w:tcW w:w="98" w:type="pct"/>
            <w:noWrap/>
            <w:tcMar>
              <w:top w:w="0" w:type="dxa"/>
              <w:left w:w="0" w:type="dxa"/>
              <w:bottom w:w="0" w:type="dxa"/>
              <w:right w:w="0" w:type="dxa"/>
            </w:tcMar>
            <w:vAlign w:val="bottom"/>
            <w:hideMark/>
          </w:tcPr>
          <w:p w14:paraId="6171B64C" w14:textId="77777777" w:rsidR="00000000" w:rsidRDefault="001F1B20">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14:paraId="626B74D9" w14:textId="77777777" w:rsidR="00000000" w:rsidRDefault="001F1B20">
            <w:pPr>
              <w:pStyle w:val="a3"/>
              <w:spacing w:before="0" w:beforeAutospacing="0" w:after="0"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14:paraId="4F6E909B" w14:textId="77777777" w:rsidR="00000000" w:rsidRDefault="001F1B20">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14:paraId="5FAE7A1A" w14:textId="77777777" w:rsidR="00000000" w:rsidRDefault="001F1B20">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14:paraId="438F1196" w14:textId="77777777" w:rsidR="00000000" w:rsidRDefault="001F1B20">
            <w:pPr>
              <w:pStyle w:val="a3"/>
              <w:spacing w:before="0" w:beforeAutospacing="0" w:after="0" w:afterAutospacing="0"/>
              <w:rPr>
                <w:sz w:val="16"/>
                <w:szCs w:val="16"/>
              </w:rPr>
            </w:pPr>
            <w:r>
              <w:rPr>
                <w:b/>
                <w:bCs/>
                <w:sz w:val="16"/>
                <w:szCs w:val="16"/>
              </w:rPr>
              <w:t>    </w:t>
            </w:r>
          </w:p>
        </w:tc>
        <w:tc>
          <w:tcPr>
            <w:tcW w:w="484" w:type="pct"/>
            <w:gridSpan w:val="2"/>
            <w:noWrap/>
            <w:tcMar>
              <w:top w:w="0" w:type="dxa"/>
              <w:left w:w="0" w:type="dxa"/>
              <w:bottom w:w="0" w:type="dxa"/>
              <w:right w:w="0" w:type="dxa"/>
            </w:tcMar>
            <w:vAlign w:val="bottom"/>
            <w:hideMark/>
          </w:tcPr>
          <w:p w14:paraId="62A26EAC" w14:textId="77777777" w:rsidR="00000000" w:rsidRDefault="001F1B20">
            <w:pPr>
              <w:pStyle w:val="a3"/>
              <w:spacing w:before="0" w:beforeAutospacing="0" w:after="0"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14:paraId="0C7CABC2" w14:textId="77777777" w:rsidR="00000000" w:rsidRDefault="001F1B20">
            <w:pPr>
              <w:pStyle w:val="a3"/>
              <w:spacing w:before="0" w:beforeAutospacing="0" w:after="0" w:afterAutospacing="0"/>
              <w:rPr>
                <w:sz w:val="16"/>
                <w:szCs w:val="16"/>
              </w:rPr>
            </w:pPr>
            <w:r>
              <w:rPr>
                <w:b/>
                <w:bCs/>
                <w:sz w:val="16"/>
                <w:szCs w:val="16"/>
              </w:rPr>
              <w:t>    </w:t>
            </w:r>
          </w:p>
        </w:tc>
        <w:tc>
          <w:tcPr>
            <w:tcW w:w="98" w:type="pct"/>
            <w:noWrap/>
            <w:tcMar>
              <w:top w:w="0" w:type="dxa"/>
              <w:left w:w="0" w:type="dxa"/>
              <w:bottom w:w="0" w:type="dxa"/>
              <w:right w:w="0" w:type="dxa"/>
            </w:tcMar>
            <w:vAlign w:val="bottom"/>
            <w:hideMark/>
          </w:tcPr>
          <w:p w14:paraId="25D5DAD7" w14:textId="77777777" w:rsidR="00000000" w:rsidRDefault="001F1B20">
            <w:pPr>
              <w:pStyle w:val="a3"/>
              <w:spacing w:before="0" w:beforeAutospacing="0" w:after="0" w:afterAutospacing="0"/>
              <w:jc w:val="center"/>
              <w:rPr>
                <w:sz w:val="20"/>
                <w:szCs w:val="20"/>
              </w:rPr>
            </w:pPr>
            <w:r>
              <w:rPr>
                <w:b/>
                <w:bCs/>
                <w:sz w:val="16"/>
                <w:szCs w:val="16"/>
              </w:rPr>
              <w:t>​</w:t>
            </w:r>
          </w:p>
        </w:tc>
        <w:tc>
          <w:tcPr>
            <w:tcW w:w="385" w:type="pct"/>
            <w:noWrap/>
            <w:tcMar>
              <w:top w:w="0" w:type="dxa"/>
              <w:left w:w="0" w:type="dxa"/>
              <w:bottom w:w="0" w:type="dxa"/>
              <w:right w:w="0" w:type="dxa"/>
            </w:tcMar>
            <w:vAlign w:val="bottom"/>
            <w:hideMark/>
          </w:tcPr>
          <w:p w14:paraId="183927C6" w14:textId="77777777" w:rsidR="00000000" w:rsidRDefault="001F1B20">
            <w:pPr>
              <w:pStyle w:val="a3"/>
              <w:spacing w:before="0" w:beforeAutospacing="0" w:after="0" w:afterAutospacing="0"/>
              <w:jc w:val="center"/>
              <w:rPr>
                <w:sz w:val="20"/>
                <w:szCs w:val="20"/>
              </w:rPr>
            </w:pPr>
            <w:r>
              <w:rPr>
                <w:b/>
                <w:bCs/>
                <w:sz w:val="16"/>
                <w:szCs w:val="16"/>
              </w:rPr>
              <w:t>​</w:t>
            </w:r>
          </w:p>
        </w:tc>
      </w:tr>
      <w:tr w:rsidR="00000000" w14:paraId="1F9F5C2F" w14:textId="77777777">
        <w:trPr>
          <w:divId w:val="52973892"/>
        </w:trPr>
        <w:tc>
          <w:tcPr>
            <w:tcW w:w="2187" w:type="pct"/>
            <w:tcMar>
              <w:top w:w="0" w:type="dxa"/>
              <w:left w:w="0" w:type="dxa"/>
              <w:bottom w:w="0" w:type="dxa"/>
              <w:right w:w="0" w:type="dxa"/>
            </w:tcMar>
            <w:vAlign w:val="bottom"/>
            <w:hideMark/>
          </w:tcPr>
          <w:p w14:paraId="161708FF" w14:textId="77777777" w:rsidR="00000000" w:rsidRDefault="001F1B20">
            <w:pPr>
              <w:pStyle w:val="a3"/>
              <w:spacing w:before="0" w:beforeAutospacing="0" w:after="0" w:afterAutospacing="0"/>
              <w:rPr>
                <w:sz w:val="20"/>
                <w:szCs w:val="20"/>
              </w:rPr>
            </w:pPr>
            <w:r>
              <w:rPr>
                <w:b/>
                <w:bCs/>
                <w:sz w:val="16"/>
                <w:szCs w:val="16"/>
              </w:rPr>
              <w:t>​</w:t>
            </w:r>
          </w:p>
        </w:tc>
        <w:tc>
          <w:tcPr>
            <w:tcW w:w="97" w:type="pct"/>
            <w:noWrap/>
            <w:tcMar>
              <w:top w:w="0" w:type="dxa"/>
              <w:left w:w="0" w:type="dxa"/>
              <w:bottom w:w="0" w:type="dxa"/>
              <w:right w:w="0" w:type="dxa"/>
            </w:tcMar>
            <w:vAlign w:val="bottom"/>
            <w:hideMark/>
          </w:tcPr>
          <w:p w14:paraId="0CC0D317" w14:textId="77777777" w:rsidR="00000000" w:rsidRDefault="001F1B20">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14:paraId="5C6ED286" w14:textId="77777777" w:rsidR="00000000" w:rsidRDefault="001F1B20">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228F4F39"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6EDF10CD" w14:textId="77777777" w:rsidR="00000000" w:rsidRDefault="001F1B20">
            <w:pPr>
              <w:pStyle w:val="a3"/>
              <w:spacing w:before="0" w:beforeAutospacing="0" w:after="0" w:afterAutospacing="0"/>
              <w:jc w:val="center"/>
              <w:rPr>
                <w:sz w:val="16"/>
                <w:szCs w:val="16"/>
              </w:rPr>
            </w:pPr>
            <w:r>
              <w:rPr>
                <w:b/>
                <w:bCs/>
                <w:sz w:val="16"/>
                <w:szCs w:val="16"/>
              </w:rPr>
              <w:t>Amortized</w:t>
            </w:r>
          </w:p>
        </w:tc>
        <w:tc>
          <w:tcPr>
            <w:tcW w:w="98" w:type="pct"/>
            <w:noWrap/>
            <w:tcMar>
              <w:top w:w="0" w:type="dxa"/>
              <w:left w:w="0" w:type="dxa"/>
              <w:bottom w:w="0" w:type="dxa"/>
              <w:right w:w="0" w:type="dxa"/>
            </w:tcMar>
            <w:vAlign w:val="bottom"/>
            <w:hideMark/>
          </w:tcPr>
          <w:p w14:paraId="7E94732B"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20132BA3" w14:textId="77777777" w:rsidR="00000000" w:rsidRDefault="001F1B20">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14:paraId="1A7DDF2A"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69E704A7" w14:textId="77777777" w:rsidR="00000000" w:rsidRDefault="001F1B20">
            <w:pPr>
              <w:pStyle w:val="a3"/>
              <w:spacing w:before="0" w:beforeAutospacing="0" w:after="0"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14:paraId="5EAA75EC"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noWrap/>
            <w:tcMar>
              <w:top w:w="0" w:type="dxa"/>
              <w:left w:w="0" w:type="dxa"/>
              <w:bottom w:w="0" w:type="dxa"/>
              <w:right w:w="0" w:type="dxa"/>
            </w:tcMar>
            <w:vAlign w:val="bottom"/>
            <w:hideMark/>
          </w:tcPr>
          <w:p w14:paraId="4C7AD738" w14:textId="77777777" w:rsidR="00000000" w:rsidRDefault="001F1B20">
            <w:pPr>
              <w:pStyle w:val="a3"/>
              <w:spacing w:before="0" w:beforeAutospacing="0" w:after="0" w:afterAutospacing="0"/>
              <w:jc w:val="center"/>
              <w:rPr>
                <w:sz w:val="16"/>
                <w:szCs w:val="16"/>
              </w:rPr>
            </w:pPr>
            <w:r>
              <w:rPr>
                <w:b/>
                <w:bCs/>
                <w:sz w:val="16"/>
                <w:szCs w:val="16"/>
              </w:rPr>
              <w:t>Estimated</w:t>
            </w:r>
          </w:p>
        </w:tc>
      </w:tr>
      <w:tr w:rsidR="00000000" w14:paraId="24D54480" w14:textId="77777777">
        <w:trPr>
          <w:divId w:val="52973892"/>
        </w:trPr>
        <w:tc>
          <w:tcPr>
            <w:tcW w:w="2187" w:type="pct"/>
            <w:tcBorders>
              <w:bottom w:val="single" w:sz="6" w:space="0" w:color="000000"/>
            </w:tcBorders>
            <w:tcMar>
              <w:top w:w="0" w:type="dxa"/>
              <w:left w:w="0" w:type="dxa"/>
              <w:bottom w:w="0" w:type="dxa"/>
              <w:right w:w="0" w:type="dxa"/>
            </w:tcMar>
            <w:vAlign w:val="bottom"/>
            <w:hideMark/>
          </w:tcPr>
          <w:p w14:paraId="3FA02C93" w14:textId="77777777" w:rsidR="00000000" w:rsidRDefault="001F1B20">
            <w:pPr>
              <w:pStyle w:val="a3"/>
              <w:spacing w:before="0" w:beforeAutospacing="0" w:after="0" w:afterAutospacing="0"/>
              <w:rPr>
                <w:sz w:val="16"/>
                <w:szCs w:val="16"/>
              </w:rPr>
            </w:pPr>
            <w:r>
              <w:rPr>
                <w:b/>
                <w:bCs/>
                <w:sz w:val="16"/>
                <w:szCs w:val="16"/>
              </w:rPr>
              <w:t>(In thousands)</w:t>
            </w:r>
          </w:p>
        </w:tc>
        <w:tc>
          <w:tcPr>
            <w:tcW w:w="97" w:type="pct"/>
            <w:tcMar>
              <w:top w:w="0" w:type="dxa"/>
              <w:left w:w="0" w:type="dxa"/>
              <w:bottom w:w="0" w:type="dxa"/>
              <w:right w:w="0" w:type="dxa"/>
            </w:tcMar>
            <w:vAlign w:val="bottom"/>
            <w:hideMark/>
          </w:tcPr>
          <w:p w14:paraId="7EDAD166" w14:textId="77777777" w:rsidR="00000000" w:rsidRDefault="001F1B20">
            <w:pPr>
              <w:pStyle w:val="a3"/>
              <w:spacing w:before="0" w:beforeAutospacing="0" w:after="0" w:afterAutospacing="0"/>
              <w:rPr>
                <w:sz w:val="20"/>
                <w:szCs w:val="20"/>
              </w:rPr>
            </w:pPr>
            <w:r>
              <w:rPr>
                <w:b/>
                <w:bCs/>
                <w:sz w:val="16"/>
                <w:szCs w:val="16"/>
              </w:rPr>
              <w:t>​</w:t>
            </w:r>
          </w:p>
        </w:tc>
        <w:tc>
          <w:tcPr>
            <w:tcW w:w="385" w:type="pct"/>
            <w:tcMar>
              <w:top w:w="0" w:type="dxa"/>
              <w:left w:w="0" w:type="dxa"/>
              <w:bottom w:w="0" w:type="dxa"/>
              <w:right w:w="0" w:type="dxa"/>
            </w:tcMar>
            <w:vAlign w:val="bottom"/>
            <w:hideMark/>
          </w:tcPr>
          <w:p w14:paraId="2BA039A1" w14:textId="77777777" w:rsidR="00000000" w:rsidRDefault="001F1B20">
            <w:pPr>
              <w:pStyle w:val="a3"/>
              <w:spacing w:before="0" w:beforeAutospacing="0" w:after="0" w:afterAutospacing="0"/>
              <w:rPr>
                <w:sz w:val="20"/>
                <w:szCs w:val="20"/>
              </w:rPr>
            </w:pPr>
            <w:r>
              <w:rPr>
                <w:b/>
                <w:bCs/>
                <w:sz w:val="16"/>
                <w:szCs w:val="16"/>
              </w:rPr>
              <w:t>​</w:t>
            </w:r>
          </w:p>
        </w:tc>
        <w:tc>
          <w:tcPr>
            <w:tcW w:w="98" w:type="pct"/>
            <w:noWrap/>
            <w:tcMar>
              <w:top w:w="0" w:type="dxa"/>
              <w:left w:w="0" w:type="dxa"/>
              <w:bottom w:w="0" w:type="dxa"/>
              <w:right w:w="0" w:type="dxa"/>
            </w:tcMar>
            <w:vAlign w:val="bottom"/>
            <w:hideMark/>
          </w:tcPr>
          <w:p w14:paraId="3CCFADD4"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064C7DC7" w14:textId="77777777" w:rsidR="00000000" w:rsidRDefault="001F1B20">
            <w:pPr>
              <w:pStyle w:val="a3"/>
              <w:spacing w:before="0" w:beforeAutospacing="0" w:after="0" w:afterAutospacing="0"/>
              <w:jc w:val="center"/>
              <w:rPr>
                <w:sz w:val="16"/>
                <w:szCs w:val="16"/>
              </w:rPr>
            </w:pPr>
            <w:r>
              <w:rPr>
                <w:b/>
                <w:bCs/>
                <w:sz w:val="16"/>
                <w:szCs w:val="16"/>
              </w:rPr>
              <w:t>Cost</w:t>
            </w:r>
          </w:p>
        </w:tc>
        <w:tc>
          <w:tcPr>
            <w:tcW w:w="98" w:type="pct"/>
            <w:noWrap/>
            <w:tcMar>
              <w:top w:w="0" w:type="dxa"/>
              <w:left w:w="0" w:type="dxa"/>
              <w:bottom w:w="0" w:type="dxa"/>
              <w:right w:w="0" w:type="dxa"/>
            </w:tcMar>
            <w:vAlign w:val="bottom"/>
            <w:hideMark/>
          </w:tcPr>
          <w:p w14:paraId="3F81F404"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777B042F" w14:textId="77777777" w:rsidR="00000000" w:rsidRDefault="001F1B20">
            <w:pPr>
              <w:pStyle w:val="a3"/>
              <w:spacing w:before="0" w:beforeAutospacing="0" w:after="0" w:afterAutospacing="0"/>
              <w:jc w:val="center"/>
              <w:rPr>
                <w:sz w:val="16"/>
                <w:szCs w:val="16"/>
              </w:rPr>
            </w:pPr>
            <w:r>
              <w:rPr>
                <w:b/>
                <w:bCs/>
                <w:sz w:val="16"/>
                <w:szCs w:val="16"/>
              </w:rPr>
              <w:t>Gains</w:t>
            </w:r>
          </w:p>
        </w:tc>
        <w:tc>
          <w:tcPr>
            <w:tcW w:w="98" w:type="pct"/>
            <w:noWrap/>
            <w:tcMar>
              <w:top w:w="0" w:type="dxa"/>
              <w:left w:w="0" w:type="dxa"/>
              <w:bottom w:w="0" w:type="dxa"/>
              <w:right w:w="0" w:type="dxa"/>
            </w:tcMar>
            <w:vAlign w:val="bottom"/>
            <w:hideMark/>
          </w:tcPr>
          <w:p w14:paraId="455C6AE5"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057DBBB8" w14:textId="77777777" w:rsidR="00000000" w:rsidRDefault="001F1B20">
            <w:pPr>
              <w:pStyle w:val="a3"/>
              <w:spacing w:before="0" w:beforeAutospacing="0" w:after="0"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14:paraId="4397443B" w14:textId="77777777" w:rsidR="00000000" w:rsidRDefault="001F1B20">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noWrap/>
            <w:tcMar>
              <w:top w:w="0" w:type="dxa"/>
              <w:left w:w="0" w:type="dxa"/>
              <w:bottom w:w="0" w:type="dxa"/>
              <w:right w:w="0" w:type="dxa"/>
            </w:tcMar>
            <w:vAlign w:val="bottom"/>
            <w:hideMark/>
          </w:tcPr>
          <w:p w14:paraId="1D2162BA" w14:textId="77777777" w:rsidR="00000000" w:rsidRDefault="001F1B20">
            <w:pPr>
              <w:pStyle w:val="a3"/>
              <w:spacing w:before="0" w:beforeAutospacing="0" w:after="0" w:afterAutospacing="0"/>
              <w:jc w:val="center"/>
              <w:rPr>
                <w:sz w:val="16"/>
                <w:szCs w:val="16"/>
              </w:rPr>
            </w:pPr>
            <w:r>
              <w:rPr>
                <w:b/>
                <w:bCs/>
                <w:sz w:val="16"/>
                <w:szCs w:val="16"/>
              </w:rPr>
              <w:t>Fair Value</w:t>
            </w:r>
          </w:p>
        </w:tc>
      </w:tr>
      <w:tr w:rsidR="00000000" w14:paraId="2D80F20F" w14:textId="77777777">
        <w:trPr>
          <w:divId w:val="52973892"/>
        </w:trPr>
        <w:tc>
          <w:tcPr>
            <w:tcW w:w="2187" w:type="pct"/>
            <w:shd w:val="clear" w:color="auto" w:fill="CCEEFF"/>
            <w:tcMar>
              <w:top w:w="0" w:type="dxa"/>
              <w:left w:w="0" w:type="dxa"/>
              <w:bottom w:w="0" w:type="dxa"/>
              <w:right w:w="0" w:type="dxa"/>
            </w:tcMar>
            <w:vAlign w:val="center"/>
            <w:hideMark/>
          </w:tcPr>
          <w:p w14:paraId="24B1AE8E" w14:textId="77777777" w:rsidR="00000000" w:rsidRDefault="001F1B20">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14:paraId="4F823F13"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52BA8C4D" w14:textId="77777777" w:rsidR="00000000" w:rsidRDefault="001F1B20">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14:paraId="59A53BFD"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2FB46D5"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6CD91EC3" w14:textId="77777777" w:rsidR="00000000" w:rsidRDefault="001F1B20">
            <w:pPr>
              <w:pStyle w:val="a3"/>
              <w:spacing w:before="0" w:beforeAutospacing="0" w:after="0" w:afterAutospacing="0"/>
              <w:ind w:right="60"/>
              <w:jc w:val="right"/>
              <w:rPr>
                <w:sz w:val="20"/>
                <w:szCs w:val="20"/>
              </w:rPr>
            </w:pPr>
            <w:r>
              <w:rPr>
                <w:sz w:val="20"/>
                <w:szCs w:val="20"/>
              </w:rPr>
              <w:t>75,036</w:t>
            </w:r>
          </w:p>
        </w:tc>
        <w:tc>
          <w:tcPr>
            <w:tcW w:w="98" w:type="pct"/>
            <w:shd w:val="clear" w:color="auto" w:fill="CCEEFF"/>
            <w:noWrap/>
            <w:tcMar>
              <w:top w:w="0" w:type="dxa"/>
              <w:left w:w="0" w:type="dxa"/>
              <w:bottom w:w="0" w:type="dxa"/>
              <w:right w:w="0" w:type="dxa"/>
            </w:tcMar>
            <w:vAlign w:val="bottom"/>
            <w:hideMark/>
          </w:tcPr>
          <w:p w14:paraId="607E0052"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5CDF2FC4"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79385435" w14:textId="77777777" w:rsidR="00000000" w:rsidRDefault="001F1B20">
            <w:pPr>
              <w:pStyle w:val="a3"/>
              <w:spacing w:before="0" w:beforeAutospacing="0" w:after="0" w:afterAutospacing="0"/>
              <w:ind w:right="60"/>
              <w:jc w:val="right"/>
              <w:rPr>
                <w:sz w:val="20"/>
                <w:szCs w:val="20"/>
              </w:rPr>
            </w:pPr>
            <w:r>
              <w:rPr>
                <w:sz w:val="20"/>
                <w:szCs w:val="20"/>
              </w:rPr>
              <w:t>34</w:t>
            </w:r>
          </w:p>
        </w:tc>
        <w:tc>
          <w:tcPr>
            <w:tcW w:w="98" w:type="pct"/>
            <w:shd w:val="clear" w:color="auto" w:fill="CCEEFF"/>
            <w:noWrap/>
            <w:tcMar>
              <w:top w:w="0" w:type="dxa"/>
              <w:left w:w="0" w:type="dxa"/>
              <w:bottom w:w="0" w:type="dxa"/>
              <w:right w:w="0" w:type="dxa"/>
            </w:tcMar>
            <w:vAlign w:val="bottom"/>
            <w:hideMark/>
          </w:tcPr>
          <w:p w14:paraId="01036593"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7A5C76AA"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484155CA"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0D84F955"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415DE847"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4AA4C0B0" w14:textId="77777777" w:rsidR="00000000" w:rsidRDefault="001F1B20">
            <w:pPr>
              <w:pStyle w:val="a3"/>
              <w:spacing w:before="0" w:beforeAutospacing="0" w:after="0" w:afterAutospacing="0"/>
              <w:ind w:right="60"/>
              <w:jc w:val="right"/>
              <w:rPr>
                <w:sz w:val="20"/>
                <w:szCs w:val="20"/>
              </w:rPr>
            </w:pPr>
            <w:r>
              <w:rPr>
                <w:sz w:val="20"/>
                <w:szCs w:val="20"/>
              </w:rPr>
              <w:t>75,070</w:t>
            </w:r>
          </w:p>
        </w:tc>
      </w:tr>
      <w:tr w:rsidR="00000000" w14:paraId="449EE938" w14:textId="77777777">
        <w:trPr>
          <w:divId w:val="52973892"/>
        </w:trPr>
        <w:tc>
          <w:tcPr>
            <w:tcW w:w="2187" w:type="pct"/>
            <w:tcMar>
              <w:top w:w="0" w:type="dxa"/>
              <w:left w:w="0" w:type="dxa"/>
              <w:bottom w:w="0" w:type="dxa"/>
              <w:right w:w="0" w:type="dxa"/>
            </w:tcMar>
            <w:vAlign w:val="center"/>
            <w:hideMark/>
          </w:tcPr>
          <w:p w14:paraId="46D30649" w14:textId="77777777" w:rsidR="00000000" w:rsidRDefault="001F1B20">
            <w:pPr>
              <w:pStyle w:val="a3"/>
              <w:spacing w:before="0" w:beforeAutospacing="0" w:after="0"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14:paraId="28A4FA62"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5C264F9A" w14:textId="77777777" w:rsidR="00000000" w:rsidRDefault="001F1B20">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14:paraId="44C8A428"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604E6ADF" w14:textId="77777777" w:rsidR="00000000" w:rsidRDefault="001F1B20">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14:paraId="3B66CCC5" w14:textId="77777777" w:rsidR="00000000" w:rsidRDefault="001F1B20">
            <w:pPr>
              <w:pStyle w:val="a3"/>
              <w:spacing w:before="0" w:beforeAutospacing="0" w:after="0" w:afterAutospacing="0"/>
              <w:ind w:right="60"/>
              <w:jc w:val="right"/>
              <w:rPr>
                <w:sz w:val="20"/>
                <w:szCs w:val="20"/>
              </w:rPr>
            </w:pPr>
            <w:r>
              <w:rPr>
                <w:sz w:val="20"/>
                <w:szCs w:val="20"/>
              </w:rPr>
              <w:t>74,971</w:t>
            </w:r>
          </w:p>
        </w:tc>
        <w:tc>
          <w:tcPr>
            <w:tcW w:w="98" w:type="pct"/>
            <w:noWrap/>
            <w:tcMar>
              <w:top w:w="0" w:type="dxa"/>
              <w:left w:w="0" w:type="dxa"/>
              <w:bottom w:w="0" w:type="dxa"/>
              <w:right w:w="0" w:type="dxa"/>
            </w:tcMar>
            <w:vAlign w:val="bottom"/>
            <w:hideMark/>
          </w:tcPr>
          <w:p w14:paraId="71CA80A6"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00B64D68" w14:textId="77777777" w:rsidR="00000000" w:rsidRDefault="001F1B20">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14:paraId="6CC42DE0" w14:textId="77777777" w:rsidR="00000000" w:rsidRDefault="001F1B20">
            <w:pPr>
              <w:pStyle w:val="a3"/>
              <w:spacing w:before="0" w:beforeAutospacing="0" w:after="0" w:afterAutospacing="0"/>
              <w:ind w:right="60"/>
              <w:jc w:val="right"/>
              <w:rPr>
                <w:sz w:val="20"/>
                <w:szCs w:val="20"/>
              </w:rPr>
            </w:pPr>
            <w:r>
              <w:rPr>
                <w:sz w:val="20"/>
                <w:szCs w:val="20"/>
              </w:rPr>
              <w:t>18</w:t>
            </w:r>
          </w:p>
        </w:tc>
        <w:tc>
          <w:tcPr>
            <w:tcW w:w="98" w:type="pct"/>
            <w:noWrap/>
            <w:tcMar>
              <w:top w:w="0" w:type="dxa"/>
              <w:left w:w="0" w:type="dxa"/>
              <w:bottom w:w="0" w:type="dxa"/>
              <w:right w:w="0" w:type="dxa"/>
            </w:tcMar>
            <w:vAlign w:val="bottom"/>
            <w:hideMark/>
          </w:tcPr>
          <w:p w14:paraId="3D20D2D4"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2F44D5F9" w14:textId="77777777" w:rsidR="00000000" w:rsidRDefault="001F1B20">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14:paraId="7ED18BD1"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47EDD360" w14:textId="77777777" w:rsidR="00000000" w:rsidRDefault="001F1B20">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14:paraId="09D2ECDC" w14:textId="77777777" w:rsidR="00000000" w:rsidRDefault="001F1B20">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center"/>
            <w:hideMark/>
          </w:tcPr>
          <w:p w14:paraId="7BD5655F" w14:textId="77777777" w:rsidR="00000000" w:rsidRDefault="001F1B20">
            <w:pPr>
              <w:pStyle w:val="a3"/>
              <w:spacing w:before="0" w:beforeAutospacing="0" w:after="0" w:afterAutospacing="0"/>
              <w:ind w:right="60"/>
              <w:jc w:val="right"/>
              <w:rPr>
                <w:sz w:val="20"/>
                <w:szCs w:val="20"/>
              </w:rPr>
            </w:pPr>
            <w:r>
              <w:rPr>
                <w:sz w:val="20"/>
                <w:szCs w:val="20"/>
              </w:rPr>
              <w:t>74,989</w:t>
            </w:r>
          </w:p>
        </w:tc>
      </w:tr>
      <w:tr w:rsidR="00000000" w14:paraId="08626F16" w14:textId="77777777">
        <w:trPr>
          <w:divId w:val="52973892"/>
        </w:trPr>
        <w:tc>
          <w:tcPr>
            <w:tcW w:w="2187" w:type="pct"/>
            <w:shd w:val="clear" w:color="auto" w:fill="CCEEFF"/>
            <w:tcMar>
              <w:top w:w="0" w:type="dxa"/>
              <w:left w:w="0" w:type="dxa"/>
              <w:bottom w:w="0" w:type="dxa"/>
              <w:right w:w="0" w:type="dxa"/>
            </w:tcMar>
            <w:vAlign w:val="center"/>
            <w:hideMark/>
          </w:tcPr>
          <w:p w14:paraId="1F65DEFD" w14:textId="77777777" w:rsidR="00000000" w:rsidRDefault="001F1B20">
            <w:pPr>
              <w:pStyle w:val="a3"/>
              <w:spacing w:before="0" w:beforeAutospacing="0" w:after="0" w:afterAutospacing="0"/>
              <w:rPr>
                <w:sz w:val="20"/>
                <w:szCs w:val="20"/>
              </w:rPr>
            </w:pPr>
            <w:r>
              <w:rPr>
                <w:sz w:val="20"/>
                <w:szCs w:val="20"/>
              </w:rPr>
              <w:t>Corporate notes</w:t>
            </w:r>
          </w:p>
        </w:tc>
        <w:tc>
          <w:tcPr>
            <w:tcW w:w="97" w:type="pct"/>
            <w:shd w:val="clear" w:color="auto" w:fill="CCEEFF"/>
            <w:noWrap/>
            <w:tcMar>
              <w:top w:w="0" w:type="dxa"/>
              <w:left w:w="0" w:type="dxa"/>
              <w:bottom w:w="0" w:type="dxa"/>
              <w:right w:w="0" w:type="dxa"/>
            </w:tcMar>
            <w:vAlign w:val="bottom"/>
            <w:hideMark/>
          </w:tcPr>
          <w:p w14:paraId="22285AFE"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013775E7" w14:textId="77777777" w:rsidR="00000000" w:rsidRDefault="001F1B20">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14:paraId="47B2D82A"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31B9468" w14:textId="77777777" w:rsidR="00000000" w:rsidRDefault="001F1B20">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14:paraId="44193438" w14:textId="77777777" w:rsidR="00000000" w:rsidRDefault="001F1B20">
            <w:pPr>
              <w:pStyle w:val="a3"/>
              <w:spacing w:before="0" w:beforeAutospacing="0" w:after="0" w:afterAutospacing="0"/>
              <w:ind w:right="60"/>
              <w:jc w:val="right"/>
              <w:rPr>
                <w:sz w:val="20"/>
                <w:szCs w:val="20"/>
              </w:rPr>
            </w:pPr>
            <w:r>
              <w:rPr>
                <w:sz w:val="20"/>
                <w:szCs w:val="20"/>
              </w:rPr>
              <w:t>5,046</w:t>
            </w:r>
          </w:p>
        </w:tc>
        <w:tc>
          <w:tcPr>
            <w:tcW w:w="98" w:type="pct"/>
            <w:shd w:val="clear" w:color="auto" w:fill="CCEEFF"/>
            <w:noWrap/>
            <w:tcMar>
              <w:top w:w="0" w:type="dxa"/>
              <w:left w:w="0" w:type="dxa"/>
              <w:bottom w:w="0" w:type="dxa"/>
              <w:right w:w="0" w:type="dxa"/>
            </w:tcMar>
            <w:vAlign w:val="bottom"/>
            <w:hideMark/>
          </w:tcPr>
          <w:p w14:paraId="15F52B67"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798EC6D6" w14:textId="77777777" w:rsidR="00000000" w:rsidRDefault="001F1B20">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14:paraId="756EF753"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D132775"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22DD9A88" w14:textId="77777777" w:rsidR="00000000" w:rsidRDefault="001F1B20">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14:paraId="2A7E23E2" w14:textId="77777777" w:rsidR="00000000" w:rsidRDefault="001F1B20">
            <w:pPr>
              <w:pStyle w:val="a3"/>
              <w:spacing w:before="0" w:beforeAutospacing="0" w:after="0" w:afterAutospacing="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14:paraId="44334BB9"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7EECE201" w14:textId="77777777" w:rsidR="00000000" w:rsidRDefault="001F1B20">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center"/>
            <w:hideMark/>
          </w:tcPr>
          <w:p w14:paraId="60A72C7C" w14:textId="77777777" w:rsidR="00000000" w:rsidRDefault="001F1B20">
            <w:pPr>
              <w:pStyle w:val="a3"/>
              <w:spacing w:before="0" w:beforeAutospacing="0" w:after="0" w:afterAutospacing="0"/>
              <w:ind w:right="60"/>
              <w:jc w:val="right"/>
              <w:rPr>
                <w:sz w:val="20"/>
                <w:szCs w:val="20"/>
              </w:rPr>
            </w:pPr>
            <w:r>
              <w:rPr>
                <w:sz w:val="20"/>
                <w:szCs w:val="20"/>
              </w:rPr>
              <w:t>5,045</w:t>
            </w:r>
          </w:p>
        </w:tc>
      </w:tr>
      <w:tr w:rsidR="00000000" w14:paraId="2E866D02" w14:textId="77777777">
        <w:trPr>
          <w:divId w:val="52973892"/>
        </w:trPr>
        <w:tc>
          <w:tcPr>
            <w:tcW w:w="2187" w:type="pct"/>
            <w:tcMar>
              <w:top w:w="0" w:type="dxa"/>
              <w:left w:w="0" w:type="dxa"/>
              <w:bottom w:w="0" w:type="dxa"/>
              <w:right w:w="0" w:type="dxa"/>
            </w:tcMar>
            <w:vAlign w:val="bottom"/>
            <w:hideMark/>
          </w:tcPr>
          <w:p w14:paraId="434C50E5" w14:textId="77777777" w:rsidR="00000000" w:rsidRDefault="001F1B20">
            <w:pPr>
              <w:pStyle w:val="a3"/>
              <w:spacing w:before="0" w:beforeAutospacing="0" w:after="0" w:afterAutospacing="0"/>
              <w:rPr>
                <w:sz w:val="20"/>
                <w:szCs w:val="20"/>
              </w:rPr>
            </w:pPr>
            <w:r>
              <w:rPr>
                <w:sz w:val="20"/>
                <w:szCs w:val="20"/>
              </w:rPr>
              <w:t>Commercial paper</w:t>
            </w:r>
          </w:p>
        </w:tc>
        <w:tc>
          <w:tcPr>
            <w:tcW w:w="97" w:type="pct"/>
            <w:noWrap/>
            <w:tcMar>
              <w:top w:w="0" w:type="dxa"/>
              <w:left w:w="0" w:type="dxa"/>
              <w:bottom w:w="0" w:type="dxa"/>
              <w:right w:w="0" w:type="dxa"/>
            </w:tcMar>
            <w:vAlign w:val="bottom"/>
            <w:hideMark/>
          </w:tcPr>
          <w:p w14:paraId="61C839FB"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59653563" w14:textId="77777777" w:rsidR="00000000" w:rsidRDefault="001F1B20">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14:paraId="1ABE03B0"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06A03FEC"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4CC0F110" w14:textId="77777777" w:rsidR="00000000" w:rsidRDefault="001F1B20">
            <w:pPr>
              <w:pStyle w:val="a3"/>
              <w:spacing w:before="0" w:beforeAutospacing="0" w:after="0" w:afterAutospacing="0"/>
              <w:ind w:right="60"/>
              <w:jc w:val="right"/>
              <w:rPr>
                <w:sz w:val="20"/>
                <w:szCs w:val="20"/>
              </w:rPr>
            </w:pPr>
            <w:r>
              <w:rPr>
                <w:sz w:val="20"/>
                <w:szCs w:val="20"/>
              </w:rPr>
              <w:t>56,374</w:t>
            </w:r>
          </w:p>
        </w:tc>
        <w:tc>
          <w:tcPr>
            <w:tcW w:w="98" w:type="pct"/>
            <w:noWrap/>
            <w:tcMar>
              <w:top w:w="0" w:type="dxa"/>
              <w:left w:w="0" w:type="dxa"/>
              <w:bottom w:w="0" w:type="dxa"/>
              <w:right w:w="0" w:type="dxa"/>
            </w:tcMar>
            <w:vAlign w:val="bottom"/>
            <w:hideMark/>
          </w:tcPr>
          <w:p w14:paraId="20ECD2B9"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385CC9DD"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5AB90823" w14:textId="77777777" w:rsidR="00000000" w:rsidRDefault="001F1B20">
            <w:pPr>
              <w:pStyle w:val="a3"/>
              <w:spacing w:before="0" w:beforeAutospacing="0" w:after="0" w:afterAutospacing="0"/>
              <w:ind w:right="60"/>
              <w:jc w:val="right"/>
              <w:rPr>
                <w:sz w:val="20"/>
                <w:szCs w:val="20"/>
              </w:rPr>
            </w:pPr>
            <w:r>
              <w:rPr>
                <w:sz w:val="20"/>
                <w:szCs w:val="20"/>
              </w:rPr>
              <w:t>1</w:t>
            </w:r>
          </w:p>
        </w:tc>
        <w:tc>
          <w:tcPr>
            <w:tcW w:w="98" w:type="pct"/>
            <w:noWrap/>
            <w:tcMar>
              <w:top w:w="0" w:type="dxa"/>
              <w:left w:w="0" w:type="dxa"/>
              <w:bottom w:w="0" w:type="dxa"/>
              <w:right w:w="0" w:type="dxa"/>
            </w:tcMar>
            <w:vAlign w:val="bottom"/>
            <w:hideMark/>
          </w:tcPr>
          <w:p w14:paraId="077A134A"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7142B8EC"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27BD3B09" w14:textId="77777777" w:rsidR="00000000" w:rsidRDefault="001F1B20">
            <w:pPr>
              <w:pStyle w:val="a3"/>
              <w:spacing w:before="0" w:beforeAutospacing="0" w:after="0" w:afterAutospacing="0"/>
              <w:jc w:val="right"/>
              <w:rPr>
                <w:sz w:val="20"/>
                <w:szCs w:val="20"/>
              </w:rPr>
            </w:pPr>
            <w:r>
              <w:rPr>
                <w:sz w:val="20"/>
                <w:szCs w:val="20"/>
              </w:rPr>
              <w:t>(5)</w:t>
            </w:r>
          </w:p>
        </w:tc>
        <w:tc>
          <w:tcPr>
            <w:tcW w:w="98" w:type="pct"/>
            <w:noWrap/>
            <w:tcMar>
              <w:top w:w="0" w:type="dxa"/>
              <w:left w:w="0" w:type="dxa"/>
              <w:bottom w:w="0" w:type="dxa"/>
              <w:right w:w="0" w:type="dxa"/>
            </w:tcMar>
            <w:vAlign w:val="bottom"/>
            <w:hideMark/>
          </w:tcPr>
          <w:p w14:paraId="218E8124"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72FD16BF"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725E80F7" w14:textId="77777777" w:rsidR="00000000" w:rsidRDefault="001F1B20">
            <w:pPr>
              <w:pStyle w:val="a3"/>
              <w:spacing w:before="0" w:beforeAutospacing="0" w:after="0" w:afterAutospacing="0"/>
              <w:ind w:right="60"/>
              <w:jc w:val="right"/>
              <w:rPr>
                <w:sz w:val="20"/>
                <w:szCs w:val="20"/>
              </w:rPr>
            </w:pPr>
            <w:r>
              <w:rPr>
                <w:sz w:val="20"/>
                <w:szCs w:val="20"/>
              </w:rPr>
              <w:t>56,370</w:t>
            </w:r>
          </w:p>
        </w:tc>
      </w:tr>
      <w:tr w:rsidR="00000000" w14:paraId="40BFAED0" w14:textId="77777777">
        <w:trPr>
          <w:divId w:val="52973892"/>
        </w:trPr>
        <w:tc>
          <w:tcPr>
            <w:tcW w:w="2187" w:type="pct"/>
            <w:shd w:val="clear" w:color="auto" w:fill="CCEEFF"/>
            <w:tcMar>
              <w:top w:w="0" w:type="dxa"/>
              <w:left w:w="0" w:type="dxa"/>
              <w:bottom w:w="0" w:type="dxa"/>
              <w:right w:w="0" w:type="dxa"/>
            </w:tcMar>
            <w:vAlign w:val="bottom"/>
            <w:hideMark/>
          </w:tcPr>
          <w:p w14:paraId="7610A124" w14:textId="77777777" w:rsidR="00000000" w:rsidRDefault="001F1B20">
            <w:pPr>
              <w:pStyle w:val="a3"/>
              <w:spacing w:before="0" w:beforeAutospacing="0" w:after="0" w:afterAutospacing="0"/>
              <w:ind w:left="120"/>
              <w:rPr>
                <w:sz w:val="20"/>
                <w:szCs w:val="20"/>
              </w:rPr>
            </w:pPr>
            <w:r>
              <w:rPr>
                <w:sz w:val="20"/>
                <w:szCs w:val="20"/>
              </w:rPr>
              <w:t>Marketable securities</w:t>
            </w:r>
          </w:p>
        </w:tc>
        <w:tc>
          <w:tcPr>
            <w:tcW w:w="97" w:type="pct"/>
            <w:shd w:val="clear" w:color="auto" w:fill="CCEEFF"/>
            <w:noWrap/>
            <w:tcMar>
              <w:top w:w="0" w:type="dxa"/>
              <w:left w:w="0" w:type="dxa"/>
              <w:bottom w:w="0" w:type="dxa"/>
              <w:right w:w="0" w:type="dxa"/>
            </w:tcMar>
            <w:vAlign w:val="bottom"/>
            <w:hideMark/>
          </w:tcPr>
          <w:p w14:paraId="7702E3DA"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44EC131D" w14:textId="77777777" w:rsidR="00000000" w:rsidRDefault="001F1B20">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2FA60F2F"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10A15B23"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1932181F" w14:textId="77777777" w:rsidR="00000000" w:rsidRDefault="001F1B20">
            <w:pPr>
              <w:pStyle w:val="a3"/>
              <w:spacing w:before="0" w:beforeAutospacing="0" w:after="0" w:afterAutospacing="0"/>
              <w:ind w:right="60"/>
              <w:jc w:val="right"/>
              <w:rPr>
                <w:sz w:val="20"/>
                <w:szCs w:val="20"/>
              </w:rPr>
            </w:pPr>
            <w:r>
              <w:rPr>
                <w:sz w:val="20"/>
                <w:szCs w:val="20"/>
              </w:rPr>
              <w:t>211,427</w:t>
            </w:r>
          </w:p>
        </w:tc>
        <w:tc>
          <w:tcPr>
            <w:tcW w:w="98" w:type="pct"/>
            <w:shd w:val="clear" w:color="auto" w:fill="CCEEFF"/>
            <w:noWrap/>
            <w:tcMar>
              <w:top w:w="0" w:type="dxa"/>
              <w:left w:w="0" w:type="dxa"/>
              <w:bottom w:w="0" w:type="dxa"/>
              <w:right w:w="0" w:type="dxa"/>
            </w:tcMar>
            <w:vAlign w:val="bottom"/>
            <w:hideMark/>
          </w:tcPr>
          <w:p w14:paraId="31D41EE6"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1B23BE4"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1DB0679B" w14:textId="77777777" w:rsidR="00000000" w:rsidRDefault="001F1B20">
            <w:pPr>
              <w:pStyle w:val="a3"/>
              <w:spacing w:before="0" w:beforeAutospacing="0" w:after="0" w:afterAutospacing="0"/>
              <w:ind w:right="60"/>
              <w:jc w:val="right"/>
              <w:rPr>
                <w:sz w:val="20"/>
                <w:szCs w:val="20"/>
              </w:rPr>
            </w:pPr>
            <w:r>
              <w:rPr>
                <w:sz w:val="20"/>
                <w:szCs w:val="20"/>
              </w:rPr>
              <w:t>53</w:t>
            </w:r>
          </w:p>
        </w:tc>
        <w:tc>
          <w:tcPr>
            <w:tcW w:w="98" w:type="pct"/>
            <w:shd w:val="clear" w:color="auto" w:fill="CCEEFF"/>
            <w:noWrap/>
            <w:tcMar>
              <w:top w:w="0" w:type="dxa"/>
              <w:left w:w="0" w:type="dxa"/>
              <w:bottom w:w="0" w:type="dxa"/>
              <w:right w:w="0" w:type="dxa"/>
            </w:tcMar>
            <w:vAlign w:val="bottom"/>
            <w:hideMark/>
          </w:tcPr>
          <w:p w14:paraId="13836D9E"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41104BD"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0BEFA54C" w14:textId="77777777" w:rsidR="00000000" w:rsidRDefault="001F1B20">
            <w:pPr>
              <w:pStyle w:val="a3"/>
              <w:spacing w:before="0" w:beforeAutospacing="0" w:after="0" w:afterAutospacing="0"/>
              <w:jc w:val="right"/>
              <w:rPr>
                <w:sz w:val="20"/>
                <w:szCs w:val="20"/>
              </w:rPr>
            </w:pPr>
            <w:r>
              <w:rPr>
                <w:sz w:val="20"/>
                <w:szCs w:val="20"/>
              </w:rPr>
              <w:t>(6)</w:t>
            </w:r>
          </w:p>
        </w:tc>
        <w:tc>
          <w:tcPr>
            <w:tcW w:w="98" w:type="pct"/>
            <w:shd w:val="clear" w:color="auto" w:fill="CCEEFF"/>
            <w:noWrap/>
            <w:tcMar>
              <w:top w:w="0" w:type="dxa"/>
              <w:left w:w="0" w:type="dxa"/>
              <w:bottom w:w="0" w:type="dxa"/>
              <w:right w:w="0" w:type="dxa"/>
            </w:tcMar>
            <w:vAlign w:val="bottom"/>
            <w:hideMark/>
          </w:tcPr>
          <w:p w14:paraId="03A517E6"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6F928A60"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center"/>
            <w:hideMark/>
          </w:tcPr>
          <w:p w14:paraId="63D36B13" w14:textId="77777777" w:rsidR="00000000" w:rsidRDefault="001F1B20">
            <w:pPr>
              <w:pStyle w:val="a3"/>
              <w:spacing w:before="0" w:beforeAutospacing="0" w:after="0" w:afterAutospacing="0"/>
              <w:ind w:right="60"/>
              <w:jc w:val="right"/>
              <w:rPr>
                <w:sz w:val="20"/>
                <w:szCs w:val="20"/>
              </w:rPr>
            </w:pPr>
            <w:r>
              <w:rPr>
                <w:sz w:val="20"/>
                <w:szCs w:val="20"/>
              </w:rPr>
              <w:t>211,474</w:t>
            </w:r>
          </w:p>
        </w:tc>
      </w:tr>
      <w:tr w:rsidR="00000000" w14:paraId="7809E76A" w14:textId="77777777">
        <w:trPr>
          <w:divId w:val="52973892"/>
        </w:trPr>
        <w:tc>
          <w:tcPr>
            <w:tcW w:w="2187" w:type="pct"/>
            <w:tcMar>
              <w:top w:w="0" w:type="dxa"/>
              <w:left w:w="0" w:type="dxa"/>
              <w:bottom w:w="0" w:type="dxa"/>
              <w:right w:w="0" w:type="dxa"/>
            </w:tcMar>
            <w:vAlign w:val="bottom"/>
            <w:hideMark/>
          </w:tcPr>
          <w:p w14:paraId="14A24585" w14:textId="77777777" w:rsidR="00000000" w:rsidRDefault="001F1B20">
            <w:pPr>
              <w:pStyle w:val="a3"/>
              <w:spacing w:before="0" w:beforeAutospacing="0" w:after="0" w:afterAutospacing="0"/>
              <w:rPr>
                <w:sz w:val="20"/>
                <w:szCs w:val="20"/>
              </w:rPr>
            </w:pPr>
            <w:r>
              <w:rPr>
                <w:sz w:val="20"/>
                <w:szCs w:val="20"/>
              </w:rPr>
              <w:t xml:space="preserve">Money market funds </w:t>
            </w:r>
          </w:p>
        </w:tc>
        <w:tc>
          <w:tcPr>
            <w:tcW w:w="97" w:type="pct"/>
            <w:noWrap/>
            <w:tcMar>
              <w:top w:w="0" w:type="dxa"/>
              <w:left w:w="0" w:type="dxa"/>
              <w:bottom w:w="0" w:type="dxa"/>
              <w:right w:w="0" w:type="dxa"/>
            </w:tcMar>
            <w:vAlign w:val="bottom"/>
            <w:hideMark/>
          </w:tcPr>
          <w:p w14:paraId="3051BEA2" w14:textId="77777777" w:rsidR="00000000" w:rsidRDefault="001F1B2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center"/>
            <w:hideMark/>
          </w:tcPr>
          <w:p w14:paraId="4B0B12FC" w14:textId="77777777" w:rsidR="00000000" w:rsidRDefault="001F1B20">
            <w:pPr>
              <w:pStyle w:val="a3"/>
              <w:spacing w:before="0" w:beforeAutospacing="0" w:after="0" w:afterAutospacing="0"/>
              <w:jc w:val="center"/>
              <w:rPr>
                <w:sz w:val="20"/>
                <w:szCs w:val="20"/>
              </w:rPr>
            </w:pPr>
            <w:r>
              <w:rPr>
                <w:sz w:val="20"/>
                <w:szCs w:val="20"/>
              </w:rPr>
              <w:t>Level 1</w:t>
            </w:r>
          </w:p>
        </w:tc>
        <w:tc>
          <w:tcPr>
            <w:tcW w:w="98" w:type="pct"/>
            <w:noWrap/>
            <w:tcMar>
              <w:top w:w="0" w:type="dxa"/>
              <w:left w:w="0" w:type="dxa"/>
              <w:bottom w:w="0" w:type="dxa"/>
              <w:right w:w="0" w:type="dxa"/>
            </w:tcMar>
            <w:vAlign w:val="bottom"/>
            <w:hideMark/>
          </w:tcPr>
          <w:p w14:paraId="02E427FD"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05DED19B"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501BDFBB"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5862F126"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66CA22C2"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73A45227"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01F08EAB"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049DEA33"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392E6339" w14:textId="77777777" w:rsidR="00000000" w:rsidRDefault="001F1B2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14:paraId="43A1511F"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14:paraId="1EB1F17F"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single" w:sz="6" w:space="0" w:color="000000"/>
            </w:tcBorders>
            <w:noWrap/>
            <w:tcMar>
              <w:top w:w="0" w:type="dxa"/>
              <w:left w:w="0" w:type="dxa"/>
              <w:bottom w:w="0" w:type="dxa"/>
              <w:right w:w="0" w:type="dxa"/>
            </w:tcMar>
            <w:vAlign w:val="center"/>
            <w:hideMark/>
          </w:tcPr>
          <w:p w14:paraId="2B8A69CF" w14:textId="77777777" w:rsidR="00000000" w:rsidRDefault="001F1B20">
            <w:pPr>
              <w:pStyle w:val="a3"/>
              <w:spacing w:before="0" w:beforeAutospacing="0" w:after="0" w:afterAutospacing="0"/>
              <w:ind w:right="60"/>
              <w:jc w:val="right"/>
              <w:rPr>
                <w:sz w:val="20"/>
                <w:szCs w:val="20"/>
              </w:rPr>
            </w:pPr>
            <w:r>
              <w:rPr>
                <w:sz w:val="20"/>
                <w:szCs w:val="20"/>
              </w:rPr>
              <w:t>—</w:t>
            </w:r>
          </w:p>
        </w:tc>
      </w:tr>
      <w:tr w:rsidR="00000000" w14:paraId="51E49A49" w14:textId="77777777">
        <w:trPr>
          <w:divId w:val="52973892"/>
        </w:trPr>
        <w:tc>
          <w:tcPr>
            <w:tcW w:w="2187" w:type="pct"/>
            <w:shd w:val="clear" w:color="auto" w:fill="CCEEFF"/>
            <w:tcMar>
              <w:top w:w="0" w:type="dxa"/>
              <w:left w:w="0" w:type="dxa"/>
              <w:bottom w:w="0" w:type="dxa"/>
              <w:right w:w="0" w:type="dxa"/>
            </w:tcMar>
            <w:vAlign w:val="center"/>
            <w:hideMark/>
          </w:tcPr>
          <w:p w14:paraId="2EFFB6B5" w14:textId="77777777" w:rsidR="00000000" w:rsidRDefault="001F1B20">
            <w:pPr>
              <w:pStyle w:val="a3"/>
              <w:spacing w:before="0" w:beforeAutospacing="0" w:after="0" w:afterAutospacing="0"/>
              <w:ind w:left="240"/>
              <w:rPr>
                <w:sz w:val="20"/>
                <w:szCs w:val="20"/>
              </w:rPr>
            </w:pPr>
            <w:r>
              <w:rPr>
                <w:sz w:val="20"/>
                <w:szCs w:val="20"/>
              </w:rPr>
              <w:t xml:space="preserve">Total </w:t>
            </w:r>
          </w:p>
        </w:tc>
        <w:tc>
          <w:tcPr>
            <w:tcW w:w="97" w:type="pct"/>
            <w:shd w:val="clear" w:color="auto" w:fill="CCEEFF"/>
            <w:noWrap/>
            <w:tcMar>
              <w:top w:w="0" w:type="dxa"/>
              <w:left w:w="0" w:type="dxa"/>
              <w:bottom w:w="0" w:type="dxa"/>
              <w:right w:w="0" w:type="dxa"/>
            </w:tcMar>
            <w:vAlign w:val="bottom"/>
            <w:hideMark/>
          </w:tcPr>
          <w:p w14:paraId="2311187F" w14:textId="77777777" w:rsidR="00000000" w:rsidRDefault="001F1B2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14:paraId="61E57256" w14:textId="77777777" w:rsidR="00000000" w:rsidRDefault="001F1B2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14:paraId="3A6041E8"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19CD3401"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14:paraId="7050D238" w14:textId="77777777" w:rsidR="00000000" w:rsidRDefault="001F1B20">
            <w:pPr>
              <w:pStyle w:val="a3"/>
              <w:spacing w:before="0" w:beforeAutospacing="0" w:after="0" w:afterAutospacing="0"/>
              <w:ind w:right="60"/>
              <w:jc w:val="right"/>
              <w:rPr>
                <w:sz w:val="20"/>
                <w:szCs w:val="20"/>
              </w:rPr>
            </w:pPr>
            <w:r>
              <w:rPr>
                <w:sz w:val="20"/>
                <w:szCs w:val="20"/>
              </w:rPr>
              <w:t>211,427</w:t>
            </w:r>
          </w:p>
        </w:tc>
        <w:tc>
          <w:tcPr>
            <w:tcW w:w="98" w:type="pct"/>
            <w:shd w:val="clear" w:color="auto" w:fill="CCEEFF"/>
            <w:noWrap/>
            <w:tcMar>
              <w:top w:w="0" w:type="dxa"/>
              <w:left w:w="0" w:type="dxa"/>
              <w:bottom w:w="0" w:type="dxa"/>
              <w:right w:w="0" w:type="dxa"/>
            </w:tcMar>
            <w:vAlign w:val="bottom"/>
            <w:hideMark/>
          </w:tcPr>
          <w:p w14:paraId="679D8F99"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229AD818"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14:paraId="2960DFB2" w14:textId="77777777" w:rsidR="00000000" w:rsidRDefault="001F1B20">
            <w:pPr>
              <w:pStyle w:val="a3"/>
              <w:spacing w:before="0" w:beforeAutospacing="0" w:after="0" w:afterAutospacing="0"/>
              <w:ind w:right="60"/>
              <w:jc w:val="right"/>
              <w:rPr>
                <w:sz w:val="20"/>
                <w:szCs w:val="20"/>
              </w:rPr>
            </w:pPr>
            <w:r>
              <w:rPr>
                <w:sz w:val="20"/>
                <w:szCs w:val="20"/>
              </w:rPr>
              <w:t>53</w:t>
            </w:r>
          </w:p>
        </w:tc>
        <w:tc>
          <w:tcPr>
            <w:tcW w:w="98" w:type="pct"/>
            <w:shd w:val="clear" w:color="auto" w:fill="CCEEFF"/>
            <w:noWrap/>
            <w:tcMar>
              <w:top w:w="0" w:type="dxa"/>
              <w:left w:w="0" w:type="dxa"/>
              <w:bottom w:w="0" w:type="dxa"/>
              <w:right w:w="0" w:type="dxa"/>
            </w:tcMar>
            <w:vAlign w:val="bottom"/>
            <w:hideMark/>
          </w:tcPr>
          <w:p w14:paraId="04727461"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35E75002"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14:paraId="05F51AFF" w14:textId="77777777" w:rsidR="00000000" w:rsidRDefault="001F1B20">
            <w:pPr>
              <w:pStyle w:val="a3"/>
              <w:spacing w:before="0" w:beforeAutospacing="0" w:after="0" w:afterAutospacing="0"/>
              <w:jc w:val="right"/>
              <w:rPr>
                <w:sz w:val="20"/>
                <w:szCs w:val="20"/>
              </w:rPr>
            </w:pPr>
            <w:r>
              <w:rPr>
                <w:sz w:val="20"/>
                <w:szCs w:val="20"/>
              </w:rPr>
              <w:t>(6)</w:t>
            </w:r>
          </w:p>
        </w:tc>
        <w:tc>
          <w:tcPr>
            <w:tcW w:w="98" w:type="pct"/>
            <w:shd w:val="clear" w:color="auto" w:fill="CCEEFF"/>
            <w:noWrap/>
            <w:tcMar>
              <w:top w:w="0" w:type="dxa"/>
              <w:left w:w="0" w:type="dxa"/>
              <w:bottom w:w="0" w:type="dxa"/>
              <w:right w:w="0" w:type="dxa"/>
            </w:tcMar>
            <w:vAlign w:val="bottom"/>
            <w:hideMark/>
          </w:tcPr>
          <w:p w14:paraId="271959F1" w14:textId="77777777" w:rsidR="00000000" w:rsidRDefault="001F1B20">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14:paraId="129C39F6" w14:textId="77777777" w:rsidR="00000000" w:rsidRDefault="001F1B20">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center"/>
            <w:hideMark/>
          </w:tcPr>
          <w:p w14:paraId="0E6849D1" w14:textId="77777777" w:rsidR="00000000" w:rsidRDefault="001F1B20">
            <w:pPr>
              <w:pStyle w:val="a3"/>
              <w:spacing w:before="0" w:beforeAutospacing="0" w:after="0" w:afterAutospacing="0"/>
              <w:ind w:right="60"/>
              <w:jc w:val="right"/>
              <w:rPr>
                <w:sz w:val="20"/>
                <w:szCs w:val="20"/>
              </w:rPr>
            </w:pPr>
            <w:r>
              <w:rPr>
                <w:sz w:val="20"/>
                <w:szCs w:val="20"/>
              </w:rPr>
              <w:t>211,474</w:t>
            </w:r>
          </w:p>
        </w:tc>
      </w:tr>
    </w:tbl>
    <w:p w14:paraId="49FFC7AC" w14:textId="77777777" w:rsidR="00000000" w:rsidRDefault="001F1B20">
      <w:pPr>
        <w:pStyle w:val="a3"/>
        <w:spacing w:before="0" w:beforeAutospacing="0" w:after="0" w:afterAutospacing="0"/>
        <w:divId w:val="52973892"/>
        <w:rPr>
          <w:sz w:val="20"/>
          <w:szCs w:val="20"/>
        </w:rPr>
      </w:pPr>
      <w:r>
        <w:rPr>
          <w:sz w:val="20"/>
          <w:szCs w:val="20"/>
        </w:rPr>
        <w:t>​</w:t>
      </w:r>
    </w:p>
    <w:p w14:paraId="749BF390" w14:textId="77777777" w:rsidR="00000000" w:rsidRDefault="001F1B20">
      <w:pPr>
        <w:pStyle w:val="a3"/>
        <w:spacing w:before="0" w:beforeAutospacing="0" w:after="0" w:afterAutospacing="0"/>
        <w:ind w:firstLine="720"/>
        <w:divId w:val="52973892"/>
        <w:rPr>
          <w:sz w:val="20"/>
          <w:szCs w:val="20"/>
        </w:rPr>
      </w:pPr>
      <w:r>
        <w:rPr>
          <w:sz w:val="20"/>
          <w:szCs w:val="20"/>
        </w:rPr>
        <w:t>As of September 30, 2021, all of the Company’</w:t>
      </w:r>
      <w:r>
        <w:rPr>
          <w:sz w:val="20"/>
          <w:szCs w:val="20"/>
        </w:rPr>
        <w:t>s available-for-sale securities had contractual maturities within 6 months and the weighted-average maturity of marketable securities was approximately one month. There were no transfers between Level 1 and Level 2 during the periods presented, and there h</w:t>
      </w:r>
      <w:r>
        <w:rPr>
          <w:sz w:val="20"/>
          <w:szCs w:val="20"/>
        </w:rPr>
        <w:t xml:space="preserve">ave been no material changes to the Company’s valuation techniques during the three and nine months ended September 30, 2021. </w:t>
      </w:r>
    </w:p>
    <w:p w14:paraId="1DDBD29A" w14:textId="77777777" w:rsidR="00000000" w:rsidRDefault="001F1B20">
      <w:pPr>
        <w:pStyle w:val="a3"/>
        <w:spacing w:before="0" w:beforeAutospacing="0" w:after="0" w:afterAutospacing="0"/>
        <w:divId w:val="52973892"/>
        <w:rPr>
          <w:sz w:val="20"/>
          <w:szCs w:val="20"/>
        </w:rPr>
      </w:pPr>
      <w:r>
        <w:rPr>
          <w:sz w:val="20"/>
          <w:szCs w:val="20"/>
        </w:rPr>
        <w:t>​</w:t>
      </w:r>
    </w:p>
    <w:p w14:paraId="152B1805" w14:textId="77777777" w:rsidR="00000000" w:rsidRDefault="001F1B20">
      <w:pPr>
        <w:pStyle w:val="a3"/>
        <w:spacing w:before="0" w:beforeAutospacing="0" w:after="0" w:afterAutospacing="0"/>
        <w:ind w:firstLine="720"/>
        <w:divId w:val="52973892"/>
        <w:rPr>
          <w:sz w:val="20"/>
          <w:szCs w:val="20"/>
        </w:rPr>
      </w:pPr>
      <w:r>
        <w:rPr>
          <w:sz w:val="20"/>
          <w:szCs w:val="20"/>
        </w:rPr>
        <w:t>As of September 30, 2021, the Company did not have any available-for-sale debt securities with material unrealized losses. Avai</w:t>
      </w:r>
      <w:r>
        <w:rPr>
          <w:sz w:val="20"/>
          <w:szCs w:val="20"/>
        </w:rPr>
        <w:t>lable-for-sale debt securities with unrealized losses as of December 31, 2020 are summarized below:</w:t>
      </w:r>
    </w:p>
    <w:p w14:paraId="31452287" w14:textId="77777777" w:rsidR="00000000" w:rsidRDefault="001F1B20">
      <w:pPr>
        <w:pStyle w:val="a3"/>
        <w:spacing w:before="0" w:beforeAutospacing="0" w:after="0" w:afterAutospacing="0"/>
        <w:divId w:val="5297389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20"/>
        <w:gridCol w:w="160"/>
        <w:gridCol w:w="130"/>
        <w:gridCol w:w="611"/>
        <w:gridCol w:w="161"/>
        <w:gridCol w:w="151"/>
        <w:gridCol w:w="596"/>
        <w:gridCol w:w="6"/>
        <w:gridCol w:w="151"/>
        <w:gridCol w:w="602"/>
        <w:gridCol w:w="150"/>
        <w:gridCol w:w="150"/>
        <w:gridCol w:w="605"/>
        <w:gridCol w:w="160"/>
        <w:gridCol w:w="147"/>
        <w:gridCol w:w="610"/>
        <w:gridCol w:w="49"/>
        <w:gridCol w:w="148"/>
        <w:gridCol w:w="599"/>
      </w:tblGrid>
      <w:tr w:rsidR="00000000" w14:paraId="5B98E52A" w14:textId="77777777">
        <w:trPr>
          <w:divId w:val="52973892"/>
          <w:trHeight w:val="20"/>
        </w:trPr>
        <w:tc>
          <w:tcPr>
            <w:tcW w:w="1927" w:type="pct"/>
            <w:tcMar>
              <w:top w:w="0" w:type="dxa"/>
              <w:left w:w="0" w:type="dxa"/>
              <w:bottom w:w="0" w:type="dxa"/>
              <w:right w:w="0" w:type="dxa"/>
            </w:tcMar>
            <w:vAlign w:val="center"/>
            <w:hideMark/>
          </w:tcPr>
          <w:p w14:paraId="444A5D0D" w14:textId="77777777" w:rsidR="00000000" w:rsidRDefault="001F1B20">
            <w:pPr>
              <w:pStyle w:val="a3"/>
              <w:spacing w:before="0" w:beforeAutospacing="0" w:after="0" w:afterAutospacing="0"/>
              <w:divId w:val="297538191"/>
              <w:rPr>
                <w:sz w:val="20"/>
                <w:szCs w:val="20"/>
              </w:rPr>
            </w:pPr>
            <w:r>
              <w:rPr>
                <w:sz w:val="2"/>
                <w:szCs w:val="2"/>
              </w:rPr>
              <w:t>​</w:t>
            </w:r>
          </w:p>
        </w:tc>
        <w:tc>
          <w:tcPr>
            <w:tcW w:w="86" w:type="pct"/>
            <w:noWrap/>
            <w:tcMar>
              <w:top w:w="0" w:type="dxa"/>
              <w:left w:w="0" w:type="dxa"/>
              <w:bottom w:w="0" w:type="dxa"/>
              <w:right w:w="0" w:type="dxa"/>
            </w:tcMar>
            <w:vAlign w:val="bottom"/>
            <w:hideMark/>
          </w:tcPr>
          <w:p w14:paraId="73E0848D" w14:textId="77777777" w:rsidR="00000000" w:rsidRDefault="001F1B20">
            <w:pPr>
              <w:pStyle w:val="a3"/>
              <w:spacing w:before="0" w:beforeAutospacing="0" w:after="0" w:afterAutospacing="0"/>
              <w:divId w:val="1724986113"/>
              <w:rPr>
                <w:sz w:val="20"/>
                <w:szCs w:val="20"/>
              </w:rPr>
            </w:pPr>
            <w:r>
              <w:rPr>
                <w:sz w:val="2"/>
                <w:szCs w:val="2"/>
              </w:rPr>
              <w:t>​</w:t>
            </w:r>
          </w:p>
        </w:tc>
        <w:tc>
          <w:tcPr>
            <w:tcW w:w="86" w:type="pct"/>
            <w:noWrap/>
            <w:tcMar>
              <w:top w:w="0" w:type="dxa"/>
              <w:left w:w="0" w:type="dxa"/>
              <w:bottom w:w="0" w:type="dxa"/>
              <w:right w:w="0" w:type="dxa"/>
            </w:tcMar>
            <w:vAlign w:val="bottom"/>
            <w:hideMark/>
          </w:tcPr>
          <w:p w14:paraId="074A0458" w14:textId="77777777" w:rsidR="00000000" w:rsidRDefault="001F1B20">
            <w:pPr>
              <w:pStyle w:val="a3"/>
              <w:spacing w:before="0" w:beforeAutospacing="0" w:after="0" w:afterAutospacing="0"/>
              <w:divId w:val="2110081421"/>
              <w:rPr>
                <w:sz w:val="20"/>
                <w:szCs w:val="20"/>
              </w:rPr>
            </w:pPr>
            <w:r>
              <w:rPr>
                <w:sz w:val="2"/>
                <w:szCs w:val="2"/>
              </w:rPr>
              <w:t>​</w:t>
            </w:r>
          </w:p>
        </w:tc>
        <w:tc>
          <w:tcPr>
            <w:tcW w:w="340" w:type="pct"/>
            <w:noWrap/>
            <w:tcMar>
              <w:top w:w="0" w:type="dxa"/>
              <w:left w:w="0" w:type="dxa"/>
              <w:bottom w:w="0" w:type="dxa"/>
              <w:right w:w="0" w:type="dxa"/>
            </w:tcMar>
            <w:vAlign w:val="center"/>
            <w:hideMark/>
          </w:tcPr>
          <w:p w14:paraId="3D9565D5" w14:textId="77777777" w:rsidR="00000000" w:rsidRDefault="001F1B20">
            <w:pPr>
              <w:pStyle w:val="a3"/>
              <w:spacing w:before="0" w:beforeAutospacing="0" w:after="0" w:afterAutospacing="0"/>
              <w:divId w:val="1252084419"/>
              <w:rPr>
                <w:sz w:val="20"/>
                <w:szCs w:val="20"/>
              </w:rPr>
            </w:pPr>
            <w:r>
              <w:rPr>
                <w:sz w:val="2"/>
                <w:szCs w:val="2"/>
              </w:rPr>
              <w:t>​</w:t>
            </w:r>
          </w:p>
        </w:tc>
        <w:tc>
          <w:tcPr>
            <w:tcW w:w="86" w:type="pct"/>
            <w:noWrap/>
            <w:tcMar>
              <w:top w:w="0" w:type="dxa"/>
              <w:left w:w="0" w:type="dxa"/>
              <w:bottom w:w="0" w:type="dxa"/>
              <w:right w:w="0" w:type="dxa"/>
            </w:tcMar>
            <w:vAlign w:val="bottom"/>
            <w:hideMark/>
          </w:tcPr>
          <w:p w14:paraId="27706942" w14:textId="77777777" w:rsidR="00000000" w:rsidRDefault="001F1B20">
            <w:pPr>
              <w:pStyle w:val="a3"/>
              <w:spacing w:before="0" w:beforeAutospacing="0" w:after="0" w:afterAutospacing="0"/>
              <w:divId w:val="440227020"/>
              <w:rPr>
                <w:sz w:val="20"/>
                <w:szCs w:val="20"/>
              </w:rPr>
            </w:pPr>
            <w:r>
              <w:rPr>
                <w:sz w:val="2"/>
                <w:szCs w:val="2"/>
              </w:rPr>
              <w:t>​</w:t>
            </w:r>
          </w:p>
        </w:tc>
        <w:tc>
          <w:tcPr>
            <w:tcW w:w="86" w:type="pct"/>
            <w:noWrap/>
            <w:tcMar>
              <w:top w:w="0" w:type="dxa"/>
              <w:left w:w="0" w:type="dxa"/>
              <w:bottom w:w="0" w:type="dxa"/>
              <w:right w:w="0" w:type="dxa"/>
            </w:tcMar>
            <w:vAlign w:val="bottom"/>
            <w:hideMark/>
          </w:tcPr>
          <w:p w14:paraId="1E82CA64" w14:textId="77777777" w:rsidR="00000000" w:rsidRDefault="001F1B20">
            <w:pPr>
              <w:pStyle w:val="a3"/>
              <w:spacing w:before="0" w:beforeAutospacing="0" w:after="0" w:afterAutospacing="0"/>
              <w:divId w:val="1771462047"/>
              <w:rPr>
                <w:sz w:val="20"/>
                <w:szCs w:val="20"/>
              </w:rPr>
            </w:pPr>
            <w:r>
              <w:rPr>
                <w:sz w:val="2"/>
                <w:szCs w:val="2"/>
              </w:rPr>
              <w:t>​</w:t>
            </w:r>
          </w:p>
        </w:tc>
        <w:tc>
          <w:tcPr>
            <w:tcW w:w="340" w:type="pct"/>
            <w:noWrap/>
            <w:tcMar>
              <w:top w:w="0" w:type="dxa"/>
              <w:left w:w="0" w:type="dxa"/>
              <w:bottom w:w="0" w:type="dxa"/>
              <w:right w:w="0" w:type="dxa"/>
            </w:tcMar>
            <w:vAlign w:val="center"/>
            <w:hideMark/>
          </w:tcPr>
          <w:p w14:paraId="1A9B27C3" w14:textId="77777777" w:rsidR="00000000" w:rsidRDefault="001F1B20">
            <w:pPr>
              <w:pStyle w:val="a3"/>
              <w:spacing w:before="0" w:beforeAutospacing="0" w:after="0" w:afterAutospacing="0"/>
              <w:divId w:val="1062872175"/>
              <w:rPr>
                <w:sz w:val="20"/>
                <w:szCs w:val="20"/>
              </w:rPr>
            </w:pPr>
            <w:r>
              <w:rPr>
                <w:sz w:val="2"/>
                <w:szCs w:val="2"/>
              </w:rPr>
              <w:t>​</w:t>
            </w:r>
          </w:p>
        </w:tc>
        <w:tc>
          <w:tcPr>
            <w:tcW w:w="85" w:type="pct"/>
            <w:noWrap/>
            <w:tcMar>
              <w:top w:w="0" w:type="dxa"/>
              <w:left w:w="0" w:type="dxa"/>
              <w:bottom w:w="0" w:type="dxa"/>
              <w:right w:w="0" w:type="dxa"/>
            </w:tcMar>
            <w:vAlign w:val="center"/>
            <w:hideMark/>
          </w:tcPr>
          <w:p w14:paraId="4D51179D" w14:textId="77777777" w:rsidR="00000000" w:rsidRDefault="001F1B20">
            <w:pPr>
              <w:pStyle w:val="a3"/>
              <w:spacing w:before="0" w:beforeAutospacing="0" w:after="0" w:afterAutospacing="0"/>
              <w:divId w:val="1027829203"/>
              <w:rPr>
                <w:sz w:val="20"/>
                <w:szCs w:val="20"/>
              </w:rPr>
            </w:pPr>
            <w:r>
              <w:rPr>
                <w:sz w:val="2"/>
                <w:szCs w:val="2"/>
              </w:rPr>
              <w:t>​</w:t>
            </w:r>
          </w:p>
        </w:tc>
        <w:tc>
          <w:tcPr>
            <w:tcW w:w="85" w:type="pct"/>
            <w:noWrap/>
            <w:tcMar>
              <w:top w:w="0" w:type="dxa"/>
              <w:left w:w="0" w:type="dxa"/>
              <w:bottom w:w="0" w:type="dxa"/>
              <w:right w:w="0" w:type="dxa"/>
            </w:tcMar>
            <w:vAlign w:val="bottom"/>
            <w:hideMark/>
          </w:tcPr>
          <w:p w14:paraId="3B03CF95" w14:textId="77777777" w:rsidR="00000000" w:rsidRDefault="001F1B20">
            <w:pPr>
              <w:pStyle w:val="a3"/>
              <w:spacing w:before="0" w:beforeAutospacing="0" w:after="0" w:afterAutospacing="0"/>
              <w:divId w:val="680008168"/>
              <w:rPr>
                <w:sz w:val="20"/>
                <w:szCs w:val="20"/>
              </w:rPr>
            </w:pPr>
            <w:r>
              <w:rPr>
                <w:sz w:val="2"/>
                <w:szCs w:val="2"/>
              </w:rPr>
              <w:t>​</w:t>
            </w:r>
          </w:p>
        </w:tc>
        <w:tc>
          <w:tcPr>
            <w:tcW w:w="339" w:type="pct"/>
            <w:noWrap/>
            <w:tcMar>
              <w:top w:w="0" w:type="dxa"/>
              <w:left w:w="0" w:type="dxa"/>
              <w:bottom w:w="0" w:type="dxa"/>
              <w:right w:w="0" w:type="dxa"/>
            </w:tcMar>
            <w:vAlign w:val="center"/>
            <w:hideMark/>
          </w:tcPr>
          <w:p w14:paraId="1C3F5009" w14:textId="77777777" w:rsidR="00000000" w:rsidRDefault="001F1B20">
            <w:pPr>
              <w:pStyle w:val="a3"/>
              <w:spacing w:before="0" w:beforeAutospacing="0" w:after="0" w:afterAutospacing="0"/>
              <w:divId w:val="1502546065"/>
              <w:rPr>
                <w:sz w:val="20"/>
                <w:szCs w:val="20"/>
              </w:rPr>
            </w:pPr>
            <w:r>
              <w:rPr>
                <w:sz w:val="2"/>
                <w:szCs w:val="2"/>
              </w:rPr>
              <w:t>​</w:t>
            </w:r>
          </w:p>
        </w:tc>
        <w:tc>
          <w:tcPr>
            <w:tcW w:w="85" w:type="pct"/>
            <w:noWrap/>
            <w:tcMar>
              <w:top w:w="0" w:type="dxa"/>
              <w:left w:w="0" w:type="dxa"/>
              <w:bottom w:w="0" w:type="dxa"/>
              <w:right w:w="0" w:type="dxa"/>
            </w:tcMar>
            <w:vAlign w:val="center"/>
            <w:hideMark/>
          </w:tcPr>
          <w:p w14:paraId="43EE38FE" w14:textId="77777777" w:rsidR="00000000" w:rsidRDefault="001F1B20">
            <w:pPr>
              <w:pStyle w:val="a3"/>
              <w:spacing w:before="0" w:beforeAutospacing="0" w:after="0" w:afterAutospacing="0"/>
              <w:divId w:val="460071536"/>
              <w:rPr>
                <w:sz w:val="20"/>
                <w:szCs w:val="20"/>
              </w:rPr>
            </w:pPr>
            <w:r>
              <w:rPr>
                <w:sz w:val="2"/>
                <w:szCs w:val="2"/>
              </w:rPr>
              <w:t>​</w:t>
            </w:r>
          </w:p>
        </w:tc>
        <w:tc>
          <w:tcPr>
            <w:tcW w:w="85" w:type="pct"/>
            <w:noWrap/>
            <w:tcMar>
              <w:top w:w="0" w:type="dxa"/>
              <w:left w:w="0" w:type="dxa"/>
              <w:bottom w:w="0" w:type="dxa"/>
              <w:right w:w="0" w:type="dxa"/>
            </w:tcMar>
            <w:vAlign w:val="bottom"/>
            <w:hideMark/>
          </w:tcPr>
          <w:p w14:paraId="250D4C4E" w14:textId="77777777" w:rsidR="00000000" w:rsidRDefault="001F1B20">
            <w:pPr>
              <w:pStyle w:val="a3"/>
              <w:spacing w:before="0" w:beforeAutospacing="0" w:after="0" w:afterAutospacing="0"/>
              <w:divId w:val="613482837"/>
              <w:rPr>
                <w:sz w:val="20"/>
                <w:szCs w:val="20"/>
              </w:rPr>
            </w:pPr>
            <w:r>
              <w:rPr>
                <w:sz w:val="2"/>
                <w:szCs w:val="2"/>
              </w:rPr>
              <w:t>​</w:t>
            </w:r>
          </w:p>
        </w:tc>
        <w:tc>
          <w:tcPr>
            <w:tcW w:w="339" w:type="pct"/>
            <w:noWrap/>
            <w:tcMar>
              <w:top w:w="0" w:type="dxa"/>
              <w:left w:w="0" w:type="dxa"/>
              <w:bottom w:w="0" w:type="dxa"/>
              <w:right w:w="0" w:type="dxa"/>
            </w:tcMar>
            <w:vAlign w:val="center"/>
            <w:hideMark/>
          </w:tcPr>
          <w:p w14:paraId="0A35129F" w14:textId="77777777" w:rsidR="00000000" w:rsidRDefault="001F1B20">
            <w:pPr>
              <w:pStyle w:val="a3"/>
              <w:spacing w:before="0" w:beforeAutospacing="0" w:after="0" w:afterAutospacing="0"/>
              <w:divId w:val="342321048"/>
              <w:rPr>
                <w:sz w:val="20"/>
                <w:szCs w:val="20"/>
              </w:rPr>
            </w:pPr>
            <w:r>
              <w:rPr>
                <w:sz w:val="2"/>
                <w:szCs w:val="2"/>
              </w:rPr>
              <w:t>​</w:t>
            </w:r>
          </w:p>
        </w:tc>
        <w:tc>
          <w:tcPr>
            <w:tcW w:w="85" w:type="pct"/>
            <w:noWrap/>
            <w:tcMar>
              <w:top w:w="0" w:type="dxa"/>
              <w:left w:w="0" w:type="dxa"/>
              <w:bottom w:w="0" w:type="dxa"/>
              <w:right w:w="0" w:type="dxa"/>
            </w:tcMar>
            <w:vAlign w:val="bottom"/>
            <w:hideMark/>
          </w:tcPr>
          <w:p w14:paraId="31181FC6" w14:textId="77777777" w:rsidR="00000000" w:rsidRDefault="001F1B20">
            <w:pPr>
              <w:pStyle w:val="a3"/>
              <w:spacing w:before="0" w:beforeAutospacing="0" w:after="0" w:afterAutospacing="0"/>
              <w:divId w:val="472866365"/>
              <w:rPr>
                <w:sz w:val="20"/>
                <w:szCs w:val="20"/>
              </w:rPr>
            </w:pPr>
            <w:r>
              <w:rPr>
                <w:sz w:val="2"/>
                <w:szCs w:val="2"/>
              </w:rPr>
              <w:t>​</w:t>
            </w:r>
          </w:p>
        </w:tc>
        <w:tc>
          <w:tcPr>
            <w:tcW w:w="85" w:type="pct"/>
            <w:noWrap/>
            <w:tcMar>
              <w:top w:w="0" w:type="dxa"/>
              <w:left w:w="0" w:type="dxa"/>
              <w:bottom w:w="0" w:type="dxa"/>
              <w:right w:w="0" w:type="dxa"/>
            </w:tcMar>
            <w:vAlign w:val="bottom"/>
            <w:hideMark/>
          </w:tcPr>
          <w:p w14:paraId="0587C9BF" w14:textId="77777777" w:rsidR="00000000" w:rsidRDefault="001F1B20">
            <w:pPr>
              <w:pStyle w:val="a3"/>
              <w:spacing w:before="0" w:beforeAutospacing="0" w:after="0" w:afterAutospacing="0"/>
              <w:divId w:val="487137866"/>
              <w:rPr>
                <w:sz w:val="20"/>
                <w:szCs w:val="20"/>
              </w:rPr>
            </w:pPr>
            <w:r>
              <w:rPr>
                <w:sz w:val="2"/>
                <w:szCs w:val="2"/>
              </w:rPr>
              <w:t>​</w:t>
            </w:r>
          </w:p>
        </w:tc>
        <w:tc>
          <w:tcPr>
            <w:tcW w:w="339" w:type="pct"/>
            <w:noWrap/>
            <w:tcMar>
              <w:top w:w="0" w:type="dxa"/>
              <w:left w:w="0" w:type="dxa"/>
              <w:bottom w:w="0" w:type="dxa"/>
              <w:right w:w="0" w:type="dxa"/>
            </w:tcMar>
            <w:vAlign w:val="center"/>
            <w:hideMark/>
          </w:tcPr>
          <w:p w14:paraId="45535D8F" w14:textId="77777777" w:rsidR="00000000" w:rsidRDefault="001F1B20">
            <w:pPr>
              <w:pStyle w:val="a3"/>
              <w:spacing w:before="0" w:beforeAutospacing="0" w:after="0" w:afterAutospacing="0"/>
              <w:divId w:val="1009869780"/>
              <w:rPr>
                <w:sz w:val="20"/>
                <w:szCs w:val="20"/>
              </w:rPr>
            </w:pPr>
            <w:r>
              <w:rPr>
                <w:sz w:val="2"/>
                <w:szCs w:val="2"/>
              </w:rPr>
              <w:t>​</w:t>
            </w:r>
          </w:p>
        </w:tc>
        <w:tc>
          <w:tcPr>
            <w:tcW w:w="85" w:type="pct"/>
            <w:noWrap/>
            <w:tcMar>
              <w:top w:w="0" w:type="dxa"/>
              <w:left w:w="0" w:type="dxa"/>
              <w:bottom w:w="0" w:type="dxa"/>
              <w:right w:w="0" w:type="dxa"/>
            </w:tcMar>
            <w:vAlign w:val="center"/>
            <w:hideMark/>
          </w:tcPr>
          <w:p w14:paraId="2A390121" w14:textId="77777777" w:rsidR="00000000" w:rsidRDefault="001F1B20">
            <w:pPr>
              <w:pStyle w:val="a3"/>
              <w:spacing w:before="0" w:beforeAutospacing="0" w:after="0" w:afterAutospacing="0"/>
              <w:divId w:val="340359956"/>
              <w:rPr>
                <w:sz w:val="20"/>
                <w:szCs w:val="20"/>
              </w:rPr>
            </w:pPr>
            <w:r>
              <w:rPr>
                <w:sz w:val="2"/>
                <w:szCs w:val="2"/>
              </w:rPr>
              <w:t>​</w:t>
            </w:r>
          </w:p>
        </w:tc>
        <w:tc>
          <w:tcPr>
            <w:tcW w:w="85" w:type="pct"/>
            <w:noWrap/>
            <w:tcMar>
              <w:top w:w="0" w:type="dxa"/>
              <w:left w:w="0" w:type="dxa"/>
              <w:bottom w:w="0" w:type="dxa"/>
              <w:right w:w="0" w:type="dxa"/>
            </w:tcMar>
            <w:vAlign w:val="bottom"/>
            <w:hideMark/>
          </w:tcPr>
          <w:p w14:paraId="67ED2215" w14:textId="77777777" w:rsidR="00000000" w:rsidRDefault="001F1B20">
            <w:pPr>
              <w:pStyle w:val="a3"/>
              <w:spacing w:before="0" w:beforeAutospacing="0" w:after="0" w:afterAutospacing="0"/>
              <w:divId w:val="1347370914"/>
              <w:rPr>
                <w:sz w:val="20"/>
                <w:szCs w:val="20"/>
              </w:rPr>
            </w:pPr>
            <w:r>
              <w:rPr>
                <w:sz w:val="2"/>
                <w:szCs w:val="2"/>
              </w:rPr>
              <w:t>​</w:t>
            </w:r>
          </w:p>
        </w:tc>
        <w:tc>
          <w:tcPr>
            <w:tcW w:w="340" w:type="pct"/>
            <w:noWrap/>
            <w:tcMar>
              <w:top w:w="0" w:type="dxa"/>
              <w:left w:w="0" w:type="dxa"/>
              <w:bottom w:w="0" w:type="dxa"/>
              <w:right w:w="0" w:type="dxa"/>
            </w:tcMar>
            <w:vAlign w:val="center"/>
            <w:hideMark/>
          </w:tcPr>
          <w:p w14:paraId="0F416A55" w14:textId="77777777" w:rsidR="00000000" w:rsidRDefault="001F1B20">
            <w:pPr>
              <w:pStyle w:val="a3"/>
              <w:spacing w:before="0" w:beforeAutospacing="0" w:after="0" w:afterAutospacing="0"/>
              <w:divId w:val="2006592449"/>
              <w:rPr>
                <w:sz w:val="20"/>
                <w:szCs w:val="20"/>
              </w:rPr>
            </w:pPr>
            <w:r>
              <w:rPr>
                <w:sz w:val="2"/>
                <w:szCs w:val="2"/>
              </w:rPr>
              <w:t>​</w:t>
            </w:r>
          </w:p>
        </w:tc>
      </w:tr>
      <w:tr w:rsidR="00000000" w14:paraId="6400B70C" w14:textId="77777777">
        <w:trPr>
          <w:divId w:val="52973892"/>
        </w:trPr>
        <w:tc>
          <w:tcPr>
            <w:tcW w:w="1927" w:type="pct"/>
            <w:noWrap/>
            <w:tcMar>
              <w:top w:w="0" w:type="dxa"/>
              <w:left w:w="0" w:type="dxa"/>
              <w:bottom w:w="0" w:type="dxa"/>
              <w:right w:w="0" w:type="dxa"/>
            </w:tcMar>
            <w:vAlign w:val="bottom"/>
            <w:hideMark/>
          </w:tcPr>
          <w:p w14:paraId="139C757F" w14:textId="77777777" w:rsidR="00000000" w:rsidRDefault="001F1B20">
            <w:pPr>
              <w:pStyle w:val="a3"/>
              <w:spacing w:before="0" w:beforeAutospacing="0" w:after="0" w:afterAutospacing="0"/>
              <w:rPr>
                <w:sz w:val="20"/>
                <w:szCs w:val="20"/>
              </w:rPr>
            </w:pPr>
            <w:r>
              <w:rPr>
                <w:sz w:val="22"/>
                <w:szCs w:val="22"/>
              </w:rPr>
              <w:t>​</w:t>
            </w:r>
          </w:p>
        </w:tc>
        <w:tc>
          <w:tcPr>
            <w:tcW w:w="86" w:type="pct"/>
            <w:noWrap/>
            <w:tcMar>
              <w:top w:w="0" w:type="dxa"/>
              <w:left w:w="0" w:type="dxa"/>
              <w:bottom w:w="0" w:type="dxa"/>
              <w:right w:w="0" w:type="dxa"/>
            </w:tcMar>
            <w:vAlign w:val="bottom"/>
            <w:hideMark/>
          </w:tcPr>
          <w:p w14:paraId="74543890" w14:textId="77777777" w:rsidR="00000000" w:rsidRDefault="001F1B20">
            <w:pPr>
              <w:pStyle w:val="a3"/>
              <w:spacing w:before="0" w:beforeAutospacing="0" w:after="0" w:afterAutospacing="0"/>
              <w:rPr>
                <w:sz w:val="20"/>
                <w:szCs w:val="20"/>
              </w:rPr>
            </w:pPr>
            <w:r>
              <w:rPr>
                <w:sz w:val="22"/>
                <w:szCs w:val="22"/>
              </w:rPr>
              <w:t>​</w:t>
            </w:r>
          </w:p>
        </w:tc>
        <w:tc>
          <w:tcPr>
            <w:tcW w:w="2986" w:type="pct"/>
            <w:gridSpan w:val="17"/>
            <w:tcBorders>
              <w:bottom w:val="single" w:sz="6" w:space="0" w:color="000000"/>
            </w:tcBorders>
            <w:noWrap/>
            <w:tcMar>
              <w:top w:w="0" w:type="dxa"/>
              <w:left w:w="0" w:type="dxa"/>
              <w:bottom w:w="0" w:type="dxa"/>
              <w:right w:w="0" w:type="dxa"/>
            </w:tcMar>
            <w:vAlign w:val="bottom"/>
            <w:hideMark/>
          </w:tcPr>
          <w:p w14:paraId="5E0AEBB0" w14:textId="77777777" w:rsidR="00000000" w:rsidRDefault="001F1B20">
            <w:pPr>
              <w:pStyle w:val="a3"/>
              <w:spacing w:before="0" w:beforeAutospacing="0" w:after="0" w:afterAutospacing="0"/>
              <w:jc w:val="center"/>
              <w:rPr>
                <w:sz w:val="16"/>
                <w:szCs w:val="16"/>
              </w:rPr>
            </w:pPr>
            <w:r>
              <w:rPr>
                <w:b/>
                <w:bCs/>
                <w:sz w:val="16"/>
                <w:szCs w:val="16"/>
              </w:rPr>
              <w:t>December 31, 2020</w:t>
            </w:r>
          </w:p>
        </w:tc>
      </w:tr>
      <w:tr w:rsidR="00000000" w14:paraId="7C1C7EE6" w14:textId="77777777">
        <w:trPr>
          <w:divId w:val="52973892"/>
        </w:trPr>
        <w:tc>
          <w:tcPr>
            <w:tcW w:w="1927" w:type="pct"/>
            <w:noWrap/>
            <w:tcMar>
              <w:top w:w="0" w:type="dxa"/>
              <w:left w:w="0" w:type="dxa"/>
              <w:bottom w:w="0" w:type="dxa"/>
              <w:right w:w="0" w:type="dxa"/>
            </w:tcMar>
            <w:vAlign w:val="bottom"/>
            <w:hideMark/>
          </w:tcPr>
          <w:p w14:paraId="0A7B27B9" w14:textId="77777777" w:rsidR="00000000" w:rsidRDefault="001F1B20">
            <w:pPr>
              <w:pStyle w:val="a3"/>
              <w:spacing w:before="0" w:beforeAutospacing="0" w:after="0" w:afterAutospacing="0"/>
              <w:rPr>
                <w:sz w:val="20"/>
                <w:szCs w:val="20"/>
              </w:rPr>
            </w:pPr>
            <w:r>
              <w:rPr>
                <w:sz w:val="22"/>
                <w:szCs w:val="22"/>
              </w:rPr>
              <w:t>​</w:t>
            </w:r>
          </w:p>
        </w:tc>
        <w:tc>
          <w:tcPr>
            <w:tcW w:w="86" w:type="pct"/>
            <w:noWrap/>
            <w:tcMar>
              <w:top w:w="0" w:type="dxa"/>
              <w:left w:w="0" w:type="dxa"/>
              <w:bottom w:w="0" w:type="dxa"/>
              <w:right w:w="0" w:type="dxa"/>
            </w:tcMar>
            <w:vAlign w:val="bottom"/>
            <w:hideMark/>
          </w:tcPr>
          <w:p w14:paraId="31AF87F3" w14:textId="77777777" w:rsidR="00000000" w:rsidRDefault="001F1B20">
            <w:pPr>
              <w:pStyle w:val="a3"/>
              <w:spacing w:before="0" w:beforeAutospacing="0" w:after="0" w:afterAutospacing="0"/>
              <w:rPr>
                <w:sz w:val="20"/>
                <w:szCs w:val="20"/>
              </w:rPr>
            </w:pPr>
            <w:r>
              <w:rPr>
                <w:b/>
                <w:bCs/>
                <w:sz w:val="16"/>
                <w:szCs w:val="16"/>
              </w:rPr>
              <w:t>​</w:t>
            </w:r>
          </w:p>
        </w:tc>
        <w:tc>
          <w:tcPr>
            <w:tcW w:w="939" w:type="pct"/>
            <w:gridSpan w:val="5"/>
            <w:tcBorders>
              <w:bottom w:val="single" w:sz="6" w:space="0" w:color="000000"/>
            </w:tcBorders>
            <w:noWrap/>
            <w:tcMar>
              <w:top w:w="0" w:type="dxa"/>
              <w:left w:w="0" w:type="dxa"/>
              <w:bottom w:w="0" w:type="dxa"/>
              <w:right w:w="0" w:type="dxa"/>
            </w:tcMar>
            <w:vAlign w:val="bottom"/>
            <w:hideMark/>
          </w:tcPr>
          <w:p w14:paraId="35FF4168" w14:textId="77777777" w:rsidR="00000000" w:rsidRDefault="001F1B20">
            <w:pPr>
              <w:pStyle w:val="a3"/>
              <w:spacing w:before="0" w:beforeAutospacing="0" w:after="0" w:afterAutospacing="0"/>
              <w:jc w:val="center"/>
              <w:rPr>
                <w:sz w:val="16"/>
                <w:szCs w:val="16"/>
              </w:rPr>
            </w:pPr>
            <w:r>
              <w:rPr>
                <w:b/>
                <w:bCs/>
                <w:sz w:val="16"/>
                <w:szCs w:val="16"/>
              </w:rPr>
              <w:t>Less than 12 Months</w:t>
            </w:r>
          </w:p>
        </w:tc>
        <w:tc>
          <w:tcPr>
            <w:tcW w:w="85" w:type="pct"/>
            <w:noWrap/>
            <w:tcMar>
              <w:top w:w="0" w:type="dxa"/>
              <w:left w:w="0" w:type="dxa"/>
              <w:bottom w:w="0" w:type="dxa"/>
              <w:right w:w="0" w:type="dxa"/>
            </w:tcMar>
            <w:vAlign w:val="bottom"/>
            <w:hideMark/>
          </w:tcPr>
          <w:p w14:paraId="1C7CFB3D" w14:textId="77777777" w:rsidR="00000000" w:rsidRDefault="001F1B20">
            <w:pPr>
              <w:pStyle w:val="a3"/>
              <w:spacing w:before="0" w:beforeAutospacing="0" w:after="0" w:afterAutospacing="0"/>
              <w:rPr>
                <w:sz w:val="20"/>
                <w:szCs w:val="20"/>
              </w:rPr>
            </w:pPr>
            <w:r>
              <w:rPr>
                <w:b/>
                <w:bCs/>
                <w:sz w:val="16"/>
                <w:szCs w:val="16"/>
              </w:rPr>
              <w:t>​</w:t>
            </w:r>
          </w:p>
        </w:tc>
        <w:tc>
          <w:tcPr>
            <w:tcW w:w="937" w:type="pct"/>
            <w:gridSpan w:val="5"/>
            <w:tcBorders>
              <w:bottom w:val="single" w:sz="6" w:space="0" w:color="000000"/>
            </w:tcBorders>
            <w:noWrap/>
            <w:tcMar>
              <w:top w:w="0" w:type="dxa"/>
              <w:left w:w="0" w:type="dxa"/>
              <w:bottom w:w="0" w:type="dxa"/>
              <w:right w:w="0" w:type="dxa"/>
            </w:tcMar>
            <w:vAlign w:val="bottom"/>
            <w:hideMark/>
          </w:tcPr>
          <w:p w14:paraId="01BF1F71" w14:textId="77777777" w:rsidR="00000000" w:rsidRDefault="001F1B20">
            <w:pPr>
              <w:pStyle w:val="a3"/>
              <w:spacing w:before="0" w:beforeAutospacing="0" w:after="0" w:afterAutospacing="0"/>
              <w:jc w:val="center"/>
              <w:rPr>
                <w:sz w:val="16"/>
                <w:szCs w:val="16"/>
              </w:rPr>
            </w:pPr>
            <w:r>
              <w:rPr>
                <w:b/>
                <w:bCs/>
                <w:sz w:val="16"/>
                <w:szCs w:val="16"/>
              </w:rPr>
              <w:t>Greater than 12 Months</w:t>
            </w:r>
          </w:p>
        </w:tc>
        <w:tc>
          <w:tcPr>
            <w:tcW w:w="85" w:type="pct"/>
            <w:noWrap/>
            <w:tcMar>
              <w:top w:w="0" w:type="dxa"/>
              <w:left w:w="0" w:type="dxa"/>
              <w:bottom w:w="0" w:type="dxa"/>
              <w:right w:w="0" w:type="dxa"/>
            </w:tcMar>
            <w:vAlign w:val="bottom"/>
            <w:hideMark/>
          </w:tcPr>
          <w:p w14:paraId="1C25E215" w14:textId="77777777" w:rsidR="00000000" w:rsidRDefault="001F1B20">
            <w:pPr>
              <w:pStyle w:val="a3"/>
              <w:spacing w:before="0" w:beforeAutospacing="0" w:after="0" w:afterAutospacing="0"/>
              <w:rPr>
                <w:sz w:val="20"/>
                <w:szCs w:val="20"/>
              </w:rPr>
            </w:pPr>
            <w:r>
              <w:rPr>
                <w:b/>
                <w:bCs/>
                <w:sz w:val="16"/>
                <w:szCs w:val="16"/>
              </w:rPr>
              <w:t>​</w:t>
            </w:r>
          </w:p>
        </w:tc>
        <w:tc>
          <w:tcPr>
            <w:tcW w:w="938" w:type="pct"/>
            <w:gridSpan w:val="5"/>
            <w:tcBorders>
              <w:bottom w:val="single" w:sz="6" w:space="0" w:color="000000"/>
            </w:tcBorders>
            <w:noWrap/>
            <w:tcMar>
              <w:top w:w="0" w:type="dxa"/>
              <w:left w:w="0" w:type="dxa"/>
              <w:bottom w:w="0" w:type="dxa"/>
              <w:right w:w="0" w:type="dxa"/>
            </w:tcMar>
            <w:vAlign w:val="bottom"/>
            <w:hideMark/>
          </w:tcPr>
          <w:p w14:paraId="745F03AA" w14:textId="77777777" w:rsidR="00000000" w:rsidRDefault="001F1B20">
            <w:pPr>
              <w:pStyle w:val="a3"/>
              <w:spacing w:before="0" w:beforeAutospacing="0" w:after="0" w:afterAutospacing="0"/>
              <w:jc w:val="center"/>
              <w:rPr>
                <w:sz w:val="16"/>
                <w:szCs w:val="16"/>
              </w:rPr>
            </w:pPr>
            <w:r>
              <w:rPr>
                <w:b/>
                <w:bCs/>
                <w:sz w:val="16"/>
                <w:szCs w:val="16"/>
              </w:rPr>
              <w:t>Total</w:t>
            </w:r>
          </w:p>
        </w:tc>
      </w:tr>
      <w:tr w:rsidR="00000000" w14:paraId="552D8EBF" w14:textId="77777777">
        <w:trPr>
          <w:divId w:val="52973892"/>
        </w:trPr>
        <w:tc>
          <w:tcPr>
            <w:tcW w:w="1927" w:type="pct"/>
            <w:tcMar>
              <w:top w:w="0" w:type="dxa"/>
              <w:left w:w="0" w:type="dxa"/>
              <w:bottom w:w="0" w:type="dxa"/>
              <w:right w:w="0" w:type="dxa"/>
            </w:tcMar>
            <w:vAlign w:val="bottom"/>
            <w:hideMark/>
          </w:tcPr>
          <w:p w14:paraId="6C3D3E5B" w14:textId="77777777" w:rsidR="00000000" w:rsidRDefault="001F1B20">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14:paraId="048E0C31" w14:textId="77777777" w:rsidR="00000000" w:rsidRDefault="001F1B20">
            <w:pPr>
              <w:pStyle w:val="a3"/>
              <w:spacing w:before="0" w:beforeAutospacing="0" w:after="0" w:afterAutospacing="0"/>
              <w:rPr>
                <w:sz w:val="16"/>
                <w:szCs w:val="16"/>
              </w:rPr>
            </w:pPr>
            <w:r>
              <w:rPr>
                <w:b/>
                <w:bCs/>
                <w:sz w:val="16"/>
                <w:szCs w:val="16"/>
              </w:rPr>
              <w:t>   </w:t>
            </w:r>
            <w:r>
              <w:rPr>
                <w:b/>
                <w:bCs/>
                <w:sz w:val="16"/>
                <w:szCs w:val="16"/>
              </w:rPr>
              <w:t> </w:t>
            </w:r>
          </w:p>
        </w:tc>
        <w:tc>
          <w:tcPr>
            <w:tcW w:w="86" w:type="pct"/>
            <w:noWrap/>
            <w:tcMar>
              <w:top w:w="0" w:type="dxa"/>
              <w:left w:w="0" w:type="dxa"/>
              <w:bottom w:w="0" w:type="dxa"/>
              <w:right w:w="0" w:type="dxa"/>
            </w:tcMar>
            <w:vAlign w:val="bottom"/>
            <w:hideMark/>
          </w:tcPr>
          <w:p w14:paraId="58767344" w14:textId="77777777" w:rsidR="00000000" w:rsidRDefault="001F1B20">
            <w:pPr>
              <w:pStyle w:val="a3"/>
              <w:spacing w:before="0" w:beforeAutospacing="0" w:after="0" w:afterAutospacing="0"/>
              <w:jc w:val="center"/>
              <w:rPr>
                <w:sz w:val="20"/>
                <w:szCs w:val="20"/>
              </w:rPr>
            </w:pPr>
            <w:r>
              <w:rPr>
                <w:b/>
                <w:bCs/>
                <w:sz w:val="16"/>
                <w:szCs w:val="16"/>
              </w:rPr>
              <w:t>​</w:t>
            </w:r>
          </w:p>
        </w:tc>
        <w:tc>
          <w:tcPr>
            <w:tcW w:w="340" w:type="pct"/>
            <w:noWrap/>
            <w:tcMar>
              <w:top w:w="0" w:type="dxa"/>
              <w:left w:w="0" w:type="dxa"/>
              <w:bottom w:w="0" w:type="dxa"/>
              <w:right w:w="0" w:type="dxa"/>
            </w:tcMar>
            <w:vAlign w:val="bottom"/>
            <w:hideMark/>
          </w:tcPr>
          <w:p w14:paraId="5330CBC6" w14:textId="77777777" w:rsidR="00000000" w:rsidRDefault="001F1B20">
            <w:pPr>
              <w:pStyle w:val="a3"/>
              <w:spacing w:before="0" w:beforeAutospacing="0" w:after="0"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14:paraId="12063D21" w14:textId="77777777" w:rsidR="00000000" w:rsidRDefault="001F1B20">
            <w:pPr>
              <w:pStyle w:val="a3"/>
              <w:spacing w:before="0" w:beforeAutospacing="0" w:after="0" w:afterAutospacing="0"/>
              <w:rPr>
                <w:sz w:val="16"/>
                <w:szCs w:val="16"/>
              </w:rPr>
            </w:pPr>
            <w:r>
              <w:rPr>
                <w:b/>
                <w:bCs/>
                <w:sz w:val="16"/>
                <w:szCs w:val="16"/>
              </w:rPr>
              <w:t>    </w:t>
            </w:r>
          </w:p>
        </w:tc>
        <w:tc>
          <w:tcPr>
            <w:tcW w:w="426" w:type="pct"/>
            <w:gridSpan w:val="2"/>
            <w:noWrap/>
            <w:tcMar>
              <w:top w:w="0" w:type="dxa"/>
              <w:left w:w="0" w:type="dxa"/>
              <w:bottom w:w="0" w:type="dxa"/>
              <w:right w:w="0" w:type="dxa"/>
            </w:tcMar>
            <w:vAlign w:val="bottom"/>
            <w:hideMark/>
          </w:tcPr>
          <w:p w14:paraId="1463D86F" w14:textId="77777777" w:rsidR="00000000" w:rsidRDefault="001F1B20">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14:paraId="5572CBB3" w14:textId="77777777" w:rsidR="00000000" w:rsidRDefault="001F1B20">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14:paraId="2FFD86C4" w14:textId="77777777" w:rsidR="00000000" w:rsidRDefault="001F1B20">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14:paraId="2C27E6E5" w14:textId="77777777" w:rsidR="00000000" w:rsidRDefault="001F1B20">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14:paraId="11D1A2EE" w14:textId="77777777" w:rsidR="00000000" w:rsidRDefault="001F1B20">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14:paraId="32643FBB" w14:textId="77777777" w:rsidR="00000000" w:rsidRDefault="001F1B20">
            <w:pPr>
              <w:pStyle w:val="a3"/>
              <w:spacing w:before="0" w:beforeAutospacing="0" w:after="0" w:afterAutospacing="0"/>
              <w:jc w:val="center"/>
              <w:rPr>
                <w:sz w:val="16"/>
                <w:szCs w:val="16"/>
              </w:rPr>
            </w:pPr>
            <w:r>
              <w:rPr>
                <w:b/>
                <w:bCs/>
                <w:sz w:val="16"/>
                <w:szCs w:val="16"/>
              </w:rPr>
              <w:t>Gross</w:t>
            </w:r>
          </w:p>
        </w:tc>
        <w:tc>
          <w:tcPr>
            <w:tcW w:w="85" w:type="pct"/>
            <w:noWrap/>
            <w:tcMar>
              <w:top w:w="0" w:type="dxa"/>
              <w:left w:w="0" w:type="dxa"/>
              <w:bottom w:w="0" w:type="dxa"/>
              <w:right w:w="0" w:type="dxa"/>
            </w:tcMar>
            <w:vAlign w:val="bottom"/>
            <w:hideMark/>
          </w:tcPr>
          <w:p w14:paraId="4AEDB669" w14:textId="77777777" w:rsidR="00000000" w:rsidRDefault="001F1B20">
            <w:pPr>
              <w:pStyle w:val="a3"/>
              <w:spacing w:before="0" w:beforeAutospacing="0" w:after="0" w:afterAutospacing="0"/>
              <w:rPr>
                <w:sz w:val="16"/>
                <w:szCs w:val="16"/>
              </w:rPr>
            </w:pPr>
            <w:r>
              <w:rPr>
                <w:b/>
                <w:bCs/>
                <w:sz w:val="16"/>
                <w:szCs w:val="16"/>
              </w:rPr>
              <w:t>    </w:t>
            </w:r>
          </w:p>
        </w:tc>
        <w:tc>
          <w:tcPr>
            <w:tcW w:w="85" w:type="pct"/>
            <w:noWrap/>
            <w:tcMar>
              <w:top w:w="0" w:type="dxa"/>
              <w:left w:w="0" w:type="dxa"/>
              <w:bottom w:w="0" w:type="dxa"/>
              <w:right w:w="0" w:type="dxa"/>
            </w:tcMar>
            <w:vAlign w:val="bottom"/>
            <w:hideMark/>
          </w:tcPr>
          <w:p w14:paraId="1C7BACF1" w14:textId="77777777" w:rsidR="00000000" w:rsidRDefault="001F1B20">
            <w:pPr>
              <w:pStyle w:val="a3"/>
              <w:spacing w:before="0" w:beforeAutospacing="0" w:after="0" w:afterAutospacing="0"/>
              <w:jc w:val="center"/>
              <w:rPr>
                <w:sz w:val="20"/>
                <w:szCs w:val="20"/>
              </w:rPr>
            </w:pPr>
            <w:r>
              <w:rPr>
                <w:b/>
                <w:bCs/>
                <w:sz w:val="16"/>
                <w:szCs w:val="16"/>
              </w:rPr>
              <w:t>​</w:t>
            </w:r>
          </w:p>
        </w:tc>
        <w:tc>
          <w:tcPr>
            <w:tcW w:w="339" w:type="pct"/>
            <w:noWrap/>
            <w:tcMar>
              <w:top w:w="0" w:type="dxa"/>
              <w:left w:w="0" w:type="dxa"/>
              <w:bottom w:w="0" w:type="dxa"/>
              <w:right w:w="0" w:type="dxa"/>
            </w:tcMar>
            <w:vAlign w:val="bottom"/>
            <w:hideMark/>
          </w:tcPr>
          <w:p w14:paraId="4FA66860" w14:textId="77777777" w:rsidR="00000000" w:rsidRDefault="001F1B20">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14:paraId="3DFF0803" w14:textId="77777777" w:rsidR="00000000" w:rsidRDefault="001F1B20">
            <w:pPr>
              <w:pStyle w:val="a3"/>
              <w:spacing w:before="0" w:beforeAutospacing="0" w:after="0" w:afterAutospacing="0"/>
              <w:jc w:val="center"/>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7BE32C75" w14:textId="77777777" w:rsidR="00000000" w:rsidRDefault="001F1B20">
            <w:pPr>
              <w:pStyle w:val="a3"/>
              <w:spacing w:before="0" w:beforeAutospacing="0" w:after="0" w:afterAutospacing="0"/>
              <w:jc w:val="center"/>
              <w:rPr>
                <w:sz w:val="16"/>
                <w:szCs w:val="16"/>
              </w:rPr>
            </w:pPr>
            <w:r>
              <w:rPr>
                <w:b/>
                <w:bCs/>
                <w:sz w:val="16"/>
                <w:szCs w:val="16"/>
              </w:rPr>
              <w:t>Gross</w:t>
            </w:r>
          </w:p>
        </w:tc>
      </w:tr>
      <w:tr w:rsidR="00000000" w14:paraId="4CB82034" w14:textId="77777777">
        <w:trPr>
          <w:divId w:val="52973892"/>
        </w:trPr>
        <w:tc>
          <w:tcPr>
            <w:tcW w:w="1927" w:type="pct"/>
            <w:noWrap/>
            <w:tcMar>
              <w:top w:w="0" w:type="dxa"/>
              <w:left w:w="0" w:type="dxa"/>
              <w:bottom w:w="0" w:type="dxa"/>
              <w:right w:w="0" w:type="dxa"/>
            </w:tcMar>
            <w:vAlign w:val="bottom"/>
            <w:hideMark/>
          </w:tcPr>
          <w:p w14:paraId="4FCA142C" w14:textId="77777777" w:rsidR="00000000" w:rsidRDefault="001F1B20">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14:paraId="1674AD36" w14:textId="77777777" w:rsidR="00000000" w:rsidRDefault="001F1B20">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1525A033" w14:textId="77777777" w:rsidR="00000000" w:rsidRDefault="001F1B20">
            <w:pPr>
              <w:pStyle w:val="a3"/>
              <w:spacing w:before="0" w:beforeAutospacing="0" w:after="0" w:afterAutospacing="0"/>
              <w:jc w:val="center"/>
              <w:rPr>
                <w:sz w:val="16"/>
                <w:szCs w:val="16"/>
              </w:rPr>
            </w:pPr>
            <w:r>
              <w:rPr>
                <w:b/>
                <w:bCs/>
                <w:sz w:val="16"/>
                <w:szCs w:val="16"/>
              </w:rPr>
              <w:t>Estimated</w:t>
            </w:r>
          </w:p>
        </w:tc>
        <w:tc>
          <w:tcPr>
            <w:tcW w:w="86" w:type="pct"/>
            <w:noWrap/>
            <w:tcMar>
              <w:top w:w="0" w:type="dxa"/>
              <w:left w:w="0" w:type="dxa"/>
              <w:bottom w:w="0" w:type="dxa"/>
              <w:right w:w="0" w:type="dxa"/>
            </w:tcMar>
            <w:vAlign w:val="bottom"/>
            <w:hideMark/>
          </w:tcPr>
          <w:p w14:paraId="5F7F851D" w14:textId="77777777" w:rsidR="00000000" w:rsidRDefault="001F1B20">
            <w:pPr>
              <w:pStyle w:val="a3"/>
              <w:spacing w:before="0" w:beforeAutospacing="0" w:after="0" w:afterAutospacing="0"/>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3A229967" w14:textId="77777777" w:rsidR="00000000" w:rsidRDefault="001F1B20">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14:paraId="5C63E586" w14:textId="77777777" w:rsidR="00000000" w:rsidRDefault="001F1B20">
            <w:pPr>
              <w:pStyle w:val="a3"/>
              <w:spacing w:before="0" w:beforeAutospacing="0" w:after="0" w:afterAutospacing="0"/>
              <w:jc w:val="center"/>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14:paraId="7F692F1A" w14:textId="77777777" w:rsidR="00000000" w:rsidRDefault="001F1B20">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14:paraId="0140E818" w14:textId="77777777" w:rsidR="00000000" w:rsidRDefault="001F1B20">
            <w:pPr>
              <w:pStyle w:val="a3"/>
              <w:spacing w:before="0" w:beforeAutospacing="0" w:after="0" w:afterAutospacing="0"/>
              <w:jc w:val="center"/>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14:paraId="321486B5" w14:textId="77777777" w:rsidR="00000000" w:rsidRDefault="001F1B20">
            <w:pPr>
              <w:pStyle w:val="a3"/>
              <w:spacing w:before="0" w:beforeAutospacing="0" w:after="0" w:afterAutospacing="0"/>
              <w:jc w:val="center"/>
              <w:rPr>
                <w:sz w:val="16"/>
                <w:szCs w:val="16"/>
              </w:rPr>
            </w:pPr>
            <w:r>
              <w:rPr>
                <w:b/>
                <w:bCs/>
                <w:sz w:val="16"/>
                <w:szCs w:val="16"/>
              </w:rPr>
              <w:t>Unrealized</w:t>
            </w:r>
          </w:p>
        </w:tc>
        <w:tc>
          <w:tcPr>
            <w:tcW w:w="85" w:type="pct"/>
            <w:noWrap/>
            <w:tcMar>
              <w:top w:w="0" w:type="dxa"/>
              <w:left w:w="0" w:type="dxa"/>
              <w:bottom w:w="0" w:type="dxa"/>
              <w:right w:w="0" w:type="dxa"/>
            </w:tcMar>
            <w:vAlign w:val="bottom"/>
            <w:hideMark/>
          </w:tcPr>
          <w:p w14:paraId="5880AB1D" w14:textId="77777777" w:rsidR="00000000" w:rsidRDefault="001F1B20">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14:paraId="5B316950" w14:textId="77777777" w:rsidR="00000000" w:rsidRDefault="001F1B20">
            <w:pPr>
              <w:pStyle w:val="a3"/>
              <w:spacing w:before="0" w:beforeAutospacing="0" w:after="0" w:afterAutospacing="0"/>
              <w:jc w:val="center"/>
              <w:rPr>
                <w:sz w:val="16"/>
                <w:szCs w:val="16"/>
              </w:rPr>
            </w:pPr>
            <w:r>
              <w:rPr>
                <w:b/>
                <w:bCs/>
                <w:sz w:val="16"/>
                <w:szCs w:val="16"/>
              </w:rPr>
              <w:t>Estimated</w:t>
            </w:r>
          </w:p>
        </w:tc>
        <w:tc>
          <w:tcPr>
            <w:tcW w:w="85" w:type="pct"/>
            <w:noWrap/>
            <w:tcMar>
              <w:top w:w="0" w:type="dxa"/>
              <w:left w:w="0" w:type="dxa"/>
              <w:bottom w:w="0" w:type="dxa"/>
              <w:right w:w="0" w:type="dxa"/>
            </w:tcMar>
            <w:vAlign w:val="bottom"/>
            <w:hideMark/>
          </w:tcPr>
          <w:p w14:paraId="11A20845" w14:textId="77777777" w:rsidR="00000000" w:rsidRDefault="001F1B20">
            <w:pPr>
              <w:pStyle w:val="a3"/>
              <w:spacing w:before="0" w:beforeAutospacing="0" w:after="0" w:afterAutospacing="0"/>
              <w:jc w:val="center"/>
              <w:rPr>
                <w:sz w:val="20"/>
                <w:szCs w:val="20"/>
              </w:rPr>
            </w:pPr>
            <w:r>
              <w:rPr>
                <w:b/>
                <w:bCs/>
                <w:sz w:val="16"/>
                <w:szCs w:val="16"/>
              </w:rPr>
              <w:t>​</w:t>
            </w:r>
          </w:p>
        </w:tc>
        <w:tc>
          <w:tcPr>
            <w:tcW w:w="426" w:type="pct"/>
            <w:gridSpan w:val="2"/>
            <w:noWrap/>
            <w:tcMar>
              <w:top w:w="0" w:type="dxa"/>
              <w:left w:w="0" w:type="dxa"/>
              <w:bottom w:w="0" w:type="dxa"/>
              <w:right w:w="0" w:type="dxa"/>
            </w:tcMar>
            <w:vAlign w:val="bottom"/>
            <w:hideMark/>
          </w:tcPr>
          <w:p w14:paraId="1023E941" w14:textId="77777777" w:rsidR="00000000" w:rsidRDefault="001F1B20">
            <w:pPr>
              <w:pStyle w:val="a3"/>
              <w:spacing w:before="0" w:beforeAutospacing="0" w:after="0" w:afterAutospacing="0"/>
              <w:jc w:val="center"/>
              <w:rPr>
                <w:sz w:val="16"/>
                <w:szCs w:val="16"/>
              </w:rPr>
            </w:pPr>
            <w:r>
              <w:rPr>
                <w:b/>
                <w:bCs/>
                <w:sz w:val="16"/>
                <w:szCs w:val="16"/>
              </w:rPr>
              <w:t>Unrealized</w:t>
            </w:r>
          </w:p>
        </w:tc>
      </w:tr>
      <w:tr w:rsidR="00000000" w14:paraId="5BC921BE" w14:textId="77777777">
        <w:trPr>
          <w:divId w:val="52973892"/>
        </w:trPr>
        <w:tc>
          <w:tcPr>
            <w:tcW w:w="1927" w:type="pct"/>
            <w:tcBorders>
              <w:bottom w:val="single" w:sz="6" w:space="0" w:color="000000"/>
            </w:tcBorders>
            <w:tcMar>
              <w:top w:w="0" w:type="dxa"/>
              <w:left w:w="0" w:type="dxa"/>
              <w:bottom w:w="0" w:type="dxa"/>
              <w:right w:w="0" w:type="dxa"/>
            </w:tcMar>
            <w:vAlign w:val="bottom"/>
            <w:hideMark/>
          </w:tcPr>
          <w:p w14:paraId="4EB85091" w14:textId="77777777" w:rsidR="00000000" w:rsidRDefault="001F1B20">
            <w:pPr>
              <w:pStyle w:val="a3"/>
              <w:spacing w:before="0" w:beforeAutospacing="0" w:after="0" w:afterAutospacing="0"/>
              <w:rPr>
                <w:sz w:val="16"/>
                <w:szCs w:val="16"/>
              </w:rPr>
            </w:pPr>
            <w:r>
              <w:rPr>
                <w:b/>
                <w:bCs/>
                <w:sz w:val="16"/>
                <w:szCs w:val="16"/>
              </w:rPr>
              <w:t>(In thousands)</w:t>
            </w:r>
          </w:p>
        </w:tc>
        <w:tc>
          <w:tcPr>
            <w:tcW w:w="86" w:type="pct"/>
            <w:tcMar>
              <w:top w:w="0" w:type="dxa"/>
              <w:left w:w="0" w:type="dxa"/>
              <w:bottom w:w="0" w:type="dxa"/>
              <w:right w:w="0" w:type="dxa"/>
            </w:tcMar>
            <w:vAlign w:val="bottom"/>
            <w:hideMark/>
          </w:tcPr>
          <w:p w14:paraId="0FF7B72D" w14:textId="77777777" w:rsidR="00000000" w:rsidRDefault="001F1B20">
            <w:pPr>
              <w:pStyle w:val="a3"/>
              <w:spacing w:before="0" w:beforeAutospacing="0" w:after="0" w:afterAutospacing="0"/>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14:paraId="2D3AED6D" w14:textId="77777777" w:rsidR="00000000" w:rsidRDefault="001F1B20">
            <w:pPr>
              <w:pStyle w:val="a3"/>
              <w:spacing w:before="0" w:beforeAutospacing="0" w:after="0" w:afterAutospacing="0"/>
              <w:jc w:val="center"/>
              <w:rPr>
                <w:sz w:val="16"/>
                <w:szCs w:val="16"/>
              </w:rPr>
            </w:pPr>
            <w:r>
              <w:rPr>
                <w:b/>
                <w:bCs/>
                <w:sz w:val="16"/>
                <w:szCs w:val="16"/>
              </w:rPr>
              <w:t>Fair Value</w:t>
            </w:r>
          </w:p>
        </w:tc>
        <w:tc>
          <w:tcPr>
            <w:tcW w:w="86" w:type="pct"/>
            <w:noWrap/>
            <w:tcMar>
              <w:top w:w="0" w:type="dxa"/>
              <w:left w:w="0" w:type="dxa"/>
              <w:bottom w:w="0" w:type="dxa"/>
              <w:right w:w="0" w:type="dxa"/>
            </w:tcMar>
            <w:vAlign w:val="bottom"/>
            <w:hideMark/>
          </w:tcPr>
          <w:p w14:paraId="48B32B4A" w14:textId="77777777" w:rsidR="00000000" w:rsidRDefault="001F1B20">
            <w:pPr>
              <w:pStyle w:val="a3"/>
              <w:spacing w:before="0" w:beforeAutospacing="0" w:after="0" w:afterAutospacing="0"/>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14:paraId="1C9094AB" w14:textId="77777777" w:rsidR="00000000" w:rsidRDefault="001F1B20">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14:paraId="71A43557" w14:textId="77777777" w:rsidR="00000000" w:rsidRDefault="001F1B20">
            <w:pPr>
              <w:pStyle w:val="a3"/>
              <w:spacing w:before="0" w:beforeAutospacing="0" w:after="0" w:afterAutospacing="0"/>
              <w:jc w:val="center"/>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14:paraId="439F46E9" w14:textId="77777777" w:rsidR="00000000" w:rsidRDefault="001F1B20">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14:paraId="50703FAC" w14:textId="77777777" w:rsidR="00000000" w:rsidRDefault="001F1B20">
            <w:pPr>
              <w:pStyle w:val="a3"/>
              <w:spacing w:before="0" w:beforeAutospacing="0" w:after="0" w:afterAutospacing="0"/>
              <w:jc w:val="center"/>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14:paraId="7D4779F4" w14:textId="77777777" w:rsidR="00000000" w:rsidRDefault="001F1B20">
            <w:pPr>
              <w:pStyle w:val="a3"/>
              <w:spacing w:before="0" w:beforeAutospacing="0" w:after="0" w:afterAutospacing="0"/>
              <w:jc w:val="center"/>
              <w:rPr>
                <w:sz w:val="16"/>
                <w:szCs w:val="16"/>
              </w:rPr>
            </w:pPr>
            <w:r>
              <w:rPr>
                <w:b/>
                <w:bCs/>
                <w:sz w:val="16"/>
                <w:szCs w:val="16"/>
              </w:rPr>
              <w:t>Losses</w:t>
            </w:r>
          </w:p>
        </w:tc>
        <w:tc>
          <w:tcPr>
            <w:tcW w:w="85" w:type="pct"/>
            <w:noWrap/>
            <w:tcMar>
              <w:top w:w="0" w:type="dxa"/>
              <w:left w:w="0" w:type="dxa"/>
              <w:bottom w:w="0" w:type="dxa"/>
              <w:right w:w="0" w:type="dxa"/>
            </w:tcMar>
            <w:vAlign w:val="bottom"/>
            <w:hideMark/>
          </w:tcPr>
          <w:p w14:paraId="3A1E88FE" w14:textId="77777777" w:rsidR="00000000" w:rsidRDefault="001F1B20">
            <w:pPr>
              <w:pStyle w:val="a3"/>
              <w:spacing w:before="0" w:beforeAutospacing="0" w:after="0" w:afterAutospacing="0"/>
              <w:rPr>
                <w:sz w:val="20"/>
                <w:szCs w:val="20"/>
              </w:rPr>
            </w:pPr>
            <w:r>
              <w:rPr>
                <w:b/>
                <w:bCs/>
                <w:sz w:val="16"/>
                <w:szCs w:val="16"/>
              </w:rPr>
              <w:t>​</w:t>
            </w:r>
          </w:p>
        </w:tc>
        <w:tc>
          <w:tcPr>
            <w:tcW w:w="425" w:type="pct"/>
            <w:gridSpan w:val="2"/>
            <w:tcBorders>
              <w:bottom w:val="single" w:sz="6" w:space="0" w:color="000000"/>
            </w:tcBorders>
            <w:noWrap/>
            <w:tcMar>
              <w:top w:w="0" w:type="dxa"/>
              <w:left w:w="0" w:type="dxa"/>
              <w:bottom w:w="0" w:type="dxa"/>
              <w:right w:w="0" w:type="dxa"/>
            </w:tcMar>
            <w:vAlign w:val="bottom"/>
            <w:hideMark/>
          </w:tcPr>
          <w:p w14:paraId="407A3BC9" w14:textId="77777777" w:rsidR="00000000" w:rsidRDefault="001F1B20">
            <w:pPr>
              <w:pStyle w:val="a3"/>
              <w:spacing w:before="0" w:beforeAutospacing="0" w:after="0" w:afterAutospacing="0"/>
              <w:jc w:val="center"/>
              <w:rPr>
                <w:sz w:val="16"/>
                <w:szCs w:val="16"/>
              </w:rPr>
            </w:pPr>
            <w:r>
              <w:rPr>
                <w:b/>
                <w:bCs/>
                <w:sz w:val="16"/>
                <w:szCs w:val="16"/>
              </w:rPr>
              <w:t>Fair Value</w:t>
            </w:r>
          </w:p>
        </w:tc>
        <w:tc>
          <w:tcPr>
            <w:tcW w:w="85" w:type="pct"/>
            <w:noWrap/>
            <w:tcMar>
              <w:top w:w="0" w:type="dxa"/>
              <w:left w:w="0" w:type="dxa"/>
              <w:bottom w:w="0" w:type="dxa"/>
              <w:right w:w="0" w:type="dxa"/>
            </w:tcMar>
            <w:vAlign w:val="bottom"/>
            <w:hideMark/>
          </w:tcPr>
          <w:p w14:paraId="2C545ABF" w14:textId="77777777" w:rsidR="00000000" w:rsidRDefault="001F1B20">
            <w:pPr>
              <w:pStyle w:val="a3"/>
              <w:spacing w:before="0" w:beforeAutospacing="0" w:after="0" w:afterAutospacing="0"/>
              <w:jc w:val="center"/>
              <w:rPr>
                <w:sz w:val="20"/>
                <w:szCs w:val="20"/>
              </w:rPr>
            </w:pPr>
            <w:r>
              <w:rPr>
                <w:b/>
                <w:bCs/>
                <w:sz w:val="16"/>
                <w:szCs w:val="16"/>
              </w:rPr>
              <w:t>​</w:t>
            </w:r>
          </w:p>
        </w:tc>
        <w:tc>
          <w:tcPr>
            <w:tcW w:w="426" w:type="pct"/>
            <w:gridSpan w:val="2"/>
            <w:tcBorders>
              <w:bottom w:val="single" w:sz="6" w:space="0" w:color="000000"/>
            </w:tcBorders>
            <w:noWrap/>
            <w:tcMar>
              <w:top w:w="0" w:type="dxa"/>
              <w:left w:w="0" w:type="dxa"/>
              <w:bottom w:w="0" w:type="dxa"/>
              <w:right w:w="0" w:type="dxa"/>
            </w:tcMar>
            <w:vAlign w:val="bottom"/>
            <w:hideMark/>
          </w:tcPr>
          <w:p w14:paraId="3B2A2B3A" w14:textId="77777777" w:rsidR="00000000" w:rsidRDefault="001F1B20">
            <w:pPr>
              <w:pStyle w:val="a3"/>
              <w:spacing w:before="0" w:beforeAutospacing="0" w:after="0" w:afterAutospacing="0"/>
              <w:jc w:val="center"/>
              <w:rPr>
                <w:sz w:val="16"/>
                <w:szCs w:val="16"/>
              </w:rPr>
            </w:pPr>
            <w:r>
              <w:rPr>
                <w:b/>
                <w:bCs/>
                <w:sz w:val="16"/>
                <w:szCs w:val="16"/>
              </w:rPr>
              <w:t>Losses</w:t>
            </w:r>
          </w:p>
        </w:tc>
      </w:tr>
      <w:tr w:rsidR="00000000" w14:paraId="7A709E81" w14:textId="77777777">
        <w:trPr>
          <w:divId w:val="52973892"/>
        </w:trPr>
        <w:tc>
          <w:tcPr>
            <w:tcW w:w="1927" w:type="pct"/>
            <w:shd w:val="clear" w:color="auto" w:fill="CCEEFF"/>
            <w:tcMar>
              <w:top w:w="0" w:type="dxa"/>
              <w:left w:w="0" w:type="dxa"/>
              <w:bottom w:w="0" w:type="dxa"/>
              <w:right w:w="0" w:type="dxa"/>
            </w:tcMar>
            <w:vAlign w:val="center"/>
            <w:hideMark/>
          </w:tcPr>
          <w:p w14:paraId="4E204F6A" w14:textId="77777777" w:rsidR="00000000" w:rsidRDefault="001F1B20">
            <w:pPr>
              <w:pStyle w:val="a3"/>
              <w:spacing w:before="0" w:beforeAutospacing="0" w:after="0" w:afterAutospacing="0"/>
              <w:rPr>
                <w:sz w:val="20"/>
                <w:szCs w:val="20"/>
              </w:rPr>
            </w:pPr>
            <w:r>
              <w:rPr>
                <w:sz w:val="20"/>
                <w:szCs w:val="20"/>
              </w:rPr>
              <w:t>Corporate notes</w:t>
            </w:r>
          </w:p>
        </w:tc>
        <w:tc>
          <w:tcPr>
            <w:tcW w:w="86" w:type="pct"/>
            <w:shd w:val="clear" w:color="auto" w:fill="CCEEFF"/>
            <w:noWrap/>
            <w:tcMar>
              <w:top w:w="0" w:type="dxa"/>
              <w:left w:w="0" w:type="dxa"/>
              <w:bottom w:w="0" w:type="dxa"/>
              <w:right w:w="0" w:type="dxa"/>
            </w:tcMar>
            <w:vAlign w:val="bottom"/>
            <w:hideMark/>
          </w:tcPr>
          <w:p w14:paraId="489363BC" w14:textId="77777777" w:rsidR="00000000" w:rsidRDefault="001F1B20">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5965EF0C" w14:textId="77777777" w:rsidR="00000000" w:rsidRDefault="001F1B20">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14:paraId="369091B3" w14:textId="77777777" w:rsidR="00000000" w:rsidRDefault="001F1B20">
            <w:pPr>
              <w:pStyle w:val="a3"/>
              <w:spacing w:before="0" w:beforeAutospacing="0" w:after="0" w:afterAutospacing="0"/>
              <w:ind w:right="60"/>
              <w:jc w:val="right"/>
              <w:rPr>
                <w:sz w:val="20"/>
                <w:szCs w:val="20"/>
              </w:rPr>
            </w:pPr>
            <w:r>
              <w:rPr>
                <w:sz w:val="20"/>
                <w:szCs w:val="20"/>
              </w:rPr>
              <w:t>5,045</w:t>
            </w:r>
          </w:p>
        </w:tc>
        <w:tc>
          <w:tcPr>
            <w:tcW w:w="86" w:type="pct"/>
            <w:shd w:val="clear" w:color="auto" w:fill="CCEEFF"/>
            <w:noWrap/>
            <w:tcMar>
              <w:top w:w="0" w:type="dxa"/>
              <w:left w:w="0" w:type="dxa"/>
              <w:bottom w:w="0" w:type="dxa"/>
              <w:right w:w="0" w:type="dxa"/>
            </w:tcMar>
            <w:vAlign w:val="bottom"/>
            <w:hideMark/>
          </w:tcPr>
          <w:p w14:paraId="633260E8" w14:textId="77777777" w:rsidR="00000000" w:rsidRDefault="001F1B20">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14:paraId="1EBC9F2A" w14:textId="77777777" w:rsidR="00000000" w:rsidRDefault="001F1B20">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14:paraId="4532E3E7" w14:textId="77777777" w:rsidR="00000000" w:rsidRDefault="001F1B20">
            <w:pPr>
              <w:pStyle w:val="a3"/>
              <w:spacing w:before="0" w:beforeAutospacing="0" w:after="0" w:afterAutospacing="0"/>
              <w:jc w:val="right"/>
              <w:rPr>
                <w:sz w:val="20"/>
                <w:szCs w:val="20"/>
              </w:rPr>
            </w:pPr>
            <w:r>
              <w:rPr>
                <w:sz w:val="20"/>
                <w:szCs w:val="20"/>
              </w:rPr>
              <w:t>(1)</w:t>
            </w:r>
          </w:p>
        </w:tc>
        <w:tc>
          <w:tcPr>
            <w:tcW w:w="85" w:type="pct"/>
            <w:shd w:val="clear" w:color="auto" w:fill="CCEEFF"/>
            <w:noWrap/>
            <w:tcMar>
              <w:top w:w="0" w:type="dxa"/>
              <w:left w:w="0" w:type="dxa"/>
              <w:bottom w:w="0" w:type="dxa"/>
              <w:right w:w="0" w:type="dxa"/>
            </w:tcMar>
            <w:vAlign w:val="center"/>
            <w:hideMark/>
          </w:tcPr>
          <w:p w14:paraId="4C5DDFFF" w14:textId="77777777" w:rsidR="00000000" w:rsidRDefault="001F1B20">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486713A0" w14:textId="77777777" w:rsidR="00000000" w:rsidRDefault="001F1B2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14:paraId="3568C0BC" w14:textId="77777777" w:rsidR="00000000" w:rsidRDefault="001F1B20">
            <w:pPr>
              <w:pStyle w:val="a3"/>
              <w:spacing w:before="0" w:beforeAutospacing="0" w:after="0" w:afterAutospacing="0"/>
              <w:ind w:right="6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14:paraId="0EB6BD73" w14:textId="77777777" w:rsidR="00000000" w:rsidRDefault="001F1B20">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138E8D64" w14:textId="77777777" w:rsidR="00000000" w:rsidRDefault="001F1B2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14:paraId="5ED2FA09" w14:textId="77777777" w:rsidR="00000000" w:rsidRDefault="001F1B20">
            <w:pPr>
              <w:pStyle w:val="a3"/>
              <w:spacing w:before="0" w:beforeAutospacing="0" w:after="0" w:afterAutospacing="0"/>
              <w:ind w:right="6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5ECF1AC3" w14:textId="77777777" w:rsidR="00000000" w:rsidRDefault="001F1B20">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4A428F78" w14:textId="77777777" w:rsidR="00000000" w:rsidRDefault="001F1B20">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center"/>
            <w:hideMark/>
          </w:tcPr>
          <w:p w14:paraId="7686C642" w14:textId="77777777" w:rsidR="00000000" w:rsidRDefault="001F1B20">
            <w:pPr>
              <w:pStyle w:val="a3"/>
              <w:spacing w:before="0" w:beforeAutospacing="0" w:after="0" w:afterAutospacing="0"/>
              <w:ind w:right="60"/>
              <w:jc w:val="right"/>
              <w:rPr>
                <w:sz w:val="20"/>
                <w:szCs w:val="20"/>
              </w:rPr>
            </w:pPr>
            <w:r>
              <w:rPr>
                <w:sz w:val="20"/>
                <w:szCs w:val="20"/>
              </w:rPr>
              <w:t>5,045</w:t>
            </w:r>
          </w:p>
        </w:tc>
        <w:tc>
          <w:tcPr>
            <w:tcW w:w="85" w:type="pct"/>
            <w:shd w:val="clear" w:color="auto" w:fill="CCEEFF"/>
            <w:noWrap/>
            <w:tcMar>
              <w:top w:w="0" w:type="dxa"/>
              <w:left w:w="0" w:type="dxa"/>
              <w:bottom w:w="0" w:type="dxa"/>
              <w:right w:w="0" w:type="dxa"/>
            </w:tcMar>
            <w:vAlign w:val="center"/>
            <w:hideMark/>
          </w:tcPr>
          <w:p w14:paraId="2B70BFC0" w14:textId="77777777" w:rsidR="00000000" w:rsidRDefault="001F1B20">
            <w:pPr>
              <w:pStyle w:val="a3"/>
              <w:spacing w:before="0" w:beforeAutospacing="0" w:after="0" w:afterAutospacing="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1F78E046" w14:textId="77777777" w:rsidR="00000000" w:rsidRDefault="001F1B20">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center"/>
            <w:hideMark/>
          </w:tcPr>
          <w:p w14:paraId="7B40A7C1" w14:textId="77777777" w:rsidR="00000000" w:rsidRDefault="001F1B20">
            <w:pPr>
              <w:pStyle w:val="a3"/>
              <w:spacing w:before="0" w:beforeAutospacing="0" w:after="0" w:afterAutospacing="0"/>
              <w:jc w:val="right"/>
              <w:rPr>
                <w:sz w:val="20"/>
                <w:szCs w:val="20"/>
              </w:rPr>
            </w:pPr>
            <w:r>
              <w:rPr>
                <w:sz w:val="20"/>
                <w:szCs w:val="20"/>
              </w:rPr>
              <w:t>(1)</w:t>
            </w:r>
          </w:p>
        </w:tc>
      </w:tr>
      <w:tr w:rsidR="00000000" w14:paraId="0153BE93" w14:textId="77777777">
        <w:trPr>
          <w:divId w:val="52973892"/>
        </w:trPr>
        <w:tc>
          <w:tcPr>
            <w:tcW w:w="1927" w:type="pct"/>
            <w:tcMar>
              <w:top w:w="0" w:type="dxa"/>
              <w:left w:w="0" w:type="dxa"/>
              <w:bottom w:w="0" w:type="dxa"/>
              <w:right w:w="0" w:type="dxa"/>
            </w:tcMar>
            <w:vAlign w:val="bottom"/>
            <w:hideMark/>
          </w:tcPr>
          <w:p w14:paraId="4D7DC3C2" w14:textId="77777777" w:rsidR="00000000" w:rsidRDefault="001F1B20">
            <w:pPr>
              <w:pStyle w:val="a3"/>
              <w:spacing w:before="0" w:beforeAutospacing="0" w:after="0" w:afterAutospacing="0"/>
              <w:rPr>
                <w:sz w:val="20"/>
                <w:szCs w:val="20"/>
              </w:rPr>
            </w:pPr>
            <w:r>
              <w:rPr>
                <w:sz w:val="20"/>
                <w:szCs w:val="20"/>
              </w:rPr>
              <w:t>Commercial paper</w:t>
            </w:r>
          </w:p>
        </w:tc>
        <w:tc>
          <w:tcPr>
            <w:tcW w:w="86" w:type="pct"/>
            <w:noWrap/>
            <w:tcMar>
              <w:top w:w="0" w:type="dxa"/>
              <w:left w:w="0" w:type="dxa"/>
              <w:bottom w:w="0" w:type="dxa"/>
              <w:right w:w="0" w:type="dxa"/>
            </w:tcMar>
            <w:vAlign w:val="bottom"/>
            <w:hideMark/>
          </w:tcPr>
          <w:p w14:paraId="6CCBBDEB" w14:textId="77777777" w:rsidR="00000000" w:rsidRDefault="001F1B20">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5F41D568" w14:textId="77777777" w:rsidR="00000000" w:rsidRDefault="001F1B20">
            <w:pPr>
              <w:pStyle w:val="a3"/>
              <w:spacing w:before="0" w:beforeAutospacing="0" w:after="0" w:afterAutospacing="0"/>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14:paraId="7BA4EC7E" w14:textId="77777777" w:rsidR="00000000" w:rsidRDefault="001F1B20">
            <w:pPr>
              <w:pStyle w:val="a3"/>
              <w:spacing w:before="0" w:beforeAutospacing="0" w:after="0" w:afterAutospacing="0"/>
              <w:ind w:right="60"/>
              <w:jc w:val="right"/>
              <w:rPr>
                <w:sz w:val="20"/>
                <w:szCs w:val="20"/>
              </w:rPr>
            </w:pPr>
            <w:r>
              <w:rPr>
                <w:sz w:val="20"/>
                <w:szCs w:val="20"/>
              </w:rPr>
              <w:t>39,375</w:t>
            </w:r>
          </w:p>
        </w:tc>
        <w:tc>
          <w:tcPr>
            <w:tcW w:w="86" w:type="pct"/>
            <w:noWrap/>
            <w:tcMar>
              <w:top w:w="0" w:type="dxa"/>
              <w:left w:w="0" w:type="dxa"/>
              <w:bottom w:w="0" w:type="dxa"/>
              <w:right w:w="0" w:type="dxa"/>
            </w:tcMar>
            <w:vAlign w:val="bottom"/>
            <w:hideMark/>
          </w:tcPr>
          <w:p w14:paraId="01118554" w14:textId="77777777" w:rsidR="00000000" w:rsidRDefault="001F1B20">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14:paraId="18349C31" w14:textId="77777777" w:rsidR="00000000" w:rsidRDefault="001F1B20">
            <w:pPr>
              <w:pStyle w:val="a3"/>
              <w:spacing w:before="0" w:beforeAutospacing="0" w:after="0" w:afterAutospacing="0"/>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14:paraId="3558D1E1" w14:textId="77777777" w:rsidR="00000000" w:rsidRDefault="001F1B20">
            <w:pPr>
              <w:pStyle w:val="a3"/>
              <w:spacing w:before="0" w:beforeAutospacing="0" w:after="0" w:afterAutospacing="0"/>
              <w:jc w:val="right"/>
              <w:rPr>
                <w:sz w:val="20"/>
                <w:szCs w:val="20"/>
              </w:rPr>
            </w:pPr>
            <w:r>
              <w:rPr>
                <w:sz w:val="20"/>
                <w:szCs w:val="20"/>
              </w:rPr>
              <w:t>(5)</w:t>
            </w:r>
          </w:p>
        </w:tc>
        <w:tc>
          <w:tcPr>
            <w:tcW w:w="85" w:type="pct"/>
            <w:noWrap/>
            <w:tcMar>
              <w:top w:w="0" w:type="dxa"/>
              <w:left w:w="0" w:type="dxa"/>
              <w:bottom w:w="0" w:type="dxa"/>
              <w:right w:w="0" w:type="dxa"/>
            </w:tcMar>
            <w:vAlign w:val="center"/>
            <w:hideMark/>
          </w:tcPr>
          <w:p w14:paraId="2B786E0F" w14:textId="77777777" w:rsidR="00000000" w:rsidRDefault="001F1B20">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14:paraId="4622F1F4" w14:textId="77777777" w:rsidR="00000000" w:rsidRDefault="001F1B20">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14:paraId="45A8FE30" w14:textId="77777777" w:rsidR="00000000" w:rsidRDefault="001F1B20">
            <w:pPr>
              <w:pStyle w:val="a3"/>
              <w:spacing w:before="0" w:beforeAutospacing="0" w:after="0" w:afterAutospacing="0"/>
              <w:ind w:right="60"/>
              <w:jc w:val="right"/>
              <w:rPr>
                <w:sz w:val="20"/>
                <w:szCs w:val="20"/>
              </w:rPr>
            </w:pPr>
            <w:r>
              <w:rPr>
                <w:sz w:val="20"/>
                <w:szCs w:val="20"/>
              </w:rPr>
              <w:t>—</w:t>
            </w:r>
          </w:p>
        </w:tc>
        <w:tc>
          <w:tcPr>
            <w:tcW w:w="85" w:type="pct"/>
            <w:noWrap/>
            <w:tcMar>
              <w:top w:w="0" w:type="dxa"/>
              <w:left w:w="0" w:type="dxa"/>
              <w:bottom w:w="0" w:type="dxa"/>
              <w:right w:w="0" w:type="dxa"/>
            </w:tcMar>
            <w:vAlign w:val="center"/>
            <w:hideMark/>
          </w:tcPr>
          <w:p w14:paraId="7F2C3FD1" w14:textId="77777777" w:rsidR="00000000" w:rsidRDefault="001F1B20">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14:paraId="5F992099" w14:textId="77777777" w:rsidR="00000000" w:rsidRDefault="001F1B20">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14:paraId="1084682C" w14:textId="77777777" w:rsidR="00000000" w:rsidRDefault="001F1B20">
            <w:pPr>
              <w:pStyle w:val="a3"/>
              <w:spacing w:before="0" w:beforeAutospacing="0" w:after="0" w:afterAutospacing="0"/>
              <w:ind w:right="60"/>
              <w:jc w:val="right"/>
              <w:rPr>
                <w:sz w:val="20"/>
                <w:szCs w:val="20"/>
              </w:rPr>
            </w:pPr>
            <w:r>
              <w:rPr>
                <w:sz w:val="20"/>
                <w:szCs w:val="20"/>
              </w:rPr>
              <w:t>—</w:t>
            </w:r>
          </w:p>
        </w:tc>
        <w:tc>
          <w:tcPr>
            <w:tcW w:w="85" w:type="pct"/>
            <w:noWrap/>
            <w:tcMar>
              <w:top w:w="0" w:type="dxa"/>
              <w:left w:w="0" w:type="dxa"/>
              <w:bottom w:w="0" w:type="dxa"/>
              <w:right w:w="0" w:type="dxa"/>
            </w:tcMar>
            <w:vAlign w:val="bottom"/>
            <w:hideMark/>
          </w:tcPr>
          <w:p w14:paraId="429D2A9D" w14:textId="77777777" w:rsidR="00000000" w:rsidRDefault="001F1B20">
            <w:pPr>
              <w:pStyle w:val="a3"/>
              <w:spacing w:before="0" w:beforeAutospacing="0" w:after="0" w:afterAutospacing="0"/>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14:paraId="22789F94" w14:textId="77777777" w:rsidR="00000000" w:rsidRDefault="001F1B20">
            <w:pPr>
              <w:pStyle w:val="a3"/>
              <w:spacing w:before="0" w:beforeAutospacing="0" w:after="0" w:afterAutospacing="0"/>
              <w:jc w:val="center"/>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center"/>
            <w:hideMark/>
          </w:tcPr>
          <w:p w14:paraId="088EC2BE" w14:textId="77777777" w:rsidR="00000000" w:rsidRDefault="001F1B20">
            <w:pPr>
              <w:pStyle w:val="a3"/>
              <w:spacing w:before="0" w:beforeAutospacing="0" w:after="0" w:afterAutospacing="0"/>
              <w:ind w:right="60"/>
              <w:jc w:val="right"/>
              <w:rPr>
                <w:sz w:val="20"/>
                <w:szCs w:val="20"/>
              </w:rPr>
            </w:pPr>
            <w:r>
              <w:rPr>
                <w:sz w:val="20"/>
                <w:szCs w:val="20"/>
              </w:rPr>
              <w:t>39,375</w:t>
            </w:r>
          </w:p>
        </w:tc>
        <w:tc>
          <w:tcPr>
            <w:tcW w:w="85" w:type="pct"/>
            <w:noWrap/>
            <w:tcMar>
              <w:top w:w="0" w:type="dxa"/>
              <w:left w:w="0" w:type="dxa"/>
              <w:bottom w:w="0" w:type="dxa"/>
              <w:right w:w="0" w:type="dxa"/>
            </w:tcMar>
            <w:vAlign w:val="center"/>
            <w:hideMark/>
          </w:tcPr>
          <w:p w14:paraId="67D19B8F" w14:textId="77777777" w:rsidR="00000000" w:rsidRDefault="001F1B20">
            <w:pPr>
              <w:pStyle w:val="a3"/>
              <w:spacing w:before="0" w:beforeAutospacing="0" w:after="0" w:afterAutospacing="0"/>
              <w:jc w:val="right"/>
              <w:rPr>
                <w:sz w:val="20"/>
                <w:szCs w:val="20"/>
              </w:rPr>
            </w:pPr>
            <w:r>
              <w:rPr>
                <w:sz w:val="20"/>
                <w:szCs w:val="20"/>
              </w:rPr>
              <w:t>​</w:t>
            </w:r>
          </w:p>
        </w:tc>
        <w:tc>
          <w:tcPr>
            <w:tcW w:w="85" w:type="pct"/>
            <w:tcBorders>
              <w:bottom w:val="single" w:sz="6" w:space="0" w:color="000000"/>
            </w:tcBorders>
            <w:noWrap/>
            <w:tcMar>
              <w:top w:w="0" w:type="dxa"/>
              <w:left w:w="0" w:type="dxa"/>
              <w:bottom w:w="0" w:type="dxa"/>
              <w:right w:w="0" w:type="dxa"/>
            </w:tcMar>
            <w:vAlign w:val="bottom"/>
            <w:hideMark/>
          </w:tcPr>
          <w:p w14:paraId="6F49A10D" w14:textId="77777777" w:rsidR="00000000" w:rsidRDefault="001F1B20">
            <w:pPr>
              <w:pStyle w:val="a3"/>
              <w:spacing w:before="0" w:beforeAutospacing="0" w:after="0" w:afterAutospacing="0"/>
              <w:jc w:val="center"/>
              <w:rPr>
                <w:sz w:val="20"/>
                <w:szCs w:val="20"/>
              </w:rPr>
            </w:pPr>
            <w:r>
              <w:rPr>
                <w:sz w:val="20"/>
                <w:szCs w:val="20"/>
              </w:rPr>
              <w:t>​</w:t>
            </w:r>
          </w:p>
        </w:tc>
        <w:tc>
          <w:tcPr>
            <w:tcW w:w="340" w:type="pct"/>
            <w:tcBorders>
              <w:bottom w:val="single" w:sz="6" w:space="0" w:color="000000"/>
            </w:tcBorders>
            <w:noWrap/>
            <w:tcMar>
              <w:top w:w="0" w:type="dxa"/>
              <w:left w:w="0" w:type="dxa"/>
              <w:bottom w:w="0" w:type="dxa"/>
              <w:right w:w="0" w:type="dxa"/>
            </w:tcMar>
            <w:vAlign w:val="center"/>
            <w:hideMark/>
          </w:tcPr>
          <w:p w14:paraId="76B46356" w14:textId="77777777" w:rsidR="00000000" w:rsidRDefault="001F1B20">
            <w:pPr>
              <w:pStyle w:val="a3"/>
              <w:spacing w:before="0" w:beforeAutospacing="0" w:after="0" w:afterAutospacing="0"/>
              <w:jc w:val="right"/>
              <w:rPr>
                <w:sz w:val="20"/>
                <w:szCs w:val="20"/>
              </w:rPr>
            </w:pPr>
            <w:r>
              <w:rPr>
                <w:sz w:val="20"/>
                <w:szCs w:val="20"/>
              </w:rPr>
              <w:t>(5)</w:t>
            </w:r>
          </w:p>
        </w:tc>
      </w:tr>
      <w:tr w:rsidR="00000000" w14:paraId="03B6A1F5" w14:textId="77777777">
        <w:trPr>
          <w:divId w:val="52973892"/>
        </w:trPr>
        <w:tc>
          <w:tcPr>
            <w:tcW w:w="1927" w:type="pct"/>
            <w:shd w:val="clear" w:color="auto" w:fill="CCEEFF"/>
            <w:tcMar>
              <w:top w:w="0" w:type="dxa"/>
              <w:left w:w="0" w:type="dxa"/>
              <w:bottom w:w="0" w:type="dxa"/>
              <w:right w:w="0" w:type="dxa"/>
            </w:tcMar>
            <w:vAlign w:val="center"/>
            <w:hideMark/>
          </w:tcPr>
          <w:p w14:paraId="04C2C946" w14:textId="77777777" w:rsidR="00000000" w:rsidRDefault="001F1B20">
            <w:pPr>
              <w:pStyle w:val="a3"/>
              <w:spacing w:before="0" w:beforeAutospacing="0" w:after="0" w:afterAutospacing="0"/>
              <w:ind w:left="240"/>
              <w:rPr>
                <w:sz w:val="20"/>
                <w:szCs w:val="20"/>
              </w:rPr>
            </w:pPr>
            <w:r>
              <w:rPr>
                <w:sz w:val="20"/>
                <w:szCs w:val="20"/>
              </w:rPr>
              <w:t>Total</w:t>
            </w:r>
          </w:p>
        </w:tc>
        <w:tc>
          <w:tcPr>
            <w:tcW w:w="86" w:type="pct"/>
            <w:shd w:val="clear" w:color="auto" w:fill="CCEEFF"/>
            <w:noWrap/>
            <w:tcMar>
              <w:top w:w="0" w:type="dxa"/>
              <w:left w:w="0" w:type="dxa"/>
              <w:bottom w:w="0" w:type="dxa"/>
              <w:right w:w="0" w:type="dxa"/>
            </w:tcMar>
            <w:vAlign w:val="bottom"/>
            <w:hideMark/>
          </w:tcPr>
          <w:p w14:paraId="3FB03AED" w14:textId="77777777" w:rsidR="00000000" w:rsidRDefault="001F1B20">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66D179C8" w14:textId="77777777" w:rsidR="00000000" w:rsidRDefault="001F1B20">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14:paraId="0D39ECE3" w14:textId="77777777" w:rsidR="00000000" w:rsidRDefault="001F1B20">
            <w:pPr>
              <w:pStyle w:val="a3"/>
              <w:spacing w:before="0" w:beforeAutospacing="0" w:after="0" w:afterAutospacing="0"/>
              <w:ind w:right="60"/>
              <w:jc w:val="right"/>
              <w:rPr>
                <w:sz w:val="20"/>
                <w:szCs w:val="20"/>
              </w:rPr>
            </w:pPr>
            <w:r>
              <w:rPr>
                <w:sz w:val="20"/>
                <w:szCs w:val="20"/>
              </w:rPr>
              <w:t>44,420</w:t>
            </w:r>
          </w:p>
        </w:tc>
        <w:tc>
          <w:tcPr>
            <w:tcW w:w="86" w:type="pct"/>
            <w:shd w:val="clear" w:color="auto" w:fill="CCEEFF"/>
            <w:noWrap/>
            <w:tcMar>
              <w:top w:w="0" w:type="dxa"/>
              <w:left w:w="0" w:type="dxa"/>
              <w:bottom w:w="0" w:type="dxa"/>
              <w:right w:w="0" w:type="dxa"/>
            </w:tcMar>
            <w:vAlign w:val="bottom"/>
            <w:hideMark/>
          </w:tcPr>
          <w:p w14:paraId="02418447" w14:textId="77777777" w:rsidR="00000000" w:rsidRDefault="001F1B20">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14:paraId="267C5A08" w14:textId="77777777" w:rsidR="00000000" w:rsidRDefault="001F1B20">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14:paraId="0B96AE44" w14:textId="77777777" w:rsidR="00000000" w:rsidRDefault="001F1B20">
            <w:pPr>
              <w:pStyle w:val="a3"/>
              <w:spacing w:before="0" w:beforeAutospacing="0" w:after="0" w:afterAutospacing="0"/>
              <w:jc w:val="right"/>
              <w:rPr>
                <w:sz w:val="20"/>
                <w:szCs w:val="20"/>
              </w:rPr>
            </w:pPr>
            <w:r>
              <w:rPr>
                <w:sz w:val="20"/>
                <w:szCs w:val="20"/>
              </w:rPr>
              <w:t>(6)</w:t>
            </w:r>
          </w:p>
        </w:tc>
        <w:tc>
          <w:tcPr>
            <w:tcW w:w="85" w:type="pct"/>
            <w:shd w:val="clear" w:color="auto" w:fill="CCEEFF"/>
            <w:noWrap/>
            <w:tcMar>
              <w:top w:w="0" w:type="dxa"/>
              <w:left w:w="0" w:type="dxa"/>
              <w:bottom w:w="0" w:type="dxa"/>
              <w:right w:w="0" w:type="dxa"/>
            </w:tcMar>
            <w:vAlign w:val="center"/>
            <w:hideMark/>
          </w:tcPr>
          <w:p w14:paraId="2EA82A84" w14:textId="77777777" w:rsidR="00000000" w:rsidRDefault="001F1B20">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14:paraId="0473CC32" w14:textId="77777777" w:rsidR="00000000" w:rsidRDefault="001F1B2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14:paraId="696D3D27" w14:textId="77777777" w:rsidR="00000000" w:rsidRDefault="001F1B20">
            <w:pPr>
              <w:pStyle w:val="a3"/>
              <w:spacing w:before="0" w:beforeAutospacing="0" w:after="0" w:afterAutospacing="0"/>
              <w:ind w:right="6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center"/>
            <w:hideMark/>
          </w:tcPr>
          <w:p w14:paraId="1ECFFAB4" w14:textId="77777777" w:rsidR="00000000" w:rsidRDefault="001F1B20">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14:paraId="2BD196B2" w14:textId="77777777" w:rsidR="00000000" w:rsidRDefault="001F1B2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14:paraId="228EF332" w14:textId="77777777" w:rsidR="00000000" w:rsidRDefault="001F1B20">
            <w:pPr>
              <w:pStyle w:val="a3"/>
              <w:spacing w:before="0" w:beforeAutospacing="0" w:after="0" w:afterAutospacing="0"/>
              <w:ind w:right="60"/>
              <w:jc w:val="right"/>
              <w:rPr>
                <w:sz w:val="20"/>
                <w:szCs w:val="20"/>
              </w:rPr>
            </w:pPr>
            <w:r>
              <w:rPr>
                <w:sz w:val="20"/>
                <w:szCs w:val="20"/>
              </w:rPr>
              <w:t>—</w:t>
            </w:r>
          </w:p>
        </w:tc>
        <w:tc>
          <w:tcPr>
            <w:tcW w:w="85" w:type="pct"/>
            <w:shd w:val="clear" w:color="auto" w:fill="CCEEFF"/>
            <w:tcMar>
              <w:top w:w="0" w:type="dxa"/>
              <w:left w:w="0" w:type="dxa"/>
              <w:bottom w:w="0" w:type="dxa"/>
              <w:right w:w="0" w:type="dxa"/>
            </w:tcMar>
            <w:vAlign w:val="bottom"/>
            <w:hideMark/>
          </w:tcPr>
          <w:p w14:paraId="61149868" w14:textId="77777777" w:rsidR="00000000" w:rsidRDefault="001F1B20">
            <w:pPr>
              <w:pStyle w:val="a3"/>
              <w:spacing w:before="0" w:beforeAutospacing="0" w:after="0" w:afterAutospacing="0"/>
              <w:rPr>
                <w:sz w:val="20"/>
                <w:szCs w:val="20"/>
              </w:rPr>
            </w:pPr>
            <w:r>
              <w:rPr>
                <w:b/>
                <w:bCs/>
                <w:sz w:val="16"/>
                <w:szCs w:val="16"/>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14:paraId="6E27C66A" w14:textId="77777777" w:rsidR="00000000" w:rsidRDefault="001F1B20">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center"/>
            <w:hideMark/>
          </w:tcPr>
          <w:p w14:paraId="06F3BB49" w14:textId="77777777" w:rsidR="00000000" w:rsidRDefault="001F1B20">
            <w:pPr>
              <w:pStyle w:val="a3"/>
              <w:spacing w:before="0" w:beforeAutospacing="0" w:after="0" w:afterAutospacing="0"/>
              <w:ind w:right="60"/>
              <w:jc w:val="right"/>
              <w:rPr>
                <w:sz w:val="20"/>
                <w:szCs w:val="20"/>
              </w:rPr>
            </w:pPr>
            <w:r>
              <w:rPr>
                <w:sz w:val="20"/>
                <w:szCs w:val="20"/>
              </w:rPr>
              <w:t>44,420</w:t>
            </w:r>
          </w:p>
        </w:tc>
        <w:tc>
          <w:tcPr>
            <w:tcW w:w="85" w:type="pct"/>
            <w:shd w:val="clear" w:color="auto" w:fill="CCEEFF"/>
            <w:noWrap/>
            <w:tcMar>
              <w:top w:w="0" w:type="dxa"/>
              <w:left w:w="0" w:type="dxa"/>
              <w:bottom w:w="0" w:type="dxa"/>
              <w:right w:w="0" w:type="dxa"/>
            </w:tcMar>
            <w:vAlign w:val="center"/>
            <w:hideMark/>
          </w:tcPr>
          <w:p w14:paraId="4F648CDA" w14:textId="77777777" w:rsidR="00000000" w:rsidRDefault="001F1B20">
            <w:pPr>
              <w:pStyle w:val="a3"/>
              <w:spacing w:before="0" w:beforeAutospacing="0" w:after="0" w:afterAutospacing="0"/>
              <w:jc w:val="right"/>
              <w:rPr>
                <w:sz w:val="20"/>
                <w:szCs w:val="20"/>
              </w:rPr>
            </w:pPr>
            <w:r>
              <w:rPr>
                <w:sz w:val="20"/>
                <w:szCs w:val="20"/>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14:paraId="5F7C5CE9" w14:textId="77777777" w:rsidR="00000000" w:rsidRDefault="001F1B20">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center"/>
            <w:hideMark/>
          </w:tcPr>
          <w:p w14:paraId="41054F0E" w14:textId="77777777" w:rsidR="00000000" w:rsidRDefault="001F1B20">
            <w:pPr>
              <w:pStyle w:val="a3"/>
              <w:spacing w:before="0" w:beforeAutospacing="0" w:after="0" w:afterAutospacing="0"/>
              <w:jc w:val="right"/>
              <w:rPr>
                <w:sz w:val="20"/>
                <w:szCs w:val="20"/>
              </w:rPr>
            </w:pPr>
            <w:r>
              <w:rPr>
                <w:sz w:val="20"/>
                <w:szCs w:val="20"/>
              </w:rPr>
              <w:t>(6)</w:t>
            </w:r>
          </w:p>
        </w:tc>
      </w:tr>
    </w:tbl>
    <w:p w14:paraId="106FEDA1" w14:textId="77777777" w:rsidR="00000000" w:rsidRDefault="001F1B20">
      <w:pPr>
        <w:pStyle w:val="a3"/>
        <w:spacing w:before="0" w:beforeAutospacing="0" w:after="0" w:afterAutospacing="0"/>
        <w:divId w:val="52973892"/>
        <w:rPr>
          <w:sz w:val="20"/>
          <w:szCs w:val="20"/>
        </w:rPr>
      </w:pPr>
      <w:r>
        <w:rPr>
          <w:sz w:val="20"/>
          <w:szCs w:val="20"/>
        </w:rPr>
        <w:t>​</w:t>
      </w:r>
    </w:p>
    <w:p w14:paraId="30FBE0C1" w14:textId="77777777" w:rsidR="00000000" w:rsidRDefault="001F1B20">
      <w:pPr>
        <w:pStyle w:val="a3"/>
        <w:spacing w:before="0" w:beforeAutospacing="0" w:after="0" w:afterAutospacing="0"/>
        <w:ind w:firstLine="720"/>
        <w:divId w:val="52973892"/>
        <w:rPr>
          <w:sz w:val="20"/>
          <w:szCs w:val="20"/>
        </w:rPr>
      </w:pPr>
      <w:r>
        <w:rPr>
          <w:sz w:val="20"/>
          <w:szCs w:val="20"/>
        </w:rPr>
        <w:t xml:space="preserve">The Company invests primarily in </w:t>
      </w:r>
      <w:r>
        <w:rPr>
          <w:sz w:val="20"/>
          <w:szCs w:val="20"/>
          <w:shd w:val="clear" w:color="auto" w:fill="FFFFFF"/>
        </w:rPr>
        <w:t xml:space="preserve">high credit quality and short-term maturity </w:t>
      </w:r>
      <w:r>
        <w:rPr>
          <w:sz w:val="20"/>
          <w:szCs w:val="20"/>
        </w:rPr>
        <w:t>debt securities with the intent to hold such securities until maturity at par value. The Company does not intend to sell the investments that are currently in an unrealized loss p</w:t>
      </w:r>
      <w:r>
        <w:rPr>
          <w:sz w:val="20"/>
          <w:szCs w:val="20"/>
        </w:rPr>
        <w:t xml:space="preserve">osition, and it is unlikely that it will be required to sell the investments before recovery of their amortized cost basis, which may be at maturity. </w:t>
      </w:r>
      <w:r>
        <w:rPr>
          <w:sz w:val="20"/>
          <w:szCs w:val="20"/>
          <w:shd w:val="clear" w:color="auto" w:fill="FFFFFF"/>
        </w:rPr>
        <w:t>T</w:t>
      </w:r>
      <w:r>
        <w:rPr>
          <w:sz w:val="20"/>
          <w:szCs w:val="20"/>
        </w:rPr>
        <w:t>he Company reviewed its available-for-sale debt securities and determined that there were n</w:t>
      </w:r>
      <w:r>
        <w:rPr>
          <w:sz w:val="20"/>
          <w:szCs w:val="20"/>
        </w:rPr>
        <w:t>o</w:t>
      </w:r>
      <w:r>
        <w:rPr>
          <w:sz w:val="20"/>
          <w:szCs w:val="20"/>
        </w:rPr>
        <w:t xml:space="preserve"> credit-relat</w:t>
      </w:r>
      <w:r>
        <w:rPr>
          <w:sz w:val="20"/>
          <w:szCs w:val="20"/>
        </w:rPr>
        <w:t>ed losses to be recognized as of September 30, 2021.</w:t>
      </w:r>
      <w:r>
        <w:rPr>
          <w:sz w:val="20"/>
          <w:szCs w:val="20"/>
        </w:rPr>
        <w:t xml:space="preserve"> </w:t>
      </w:r>
    </w:p>
    <w:p w14:paraId="49EA067B" w14:textId="77777777" w:rsidR="00000000" w:rsidRDefault="001F1B20">
      <w:pPr>
        <w:pStyle w:val="a3"/>
        <w:spacing w:before="0" w:beforeAutospacing="0" w:after="0" w:afterAutospacing="0"/>
        <w:divId w:val="52973892"/>
        <w:rPr>
          <w:sz w:val="20"/>
          <w:szCs w:val="20"/>
        </w:rPr>
      </w:pPr>
      <w:r>
        <w:rPr>
          <w:sz w:val="20"/>
          <w:szCs w:val="20"/>
        </w:rPr>
        <w:t>​</w:t>
      </w:r>
    </w:p>
    <w:p w14:paraId="320789A1" w14:textId="77777777" w:rsidR="00000000" w:rsidRDefault="001F1B20">
      <w:pPr>
        <w:pStyle w:val="a3"/>
        <w:spacing w:before="0" w:beforeAutospacing="0" w:after="0" w:afterAutospacing="0"/>
        <w:ind w:firstLine="720"/>
        <w:divId w:val="52973892"/>
        <w:rPr>
          <w:sz w:val="20"/>
          <w:szCs w:val="20"/>
        </w:rPr>
      </w:pPr>
      <w:r>
        <w:rPr>
          <w:sz w:val="20"/>
          <w:szCs w:val="20"/>
        </w:rPr>
        <w:t>As of September 30, 2021, the Company’s accumulated other comprehensive income on its condensed consolidated balance sheets consisted of net unrealized gains on available-for-sale investments. For the</w:t>
      </w:r>
      <w:r>
        <w:rPr>
          <w:sz w:val="20"/>
          <w:szCs w:val="20"/>
        </w:rPr>
        <w:t xml:space="preserve"> three and nine months ended September 30, 2021, the Company did not sell any marketable securities, and for the nine months ended September 30, 2020, the Company sold marketable securities for total proceeds of $19.9 million and recognized a minimal net r</w:t>
      </w:r>
      <w:r>
        <w:rPr>
          <w:sz w:val="20"/>
          <w:szCs w:val="20"/>
        </w:rPr>
        <w:t>ealized gain from the sales based on the specific identification method.</w:t>
      </w:r>
    </w:p>
    <w:p w14:paraId="6637C35F" w14:textId="77777777" w:rsidR="00000000" w:rsidRDefault="001F1B20">
      <w:pPr>
        <w:pStyle w:val="a3"/>
        <w:spacing w:before="0" w:beforeAutospacing="0" w:after="0" w:afterAutospacing="0"/>
        <w:divId w:val="52973892"/>
        <w:rPr>
          <w:sz w:val="20"/>
          <w:szCs w:val="20"/>
        </w:rPr>
      </w:pPr>
      <w:r>
        <w:rPr>
          <w:sz w:val="20"/>
          <w:szCs w:val="20"/>
        </w:rPr>
        <w:t>​</w:t>
      </w:r>
    </w:p>
    <w:p w14:paraId="044F0435" w14:textId="77777777" w:rsidR="00000000" w:rsidRDefault="001F1B20">
      <w:pPr>
        <w:pStyle w:val="a3"/>
        <w:spacing w:before="360" w:beforeAutospacing="0" w:after="0" w:afterAutospacing="0"/>
        <w:jc w:val="center"/>
        <w:divId w:val="1173377760"/>
        <w:rPr>
          <w:sz w:val="20"/>
          <w:szCs w:val="20"/>
        </w:rPr>
      </w:pPr>
      <w:r>
        <w:rPr>
          <w:sz w:val="20"/>
          <w:szCs w:val="20"/>
        </w:rPr>
        <w:t>13</w:t>
      </w:r>
    </w:p>
    <w:p w14:paraId="66611FEC" w14:textId="77777777" w:rsidR="00000000" w:rsidRDefault="001F1B20">
      <w:pPr>
        <w:pStyle w:val="a3"/>
        <w:spacing w:before="0" w:beforeAutospacing="0" w:after="600" w:afterAutospacing="0"/>
        <w:divId w:val="926839156"/>
        <w:rPr>
          <w:sz w:val="20"/>
          <w:szCs w:val="20"/>
        </w:rPr>
      </w:pPr>
      <w:hyperlink w:anchor="TOC" w:history="1">
        <w:r>
          <w:rPr>
            <w:rStyle w:val="a4"/>
            <w:sz w:val="20"/>
            <w:szCs w:val="20"/>
          </w:rPr>
          <w:t>Table of Contents</w:t>
        </w:r>
      </w:hyperlink>
    </w:p>
    <w:p w14:paraId="37128331" w14:textId="77777777" w:rsidR="00000000" w:rsidRDefault="001F1B20">
      <w:pPr>
        <w:pStyle w:val="a3"/>
        <w:spacing w:before="0" w:beforeAutospacing="0" w:after="0" w:afterAutospacing="0"/>
        <w:divId w:val="2142065452"/>
        <w:rPr>
          <w:sz w:val="20"/>
          <w:szCs w:val="20"/>
        </w:rPr>
      </w:pPr>
      <w:r>
        <w:rPr>
          <w:b/>
          <w:bCs/>
          <w:sz w:val="20"/>
          <w:szCs w:val="20"/>
        </w:rPr>
        <w:t xml:space="preserve">6. Debt </w:t>
      </w:r>
    </w:p>
    <w:p w14:paraId="5C3FBC33" w14:textId="77777777" w:rsidR="00000000" w:rsidRDefault="001F1B20">
      <w:pPr>
        <w:pStyle w:val="a3"/>
        <w:spacing w:before="0" w:beforeAutospacing="0" w:after="0" w:afterAutospacing="0"/>
        <w:divId w:val="2142065452"/>
        <w:rPr>
          <w:sz w:val="20"/>
          <w:szCs w:val="20"/>
        </w:rPr>
      </w:pPr>
      <w:r>
        <w:rPr>
          <w:b/>
          <w:bCs/>
          <w:sz w:val="10"/>
          <w:szCs w:val="10"/>
        </w:rPr>
        <w:t>​</w:t>
      </w:r>
    </w:p>
    <w:p w14:paraId="1423E2B9" w14:textId="77777777" w:rsidR="00000000" w:rsidRDefault="001F1B20">
      <w:pPr>
        <w:pStyle w:val="a3"/>
        <w:shd w:val="clear" w:color="auto" w:fill="FFFFFF"/>
        <w:spacing w:before="0" w:beforeAutospacing="0" w:after="0" w:afterAutospacing="0"/>
        <w:ind w:left="720"/>
        <w:divId w:val="2142065452"/>
        <w:rPr>
          <w:sz w:val="20"/>
          <w:szCs w:val="20"/>
        </w:rPr>
      </w:pPr>
      <w:r>
        <w:rPr>
          <w:sz w:val="20"/>
          <w:szCs w:val="20"/>
        </w:rPr>
        <w:t>Debt consisted of the following liability components:</w:t>
      </w:r>
    </w:p>
    <w:p w14:paraId="3FBD7FCA" w14:textId="77777777" w:rsidR="00000000" w:rsidRDefault="001F1B20">
      <w:pPr>
        <w:pStyle w:val="a3"/>
        <w:shd w:val="clear" w:color="auto" w:fill="FFFFFF"/>
        <w:spacing w:before="0" w:beforeAutospacing="0" w:after="0" w:afterAutospacing="0"/>
        <w:divId w:val="2142065452"/>
        <w:rPr>
          <w:sz w:val="20"/>
          <w:szCs w:val="20"/>
        </w:rPr>
      </w:pPr>
      <w:r>
        <w:rPr>
          <w:b/>
          <w:bCs/>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94"/>
        <w:gridCol w:w="219"/>
        <w:gridCol w:w="219"/>
        <w:gridCol w:w="874"/>
      </w:tblGrid>
      <w:tr w:rsidR="00000000" w14:paraId="03EC1DA1" w14:textId="77777777">
        <w:trPr>
          <w:divId w:val="2142065452"/>
          <w:trHeight w:val="20"/>
        </w:trPr>
        <w:tc>
          <w:tcPr>
            <w:tcW w:w="4208" w:type="pct"/>
            <w:tcMar>
              <w:top w:w="0" w:type="dxa"/>
              <w:left w:w="0" w:type="dxa"/>
              <w:bottom w:w="0" w:type="dxa"/>
              <w:right w:w="0" w:type="dxa"/>
            </w:tcMar>
            <w:vAlign w:val="bottom"/>
            <w:hideMark/>
          </w:tcPr>
          <w:p w14:paraId="63DC4524" w14:textId="77777777" w:rsidR="00000000" w:rsidRDefault="001F1B20">
            <w:pPr>
              <w:pStyle w:val="a3"/>
              <w:spacing w:before="0" w:beforeAutospacing="0" w:after="0" w:afterAutospacing="0"/>
              <w:divId w:val="257174894"/>
              <w:rPr>
                <w:sz w:val="20"/>
                <w:szCs w:val="20"/>
              </w:rPr>
            </w:pPr>
            <w:r>
              <w:rPr>
                <w:sz w:val="2"/>
                <w:szCs w:val="2"/>
              </w:rPr>
              <w:t>​</w:t>
            </w:r>
          </w:p>
        </w:tc>
        <w:tc>
          <w:tcPr>
            <w:tcW w:w="132" w:type="pct"/>
            <w:noWrap/>
            <w:tcMar>
              <w:top w:w="0" w:type="dxa"/>
              <w:left w:w="0" w:type="dxa"/>
              <w:bottom w:w="0" w:type="dxa"/>
              <w:right w:w="0" w:type="dxa"/>
            </w:tcMar>
            <w:vAlign w:val="bottom"/>
            <w:hideMark/>
          </w:tcPr>
          <w:p w14:paraId="14557157" w14:textId="77777777" w:rsidR="00000000" w:rsidRDefault="001F1B20">
            <w:pPr>
              <w:pStyle w:val="a3"/>
              <w:spacing w:before="0" w:beforeAutospacing="0" w:after="0" w:afterAutospacing="0"/>
              <w:divId w:val="980577165"/>
              <w:rPr>
                <w:sz w:val="20"/>
                <w:szCs w:val="20"/>
              </w:rPr>
            </w:pPr>
            <w:r>
              <w:rPr>
                <w:sz w:val="2"/>
                <w:szCs w:val="2"/>
              </w:rPr>
              <w:t>​</w:t>
            </w:r>
          </w:p>
        </w:tc>
        <w:tc>
          <w:tcPr>
            <w:tcW w:w="132" w:type="pct"/>
            <w:noWrap/>
            <w:tcMar>
              <w:top w:w="0" w:type="dxa"/>
              <w:left w:w="0" w:type="dxa"/>
              <w:bottom w:w="0" w:type="dxa"/>
              <w:right w:w="0" w:type="dxa"/>
            </w:tcMar>
            <w:vAlign w:val="bottom"/>
            <w:hideMark/>
          </w:tcPr>
          <w:p w14:paraId="2CE9C25D" w14:textId="77777777" w:rsidR="00000000" w:rsidRDefault="001F1B20">
            <w:pPr>
              <w:pStyle w:val="a3"/>
              <w:spacing w:before="0" w:beforeAutospacing="0" w:after="0" w:afterAutospacing="0"/>
              <w:divId w:val="302348971"/>
              <w:rPr>
                <w:sz w:val="20"/>
                <w:szCs w:val="20"/>
              </w:rPr>
            </w:pPr>
            <w:r>
              <w:rPr>
                <w:sz w:val="2"/>
                <w:szCs w:val="2"/>
              </w:rPr>
              <w:t>​</w:t>
            </w:r>
          </w:p>
        </w:tc>
        <w:tc>
          <w:tcPr>
            <w:tcW w:w="525" w:type="pct"/>
            <w:noWrap/>
            <w:tcMar>
              <w:top w:w="0" w:type="dxa"/>
              <w:left w:w="0" w:type="dxa"/>
              <w:bottom w:w="0" w:type="dxa"/>
              <w:right w:w="0" w:type="dxa"/>
            </w:tcMar>
            <w:vAlign w:val="bottom"/>
            <w:hideMark/>
          </w:tcPr>
          <w:p w14:paraId="1ED246A0" w14:textId="77777777" w:rsidR="00000000" w:rsidRDefault="001F1B20">
            <w:pPr>
              <w:pStyle w:val="a3"/>
              <w:spacing w:before="0" w:beforeAutospacing="0" w:after="0" w:afterAutospacing="0"/>
              <w:divId w:val="837039217"/>
              <w:rPr>
                <w:sz w:val="20"/>
                <w:szCs w:val="20"/>
              </w:rPr>
            </w:pPr>
            <w:r>
              <w:rPr>
                <w:sz w:val="2"/>
                <w:szCs w:val="2"/>
              </w:rPr>
              <w:t>​</w:t>
            </w:r>
          </w:p>
        </w:tc>
      </w:tr>
      <w:tr w:rsidR="00000000" w14:paraId="36688477" w14:textId="77777777">
        <w:trPr>
          <w:divId w:val="2142065452"/>
        </w:trPr>
        <w:tc>
          <w:tcPr>
            <w:tcW w:w="4208" w:type="pct"/>
            <w:tcMar>
              <w:top w:w="0" w:type="dxa"/>
              <w:left w:w="0" w:type="dxa"/>
              <w:bottom w:w="0" w:type="dxa"/>
              <w:right w:w="0" w:type="dxa"/>
            </w:tcMar>
            <w:vAlign w:val="bottom"/>
            <w:hideMark/>
          </w:tcPr>
          <w:p w14:paraId="14395121" w14:textId="77777777" w:rsidR="00000000" w:rsidRDefault="001F1B20">
            <w:pPr>
              <w:pStyle w:val="a3"/>
              <w:spacing w:before="0" w:beforeAutospacing="0" w:after="0" w:afterAutospacing="0"/>
              <w:rPr>
                <w:sz w:val="20"/>
                <w:szCs w:val="20"/>
              </w:rPr>
            </w:pPr>
            <w:r>
              <w:rPr>
                <w:b/>
                <w:bCs/>
                <w:sz w:val="16"/>
                <w:szCs w:val="16"/>
              </w:rPr>
              <w:t>​</w:t>
            </w:r>
          </w:p>
        </w:tc>
        <w:tc>
          <w:tcPr>
            <w:tcW w:w="132" w:type="pct"/>
            <w:noWrap/>
            <w:tcMar>
              <w:top w:w="0" w:type="dxa"/>
              <w:left w:w="0" w:type="dxa"/>
              <w:bottom w:w="0" w:type="dxa"/>
              <w:right w:w="0" w:type="dxa"/>
            </w:tcMar>
            <w:vAlign w:val="bottom"/>
            <w:hideMark/>
          </w:tcPr>
          <w:p w14:paraId="75EA15D5" w14:textId="77777777" w:rsidR="00000000" w:rsidRDefault="001F1B20">
            <w:pPr>
              <w:pStyle w:val="a3"/>
              <w:spacing w:before="0" w:beforeAutospacing="0" w:after="0" w:afterAutospacing="0"/>
              <w:rPr>
                <w:sz w:val="20"/>
                <w:szCs w:val="20"/>
              </w:rPr>
            </w:pPr>
            <w:r>
              <w:rPr>
                <w:b/>
                <w:bCs/>
                <w:sz w:val="16"/>
                <w:szCs w:val="16"/>
              </w:rPr>
              <w:t>​</w:t>
            </w:r>
          </w:p>
        </w:tc>
        <w:tc>
          <w:tcPr>
            <w:tcW w:w="658" w:type="pct"/>
            <w:gridSpan w:val="2"/>
            <w:tcBorders>
              <w:bottom w:val="single" w:sz="6" w:space="0" w:color="000000"/>
            </w:tcBorders>
            <w:noWrap/>
            <w:tcMar>
              <w:top w:w="0" w:type="dxa"/>
              <w:left w:w="0" w:type="dxa"/>
              <w:bottom w:w="0" w:type="dxa"/>
              <w:right w:w="0" w:type="dxa"/>
            </w:tcMar>
            <w:vAlign w:val="bottom"/>
            <w:hideMark/>
          </w:tcPr>
          <w:p w14:paraId="30548B15" w14:textId="77777777" w:rsidR="00000000" w:rsidRDefault="001F1B20">
            <w:pPr>
              <w:pStyle w:val="a3"/>
              <w:spacing w:before="0" w:beforeAutospacing="0" w:after="0" w:afterAutospacing="0"/>
              <w:jc w:val="center"/>
              <w:rPr>
                <w:sz w:val="16"/>
                <w:szCs w:val="16"/>
              </w:rPr>
            </w:pPr>
            <w:r>
              <w:rPr>
                <w:b/>
                <w:bCs/>
                <w:sz w:val="16"/>
                <w:szCs w:val="16"/>
              </w:rPr>
              <w:t>September 30, </w:t>
            </w:r>
          </w:p>
        </w:tc>
      </w:tr>
      <w:tr w:rsidR="00000000" w14:paraId="73C9242F" w14:textId="77777777">
        <w:trPr>
          <w:divId w:val="2142065452"/>
        </w:trPr>
        <w:tc>
          <w:tcPr>
            <w:tcW w:w="4208" w:type="pct"/>
            <w:tcBorders>
              <w:bottom w:val="single" w:sz="6" w:space="0" w:color="000000"/>
            </w:tcBorders>
            <w:tcMar>
              <w:top w:w="0" w:type="dxa"/>
              <w:left w:w="0" w:type="dxa"/>
              <w:bottom w:w="0" w:type="dxa"/>
              <w:right w:w="0" w:type="dxa"/>
            </w:tcMar>
            <w:vAlign w:val="bottom"/>
            <w:hideMark/>
          </w:tcPr>
          <w:p w14:paraId="62AE88EB" w14:textId="77777777" w:rsidR="00000000" w:rsidRDefault="001F1B20">
            <w:pPr>
              <w:pStyle w:val="a3"/>
              <w:spacing w:before="0" w:beforeAutospacing="0" w:after="0" w:afterAutospacing="0"/>
              <w:rPr>
                <w:sz w:val="16"/>
                <w:szCs w:val="16"/>
              </w:rPr>
            </w:pPr>
            <w:r>
              <w:rPr>
                <w:b/>
                <w:bCs/>
                <w:sz w:val="16"/>
                <w:szCs w:val="16"/>
              </w:rPr>
              <w:t>(In thousands)</w:t>
            </w:r>
          </w:p>
        </w:tc>
        <w:tc>
          <w:tcPr>
            <w:tcW w:w="132" w:type="pct"/>
            <w:noWrap/>
            <w:tcMar>
              <w:top w:w="0" w:type="dxa"/>
              <w:left w:w="0" w:type="dxa"/>
              <w:bottom w:w="0" w:type="dxa"/>
              <w:right w:w="0" w:type="dxa"/>
            </w:tcMar>
            <w:vAlign w:val="bottom"/>
            <w:hideMark/>
          </w:tcPr>
          <w:p w14:paraId="5CC78858" w14:textId="77777777" w:rsidR="00000000" w:rsidRDefault="001F1B20">
            <w:pPr>
              <w:pStyle w:val="a3"/>
              <w:spacing w:before="0" w:beforeAutospacing="0" w:after="0" w:afterAutospacing="0"/>
              <w:rPr>
                <w:sz w:val="16"/>
                <w:szCs w:val="16"/>
              </w:rPr>
            </w:pPr>
            <w:r>
              <w:rPr>
                <w:b/>
                <w:bCs/>
                <w:sz w:val="16"/>
                <w:szCs w:val="16"/>
              </w:rPr>
              <w:t>    </w:t>
            </w:r>
          </w:p>
        </w:tc>
        <w:tc>
          <w:tcPr>
            <w:tcW w:w="658" w:type="pct"/>
            <w:gridSpan w:val="2"/>
            <w:tcBorders>
              <w:bottom w:val="single" w:sz="6" w:space="0" w:color="000000"/>
            </w:tcBorders>
            <w:noWrap/>
            <w:tcMar>
              <w:top w:w="0" w:type="dxa"/>
              <w:left w:w="0" w:type="dxa"/>
              <w:bottom w:w="0" w:type="dxa"/>
              <w:right w:w="0" w:type="dxa"/>
            </w:tcMar>
            <w:vAlign w:val="bottom"/>
            <w:hideMark/>
          </w:tcPr>
          <w:p w14:paraId="6DC6842A" w14:textId="77777777" w:rsidR="00000000" w:rsidRDefault="001F1B20">
            <w:pPr>
              <w:pStyle w:val="a3"/>
              <w:spacing w:before="0" w:beforeAutospacing="0" w:after="0" w:afterAutospacing="0"/>
              <w:jc w:val="center"/>
              <w:rPr>
                <w:sz w:val="16"/>
                <w:szCs w:val="16"/>
              </w:rPr>
            </w:pPr>
            <w:r>
              <w:rPr>
                <w:b/>
                <w:bCs/>
                <w:sz w:val="16"/>
                <w:szCs w:val="16"/>
              </w:rPr>
              <w:t>2021</w:t>
            </w:r>
          </w:p>
        </w:tc>
      </w:tr>
      <w:tr w:rsidR="00000000" w14:paraId="0A0062E1" w14:textId="77777777">
        <w:trPr>
          <w:divId w:val="2142065452"/>
        </w:trPr>
        <w:tc>
          <w:tcPr>
            <w:tcW w:w="4208" w:type="pct"/>
            <w:shd w:val="clear" w:color="auto" w:fill="CCEEFF"/>
            <w:tcMar>
              <w:top w:w="0" w:type="dxa"/>
              <w:left w:w="0" w:type="dxa"/>
              <w:bottom w:w="0" w:type="dxa"/>
              <w:right w:w="0" w:type="dxa"/>
            </w:tcMar>
            <w:vAlign w:val="bottom"/>
            <w:hideMark/>
          </w:tcPr>
          <w:p w14:paraId="067E12B1" w14:textId="77777777" w:rsidR="00000000" w:rsidRDefault="001F1B20">
            <w:pPr>
              <w:pStyle w:val="a3"/>
              <w:spacing w:before="0" w:beforeAutospacing="0" w:after="0" w:afterAutospacing="0"/>
              <w:rPr>
                <w:sz w:val="20"/>
                <w:szCs w:val="20"/>
              </w:rPr>
            </w:pPr>
            <w:r>
              <w:rPr>
                <w:sz w:val="20"/>
                <w:szCs w:val="20"/>
                <w:u w:val="single"/>
              </w:rPr>
              <w:t>9.5</w:t>
            </w:r>
            <w:r>
              <w:rPr>
                <w:sz w:val="20"/>
                <w:szCs w:val="20"/>
                <w:u w:val="single"/>
              </w:rPr>
              <w:t>%</w:t>
            </w:r>
            <w:r>
              <w:rPr>
                <w:sz w:val="20"/>
                <w:szCs w:val="20"/>
                <w:u w:val="single"/>
              </w:rPr>
              <w:t xml:space="preserve"> </w:t>
            </w:r>
            <w:r>
              <w:rPr>
                <w:sz w:val="20"/>
                <w:szCs w:val="20"/>
                <w:u w:val="single"/>
              </w:rPr>
              <w:t>Non-Recourse 2035 Notes</w:t>
            </w:r>
            <w:r>
              <w:rPr>
                <w:sz w:val="20"/>
                <w:szCs w:val="20"/>
                <w:u w:val="single"/>
              </w:rPr>
              <w:t>:</w:t>
            </w:r>
          </w:p>
        </w:tc>
        <w:tc>
          <w:tcPr>
            <w:tcW w:w="132" w:type="pct"/>
            <w:shd w:val="clear" w:color="auto" w:fill="CCEEFF"/>
            <w:noWrap/>
            <w:tcMar>
              <w:top w:w="0" w:type="dxa"/>
              <w:left w:w="0" w:type="dxa"/>
              <w:bottom w:w="0" w:type="dxa"/>
              <w:right w:w="0" w:type="dxa"/>
            </w:tcMar>
            <w:vAlign w:val="bottom"/>
            <w:hideMark/>
          </w:tcPr>
          <w:p w14:paraId="2D9FCE45" w14:textId="77777777" w:rsidR="00000000" w:rsidRDefault="001F1B2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14:paraId="66B8E8DB" w14:textId="77777777" w:rsidR="00000000" w:rsidRDefault="001F1B20">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14:paraId="5ECA17D0" w14:textId="77777777" w:rsidR="00000000" w:rsidRDefault="001F1B20">
            <w:pPr>
              <w:pStyle w:val="a3"/>
              <w:spacing w:before="0" w:beforeAutospacing="0" w:after="0" w:afterAutospacing="0"/>
              <w:rPr>
                <w:sz w:val="20"/>
                <w:szCs w:val="20"/>
              </w:rPr>
            </w:pPr>
            <w:r>
              <w:rPr>
                <w:sz w:val="20"/>
                <w:szCs w:val="20"/>
              </w:rPr>
              <w:t>​</w:t>
            </w:r>
          </w:p>
        </w:tc>
      </w:tr>
      <w:tr w:rsidR="00000000" w14:paraId="68B17845" w14:textId="77777777">
        <w:trPr>
          <w:divId w:val="2142065452"/>
        </w:trPr>
        <w:tc>
          <w:tcPr>
            <w:tcW w:w="4208" w:type="pct"/>
            <w:tcMar>
              <w:top w:w="0" w:type="dxa"/>
              <w:left w:w="0" w:type="dxa"/>
              <w:bottom w:w="0" w:type="dxa"/>
              <w:right w:w="0" w:type="dxa"/>
            </w:tcMar>
            <w:vAlign w:val="bottom"/>
            <w:hideMark/>
          </w:tcPr>
          <w:p w14:paraId="4BDDFCD2" w14:textId="77777777" w:rsidR="00000000" w:rsidRDefault="001F1B20">
            <w:pPr>
              <w:pStyle w:val="a3"/>
              <w:spacing w:before="0" w:beforeAutospacing="0" w:after="0" w:afterAutospacing="0"/>
              <w:rPr>
                <w:sz w:val="20"/>
                <w:szCs w:val="20"/>
              </w:rPr>
            </w:pPr>
            <w:r>
              <w:rPr>
                <w:sz w:val="20"/>
                <w:szCs w:val="20"/>
              </w:rPr>
              <w:t>Principal amoun</w:t>
            </w:r>
            <w:r>
              <w:rPr>
                <w:sz w:val="20"/>
                <w:szCs w:val="20"/>
              </w:rPr>
              <w:t>t</w:t>
            </w:r>
          </w:p>
        </w:tc>
        <w:tc>
          <w:tcPr>
            <w:tcW w:w="132" w:type="pct"/>
            <w:noWrap/>
            <w:tcMar>
              <w:top w:w="0" w:type="dxa"/>
              <w:left w:w="0" w:type="dxa"/>
              <w:bottom w:w="0" w:type="dxa"/>
              <w:right w:w="0" w:type="dxa"/>
            </w:tcMar>
            <w:vAlign w:val="bottom"/>
            <w:hideMark/>
          </w:tcPr>
          <w:p w14:paraId="1E38EF24" w14:textId="77777777" w:rsidR="00000000" w:rsidRDefault="001F1B2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093AEC4F" w14:textId="77777777" w:rsidR="00000000" w:rsidRDefault="001F1B20">
            <w:pPr>
              <w:pStyle w:val="a3"/>
              <w:spacing w:before="0" w:beforeAutospacing="0" w:after="0" w:afterAutospacing="0"/>
              <w:rPr>
                <w:sz w:val="20"/>
                <w:szCs w:val="20"/>
              </w:rPr>
            </w:pPr>
            <w:r>
              <w:rPr>
                <w:sz w:val="20"/>
                <w:szCs w:val="20"/>
              </w:rPr>
              <w:t>$</w:t>
            </w:r>
          </w:p>
        </w:tc>
        <w:tc>
          <w:tcPr>
            <w:tcW w:w="525" w:type="pct"/>
            <w:noWrap/>
            <w:tcMar>
              <w:top w:w="0" w:type="dxa"/>
              <w:left w:w="0" w:type="dxa"/>
              <w:bottom w:w="0" w:type="dxa"/>
              <w:right w:w="0" w:type="dxa"/>
            </w:tcMar>
            <w:vAlign w:val="bottom"/>
            <w:hideMark/>
          </w:tcPr>
          <w:p w14:paraId="348836F7" w14:textId="77777777" w:rsidR="00000000" w:rsidRDefault="001F1B20">
            <w:pPr>
              <w:pStyle w:val="a3"/>
              <w:spacing w:before="0" w:beforeAutospacing="0" w:after="0" w:afterAutospacing="0"/>
              <w:ind w:right="60"/>
              <w:jc w:val="right"/>
              <w:rPr>
                <w:sz w:val="20"/>
                <w:szCs w:val="20"/>
              </w:rPr>
            </w:pPr>
            <w:r>
              <w:rPr>
                <w:sz w:val="20"/>
                <w:szCs w:val="20"/>
              </w:rPr>
              <w:t>413,291</w:t>
            </w:r>
          </w:p>
        </w:tc>
      </w:tr>
      <w:tr w:rsidR="00000000" w14:paraId="2C597D2D" w14:textId="77777777">
        <w:trPr>
          <w:divId w:val="2142065452"/>
        </w:trPr>
        <w:tc>
          <w:tcPr>
            <w:tcW w:w="4208" w:type="pct"/>
            <w:shd w:val="clear" w:color="auto" w:fill="CCEEFF"/>
            <w:tcMar>
              <w:top w:w="0" w:type="dxa"/>
              <w:left w:w="0" w:type="dxa"/>
              <w:bottom w:w="0" w:type="dxa"/>
              <w:right w:w="0" w:type="dxa"/>
            </w:tcMar>
            <w:vAlign w:val="bottom"/>
            <w:hideMark/>
          </w:tcPr>
          <w:p w14:paraId="7B5FE766" w14:textId="77777777" w:rsidR="00000000" w:rsidRDefault="001F1B20">
            <w:pPr>
              <w:pStyle w:val="a3"/>
              <w:spacing w:before="0" w:beforeAutospacing="0" w:after="0" w:afterAutospacing="0"/>
              <w:rPr>
                <w:sz w:val="20"/>
                <w:szCs w:val="20"/>
              </w:rPr>
            </w:pPr>
            <w:r>
              <w:rPr>
                <w:sz w:val="20"/>
                <w:szCs w:val="20"/>
              </w:rPr>
              <w:t>Less:</w:t>
            </w:r>
            <w:r>
              <w:rPr>
                <w:sz w:val="20"/>
                <w:szCs w:val="20"/>
              </w:rPr>
              <w:t xml:space="preserve"> </w:t>
            </w:r>
            <w:r>
              <w:rPr>
                <w:sz w:val="20"/>
                <w:szCs w:val="20"/>
              </w:rPr>
              <w:t>5% retained by the Company</w:t>
            </w:r>
          </w:p>
        </w:tc>
        <w:tc>
          <w:tcPr>
            <w:tcW w:w="132" w:type="pct"/>
            <w:shd w:val="clear" w:color="auto" w:fill="CCEEFF"/>
            <w:noWrap/>
            <w:tcMar>
              <w:top w:w="0" w:type="dxa"/>
              <w:left w:w="0" w:type="dxa"/>
              <w:bottom w:w="0" w:type="dxa"/>
              <w:right w:w="0" w:type="dxa"/>
            </w:tcMar>
            <w:vAlign w:val="bottom"/>
            <w:hideMark/>
          </w:tcPr>
          <w:p w14:paraId="293D2952" w14:textId="77777777" w:rsidR="00000000" w:rsidRDefault="001F1B2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14:paraId="2A66EC9B" w14:textId="77777777" w:rsidR="00000000" w:rsidRDefault="001F1B20">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14:paraId="498FCA87" w14:textId="77777777" w:rsidR="00000000" w:rsidRDefault="001F1B20">
            <w:pPr>
              <w:pStyle w:val="a3"/>
              <w:spacing w:before="0" w:beforeAutospacing="0" w:after="0" w:afterAutospacing="0"/>
              <w:jc w:val="right"/>
              <w:rPr>
                <w:sz w:val="20"/>
                <w:szCs w:val="20"/>
              </w:rPr>
            </w:pPr>
            <w:r>
              <w:rPr>
                <w:sz w:val="20"/>
                <w:szCs w:val="20"/>
              </w:rPr>
              <w:t>(20,665)</w:t>
            </w:r>
          </w:p>
        </w:tc>
      </w:tr>
      <w:tr w:rsidR="00000000" w14:paraId="12CE5911" w14:textId="77777777">
        <w:trPr>
          <w:divId w:val="2142065452"/>
        </w:trPr>
        <w:tc>
          <w:tcPr>
            <w:tcW w:w="4208" w:type="pct"/>
            <w:tcMar>
              <w:top w:w="0" w:type="dxa"/>
              <w:left w:w="0" w:type="dxa"/>
              <w:bottom w:w="0" w:type="dxa"/>
              <w:right w:w="0" w:type="dxa"/>
            </w:tcMar>
            <w:vAlign w:val="bottom"/>
            <w:hideMark/>
          </w:tcPr>
          <w:p w14:paraId="002402EA" w14:textId="77777777" w:rsidR="00000000" w:rsidRDefault="001F1B20">
            <w:pPr>
              <w:pStyle w:val="a3"/>
              <w:spacing w:before="0" w:beforeAutospacing="0" w:after="0" w:afterAutospacing="0"/>
              <w:rPr>
                <w:sz w:val="20"/>
                <w:szCs w:val="20"/>
              </w:rPr>
            </w:pPr>
            <w:r>
              <w:rPr>
                <w:sz w:val="20"/>
                <w:szCs w:val="20"/>
              </w:rPr>
              <w:t>Unamortized debt issuance costs -</w:t>
            </w:r>
            <w:r>
              <w:rPr>
                <w:sz w:val="20"/>
                <w:szCs w:val="20"/>
              </w:rPr>
              <w:t xml:space="preserve"> </w:t>
            </w:r>
            <w:r>
              <w:rPr>
                <w:sz w:val="20"/>
                <w:szCs w:val="20"/>
              </w:rPr>
              <w:t>9.5% Non-Recourse 2035 Notes</w:t>
            </w:r>
          </w:p>
        </w:tc>
        <w:tc>
          <w:tcPr>
            <w:tcW w:w="132" w:type="pct"/>
            <w:noWrap/>
            <w:tcMar>
              <w:top w:w="0" w:type="dxa"/>
              <w:left w:w="0" w:type="dxa"/>
              <w:bottom w:w="0" w:type="dxa"/>
              <w:right w:w="0" w:type="dxa"/>
            </w:tcMar>
            <w:vAlign w:val="bottom"/>
            <w:hideMark/>
          </w:tcPr>
          <w:p w14:paraId="00907D24" w14:textId="77777777" w:rsidR="00000000" w:rsidRDefault="001F1B2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421D6F0C" w14:textId="77777777" w:rsidR="00000000" w:rsidRDefault="001F1B20">
            <w:pPr>
              <w:pStyle w:val="a3"/>
              <w:spacing w:before="0" w:beforeAutospacing="0" w:after="0" w:afterAutospacing="0"/>
              <w:jc w:val="center"/>
              <w:rPr>
                <w:sz w:val="20"/>
                <w:szCs w:val="20"/>
              </w:rPr>
            </w:pPr>
            <w:r>
              <w:rPr>
                <w:sz w:val="20"/>
                <w:szCs w:val="20"/>
              </w:rPr>
              <w:t> </w:t>
            </w:r>
          </w:p>
        </w:tc>
        <w:tc>
          <w:tcPr>
            <w:tcW w:w="525" w:type="pct"/>
            <w:noWrap/>
            <w:tcMar>
              <w:top w:w="0" w:type="dxa"/>
              <w:left w:w="0" w:type="dxa"/>
              <w:bottom w:w="0" w:type="dxa"/>
              <w:right w:w="0" w:type="dxa"/>
            </w:tcMar>
            <w:vAlign w:val="bottom"/>
            <w:hideMark/>
          </w:tcPr>
          <w:p w14:paraId="7E3A0492" w14:textId="77777777" w:rsidR="00000000" w:rsidRDefault="001F1B20">
            <w:pPr>
              <w:pStyle w:val="a3"/>
              <w:spacing w:before="0" w:beforeAutospacing="0" w:after="0" w:afterAutospacing="0"/>
              <w:jc w:val="right"/>
              <w:rPr>
                <w:sz w:val="20"/>
                <w:szCs w:val="20"/>
              </w:rPr>
            </w:pPr>
            <w:r>
              <w:rPr>
                <w:sz w:val="20"/>
                <w:szCs w:val="20"/>
              </w:rPr>
              <w:t>(3,203)</w:t>
            </w:r>
          </w:p>
        </w:tc>
      </w:tr>
      <w:tr w:rsidR="00000000" w14:paraId="74BF6A5E" w14:textId="77777777">
        <w:trPr>
          <w:divId w:val="2142065452"/>
        </w:trPr>
        <w:tc>
          <w:tcPr>
            <w:tcW w:w="4208" w:type="pct"/>
            <w:shd w:val="clear" w:color="auto" w:fill="CCEEFF"/>
            <w:tcMar>
              <w:top w:w="0" w:type="dxa"/>
              <w:left w:w="0" w:type="dxa"/>
              <w:bottom w:w="0" w:type="dxa"/>
              <w:right w:w="0" w:type="dxa"/>
            </w:tcMar>
            <w:vAlign w:val="bottom"/>
            <w:hideMark/>
          </w:tcPr>
          <w:p w14:paraId="113B96C1" w14:textId="77777777" w:rsidR="00000000" w:rsidRDefault="001F1B20">
            <w:pPr>
              <w:pStyle w:val="a3"/>
              <w:spacing w:before="0" w:beforeAutospacing="0" w:after="0" w:afterAutospacing="0"/>
              <w:rPr>
                <w:sz w:val="20"/>
                <w:szCs w:val="20"/>
              </w:rPr>
            </w:pPr>
            <w:r>
              <w:rPr>
                <w:sz w:val="20"/>
                <w:szCs w:val="20"/>
              </w:rPr>
              <w:t>Unamortized debt issuance costs - Modified</w:t>
            </w:r>
            <w:r>
              <w:rPr>
                <w:sz w:val="20"/>
                <w:szCs w:val="20"/>
              </w:rPr>
              <w:t xml:space="preserve"> </w:t>
            </w:r>
            <w:r>
              <w:rPr>
                <w:sz w:val="20"/>
                <w:szCs w:val="20"/>
              </w:rPr>
              <w:t>9.0% Non-Recourse 2033 Notes</w:t>
            </w:r>
          </w:p>
        </w:tc>
        <w:tc>
          <w:tcPr>
            <w:tcW w:w="132" w:type="pct"/>
            <w:shd w:val="clear" w:color="auto" w:fill="CCEEFF"/>
            <w:noWrap/>
            <w:tcMar>
              <w:top w:w="0" w:type="dxa"/>
              <w:left w:w="0" w:type="dxa"/>
              <w:bottom w:w="0" w:type="dxa"/>
              <w:right w:w="0" w:type="dxa"/>
            </w:tcMar>
            <w:vAlign w:val="bottom"/>
            <w:hideMark/>
          </w:tcPr>
          <w:p w14:paraId="361318B8" w14:textId="77777777" w:rsidR="00000000" w:rsidRDefault="001F1B20">
            <w:pPr>
              <w:pStyle w:val="a3"/>
              <w:spacing w:before="0" w:beforeAutospacing="0" w:after="0" w:afterAutospacing="0"/>
              <w:rPr>
                <w:sz w:val="20"/>
                <w:szCs w:val="20"/>
              </w:rPr>
            </w:pPr>
            <w:r>
              <w:rPr>
                <w:sz w:val="20"/>
                <w:szCs w:val="20"/>
              </w:rPr>
              <w:t>​</w:t>
            </w:r>
          </w:p>
        </w:tc>
        <w:tc>
          <w:tcPr>
            <w:tcW w:w="132" w:type="pct"/>
            <w:tcBorders>
              <w:bottom w:val="single" w:sz="6" w:space="0" w:color="000000"/>
            </w:tcBorders>
            <w:shd w:val="clear" w:color="auto" w:fill="CCEEFF"/>
            <w:noWrap/>
            <w:tcMar>
              <w:top w:w="0" w:type="dxa"/>
              <w:left w:w="0" w:type="dxa"/>
              <w:bottom w:w="0" w:type="dxa"/>
              <w:right w:w="0" w:type="dxa"/>
            </w:tcMar>
            <w:vAlign w:val="bottom"/>
            <w:hideMark/>
          </w:tcPr>
          <w:p w14:paraId="15A823F0" w14:textId="77777777" w:rsidR="00000000" w:rsidRDefault="001F1B20">
            <w:pPr>
              <w:pStyle w:val="a3"/>
              <w:spacing w:before="0" w:beforeAutospacing="0" w:after="0" w:afterAutospacing="0"/>
              <w:jc w:val="center"/>
              <w:rPr>
                <w:sz w:val="20"/>
                <w:szCs w:val="20"/>
              </w:rPr>
            </w:pPr>
            <w:r>
              <w:rPr>
                <w:sz w:val="20"/>
                <w:szCs w:val="20"/>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14:paraId="6E776089" w14:textId="77777777" w:rsidR="00000000" w:rsidRDefault="001F1B20">
            <w:pPr>
              <w:pStyle w:val="a3"/>
              <w:spacing w:before="0" w:beforeAutospacing="0" w:after="0" w:afterAutospacing="0"/>
              <w:jc w:val="right"/>
              <w:rPr>
                <w:sz w:val="20"/>
                <w:szCs w:val="20"/>
              </w:rPr>
            </w:pPr>
            <w:r>
              <w:rPr>
                <w:sz w:val="20"/>
                <w:szCs w:val="20"/>
              </w:rPr>
              <w:t>(1,323)</w:t>
            </w:r>
          </w:p>
        </w:tc>
      </w:tr>
      <w:tr w:rsidR="00000000" w14:paraId="6C2400FE" w14:textId="77777777">
        <w:trPr>
          <w:divId w:val="2142065452"/>
        </w:trPr>
        <w:tc>
          <w:tcPr>
            <w:tcW w:w="4208" w:type="pct"/>
            <w:tcMar>
              <w:top w:w="0" w:type="dxa"/>
              <w:left w:w="0" w:type="dxa"/>
              <w:bottom w:w="0" w:type="dxa"/>
              <w:right w:w="0" w:type="dxa"/>
            </w:tcMar>
            <w:vAlign w:val="bottom"/>
            <w:hideMark/>
          </w:tcPr>
          <w:p w14:paraId="6E608910" w14:textId="77777777" w:rsidR="00000000" w:rsidRDefault="001F1B2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087720D4" w14:textId="77777777" w:rsidR="00000000" w:rsidRDefault="001F1B2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5D331BC9" w14:textId="77777777" w:rsidR="00000000" w:rsidRDefault="001F1B20">
            <w:pPr>
              <w:pStyle w:val="a3"/>
              <w:spacing w:before="0" w:beforeAutospacing="0" w:after="0" w:afterAutospacing="0"/>
              <w:jc w:val="center"/>
              <w:rPr>
                <w:sz w:val="20"/>
                <w:szCs w:val="20"/>
              </w:rPr>
            </w:pPr>
            <w:r>
              <w:rPr>
                <w:sz w:val="20"/>
                <w:szCs w:val="20"/>
              </w:rPr>
              <w:t>​</w:t>
            </w:r>
          </w:p>
        </w:tc>
        <w:tc>
          <w:tcPr>
            <w:tcW w:w="525" w:type="pct"/>
            <w:noWrap/>
            <w:tcMar>
              <w:top w:w="0" w:type="dxa"/>
              <w:left w:w="0" w:type="dxa"/>
              <w:bottom w:w="0" w:type="dxa"/>
              <w:right w:w="0" w:type="dxa"/>
            </w:tcMar>
            <w:vAlign w:val="bottom"/>
            <w:hideMark/>
          </w:tcPr>
          <w:p w14:paraId="0CBDE5C2" w14:textId="77777777" w:rsidR="00000000" w:rsidRDefault="001F1B20">
            <w:pPr>
              <w:pStyle w:val="a3"/>
              <w:spacing w:before="0" w:beforeAutospacing="0" w:after="0" w:afterAutospacing="0"/>
              <w:ind w:right="60"/>
              <w:jc w:val="right"/>
              <w:rPr>
                <w:sz w:val="20"/>
                <w:szCs w:val="20"/>
              </w:rPr>
            </w:pPr>
            <w:r>
              <w:rPr>
                <w:sz w:val="20"/>
                <w:szCs w:val="20"/>
              </w:rPr>
              <w:t>388,100</w:t>
            </w:r>
          </w:p>
        </w:tc>
      </w:tr>
      <w:tr w:rsidR="00000000" w14:paraId="1761CA5C" w14:textId="77777777">
        <w:trPr>
          <w:divId w:val="2142065452"/>
        </w:trPr>
        <w:tc>
          <w:tcPr>
            <w:tcW w:w="4208" w:type="pct"/>
            <w:shd w:val="clear" w:color="auto" w:fill="CCEEFF"/>
            <w:tcMar>
              <w:top w:w="0" w:type="dxa"/>
              <w:left w:w="0" w:type="dxa"/>
              <w:bottom w:w="0" w:type="dxa"/>
              <w:right w:w="0" w:type="dxa"/>
            </w:tcMar>
            <w:vAlign w:val="bottom"/>
            <w:hideMark/>
          </w:tcPr>
          <w:p w14:paraId="3C46EEFC" w14:textId="77777777" w:rsidR="00000000" w:rsidRDefault="001F1B20">
            <w:pPr>
              <w:pStyle w:val="a3"/>
              <w:spacing w:before="0" w:beforeAutospacing="0" w:after="0" w:afterAutospacing="0"/>
              <w:rPr>
                <w:sz w:val="20"/>
                <w:szCs w:val="20"/>
              </w:rPr>
            </w:pPr>
            <w:r>
              <w:rPr>
                <w:sz w:val="20"/>
                <w:szCs w:val="20"/>
                <w:u w:val="single"/>
              </w:rPr>
              <w:t>3.25</w:t>
            </w:r>
            <w:r>
              <w:rPr>
                <w:sz w:val="20"/>
                <w:szCs w:val="20"/>
                <w:u w:val="single"/>
              </w:rPr>
              <w:t>%</w:t>
            </w:r>
            <w:r>
              <w:rPr>
                <w:sz w:val="20"/>
                <w:szCs w:val="20"/>
                <w:u w:val="single"/>
              </w:rPr>
              <w:t xml:space="preserve"> Convertible 2023 Notes</w:t>
            </w:r>
            <w:r>
              <w:rPr>
                <w:sz w:val="20"/>
                <w:szCs w:val="20"/>
                <w:u w:val="single"/>
              </w:rPr>
              <w:t>:</w:t>
            </w:r>
          </w:p>
        </w:tc>
        <w:tc>
          <w:tcPr>
            <w:tcW w:w="132" w:type="pct"/>
            <w:shd w:val="clear" w:color="auto" w:fill="CCEEFF"/>
            <w:noWrap/>
            <w:tcMar>
              <w:top w:w="0" w:type="dxa"/>
              <w:left w:w="0" w:type="dxa"/>
              <w:bottom w:w="0" w:type="dxa"/>
              <w:right w:w="0" w:type="dxa"/>
            </w:tcMar>
            <w:vAlign w:val="bottom"/>
            <w:hideMark/>
          </w:tcPr>
          <w:p w14:paraId="084B03CE" w14:textId="77777777" w:rsidR="00000000" w:rsidRDefault="001F1B2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14:paraId="40DDA989" w14:textId="77777777" w:rsidR="00000000" w:rsidRDefault="001F1B20">
            <w:pPr>
              <w:pStyle w:val="a3"/>
              <w:spacing w:before="0" w:beforeAutospacing="0" w:after="0" w:afterAutospacing="0"/>
              <w:jc w:val="center"/>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14:paraId="12BDD359" w14:textId="77777777" w:rsidR="00000000" w:rsidRDefault="001F1B20">
            <w:pPr>
              <w:pStyle w:val="a3"/>
              <w:spacing w:before="0" w:beforeAutospacing="0" w:after="0" w:afterAutospacing="0"/>
              <w:rPr>
                <w:sz w:val="20"/>
                <w:szCs w:val="20"/>
              </w:rPr>
            </w:pPr>
            <w:r>
              <w:rPr>
                <w:sz w:val="20"/>
                <w:szCs w:val="20"/>
              </w:rPr>
              <w:t>​</w:t>
            </w:r>
          </w:p>
        </w:tc>
      </w:tr>
      <w:tr w:rsidR="00000000" w14:paraId="6C8DC7BC" w14:textId="77777777">
        <w:trPr>
          <w:divId w:val="2142065452"/>
        </w:trPr>
        <w:tc>
          <w:tcPr>
            <w:tcW w:w="4208" w:type="pct"/>
            <w:tcMar>
              <w:top w:w="0" w:type="dxa"/>
              <w:left w:w="0" w:type="dxa"/>
              <w:bottom w:w="0" w:type="dxa"/>
              <w:right w:w="0" w:type="dxa"/>
            </w:tcMar>
            <w:vAlign w:val="bottom"/>
            <w:hideMark/>
          </w:tcPr>
          <w:p w14:paraId="1D9CFAC6" w14:textId="77777777" w:rsidR="00000000" w:rsidRDefault="001F1B20">
            <w:pPr>
              <w:pStyle w:val="a3"/>
              <w:spacing w:before="0" w:beforeAutospacing="0" w:after="0" w:afterAutospacing="0"/>
              <w:rPr>
                <w:sz w:val="20"/>
                <w:szCs w:val="20"/>
              </w:rPr>
            </w:pPr>
            <w:r>
              <w:rPr>
                <w:sz w:val="20"/>
                <w:szCs w:val="20"/>
              </w:rPr>
              <w:t>Principal amoun</w:t>
            </w:r>
            <w:r>
              <w:rPr>
                <w:sz w:val="20"/>
                <w:szCs w:val="20"/>
              </w:rPr>
              <w:t>t</w:t>
            </w:r>
          </w:p>
        </w:tc>
        <w:tc>
          <w:tcPr>
            <w:tcW w:w="132" w:type="pct"/>
            <w:noWrap/>
            <w:tcMar>
              <w:top w:w="0" w:type="dxa"/>
              <w:left w:w="0" w:type="dxa"/>
              <w:bottom w:w="0" w:type="dxa"/>
              <w:right w:w="0" w:type="dxa"/>
            </w:tcMar>
            <w:vAlign w:val="bottom"/>
            <w:hideMark/>
          </w:tcPr>
          <w:p w14:paraId="2A4D3F1E" w14:textId="77777777" w:rsidR="00000000" w:rsidRDefault="001F1B2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707B3CC9" w14:textId="77777777" w:rsidR="00000000" w:rsidRDefault="001F1B20">
            <w:pPr>
              <w:pStyle w:val="a3"/>
              <w:spacing w:before="0" w:beforeAutospacing="0" w:after="0" w:afterAutospacing="0"/>
              <w:rPr>
                <w:sz w:val="20"/>
                <w:szCs w:val="20"/>
              </w:rPr>
            </w:pPr>
            <w:r>
              <w:rPr>
                <w:sz w:val="20"/>
                <w:szCs w:val="20"/>
              </w:rPr>
              <w:t>​</w:t>
            </w:r>
          </w:p>
        </w:tc>
        <w:tc>
          <w:tcPr>
            <w:tcW w:w="525" w:type="pct"/>
            <w:noWrap/>
            <w:tcMar>
              <w:top w:w="0" w:type="dxa"/>
              <w:left w:w="0" w:type="dxa"/>
              <w:bottom w:w="0" w:type="dxa"/>
              <w:right w:w="0" w:type="dxa"/>
            </w:tcMar>
            <w:vAlign w:val="bottom"/>
            <w:hideMark/>
          </w:tcPr>
          <w:p w14:paraId="42D7D186" w14:textId="77777777" w:rsidR="00000000" w:rsidRDefault="001F1B20">
            <w:pPr>
              <w:pStyle w:val="a3"/>
              <w:spacing w:before="0" w:beforeAutospacing="0" w:after="0" w:afterAutospacing="0"/>
              <w:ind w:right="60"/>
              <w:jc w:val="right"/>
              <w:rPr>
                <w:sz w:val="20"/>
                <w:szCs w:val="20"/>
              </w:rPr>
            </w:pPr>
            <w:r>
              <w:rPr>
                <w:sz w:val="20"/>
                <w:szCs w:val="20"/>
              </w:rPr>
              <w:t>230,000</w:t>
            </w:r>
          </w:p>
        </w:tc>
      </w:tr>
      <w:tr w:rsidR="00000000" w14:paraId="60753BFA" w14:textId="77777777">
        <w:trPr>
          <w:divId w:val="2142065452"/>
        </w:trPr>
        <w:tc>
          <w:tcPr>
            <w:tcW w:w="4208" w:type="pct"/>
            <w:shd w:val="clear" w:color="auto" w:fill="CCEEFF"/>
            <w:tcMar>
              <w:top w:w="0" w:type="dxa"/>
              <w:left w:w="0" w:type="dxa"/>
              <w:bottom w:w="0" w:type="dxa"/>
              <w:right w:w="0" w:type="dxa"/>
            </w:tcMar>
            <w:vAlign w:val="bottom"/>
            <w:hideMark/>
          </w:tcPr>
          <w:p w14:paraId="16347122" w14:textId="77777777" w:rsidR="00000000" w:rsidRDefault="001F1B20">
            <w:pPr>
              <w:pStyle w:val="a3"/>
              <w:spacing w:before="0" w:beforeAutospacing="0" w:after="0" w:afterAutospacing="0"/>
              <w:rPr>
                <w:sz w:val="20"/>
                <w:szCs w:val="20"/>
              </w:rPr>
            </w:pPr>
            <w:r>
              <w:rPr>
                <w:sz w:val="20"/>
                <w:szCs w:val="20"/>
              </w:rPr>
              <w:t>Unamortized debt issuance cost</w:t>
            </w:r>
            <w:r>
              <w:rPr>
                <w:sz w:val="20"/>
                <w:szCs w:val="20"/>
              </w:rPr>
              <w:t>s</w:t>
            </w:r>
          </w:p>
        </w:tc>
        <w:tc>
          <w:tcPr>
            <w:tcW w:w="132" w:type="pct"/>
            <w:shd w:val="clear" w:color="auto" w:fill="CCEEFF"/>
            <w:noWrap/>
            <w:tcMar>
              <w:top w:w="0" w:type="dxa"/>
              <w:left w:w="0" w:type="dxa"/>
              <w:bottom w:w="0" w:type="dxa"/>
              <w:right w:w="0" w:type="dxa"/>
            </w:tcMar>
            <w:vAlign w:val="bottom"/>
            <w:hideMark/>
          </w:tcPr>
          <w:p w14:paraId="74E4E650" w14:textId="77777777" w:rsidR="00000000" w:rsidRDefault="001F1B20">
            <w:pPr>
              <w:pStyle w:val="a3"/>
              <w:spacing w:before="0" w:beforeAutospacing="0" w:after="0" w:afterAutospacing="0"/>
              <w:rPr>
                <w:sz w:val="20"/>
                <w:szCs w:val="20"/>
              </w:rPr>
            </w:pPr>
            <w:r>
              <w:rPr>
                <w:sz w:val="20"/>
                <w:szCs w:val="20"/>
              </w:rPr>
              <w:t>​</w:t>
            </w:r>
          </w:p>
        </w:tc>
        <w:tc>
          <w:tcPr>
            <w:tcW w:w="132" w:type="pct"/>
            <w:tcBorders>
              <w:bottom w:val="single" w:sz="6" w:space="0" w:color="000000"/>
            </w:tcBorders>
            <w:shd w:val="clear" w:color="auto" w:fill="CCEEFF"/>
            <w:noWrap/>
            <w:tcMar>
              <w:top w:w="0" w:type="dxa"/>
              <w:left w:w="0" w:type="dxa"/>
              <w:bottom w:w="0" w:type="dxa"/>
              <w:right w:w="0" w:type="dxa"/>
            </w:tcMar>
            <w:vAlign w:val="bottom"/>
            <w:hideMark/>
          </w:tcPr>
          <w:p w14:paraId="0C64776A" w14:textId="77777777" w:rsidR="00000000" w:rsidRDefault="001F1B20">
            <w:pPr>
              <w:pStyle w:val="a3"/>
              <w:spacing w:before="0" w:beforeAutospacing="0" w:after="0" w:afterAutospacing="0"/>
              <w:rPr>
                <w:sz w:val="20"/>
                <w:szCs w:val="20"/>
              </w:rPr>
            </w:pPr>
            <w:r>
              <w:rPr>
                <w:sz w:val="20"/>
                <w:szCs w:val="20"/>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14:paraId="0545C3CD" w14:textId="77777777" w:rsidR="00000000" w:rsidRDefault="001F1B20">
            <w:pPr>
              <w:pStyle w:val="a3"/>
              <w:spacing w:before="0" w:beforeAutospacing="0" w:after="0" w:afterAutospacing="0"/>
              <w:jc w:val="right"/>
              <w:rPr>
                <w:sz w:val="20"/>
                <w:szCs w:val="20"/>
              </w:rPr>
            </w:pPr>
            <w:r>
              <w:rPr>
                <w:sz w:val="20"/>
                <w:szCs w:val="20"/>
              </w:rPr>
              <w:t>(2,233)</w:t>
            </w:r>
          </w:p>
        </w:tc>
      </w:tr>
      <w:tr w:rsidR="00000000" w14:paraId="2E1915AC" w14:textId="77777777">
        <w:trPr>
          <w:divId w:val="2142065452"/>
        </w:trPr>
        <w:tc>
          <w:tcPr>
            <w:tcW w:w="4208" w:type="pct"/>
            <w:tcMar>
              <w:top w:w="0" w:type="dxa"/>
              <w:left w:w="0" w:type="dxa"/>
              <w:bottom w:w="0" w:type="dxa"/>
              <w:right w:w="0" w:type="dxa"/>
            </w:tcMar>
            <w:vAlign w:val="bottom"/>
            <w:hideMark/>
          </w:tcPr>
          <w:p w14:paraId="0C8AE1FB" w14:textId="77777777" w:rsidR="00000000" w:rsidRDefault="001F1B2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470C0CD6" w14:textId="77777777" w:rsidR="00000000" w:rsidRDefault="001F1B2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34553F7D" w14:textId="77777777" w:rsidR="00000000" w:rsidRDefault="001F1B20">
            <w:pPr>
              <w:pStyle w:val="a3"/>
              <w:spacing w:before="0" w:beforeAutospacing="0" w:after="0" w:afterAutospacing="0"/>
              <w:rPr>
                <w:sz w:val="20"/>
                <w:szCs w:val="20"/>
              </w:rPr>
            </w:pPr>
            <w:r>
              <w:rPr>
                <w:sz w:val="20"/>
                <w:szCs w:val="20"/>
              </w:rPr>
              <w:t>​</w:t>
            </w:r>
          </w:p>
        </w:tc>
        <w:tc>
          <w:tcPr>
            <w:tcW w:w="525" w:type="pct"/>
            <w:noWrap/>
            <w:tcMar>
              <w:top w:w="0" w:type="dxa"/>
              <w:left w:w="0" w:type="dxa"/>
              <w:bottom w:w="0" w:type="dxa"/>
              <w:right w:w="0" w:type="dxa"/>
            </w:tcMar>
            <w:vAlign w:val="bottom"/>
            <w:hideMark/>
          </w:tcPr>
          <w:p w14:paraId="45717EC5" w14:textId="77777777" w:rsidR="00000000" w:rsidRDefault="001F1B20">
            <w:pPr>
              <w:pStyle w:val="a3"/>
              <w:spacing w:before="0" w:beforeAutospacing="0" w:after="0" w:afterAutospacing="0"/>
              <w:ind w:right="60"/>
              <w:jc w:val="right"/>
              <w:rPr>
                <w:sz w:val="20"/>
                <w:szCs w:val="20"/>
              </w:rPr>
            </w:pPr>
            <w:r>
              <w:rPr>
                <w:sz w:val="20"/>
                <w:szCs w:val="20"/>
              </w:rPr>
              <w:t>227,767</w:t>
            </w:r>
          </w:p>
        </w:tc>
      </w:tr>
      <w:tr w:rsidR="00000000" w14:paraId="72E913EE" w14:textId="77777777">
        <w:trPr>
          <w:divId w:val="2142065452"/>
        </w:trPr>
        <w:tc>
          <w:tcPr>
            <w:tcW w:w="4208" w:type="pct"/>
            <w:shd w:val="clear" w:color="auto" w:fill="CCEEFF"/>
            <w:tcMar>
              <w:top w:w="0" w:type="dxa"/>
              <w:left w:w="0" w:type="dxa"/>
              <w:bottom w:w="0" w:type="dxa"/>
              <w:right w:w="0" w:type="dxa"/>
            </w:tcMar>
            <w:vAlign w:val="bottom"/>
            <w:hideMark/>
          </w:tcPr>
          <w:p w14:paraId="1361339D" w14:textId="77777777" w:rsidR="00000000" w:rsidRDefault="001F1B2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14:paraId="1305D67E" w14:textId="77777777" w:rsidR="00000000" w:rsidRDefault="001F1B20">
            <w:pPr>
              <w:pStyle w:val="a3"/>
              <w:spacing w:before="0" w:beforeAutospacing="0" w:after="0" w:afterAutospacing="0"/>
              <w:rPr>
                <w:sz w:val="20"/>
                <w:szCs w:val="20"/>
              </w:rPr>
            </w:pPr>
            <w:r>
              <w:rPr>
                <w:sz w:val="20"/>
                <w:szCs w:val="20"/>
              </w:rPr>
              <w:t>​</w:t>
            </w:r>
          </w:p>
        </w:tc>
        <w:tc>
          <w:tcPr>
            <w:tcW w:w="132" w:type="pct"/>
            <w:tcBorders>
              <w:bottom w:val="single" w:sz="6" w:space="0" w:color="000000"/>
            </w:tcBorders>
            <w:shd w:val="clear" w:color="auto" w:fill="CCEEFF"/>
            <w:noWrap/>
            <w:tcMar>
              <w:top w:w="0" w:type="dxa"/>
              <w:left w:w="0" w:type="dxa"/>
              <w:bottom w:w="0" w:type="dxa"/>
              <w:right w:w="0" w:type="dxa"/>
            </w:tcMar>
            <w:vAlign w:val="bottom"/>
            <w:hideMark/>
          </w:tcPr>
          <w:p w14:paraId="62026C0C" w14:textId="77777777" w:rsidR="00000000" w:rsidRDefault="001F1B20">
            <w:pPr>
              <w:pStyle w:val="a3"/>
              <w:spacing w:before="0" w:beforeAutospacing="0" w:after="0" w:afterAutospacing="0"/>
              <w:rPr>
                <w:sz w:val="20"/>
                <w:szCs w:val="20"/>
              </w:rPr>
            </w:pPr>
            <w:r>
              <w:rPr>
                <w:sz w:val="20"/>
                <w:szCs w:val="20"/>
              </w:rPr>
              <w:t>​</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14:paraId="11F8051E" w14:textId="77777777" w:rsidR="00000000" w:rsidRDefault="001F1B20">
            <w:pPr>
              <w:pStyle w:val="a3"/>
              <w:spacing w:before="0" w:beforeAutospacing="0" w:after="0" w:afterAutospacing="0"/>
              <w:rPr>
                <w:sz w:val="20"/>
                <w:szCs w:val="20"/>
              </w:rPr>
            </w:pPr>
            <w:r>
              <w:rPr>
                <w:sz w:val="20"/>
                <w:szCs w:val="20"/>
              </w:rPr>
              <w:t>​</w:t>
            </w:r>
          </w:p>
        </w:tc>
      </w:tr>
      <w:tr w:rsidR="00000000" w14:paraId="7AA9114B" w14:textId="77777777">
        <w:trPr>
          <w:divId w:val="2142065452"/>
        </w:trPr>
        <w:tc>
          <w:tcPr>
            <w:tcW w:w="4208" w:type="pct"/>
            <w:noWrap/>
            <w:tcMar>
              <w:top w:w="0" w:type="dxa"/>
              <w:left w:w="0" w:type="dxa"/>
              <w:bottom w:w="0" w:type="dxa"/>
              <w:right w:w="0" w:type="dxa"/>
            </w:tcMar>
            <w:vAlign w:val="bottom"/>
            <w:hideMark/>
          </w:tcPr>
          <w:p w14:paraId="72AE8EF7" w14:textId="77777777" w:rsidR="00000000" w:rsidRDefault="001F1B20">
            <w:pPr>
              <w:pStyle w:val="a3"/>
              <w:spacing w:before="0" w:beforeAutospacing="0" w:after="0" w:afterAutospacing="0"/>
              <w:ind w:left="240"/>
              <w:rPr>
                <w:sz w:val="20"/>
                <w:szCs w:val="20"/>
              </w:rPr>
            </w:pPr>
            <w:r>
              <w:rPr>
                <w:sz w:val="20"/>
                <w:szCs w:val="20"/>
              </w:rPr>
              <w:t>Total debt</w:t>
            </w:r>
          </w:p>
        </w:tc>
        <w:tc>
          <w:tcPr>
            <w:tcW w:w="132" w:type="pct"/>
            <w:noWrap/>
            <w:tcMar>
              <w:top w:w="0" w:type="dxa"/>
              <w:left w:w="0" w:type="dxa"/>
              <w:bottom w:w="0" w:type="dxa"/>
              <w:right w:w="0" w:type="dxa"/>
            </w:tcMar>
            <w:vAlign w:val="bottom"/>
            <w:hideMark/>
          </w:tcPr>
          <w:p w14:paraId="2DAF7D29" w14:textId="77777777" w:rsidR="00000000" w:rsidRDefault="001F1B20">
            <w:pPr>
              <w:pStyle w:val="a3"/>
              <w:spacing w:before="0" w:beforeAutospacing="0" w:after="0" w:afterAutospacing="0"/>
              <w:rPr>
                <w:sz w:val="20"/>
                <w:szCs w:val="20"/>
              </w:rPr>
            </w:pPr>
            <w:r>
              <w:rPr>
                <w:sz w:val="20"/>
                <w:szCs w:val="20"/>
              </w:rPr>
              <w:t>​</w:t>
            </w:r>
          </w:p>
        </w:tc>
        <w:tc>
          <w:tcPr>
            <w:tcW w:w="132" w:type="pct"/>
            <w:tcBorders>
              <w:bottom w:val="double" w:sz="6" w:space="0" w:color="000000"/>
            </w:tcBorders>
            <w:noWrap/>
            <w:tcMar>
              <w:top w:w="0" w:type="dxa"/>
              <w:left w:w="0" w:type="dxa"/>
              <w:bottom w:w="0" w:type="dxa"/>
              <w:right w:w="0" w:type="dxa"/>
            </w:tcMar>
            <w:vAlign w:val="bottom"/>
            <w:hideMark/>
          </w:tcPr>
          <w:p w14:paraId="4061693B" w14:textId="77777777" w:rsidR="00000000" w:rsidRDefault="001F1B20">
            <w:pPr>
              <w:pStyle w:val="a3"/>
              <w:spacing w:before="0" w:beforeAutospacing="0" w:after="0" w:afterAutospacing="0"/>
              <w:rPr>
                <w:sz w:val="20"/>
                <w:szCs w:val="20"/>
              </w:rPr>
            </w:pPr>
            <w:r>
              <w:rPr>
                <w:sz w:val="20"/>
                <w:szCs w:val="20"/>
              </w:rPr>
              <w:t>$</w:t>
            </w:r>
          </w:p>
        </w:tc>
        <w:tc>
          <w:tcPr>
            <w:tcW w:w="525" w:type="pct"/>
            <w:tcBorders>
              <w:bottom w:val="double" w:sz="6" w:space="0" w:color="000000"/>
            </w:tcBorders>
            <w:noWrap/>
            <w:tcMar>
              <w:top w:w="0" w:type="dxa"/>
              <w:left w:w="0" w:type="dxa"/>
              <w:bottom w:w="0" w:type="dxa"/>
              <w:right w:w="0" w:type="dxa"/>
            </w:tcMar>
            <w:vAlign w:val="center"/>
            <w:hideMark/>
          </w:tcPr>
          <w:p w14:paraId="740EE661" w14:textId="77777777" w:rsidR="00000000" w:rsidRDefault="001F1B20">
            <w:pPr>
              <w:pStyle w:val="a3"/>
              <w:spacing w:before="0" w:beforeAutospacing="0" w:after="0" w:afterAutospacing="0"/>
              <w:ind w:right="60"/>
              <w:jc w:val="right"/>
              <w:rPr>
                <w:sz w:val="20"/>
                <w:szCs w:val="20"/>
              </w:rPr>
            </w:pPr>
            <w:r>
              <w:rPr>
                <w:sz w:val="20"/>
                <w:szCs w:val="20"/>
              </w:rPr>
              <w:t>615,867</w:t>
            </w:r>
          </w:p>
        </w:tc>
      </w:tr>
    </w:tbl>
    <w:p w14:paraId="43096667" w14:textId="77777777" w:rsidR="00000000" w:rsidRDefault="001F1B20">
      <w:pPr>
        <w:pStyle w:val="a3"/>
        <w:shd w:val="clear" w:color="auto" w:fill="FFFFFF"/>
        <w:spacing w:before="0" w:beforeAutospacing="0" w:after="0" w:afterAutospacing="0"/>
        <w:jc w:val="center"/>
        <w:divId w:val="2142065452"/>
        <w:rPr>
          <w:sz w:val="20"/>
          <w:szCs w:val="20"/>
        </w:rPr>
      </w:pPr>
      <w:r>
        <w:rPr>
          <w:b/>
          <w:bCs/>
          <w:i/>
          <w:iCs/>
          <w:sz w:val="20"/>
          <w:szCs w:val="20"/>
        </w:rPr>
        <w:t>​</w:t>
      </w:r>
    </w:p>
    <w:p w14:paraId="5AAA5682" w14:textId="77777777" w:rsidR="00000000" w:rsidRDefault="001F1B20">
      <w:pPr>
        <w:pStyle w:val="a3"/>
        <w:shd w:val="clear" w:color="auto" w:fill="FFFFFF"/>
        <w:spacing w:before="0" w:beforeAutospacing="0" w:after="0" w:afterAutospacing="0"/>
        <w:divId w:val="2142065452"/>
        <w:rPr>
          <w:sz w:val="20"/>
          <w:szCs w:val="20"/>
        </w:rPr>
      </w:pPr>
      <w:r>
        <w:rPr>
          <w:b/>
          <w:bCs/>
          <w:i/>
          <w:iCs/>
          <w:sz w:val="20"/>
          <w:szCs w:val="20"/>
        </w:rPr>
        <w:t>9.5% Non-Recourse Notes Due 2035</w:t>
      </w:r>
    </w:p>
    <w:p w14:paraId="53C591F1" w14:textId="77777777" w:rsidR="00000000" w:rsidRDefault="001F1B20">
      <w:pPr>
        <w:pStyle w:val="a3"/>
        <w:shd w:val="clear" w:color="auto" w:fill="FFFFFF"/>
        <w:spacing w:before="0" w:beforeAutospacing="0" w:after="0" w:afterAutospacing="0"/>
        <w:divId w:val="2142065452"/>
        <w:rPr>
          <w:sz w:val="20"/>
          <w:szCs w:val="20"/>
        </w:rPr>
      </w:pPr>
      <w:r>
        <w:rPr>
          <w:sz w:val="10"/>
          <w:szCs w:val="10"/>
        </w:rPr>
        <w:t>​</w:t>
      </w:r>
    </w:p>
    <w:p w14:paraId="5D7CA6C9" w14:textId="77777777" w:rsidR="00000000" w:rsidRDefault="001F1B20">
      <w:pPr>
        <w:pStyle w:val="a3"/>
        <w:shd w:val="clear" w:color="auto" w:fill="FFFFFF"/>
        <w:spacing w:before="0" w:beforeAutospacing="0" w:after="0" w:afterAutospacing="0"/>
        <w:ind w:firstLine="720"/>
        <w:divId w:val="2142065452"/>
        <w:rPr>
          <w:sz w:val="20"/>
          <w:szCs w:val="20"/>
        </w:rPr>
      </w:pPr>
      <w:r>
        <w:rPr>
          <w:sz w:val="20"/>
          <w:szCs w:val="20"/>
        </w:rPr>
        <w:t>On February 21, 2020, Theravance Biopharma R&amp;D, Inc. (“Theravance R&amp;D”), a wholly-owned subsidiary of the Company, and Triple Royalty Sub II LLC (the “Issuer II” or “Triple II”</w:t>
      </w:r>
      <w:r>
        <w:rPr>
          <w:sz w:val="20"/>
          <w:szCs w:val="20"/>
        </w:rPr>
        <w:t>), a wholly-owned subsidiary of Theravance Biopharma R&amp;D, entered into certain note purchase agreements (“Note Purchase Agreements”) with certain note purchasers (“Note Purchasers”), relating to the private placement by Issuer II of $400.0 million 9.5% Fix</w:t>
      </w:r>
      <w:r>
        <w:rPr>
          <w:sz w:val="20"/>
          <w:szCs w:val="20"/>
        </w:rPr>
        <w:t>ed Rate Term Notes due on or before 2035 (the “Non-Recourse 2035 Notes”). Ninety-five percent of the Non-Recourse 2035 Notes were sold to the Note Purchasers pursuant to the Note Purchase Agreements. The remaining 5% of the Non-Recourse 2035 Notes (the “Re</w:t>
      </w:r>
      <w:r>
        <w:rPr>
          <w:sz w:val="20"/>
          <w:szCs w:val="20"/>
        </w:rPr>
        <w:t>tained Notes”) were retained by the Company to comply with Regulation RR — Credit Risk Retention (17 C.F.R. Part 246). The Retained Notes are eliminated in the Company’s condensed consolidated financial statements.</w:t>
      </w:r>
    </w:p>
    <w:p w14:paraId="12175DDD" w14:textId="77777777" w:rsidR="00000000" w:rsidRDefault="001F1B20">
      <w:pPr>
        <w:pStyle w:val="a3"/>
        <w:shd w:val="clear" w:color="auto" w:fill="FFFFFF"/>
        <w:spacing w:before="0" w:beforeAutospacing="0" w:after="0" w:afterAutospacing="0"/>
        <w:ind w:firstLine="720"/>
        <w:divId w:val="2142065452"/>
        <w:rPr>
          <w:sz w:val="20"/>
          <w:szCs w:val="20"/>
        </w:rPr>
      </w:pPr>
      <w:r>
        <w:rPr>
          <w:sz w:val="20"/>
          <w:szCs w:val="20"/>
        </w:rPr>
        <w:t>​</w:t>
      </w:r>
    </w:p>
    <w:p w14:paraId="2578AFE5" w14:textId="77777777" w:rsidR="00000000" w:rsidRDefault="001F1B20">
      <w:pPr>
        <w:pStyle w:val="a3"/>
        <w:shd w:val="clear" w:color="auto" w:fill="FFFFFF"/>
        <w:spacing w:before="0" w:beforeAutospacing="0" w:after="0" w:afterAutospacing="0"/>
        <w:ind w:firstLine="720"/>
        <w:divId w:val="2142065452"/>
        <w:rPr>
          <w:sz w:val="20"/>
          <w:szCs w:val="20"/>
        </w:rPr>
      </w:pPr>
      <w:r>
        <w:rPr>
          <w:sz w:val="20"/>
          <w:szCs w:val="20"/>
        </w:rPr>
        <w:t>The Non-Recourse 2035 Notes are secured</w:t>
      </w:r>
      <w:r>
        <w:rPr>
          <w:sz w:val="20"/>
          <w:szCs w:val="20"/>
        </w:rPr>
        <w:t xml:space="preserve"> by all of Issuer II’s right, title and interest as a holder of certain membership interests (the “Issuer II Class C Units”) in Theravance Respiratory Company, LLC (“TRC”). TRC holds the right to receive upward-tiering royalties ranging from 6.5% to 10% on</w:t>
      </w:r>
      <w:r>
        <w:rPr>
          <w:sz w:val="20"/>
          <w:szCs w:val="20"/>
        </w:rPr>
        <w:t xml:space="preserve"> worldwide net sales of TRELEGY, and the Company holds an 85% economic interest in TRC. The Issuer II Class C Units represent 75% of the Company's 85% economic interest, which equates to 63.75% of the economic interests in TRC. </w:t>
      </w:r>
    </w:p>
    <w:p w14:paraId="2200980B" w14:textId="77777777" w:rsidR="00000000" w:rsidRDefault="001F1B20">
      <w:pPr>
        <w:pStyle w:val="a3"/>
        <w:spacing w:before="0" w:beforeAutospacing="0" w:after="0" w:afterAutospacing="0"/>
        <w:ind w:firstLine="720"/>
        <w:divId w:val="2142065452"/>
        <w:rPr>
          <w:sz w:val="20"/>
          <w:szCs w:val="20"/>
        </w:rPr>
      </w:pPr>
      <w:r>
        <w:rPr>
          <w:sz w:val="20"/>
          <w:szCs w:val="20"/>
        </w:rPr>
        <w:t>​</w:t>
      </w:r>
    </w:p>
    <w:p w14:paraId="0BD5AC26" w14:textId="77777777" w:rsidR="00000000" w:rsidRDefault="001F1B20">
      <w:pPr>
        <w:pStyle w:val="a3"/>
        <w:spacing w:before="0" w:beforeAutospacing="0" w:after="0" w:afterAutospacing="0"/>
        <w:ind w:firstLine="720"/>
        <w:divId w:val="2142065452"/>
        <w:rPr>
          <w:sz w:val="20"/>
          <w:szCs w:val="20"/>
        </w:rPr>
      </w:pPr>
      <w:r>
        <w:rPr>
          <w:sz w:val="20"/>
          <w:szCs w:val="20"/>
        </w:rPr>
        <w:t>The source of principal a</w:t>
      </w:r>
      <w:r>
        <w:rPr>
          <w:sz w:val="20"/>
          <w:szCs w:val="20"/>
        </w:rPr>
        <w:t>nd interest payments for the Non-Recourse 2035 Notes are the future royalty payments generated from the TRELEGY program, and as a result, the holders of the Non-Recourse 2035 Notes have no recourse against the Company even if the TRELEGY payments are insuf</w:t>
      </w:r>
      <w:r>
        <w:rPr>
          <w:sz w:val="20"/>
          <w:szCs w:val="20"/>
        </w:rPr>
        <w:t>ficient to cover the principal and interest payments for the Non-Recourse 2035 Notes. Prior to and including the December 5, 2024 payment date, in the event that the distributions received by the Issuer II from TRC in a quarter are less than the interest a</w:t>
      </w:r>
      <w:r>
        <w:rPr>
          <w:sz w:val="20"/>
          <w:szCs w:val="20"/>
        </w:rPr>
        <w:t>ccrued for that quarter, the principal amount of the Non-Recourse 2035 Notes will increase by the interest shortfall amount for that quarter. During the three months ended September 30, 2021, $5.7 million of net interest shortfall was added to the net prin</w:t>
      </w:r>
      <w:r>
        <w:rPr>
          <w:sz w:val="20"/>
          <w:szCs w:val="20"/>
        </w:rPr>
        <w:t>cipal amount of the Non-Recourse 2035 Notes. While the holders of the Non-Recourse 2035 Notes have no recourse against the Company, the terms of the Non-Recourse 2035 Notes also provide that the Company, at its option, may satisfy the quarterly interest pa</w:t>
      </w:r>
      <w:r>
        <w:rPr>
          <w:sz w:val="20"/>
          <w:szCs w:val="20"/>
        </w:rPr>
        <w:t>yment obligations by making a capital contribution to the Issuer II. During the nine months ended September 30, 2021, the net principal amount of the Non-Recourse 2035 Notes decreased by $5.0 million which represented royalties received in excess of the in</w:t>
      </w:r>
      <w:r>
        <w:rPr>
          <w:sz w:val="20"/>
          <w:szCs w:val="20"/>
        </w:rPr>
        <w:t xml:space="preserve">terest payable through the respective payment date. </w:t>
      </w:r>
    </w:p>
    <w:p w14:paraId="1F39F297" w14:textId="77777777" w:rsidR="00000000" w:rsidRDefault="001F1B20">
      <w:pPr>
        <w:pStyle w:val="a3"/>
        <w:spacing w:before="0" w:beforeAutospacing="0" w:after="0" w:afterAutospacing="0"/>
        <w:ind w:firstLine="720"/>
        <w:divId w:val="2142065452"/>
        <w:rPr>
          <w:sz w:val="20"/>
          <w:szCs w:val="20"/>
        </w:rPr>
      </w:pPr>
      <w:r>
        <w:rPr>
          <w:i/>
          <w:iCs/>
          <w:color w:val="FF0000"/>
          <w:sz w:val="20"/>
          <w:szCs w:val="20"/>
        </w:rPr>
        <w:t>​</w:t>
      </w:r>
    </w:p>
    <w:p w14:paraId="0D1C5AF5" w14:textId="77777777" w:rsidR="00000000" w:rsidRDefault="001F1B20">
      <w:pPr>
        <w:pStyle w:val="a3"/>
        <w:spacing w:before="0" w:beforeAutospacing="0" w:after="0" w:afterAutospacing="0"/>
        <w:ind w:firstLine="720"/>
        <w:divId w:val="2142065452"/>
        <w:rPr>
          <w:sz w:val="20"/>
          <w:szCs w:val="20"/>
        </w:rPr>
      </w:pPr>
      <w:r>
        <w:rPr>
          <w:sz w:val="20"/>
          <w:szCs w:val="20"/>
        </w:rPr>
        <w:t>The Non-Recourse 2035 Notes are not convertible into Company equity and have no security interest in nor rights under any agreement with Glaxo Group Limited or one of its affiliates (“GSK”). The Non-Re</w:t>
      </w:r>
      <w:r>
        <w:rPr>
          <w:sz w:val="20"/>
          <w:szCs w:val="20"/>
        </w:rPr>
        <w:t>course 2035 Notes may be redeemed by Issuer II on and after February 28, 2022, in whole or in part, at specified redemption premiums. The Non-Recourse 2035 Notes bear an annual interest rate of 9.5%, with interest and principal paid quarterly beginning Jun</w:t>
      </w:r>
      <w:r>
        <w:rPr>
          <w:sz w:val="20"/>
          <w:szCs w:val="20"/>
        </w:rPr>
        <w:t>e 5, 2020. Since the principal and interest payments on the Non-Recourse 2035 Notes are ultimately based on royalties from </w:t>
      </w:r>
      <w:r>
        <w:rPr>
          <w:caps/>
          <w:sz w:val="20"/>
          <w:szCs w:val="20"/>
        </w:rPr>
        <w:t>TRELEGY</w:t>
      </w:r>
      <w:r>
        <w:rPr>
          <w:sz w:val="20"/>
          <w:szCs w:val="20"/>
        </w:rPr>
        <w:t xml:space="preserve"> product sales, which will vary from quarter to quarter, the Non-Recourse 2035 Notes may be repaid prior to the final maturity</w:t>
      </w:r>
      <w:r>
        <w:rPr>
          <w:sz w:val="20"/>
          <w:szCs w:val="20"/>
        </w:rPr>
        <w:t xml:space="preserve"> </w:t>
      </w:r>
    </w:p>
    <w:p w14:paraId="13DA2327" w14:textId="77777777" w:rsidR="00000000" w:rsidRDefault="001F1B20">
      <w:pPr>
        <w:pStyle w:val="a3"/>
        <w:spacing w:before="360" w:beforeAutospacing="0" w:after="0" w:afterAutospacing="0"/>
        <w:jc w:val="center"/>
        <w:divId w:val="1338116438"/>
        <w:rPr>
          <w:sz w:val="20"/>
          <w:szCs w:val="20"/>
        </w:rPr>
      </w:pPr>
      <w:r>
        <w:rPr>
          <w:sz w:val="20"/>
          <w:szCs w:val="20"/>
        </w:rPr>
        <w:t>14</w:t>
      </w:r>
    </w:p>
    <w:p w14:paraId="328340D9" w14:textId="77777777" w:rsidR="00000000" w:rsidRDefault="001F1B20">
      <w:pPr>
        <w:pStyle w:val="a3"/>
        <w:spacing w:before="0" w:beforeAutospacing="0" w:after="600" w:afterAutospacing="0"/>
        <w:divId w:val="1915243520"/>
        <w:rPr>
          <w:sz w:val="20"/>
          <w:szCs w:val="20"/>
        </w:rPr>
      </w:pPr>
      <w:hyperlink w:anchor="TOC" w:history="1">
        <w:r>
          <w:rPr>
            <w:rStyle w:val="a4"/>
            <w:sz w:val="20"/>
            <w:szCs w:val="20"/>
          </w:rPr>
          <w:t>Table of Contents</w:t>
        </w:r>
      </w:hyperlink>
    </w:p>
    <w:p w14:paraId="705B88B7" w14:textId="77777777" w:rsidR="00000000" w:rsidRDefault="001F1B20">
      <w:pPr>
        <w:pStyle w:val="a3"/>
        <w:spacing w:before="0" w:beforeAutospacing="0" w:after="0" w:afterAutospacing="0"/>
        <w:divId w:val="945577011"/>
        <w:rPr>
          <w:sz w:val="20"/>
          <w:szCs w:val="20"/>
        </w:rPr>
      </w:pPr>
      <w:r>
        <w:rPr>
          <w:sz w:val="20"/>
          <w:szCs w:val="20"/>
        </w:rPr>
        <w:t xml:space="preserve">date in 2035. Following the redemption or repayment of the Non-Recourse 2035 Notes, all </w:t>
      </w:r>
      <w:r>
        <w:rPr>
          <w:caps/>
          <w:sz w:val="20"/>
          <w:szCs w:val="20"/>
        </w:rPr>
        <w:t>TRELEGY</w:t>
      </w:r>
      <w:r>
        <w:rPr>
          <w:sz w:val="20"/>
          <w:szCs w:val="20"/>
        </w:rPr>
        <w:t>-related pledged cash flows will revert to the Company.</w:t>
      </w:r>
    </w:p>
    <w:p w14:paraId="0298C40E" w14:textId="77777777" w:rsidR="00000000" w:rsidRDefault="001F1B20">
      <w:pPr>
        <w:pStyle w:val="a3"/>
        <w:spacing w:before="0" w:beforeAutospacing="0" w:after="0" w:afterAutospacing="0"/>
        <w:ind w:firstLine="720"/>
        <w:divId w:val="945577011"/>
        <w:rPr>
          <w:sz w:val="20"/>
          <w:szCs w:val="20"/>
        </w:rPr>
      </w:pPr>
      <w:r>
        <w:rPr>
          <w:sz w:val="20"/>
          <w:szCs w:val="20"/>
        </w:rPr>
        <w:t>​</w:t>
      </w:r>
    </w:p>
    <w:p w14:paraId="39A5EC08" w14:textId="77777777" w:rsidR="00000000" w:rsidRDefault="001F1B20">
      <w:pPr>
        <w:pStyle w:val="a3"/>
        <w:spacing w:before="0" w:beforeAutospacing="0" w:after="0" w:afterAutospacing="0"/>
        <w:ind w:firstLine="720"/>
        <w:divId w:val="945577011"/>
        <w:rPr>
          <w:sz w:val="20"/>
          <w:szCs w:val="20"/>
        </w:rPr>
      </w:pPr>
      <w:r>
        <w:rPr>
          <w:sz w:val="20"/>
          <w:szCs w:val="20"/>
        </w:rPr>
        <w:t>The portion of the Non-Recourse 2035 Notes classified as a current liability, if any, is based on the amount of royalties received, or receivable, as of September 30, 2021, that are expected to be received from TRC and used to make a principal repayment on</w:t>
      </w:r>
      <w:r>
        <w:rPr>
          <w:sz w:val="20"/>
          <w:szCs w:val="20"/>
        </w:rPr>
        <w:t xml:space="preserve"> the Non-Recourse 2035 Notes within the next twelve months. </w:t>
      </w:r>
    </w:p>
    <w:p w14:paraId="2D5CC96C" w14:textId="77777777" w:rsidR="00000000" w:rsidRDefault="001F1B20">
      <w:pPr>
        <w:pStyle w:val="a3"/>
        <w:spacing w:before="0" w:beforeAutospacing="0" w:after="0" w:afterAutospacing="0"/>
        <w:ind w:firstLine="720"/>
        <w:divId w:val="945577011"/>
        <w:rPr>
          <w:sz w:val="20"/>
          <w:szCs w:val="20"/>
        </w:rPr>
      </w:pPr>
      <w:r>
        <w:rPr>
          <w:color w:val="FF0000"/>
          <w:sz w:val="20"/>
          <w:szCs w:val="20"/>
        </w:rPr>
        <w:t>​</w:t>
      </w:r>
    </w:p>
    <w:p w14:paraId="5BA80EE5" w14:textId="77777777" w:rsidR="00000000" w:rsidRDefault="001F1B20">
      <w:pPr>
        <w:pStyle w:val="a3"/>
        <w:spacing w:before="0" w:beforeAutospacing="0" w:after="0" w:afterAutospacing="0"/>
        <w:ind w:firstLine="720"/>
        <w:divId w:val="945577011"/>
        <w:rPr>
          <w:sz w:val="20"/>
          <w:szCs w:val="20"/>
        </w:rPr>
      </w:pPr>
      <w:r>
        <w:rPr>
          <w:sz w:val="20"/>
          <w:szCs w:val="20"/>
        </w:rPr>
        <w:t>As of September 30, 2021, the net principal and estimated fair value of the Non-Recourse 2035 Notes were $392.6 million and $384.8 million, respectively. The inputs to determine fair value of the Non-Recourse 2035 Notes are categorized as Level 2 inputs. L</w:t>
      </w:r>
      <w:r>
        <w:rPr>
          <w:sz w:val="20"/>
          <w:szCs w:val="20"/>
        </w:rPr>
        <w:t>evel 2 inputs include quoted prices for similar instruments in active markets; quoted prices for identical or similar instruments in markets that are not active; and model-derived valuations whose inputs are observable or whose significant value drivers ar</w:t>
      </w:r>
      <w:r>
        <w:rPr>
          <w:sz w:val="20"/>
          <w:szCs w:val="20"/>
        </w:rPr>
        <w:t>e observable.</w:t>
      </w:r>
    </w:p>
    <w:p w14:paraId="59505F26" w14:textId="77777777" w:rsidR="00000000" w:rsidRDefault="001F1B20">
      <w:pPr>
        <w:pStyle w:val="a3"/>
        <w:spacing w:before="0" w:beforeAutospacing="0" w:after="0" w:afterAutospacing="0"/>
        <w:divId w:val="945577011"/>
        <w:rPr>
          <w:sz w:val="20"/>
          <w:szCs w:val="20"/>
        </w:rPr>
      </w:pPr>
      <w:r>
        <w:rPr>
          <w:sz w:val="20"/>
          <w:szCs w:val="20"/>
        </w:rPr>
        <w:t>​</w:t>
      </w:r>
    </w:p>
    <w:p w14:paraId="7B5F2D96" w14:textId="77777777" w:rsidR="00000000" w:rsidRDefault="001F1B20">
      <w:pPr>
        <w:pStyle w:val="a3"/>
        <w:spacing w:before="0" w:beforeAutospacing="0" w:after="120" w:afterAutospacing="0"/>
        <w:divId w:val="945577011"/>
        <w:rPr>
          <w:sz w:val="20"/>
          <w:szCs w:val="20"/>
        </w:rPr>
      </w:pPr>
      <w:r>
        <w:rPr>
          <w:b/>
          <w:bCs/>
          <w:i/>
          <w:iCs/>
          <w:sz w:val="20"/>
          <w:szCs w:val="20"/>
        </w:rPr>
        <w:t>3.25% Convertible Senior Notes Due 2023</w:t>
      </w:r>
    </w:p>
    <w:p w14:paraId="0D64CC35" w14:textId="77777777" w:rsidR="00000000" w:rsidRDefault="001F1B20">
      <w:pPr>
        <w:pStyle w:val="a3"/>
        <w:spacing w:before="0" w:beforeAutospacing="0" w:after="0" w:afterAutospacing="0"/>
        <w:ind w:firstLine="720"/>
        <w:divId w:val="945577011"/>
        <w:rPr>
          <w:sz w:val="20"/>
          <w:szCs w:val="20"/>
        </w:rPr>
      </w:pPr>
      <w:r>
        <w:rPr>
          <w:sz w:val="20"/>
          <w:szCs w:val="20"/>
        </w:rPr>
        <w:t xml:space="preserve">The Company had $230.0 million of 3.25% convertible senior notes due in 2023 (“Convertible Senior 2023 Notes”) outstanding as of September 30, 2021 with an estimated fair value of $212.8 million. The </w:t>
      </w:r>
      <w:r>
        <w:rPr>
          <w:sz w:val="20"/>
          <w:szCs w:val="20"/>
        </w:rPr>
        <w:t>estimated fair value was primarily based upon the underlying price of Theravance Biopharma’s publicly traded shares and other observable inputs as of September 30, 2021. The inputs to determine fair value of the Convertible Senior 2023 Notes are categorize</w:t>
      </w:r>
      <w:r>
        <w:rPr>
          <w:sz w:val="20"/>
          <w:szCs w:val="20"/>
        </w:rPr>
        <w:t>d as Level 2 inputs. Level 2 inputs include quoted prices for similar instruments in active markets; quoted prices for identical or similar instruments in markets that are not active; and model-derived valuations whose inputs are observable or whose signif</w:t>
      </w:r>
      <w:r>
        <w:rPr>
          <w:sz w:val="20"/>
          <w:szCs w:val="20"/>
        </w:rPr>
        <w:t>icant value drivers are observable.</w:t>
      </w:r>
    </w:p>
    <w:p w14:paraId="6EFAB257" w14:textId="77777777" w:rsidR="00000000" w:rsidRDefault="001F1B20">
      <w:pPr>
        <w:pStyle w:val="a3"/>
        <w:spacing w:before="0" w:beforeAutospacing="0" w:after="0" w:afterAutospacing="0"/>
        <w:ind w:firstLine="720"/>
        <w:divId w:val="945577011"/>
        <w:rPr>
          <w:sz w:val="20"/>
          <w:szCs w:val="20"/>
        </w:rPr>
      </w:pPr>
      <w:r>
        <w:rPr>
          <w:color w:val="FF0000"/>
          <w:sz w:val="20"/>
          <w:szCs w:val="20"/>
        </w:rPr>
        <w:t>​</w:t>
      </w:r>
    </w:p>
    <w:p w14:paraId="2298B070" w14:textId="77777777" w:rsidR="00000000" w:rsidRDefault="001F1B20">
      <w:pPr>
        <w:pStyle w:val="a3"/>
        <w:spacing w:before="0" w:beforeAutospacing="0" w:after="0" w:afterAutospacing="0"/>
        <w:divId w:val="945577011"/>
        <w:rPr>
          <w:sz w:val="20"/>
          <w:szCs w:val="20"/>
        </w:rPr>
      </w:pPr>
      <w:r>
        <w:rPr>
          <w:b/>
          <w:bCs/>
          <w:sz w:val="20"/>
          <w:szCs w:val="20"/>
        </w:rPr>
        <w:t>7.</w:t>
      </w:r>
      <w:r>
        <w:rPr>
          <w:sz w:val="20"/>
          <w:szCs w:val="20"/>
        </w:rPr>
        <w:t xml:space="preserve"> </w:t>
      </w:r>
      <w:r>
        <w:rPr>
          <w:b/>
          <w:bCs/>
          <w:sz w:val="20"/>
          <w:szCs w:val="20"/>
        </w:rPr>
        <w:t>Leases</w:t>
      </w:r>
    </w:p>
    <w:p w14:paraId="56B583D7" w14:textId="77777777" w:rsidR="00000000" w:rsidRDefault="001F1B20">
      <w:pPr>
        <w:pStyle w:val="a3"/>
        <w:spacing w:before="0" w:beforeAutospacing="0" w:after="0" w:afterAutospacing="0"/>
        <w:divId w:val="945577011"/>
        <w:rPr>
          <w:sz w:val="20"/>
          <w:szCs w:val="20"/>
        </w:rPr>
      </w:pPr>
      <w:r>
        <w:rPr>
          <w:sz w:val="10"/>
          <w:szCs w:val="10"/>
        </w:rPr>
        <w:t>​</w:t>
      </w:r>
    </w:p>
    <w:p w14:paraId="0C8FB011" w14:textId="77777777" w:rsidR="00000000" w:rsidRDefault="001F1B20">
      <w:pPr>
        <w:pStyle w:val="a3"/>
        <w:spacing w:before="0" w:beforeAutospacing="0" w:after="0" w:afterAutospacing="0"/>
        <w:ind w:firstLine="720"/>
        <w:divId w:val="945577011"/>
        <w:rPr>
          <w:sz w:val="20"/>
          <w:szCs w:val="20"/>
        </w:rPr>
      </w:pPr>
      <w:r>
        <w:rPr>
          <w:sz w:val="20"/>
          <w:szCs w:val="20"/>
          <w:shd w:val="clear" w:color="auto" w:fill="FFFFFF"/>
        </w:rPr>
        <w:t>The Company leases approximately 170,000 square feet of office and laboratory space in two buildings in South San Francisco, California, under a non-cancelable operating lease that ends in May 2030.</w:t>
      </w:r>
      <w:r>
        <w:rPr>
          <w:sz w:val="20"/>
          <w:szCs w:val="20"/>
        </w:rPr>
        <w:t xml:space="preserve"> In July</w:t>
      </w:r>
      <w:r>
        <w:rPr>
          <w:sz w:val="20"/>
          <w:szCs w:val="20"/>
        </w:rPr>
        <w:t xml:space="preserve"> 2021, the Company terminated approximately 8,000 square feet of office space in one of the buildings and returned the space to the building’s landlord for their use. The Company determined that the termination would be accounted for as a lease modificatio</w:t>
      </w:r>
      <w:r>
        <w:rPr>
          <w:sz w:val="20"/>
          <w:szCs w:val="20"/>
        </w:rPr>
        <w:t xml:space="preserve">n under ASC 842. As a result of the modification, the Company reduced the value of its operating lease assets and liabilities in the condensed consolidated balance sheets, as of September 30, 2021, by $1.1 million and $3.0 million, respectively, resulting </w:t>
      </w:r>
      <w:r>
        <w:rPr>
          <w:sz w:val="20"/>
          <w:szCs w:val="20"/>
        </w:rPr>
        <w:t>in a gain of $1.9 million which partially offset operating expenses in the condensed consolidated statements of operations.</w:t>
      </w:r>
    </w:p>
    <w:p w14:paraId="7F62314C" w14:textId="77777777" w:rsidR="00000000" w:rsidRDefault="001F1B20">
      <w:pPr>
        <w:pStyle w:val="a3"/>
        <w:spacing w:before="0" w:beforeAutospacing="0" w:after="0" w:afterAutospacing="0"/>
        <w:divId w:val="945577011"/>
        <w:rPr>
          <w:sz w:val="20"/>
          <w:szCs w:val="20"/>
        </w:rPr>
      </w:pPr>
      <w:r>
        <w:rPr>
          <w:b/>
          <w:bCs/>
          <w:sz w:val="20"/>
          <w:szCs w:val="20"/>
        </w:rPr>
        <w:t>​</w:t>
      </w:r>
    </w:p>
    <w:p w14:paraId="750A287E" w14:textId="77777777" w:rsidR="00000000" w:rsidRDefault="001F1B20">
      <w:pPr>
        <w:pStyle w:val="a3"/>
        <w:spacing w:before="0" w:beforeAutospacing="0" w:after="0" w:afterAutospacing="0"/>
        <w:ind w:firstLine="720"/>
        <w:divId w:val="945577011"/>
        <w:rPr>
          <w:sz w:val="20"/>
          <w:szCs w:val="20"/>
        </w:rPr>
      </w:pPr>
      <w:r>
        <w:rPr>
          <w:sz w:val="20"/>
          <w:szCs w:val="20"/>
        </w:rPr>
        <w:t xml:space="preserve">In July 2021, the Company also entered into a separate agreement under which it will sublease approximately 21,000 square feet of </w:t>
      </w:r>
      <w:r>
        <w:rPr>
          <w:sz w:val="20"/>
          <w:szCs w:val="20"/>
        </w:rPr>
        <w:t>its South San Francisco office and laboratory space, beginning in October 2021. The sublease term will continue through September 2028. Under the terms of the sublease agreement, the Company will receive an initial monthly base rent of $0.1 million, with a</w:t>
      </w:r>
      <w:r>
        <w:rPr>
          <w:sz w:val="20"/>
          <w:szCs w:val="20"/>
        </w:rPr>
        <w:t>nnual base rent increases of 3%, and the subtenant’s proportionate share of the building’s operating expenses. Beginning in October 2021, the Company will recognize the sublease income on a straight-line basis over the term of the sublease which will be re</w:t>
      </w:r>
      <w:r>
        <w:rPr>
          <w:sz w:val="20"/>
          <w:szCs w:val="20"/>
        </w:rPr>
        <w:t xml:space="preserve">flected as a reduction in operating expenses in the condensed consolidated statements of operations. </w:t>
      </w:r>
    </w:p>
    <w:p w14:paraId="21C05B97" w14:textId="77777777" w:rsidR="00000000" w:rsidRDefault="001F1B20">
      <w:pPr>
        <w:pStyle w:val="a3"/>
        <w:spacing w:before="0" w:beforeAutospacing="0" w:after="0" w:afterAutospacing="0"/>
        <w:divId w:val="945577011"/>
        <w:rPr>
          <w:sz w:val="20"/>
          <w:szCs w:val="20"/>
        </w:rPr>
      </w:pPr>
      <w:r>
        <w:rPr>
          <w:sz w:val="20"/>
          <w:szCs w:val="20"/>
        </w:rPr>
        <w:t>​</w:t>
      </w:r>
    </w:p>
    <w:p w14:paraId="6B868665" w14:textId="77777777" w:rsidR="00000000" w:rsidRDefault="001F1B20">
      <w:pPr>
        <w:pStyle w:val="a3"/>
        <w:spacing w:before="0" w:beforeAutospacing="0" w:after="0" w:afterAutospacing="0"/>
        <w:divId w:val="945577011"/>
        <w:rPr>
          <w:sz w:val="20"/>
          <w:szCs w:val="20"/>
        </w:rPr>
      </w:pPr>
      <w:r>
        <w:rPr>
          <w:b/>
          <w:bCs/>
          <w:sz w:val="20"/>
          <w:szCs w:val="20"/>
        </w:rPr>
        <w:t>8. Theravance Respiratory Company, LLC</w:t>
      </w:r>
    </w:p>
    <w:p w14:paraId="22DEC907" w14:textId="77777777" w:rsidR="00000000" w:rsidRDefault="001F1B20">
      <w:pPr>
        <w:pStyle w:val="a3"/>
        <w:spacing w:before="0" w:beforeAutospacing="0" w:after="0" w:afterAutospacing="0"/>
        <w:divId w:val="945577011"/>
        <w:rPr>
          <w:sz w:val="20"/>
          <w:szCs w:val="20"/>
        </w:rPr>
      </w:pPr>
      <w:r>
        <w:rPr>
          <w:sz w:val="10"/>
          <w:szCs w:val="10"/>
        </w:rPr>
        <w:t>​</w:t>
      </w:r>
    </w:p>
    <w:p w14:paraId="57D2E097" w14:textId="77777777" w:rsidR="00000000" w:rsidRDefault="001F1B20">
      <w:pPr>
        <w:pStyle w:val="a3"/>
        <w:spacing w:before="0" w:beforeAutospacing="0" w:after="0" w:afterAutospacing="0"/>
        <w:ind w:firstLine="720"/>
        <w:divId w:val="945577011"/>
        <w:rPr>
          <w:sz w:val="20"/>
          <w:szCs w:val="20"/>
        </w:rPr>
      </w:pPr>
      <w:r>
        <w:rPr>
          <w:sz w:val="20"/>
          <w:szCs w:val="20"/>
        </w:rPr>
        <w:t>Through the Company’s 85% equity interest in TRC, the Company is entitled to receive an 85% economic interest i</w:t>
      </w:r>
      <w:r>
        <w:rPr>
          <w:sz w:val="20"/>
          <w:szCs w:val="20"/>
        </w:rPr>
        <w:t>n any future payments made by GSK under the strategic alliance agreement and under the portion of the collaboration agreement assigned to TRC (net of TRC expenses paid and the amount of cash, if any, expected to be used by TRC pursuant to the TRC LLC Agree</w:t>
      </w:r>
      <w:r>
        <w:rPr>
          <w:sz w:val="20"/>
          <w:szCs w:val="20"/>
        </w:rPr>
        <w:t>ment over the next</w:t>
      </w:r>
      <w:r>
        <w:rPr>
          <w:sz w:val="20"/>
          <w:szCs w:val="20"/>
        </w:rPr>
        <w:t xml:space="preserve"> </w:t>
      </w:r>
      <w:r>
        <w:rPr>
          <w:sz w:val="20"/>
          <w:szCs w:val="20"/>
        </w:rPr>
        <w:t>fou</w:t>
      </w:r>
      <w:r>
        <w:rPr>
          <w:sz w:val="20"/>
          <w:szCs w:val="20"/>
        </w:rPr>
        <w:t>r</w:t>
      </w:r>
      <w:r>
        <w:rPr>
          <w:sz w:val="20"/>
          <w:szCs w:val="20"/>
        </w:rPr>
        <w:t xml:space="preserve"> fiscal quarters). The primary drug program assigned to TRC is </w:t>
      </w:r>
      <w:r>
        <w:rPr>
          <w:caps/>
          <w:sz w:val="20"/>
          <w:szCs w:val="20"/>
        </w:rPr>
        <w:t>Trelegy</w:t>
      </w:r>
      <w:r>
        <w:rPr>
          <w:sz w:val="20"/>
          <w:szCs w:val="20"/>
        </w:rPr>
        <w:t xml:space="preserve">. </w:t>
      </w:r>
    </w:p>
    <w:p w14:paraId="4FFEF2E5" w14:textId="77777777" w:rsidR="00000000" w:rsidRDefault="001F1B20">
      <w:pPr>
        <w:pStyle w:val="a3"/>
        <w:spacing w:before="0" w:beforeAutospacing="0" w:after="0" w:afterAutospacing="0"/>
        <w:ind w:firstLine="720"/>
        <w:divId w:val="945577011"/>
        <w:rPr>
          <w:sz w:val="20"/>
          <w:szCs w:val="20"/>
        </w:rPr>
      </w:pPr>
      <w:r>
        <w:rPr>
          <w:sz w:val="20"/>
          <w:szCs w:val="20"/>
        </w:rPr>
        <w:t>​</w:t>
      </w:r>
    </w:p>
    <w:p w14:paraId="02B92691" w14:textId="77777777" w:rsidR="00000000" w:rsidRDefault="001F1B20">
      <w:pPr>
        <w:pStyle w:val="a3"/>
        <w:spacing w:before="0" w:beforeAutospacing="0" w:after="0" w:afterAutospacing="0"/>
        <w:ind w:firstLine="720"/>
        <w:divId w:val="945577011"/>
        <w:rPr>
          <w:sz w:val="20"/>
          <w:szCs w:val="20"/>
        </w:rPr>
      </w:pPr>
      <w:r>
        <w:rPr>
          <w:sz w:val="20"/>
          <w:szCs w:val="20"/>
        </w:rPr>
        <w:t>In May 2014, the Company entered into the TRC LLC Agreement with Innoviva, Inc. (“Innoviva”) that governs the operation of TRC. Under the TRC LLC Agreement, I</w:t>
      </w:r>
      <w:r>
        <w:rPr>
          <w:sz w:val="20"/>
          <w:szCs w:val="20"/>
        </w:rPr>
        <w:t xml:space="preserve">nnoviva is the manager of TRC, and the business and affairs of TRC are managed exclusively by the manager, including (i) day to day management of the drug programs in accordance with the existing GSK agreements; (ii) preparing an annual operating plan for </w:t>
      </w:r>
      <w:r>
        <w:rPr>
          <w:sz w:val="20"/>
          <w:szCs w:val="20"/>
        </w:rPr>
        <w:t xml:space="preserve">TRC; and (iii) taking all actions necessary to ensure that the formation, structure and operation of TRC complies with applicable law and partner agreements. The Company is responsible for its proportionate share of TRC’s administrative expenses incurred, </w:t>
      </w:r>
      <w:r>
        <w:rPr>
          <w:sz w:val="20"/>
          <w:szCs w:val="20"/>
        </w:rPr>
        <w:t>and communicated to the Company, by Innoviva.</w:t>
      </w:r>
    </w:p>
    <w:p w14:paraId="14094752" w14:textId="77777777" w:rsidR="00000000" w:rsidRDefault="001F1B20">
      <w:pPr>
        <w:pStyle w:val="a3"/>
        <w:spacing w:before="0" w:beforeAutospacing="0" w:after="0" w:afterAutospacing="0"/>
        <w:divId w:val="945577011"/>
        <w:rPr>
          <w:sz w:val="20"/>
          <w:szCs w:val="20"/>
        </w:rPr>
      </w:pPr>
      <w:r>
        <w:rPr>
          <w:sz w:val="20"/>
          <w:szCs w:val="20"/>
        </w:rPr>
        <w:t>​</w:t>
      </w:r>
    </w:p>
    <w:p w14:paraId="4301C293" w14:textId="77777777" w:rsidR="00000000" w:rsidRDefault="001F1B20">
      <w:pPr>
        <w:pStyle w:val="a3"/>
        <w:spacing w:before="360" w:beforeAutospacing="0" w:after="0" w:afterAutospacing="0"/>
        <w:jc w:val="center"/>
        <w:divId w:val="716318269"/>
        <w:rPr>
          <w:sz w:val="20"/>
          <w:szCs w:val="20"/>
        </w:rPr>
      </w:pPr>
      <w:r>
        <w:rPr>
          <w:sz w:val="20"/>
          <w:szCs w:val="20"/>
        </w:rPr>
        <w:t>15</w:t>
      </w:r>
    </w:p>
    <w:p w14:paraId="35924B35" w14:textId="77777777" w:rsidR="00000000" w:rsidRDefault="001F1B20">
      <w:pPr>
        <w:pStyle w:val="a3"/>
        <w:spacing w:before="0" w:beforeAutospacing="0" w:after="600" w:afterAutospacing="0"/>
        <w:divId w:val="450127893"/>
        <w:rPr>
          <w:sz w:val="20"/>
          <w:szCs w:val="20"/>
        </w:rPr>
      </w:pPr>
      <w:hyperlink w:anchor="TOC" w:history="1">
        <w:r>
          <w:rPr>
            <w:rStyle w:val="a4"/>
            <w:sz w:val="20"/>
            <w:szCs w:val="20"/>
          </w:rPr>
          <w:t>Table of Contents</w:t>
        </w:r>
      </w:hyperlink>
    </w:p>
    <w:p w14:paraId="485C06DF" w14:textId="77777777" w:rsidR="00000000" w:rsidRDefault="001F1B20">
      <w:pPr>
        <w:pStyle w:val="a3"/>
        <w:spacing w:before="0" w:beforeAutospacing="0" w:after="0" w:afterAutospacing="0"/>
        <w:ind w:firstLine="720"/>
        <w:divId w:val="1854146591"/>
        <w:rPr>
          <w:sz w:val="20"/>
          <w:szCs w:val="20"/>
        </w:rPr>
      </w:pPr>
      <w:r>
        <w:rPr>
          <w:sz w:val="20"/>
          <w:szCs w:val="20"/>
        </w:rPr>
        <w:t xml:space="preserve">The Company analyzed its ownership, contractual and other interests in TRC to determine if it is a variable-interest entity (“VIE”), whether the Company has a variable interest in TRC and the nature and extent of that interest. The Company determined that </w:t>
      </w:r>
      <w:r>
        <w:rPr>
          <w:sz w:val="20"/>
          <w:szCs w:val="20"/>
        </w:rPr>
        <w:t xml:space="preserve">TRC is a VIE. The party with the controlling financial interest, the primary beneficiary, is required to consolidate the entity determined to be a VIE. Therefore, the Company also assessed whether it is the primary beneficiary of TRC based on the power to </w:t>
      </w:r>
      <w:r>
        <w:rPr>
          <w:sz w:val="20"/>
          <w:szCs w:val="20"/>
        </w:rPr>
        <w:t>direct TRC’s activities that most significantly impact TRC’s economic performance and its obligation to absorb TRC’s losses or the right to receive benefits from TRC that could potentially be significant to TRC. Based on the Company’s assessment, the Compa</w:t>
      </w:r>
      <w:r>
        <w:rPr>
          <w:sz w:val="20"/>
          <w:szCs w:val="20"/>
        </w:rPr>
        <w:t>ny determined that it is not the primary beneficiary of TRC, and, as a result, the Company does not consolidate TRC in its condensed consolidated financial statements. TRC is recognized in the Company’s condensed consolidated financial statements under the</w:t>
      </w:r>
      <w:r>
        <w:rPr>
          <w:sz w:val="20"/>
          <w:szCs w:val="20"/>
        </w:rPr>
        <w:t xml:space="preserve"> equity method of accounting.</w:t>
      </w:r>
    </w:p>
    <w:p w14:paraId="0D8071F4" w14:textId="77777777" w:rsidR="00000000" w:rsidRDefault="001F1B20">
      <w:pPr>
        <w:pStyle w:val="a3"/>
        <w:spacing w:before="0" w:beforeAutospacing="0" w:after="0" w:afterAutospacing="0"/>
        <w:divId w:val="1854146591"/>
        <w:rPr>
          <w:sz w:val="20"/>
          <w:szCs w:val="20"/>
        </w:rPr>
      </w:pPr>
      <w:r>
        <w:rPr>
          <w:sz w:val="20"/>
          <w:szCs w:val="20"/>
        </w:rPr>
        <w:t>​</w:t>
      </w:r>
    </w:p>
    <w:p w14:paraId="13A0686C" w14:textId="77777777" w:rsidR="00000000" w:rsidRDefault="001F1B20">
      <w:pPr>
        <w:pStyle w:val="a3"/>
        <w:spacing w:before="0" w:beforeAutospacing="0" w:after="0" w:afterAutospacing="0"/>
        <w:ind w:firstLine="720"/>
        <w:divId w:val="1854146591"/>
        <w:rPr>
          <w:sz w:val="20"/>
          <w:szCs w:val="20"/>
        </w:rPr>
      </w:pPr>
      <w:r>
        <w:rPr>
          <w:sz w:val="20"/>
          <w:szCs w:val="20"/>
        </w:rPr>
        <w:t>For the three and nine months ended September 30, 2021, the Company recognized net royalty income of $30.2 million and $68.7 million, respectively, in the condensed consolidated statements of operations within “Income from i</w:t>
      </w:r>
      <w:r>
        <w:rPr>
          <w:sz w:val="20"/>
          <w:szCs w:val="20"/>
        </w:rPr>
        <w:t xml:space="preserve">nvestment in TRC, LLC”. These amounts were recorded net of the Company’s share of TRC’s expenses of $0.2 million and $3.2 million for the three and nine months ended September 30, 2021, respectively. The share of TRC expenses for the three and nine months </w:t>
      </w:r>
      <w:r>
        <w:rPr>
          <w:sz w:val="20"/>
          <w:szCs w:val="20"/>
        </w:rPr>
        <w:t>ended September 30, 2021 was primarily comprised of TRC legal and related fees associated with the most recent arbitration between Innoviva, as the manager of TRC, and TRC and the Company (</w:t>
      </w:r>
      <w:r>
        <w:rPr>
          <w:i/>
          <w:iCs/>
          <w:sz w:val="20"/>
          <w:szCs w:val="20"/>
        </w:rPr>
        <w:t>see below for more information regarding the arbitration</w:t>
      </w:r>
      <w:r>
        <w:rPr>
          <w:sz w:val="20"/>
          <w:szCs w:val="20"/>
        </w:rPr>
        <w:t xml:space="preserve">). </w:t>
      </w:r>
    </w:p>
    <w:p w14:paraId="0BD2B55A" w14:textId="77777777" w:rsidR="00000000" w:rsidRDefault="001F1B20">
      <w:pPr>
        <w:pStyle w:val="a3"/>
        <w:spacing w:before="0" w:beforeAutospacing="0" w:after="0" w:afterAutospacing="0"/>
        <w:ind w:firstLine="720"/>
        <w:divId w:val="1854146591"/>
        <w:rPr>
          <w:sz w:val="20"/>
          <w:szCs w:val="20"/>
        </w:rPr>
      </w:pPr>
      <w:r>
        <w:rPr>
          <w:sz w:val="20"/>
          <w:szCs w:val="20"/>
        </w:rPr>
        <w:t>​</w:t>
      </w:r>
    </w:p>
    <w:p w14:paraId="2D84076D" w14:textId="77777777" w:rsidR="00000000" w:rsidRDefault="001F1B20">
      <w:pPr>
        <w:pStyle w:val="a3"/>
        <w:spacing w:before="0" w:beforeAutospacing="0" w:after="0" w:afterAutospacing="0"/>
        <w:ind w:firstLine="720"/>
        <w:divId w:val="1854146591"/>
        <w:rPr>
          <w:sz w:val="20"/>
          <w:szCs w:val="20"/>
        </w:rPr>
      </w:pPr>
      <w:r>
        <w:rPr>
          <w:sz w:val="20"/>
          <w:szCs w:val="20"/>
        </w:rPr>
        <w:t>For t</w:t>
      </w:r>
      <w:r>
        <w:rPr>
          <w:sz w:val="20"/>
          <w:szCs w:val="20"/>
        </w:rPr>
        <w:t>he three and nine months ended September 30, 2020, the Company recognized net royalty income of $13.4 million and $48.3 million, respectively. These amounts were recorded net of the Company’s share of TRC’s expenses of $0.5 million and $1.2 million for the</w:t>
      </w:r>
      <w:r>
        <w:rPr>
          <w:sz w:val="20"/>
          <w:szCs w:val="20"/>
        </w:rPr>
        <w:t xml:space="preserve"> three and nine months ended September 30, 2020, respectively.</w:t>
      </w:r>
    </w:p>
    <w:p w14:paraId="3D1DB03F" w14:textId="77777777" w:rsidR="00000000" w:rsidRDefault="001F1B20">
      <w:pPr>
        <w:pStyle w:val="a3"/>
        <w:spacing w:before="0" w:beforeAutospacing="0" w:after="0" w:afterAutospacing="0"/>
        <w:ind w:firstLine="720"/>
        <w:divId w:val="1854146591"/>
        <w:rPr>
          <w:sz w:val="20"/>
          <w:szCs w:val="20"/>
        </w:rPr>
      </w:pPr>
      <w:r>
        <w:rPr>
          <w:sz w:val="20"/>
          <w:szCs w:val="20"/>
        </w:rPr>
        <w:t>​</w:t>
      </w:r>
    </w:p>
    <w:p w14:paraId="36FF3DF3" w14:textId="77777777" w:rsidR="00000000" w:rsidRDefault="001F1B20">
      <w:pPr>
        <w:pStyle w:val="a3"/>
        <w:spacing w:before="0" w:beforeAutospacing="0" w:after="0" w:afterAutospacing="0"/>
        <w:ind w:firstLine="720"/>
        <w:divId w:val="1854146591"/>
        <w:rPr>
          <w:sz w:val="20"/>
          <w:szCs w:val="20"/>
        </w:rPr>
      </w:pPr>
      <w:r>
        <w:rPr>
          <w:sz w:val="20"/>
          <w:szCs w:val="20"/>
        </w:rPr>
        <w:t>For the three and nine months ended September 30, 2021, the Company also recognized a net unrealized gain of $0.1 million and $0.5 million, respectively, associated with the estimated fair ma</w:t>
      </w:r>
      <w:r>
        <w:rPr>
          <w:sz w:val="20"/>
          <w:szCs w:val="20"/>
        </w:rPr>
        <w:t xml:space="preserve">rket value of certain equity investments made by TRC. </w:t>
      </w:r>
    </w:p>
    <w:p w14:paraId="78F85DAE" w14:textId="77777777" w:rsidR="00000000" w:rsidRDefault="001F1B20">
      <w:pPr>
        <w:pStyle w:val="a3"/>
        <w:spacing w:before="0" w:beforeAutospacing="0" w:after="0" w:afterAutospacing="0"/>
        <w:divId w:val="1854146591"/>
        <w:rPr>
          <w:sz w:val="20"/>
          <w:szCs w:val="20"/>
        </w:rPr>
      </w:pPr>
      <w:r>
        <w:rPr>
          <w:sz w:val="20"/>
          <w:szCs w:val="20"/>
        </w:rPr>
        <w:t>​</w:t>
      </w:r>
    </w:p>
    <w:p w14:paraId="6B2EC436" w14:textId="77777777" w:rsidR="00000000" w:rsidRDefault="001F1B20">
      <w:pPr>
        <w:pStyle w:val="a3"/>
        <w:spacing w:before="0" w:beforeAutospacing="0" w:after="0" w:afterAutospacing="0"/>
        <w:ind w:firstLine="720"/>
        <w:divId w:val="1854146591"/>
        <w:rPr>
          <w:sz w:val="20"/>
          <w:szCs w:val="20"/>
        </w:rPr>
      </w:pPr>
      <w:r>
        <w:rPr>
          <w:sz w:val="20"/>
          <w:szCs w:val="20"/>
        </w:rPr>
        <w:t xml:space="preserve">As of September 30, 2021, the amounts due from TRC of $43.8 million were recorded as a current asset in the condensed consolidated balance sheets within “Amounts due from TRC, LLC”. In addition, the </w:t>
      </w:r>
      <w:r>
        <w:rPr>
          <w:sz w:val="20"/>
          <w:szCs w:val="20"/>
        </w:rPr>
        <w:t>Company has recorded $45.1 million as a long-term asset within “Equity in net assets of TRC, LLC” in the condensed consolidated balance sheets which represented its share of TRC’s net assets including funds withheld by TRC for future investments.</w:t>
      </w:r>
    </w:p>
    <w:p w14:paraId="7C2A29F3" w14:textId="77777777" w:rsidR="00000000" w:rsidRDefault="001F1B20">
      <w:pPr>
        <w:pStyle w:val="a3"/>
        <w:spacing w:before="0" w:beforeAutospacing="0" w:after="0" w:afterAutospacing="0"/>
        <w:ind w:firstLine="720"/>
        <w:divId w:val="1854146591"/>
        <w:rPr>
          <w:sz w:val="20"/>
          <w:szCs w:val="20"/>
        </w:rPr>
      </w:pPr>
      <w:r>
        <w:rPr>
          <w:sz w:val="20"/>
          <w:szCs w:val="20"/>
        </w:rPr>
        <w:t>​</w:t>
      </w:r>
    </w:p>
    <w:p w14:paraId="7898437D" w14:textId="77777777" w:rsidR="00000000" w:rsidRDefault="001F1B20">
      <w:pPr>
        <w:pStyle w:val="a3"/>
        <w:spacing w:before="0" w:beforeAutospacing="0" w:after="0" w:afterAutospacing="0"/>
        <w:ind w:firstLine="720"/>
        <w:divId w:val="1854146591"/>
        <w:rPr>
          <w:sz w:val="20"/>
          <w:szCs w:val="20"/>
        </w:rPr>
      </w:pPr>
      <w:r>
        <w:rPr>
          <w:sz w:val="20"/>
          <w:szCs w:val="20"/>
        </w:rPr>
        <w:t>TRC’s s</w:t>
      </w:r>
      <w:r>
        <w:rPr>
          <w:sz w:val="20"/>
          <w:szCs w:val="20"/>
        </w:rPr>
        <w:t>ummarized income statement information is presented below:</w:t>
      </w:r>
    </w:p>
    <w:p w14:paraId="04620820" w14:textId="77777777" w:rsidR="00000000" w:rsidRDefault="001F1B20">
      <w:pPr>
        <w:pStyle w:val="a3"/>
        <w:spacing w:before="0" w:beforeAutospacing="0" w:after="0" w:afterAutospacing="0"/>
        <w:ind w:firstLine="720"/>
        <w:divId w:val="1854146591"/>
        <w:rPr>
          <w:sz w:val="20"/>
          <w:szCs w:val="20"/>
        </w:rPr>
      </w:pPr>
      <w:r>
        <w:rPr>
          <w:sz w:val="20"/>
          <w:szCs w:val="20"/>
        </w:rPr>
        <w:t>​</w:t>
      </w:r>
    </w:p>
    <w:tbl>
      <w:tblPr>
        <w:tblW w:w="4979" w:type="pct"/>
        <w:tblCellMar>
          <w:top w:w="15" w:type="dxa"/>
          <w:left w:w="0" w:type="dxa"/>
          <w:bottom w:w="15" w:type="dxa"/>
          <w:right w:w="0" w:type="dxa"/>
        </w:tblCellMar>
        <w:tblLook w:val="04A0" w:firstRow="1" w:lastRow="0" w:firstColumn="1" w:lastColumn="0" w:noHBand="0" w:noVBand="1"/>
      </w:tblPr>
      <w:tblGrid>
        <w:gridCol w:w="4700"/>
        <w:gridCol w:w="160"/>
        <w:gridCol w:w="128"/>
        <w:gridCol w:w="610"/>
        <w:gridCol w:w="160"/>
        <w:gridCol w:w="130"/>
        <w:gridCol w:w="610"/>
        <w:gridCol w:w="131"/>
        <w:gridCol w:w="131"/>
        <w:gridCol w:w="610"/>
        <w:gridCol w:w="160"/>
        <w:gridCol w:w="131"/>
        <w:gridCol w:w="610"/>
      </w:tblGrid>
      <w:tr w:rsidR="00000000" w14:paraId="50C3FCCA" w14:textId="77777777">
        <w:trPr>
          <w:divId w:val="1854146591"/>
          <w:trHeight w:val="20"/>
        </w:trPr>
        <w:tc>
          <w:tcPr>
            <w:tcW w:w="2851" w:type="pct"/>
            <w:tcMar>
              <w:top w:w="0" w:type="dxa"/>
              <w:left w:w="0" w:type="dxa"/>
              <w:bottom w:w="0" w:type="dxa"/>
              <w:right w:w="0" w:type="dxa"/>
            </w:tcMar>
            <w:vAlign w:val="bottom"/>
            <w:hideMark/>
          </w:tcPr>
          <w:p w14:paraId="3FDE74E3" w14:textId="77777777" w:rsidR="00000000" w:rsidRDefault="001F1B20">
            <w:pPr>
              <w:pStyle w:val="a3"/>
              <w:spacing w:before="0" w:beforeAutospacing="0" w:after="0" w:afterAutospacing="0"/>
              <w:divId w:val="265426911"/>
              <w:rPr>
                <w:sz w:val="20"/>
                <w:szCs w:val="20"/>
              </w:rPr>
            </w:pPr>
            <w:r>
              <w:rPr>
                <w:sz w:val="2"/>
                <w:szCs w:val="2"/>
              </w:rPr>
              <w:t>​</w:t>
            </w:r>
          </w:p>
        </w:tc>
        <w:tc>
          <w:tcPr>
            <w:tcW w:w="89" w:type="pct"/>
            <w:noWrap/>
            <w:tcMar>
              <w:top w:w="0" w:type="dxa"/>
              <w:left w:w="0" w:type="dxa"/>
              <w:bottom w:w="0" w:type="dxa"/>
              <w:right w:w="0" w:type="dxa"/>
            </w:tcMar>
            <w:vAlign w:val="bottom"/>
            <w:hideMark/>
          </w:tcPr>
          <w:p w14:paraId="54370A52" w14:textId="77777777" w:rsidR="00000000" w:rsidRDefault="001F1B20">
            <w:pPr>
              <w:pStyle w:val="a3"/>
              <w:spacing w:before="0" w:beforeAutospacing="0" w:after="0" w:afterAutospacing="0"/>
              <w:divId w:val="581068845"/>
              <w:rPr>
                <w:sz w:val="20"/>
                <w:szCs w:val="20"/>
              </w:rPr>
            </w:pPr>
            <w:r>
              <w:rPr>
                <w:sz w:val="2"/>
                <w:szCs w:val="2"/>
              </w:rPr>
              <w:t>​</w:t>
            </w:r>
          </w:p>
        </w:tc>
        <w:tc>
          <w:tcPr>
            <w:tcW w:w="89" w:type="pct"/>
            <w:noWrap/>
            <w:tcMar>
              <w:top w:w="0" w:type="dxa"/>
              <w:left w:w="0" w:type="dxa"/>
              <w:bottom w:w="0" w:type="dxa"/>
              <w:right w:w="0" w:type="dxa"/>
            </w:tcMar>
            <w:vAlign w:val="bottom"/>
            <w:hideMark/>
          </w:tcPr>
          <w:p w14:paraId="5E93CE2B" w14:textId="77777777" w:rsidR="00000000" w:rsidRDefault="001F1B20">
            <w:pPr>
              <w:pStyle w:val="a3"/>
              <w:spacing w:before="0" w:beforeAutospacing="0" w:after="0" w:afterAutospacing="0"/>
              <w:divId w:val="1607083506"/>
              <w:rPr>
                <w:sz w:val="20"/>
                <w:szCs w:val="20"/>
              </w:rPr>
            </w:pPr>
            <w:r>
              <w:rPr>
                <w:sz w:val="2"/>
                <w:szCs w:val="2"/>
              </w:rPr>
              <w:t>​</w:t>
            </w:r>
          </w:p>
        </w:tc>
        <w:tc>
          <w:tcPr>
            <w:tcW w:w="356" w:type="pct"/>
            <w:noWrap/>
            <w:tcMar>
              <w:top w:w="0" w:type="dxa"/>
              <w:left w:w="0" w:type="dxa"/>
              <w:bottom w:w="0" w:type="dxa"/>
              <w:right w:w="0" w:type="dxa"/>
            </w:tcMar>
            <w:vAlign w:val="center"/>
            <w:hideMark/>
          </w:tcPr>
          <w:p w14:paraId="6759346A" w14:textId="77777777" w:rsidR="00000000" w:rsidRDefault="001F1B20">
            <w:pPr>
              <w:pStyle w:val="a3"/>
              <w:spacing w:before="0" w:beforeAutospacing="0" w:after="0" w:afterAutospacing="0"/>
              <w:divId w:val="906722095"/>
              <w:rPr>
                <w:sz w:val="20"/>
                <w:szCs w:val="20"/>
              </w:rPr>
            </w:pPr>
            <w:r>
              <w:rPr>
                <w:sz w:val="2"/>
                <w:szCs w:val="2"/>
              </w:rPr>
              <w:t>​</w:t>
            </w:r>
          </w:p>
        </w:tc>
        <w:tc>
          <w:tcPr>
            <w:tcW w:w="90" w:type="pct"/>
            <w:noWrap/>
            <w:tcMar>
              <w:top w:w="0" w:type="dxa"/>
              <w:left w:w="0" w:type="dxa"/>
              <w:bottom w:w="0" w:type="dxa"/>
              <w:right w:w="0" w:type="dxa"/>
            </w:tcMar>
            <w:vAlign w:val="bottom"/>
            <w:hideMark/>
          </w:tcPr>
          <w:p w14:paraId="643CBCD1" w14:textId="77777777" w:rsidR="00000000" w:rsidRDefault="001F1B20">
            <w:pPr>
              <w:pStyle w:val="a3"/>
              <w:spacing w:before="0" w:beforeAutospacing="0" w:after="0" w:afterAutospacing="0"/>
              <w:divId w:val="443040292"/>
              <w:rPr>
                <w:sz w:val="20"/>
                <w:szCs w:val="20"/>
              </w:rPr>
            </w:pPr>
            <w:r>
              <w:rPr>
                <w:sz w:val="2"/>
                <w:szCs w:val="2"/>
              </w:rPr>
              <w:t>​</w:t>
            </w:r>
          </w:p>
        </w:tc>
        <w:tc>
          <w:tcPr>
            <w:tcW w:w="90" w:type="pct"/>
            <w:noWrap/>
            <w:tcMar>
              <w:top w:w="0" w:type="dxa"/>
              <w:left w:w="0" w:type="dxa"/>
              <w:bottom w:w="0" w:type="dxa"/>
              <w:right w:w="0" w:type="dxa"/>
            </w:tcMar>
            <w:vAlign w:val="bottom"/>
            <w:hideMark/>
          </w:tcPr>
          <w:p w14:paraId="092496DD" w14:textId="77777777" w:rsidR="00000000" w:rsidRDefault="001F1B20">
            <w:pPr>
              <w:pStyle w:val="a3"/>
              <w:spacing w:before="0" w:beforeAutospacing="0" w:after="0" w:afterAutospacing="0"/>
              <w:divId w:val="167214115"/>
              <w:rPr>
                <w:sz w:val="20"/>
                <w:szCs w:val="20"/>
              </w:rPr>
            </w:pPr>
            <w:r>
              <w:rPr>
                <w:sz w:val="2"/>
                <w:szCs w:val="2"/>
              </w:rPr>
              <w:t>​</w:t>
            </w:r>
          </w:p>
        </w:tc>
        <w:tc>
          <w:tcPr>
            <w:tcW w:w="357" w:type="pct"/>
            <w:noWrap/>
            <w:tcMar>
              <w:top w:w="0" w:type="dxa"/>
              <w:left w:w="0" w:type="dxa"/>
              <w:bottom w:w="0" w:type="dxa"/>
              <w:right w:w="0" w:type="dxa"/>
            </w:tcMar>
            <w:vAlign w:val="center"/>
            <w:hideMark/>
          </w:tcPr>
          <w:p w14:paraId="5BBC5634" w14:textId="77777777" w:rsidR="00000000" w:rsidRDefault="001F1B20">
            <w:pPr>
              <w:pStyle w:val="a3"/>
              <w:spacing w:before="0" w:beforeAutospacing="0" w:after="0" w:afterAutospacing="0"/>
              <w:divId w:val="1571573215"/>
              <w:rPr>
                <w:sz w:val="20"/>
                <w:szCs w:val="20"/>
              </w:rPr>
            </w:pPr>
            <w:r>
              <w:rPr>
                <w:sz w:val="2"/>
                <w:szCs w:val="2"/>
              </w:rPr>
              <w:t>​</w:t>
            </w:r>
          </w:p>
        </w:tc>
        <w:tc>
          <w:tcPr>
            <w:tcW w:w="90" w:type="pct"/>
            <w:noWrap/>
            <w:tcMar>
              <w:top w:w="0" w:type="dxa"/>
              <w:left w:w="0" w:type="dxa"/>
              <w:bottom w:w="0" w:type="dxa"/>
              <w:right w:w="0" w:type="dxa"/>
            </w:tcMar>
            <w:vAlign w:val="bottom"/>
            <w:hideMark/>
          </w:tcPr>
          <w:p w14:paraId="6343F263" w14:textId="77777777" w:rsidR="00000000" w:rsidRDefault="001F1B20">
            <w:pPr>
              <w:pStyle w:val="a3"/>
              <w:spacing w:before="0" w:beforeAutospacing="0" w:after="0" w:afterAutospacing="0"/>
              <w:divId w:val="1597321862"/>
              <w:rPr>
                <w:sz w:val="20"/>
                <w:szCs w:val="20"/>
              </w:rPr>
            </w:pPr>
            <w:r>
              <w:rPr>
                <w:sz w:val="2"/>
                <w:szCs w:val="2"/>
              </w:rPr>
              <w:t>​</w:t>
            </w:r>
          </w:p>
        </w:tc>
        <w:tc>
          <w:tcPr>
            <w:tcW w:w="90" w:type="pct"/>
            <w:noWrap/>
            <w:tcMar>
              <w:top w:w="0" w:type="dxa"/>
              <w:left w:w="0" w:type="dxa"/>
              <w:bottom w:w="0" w:type="dxa"/>
              <w:right w:w="0" w:type="dxa"/>
            </w:tcMar>
            <w:vAlign w:val="bottom"/>
            <w:hideMark/>
          </w:tcPr>
          <w:p w14:paraId="40B6B694" w14:textId="77777777" w:rsidR="00000000" w:rsidRDefault="001F1B20">
            <w:pPr>
              <w:pStyle w:val="a3"/>
              <w:spacing w:before="0" w:beforeAutospacing="0" w:after="0" w:afterAutospacing="0"/>
              <w:divId w:val="1867668287"/>
              <w:rPr>
                <w:sz w:val="20"/>
                <w:szCs w:val="20"/>
              </w:rPr>
            </w:pPr>
            <w:r>
              <w:rPr>
                <w:sz w:val="2"/>
                <w:szCs w:val="2"/>
              </w:rPr>
              <w:t>​</w:t>
            </w:r>
          </w:p>
        </w:tc>
        <w:tc>
          <w:tcPr>
            <w:tcW w:w="357" w:type="pct"/>
            <w:noWrap/>
            <w:tcMar>
              <w:top w:w="0" w:type="dxa"/>
              <w:left w:w="0" w:type="dxa"/>
              <w:bottom w:w="0" w:type="dxa"/>
              <w:right w:w="0" w:type="dxa"/>
            </w:tcMar>
            <w:vAlign w:val="center"/>
            <w:hideMark/>
          </w:tcPr>
          <w:p w14:paraId="3C8713D9" w14:textId="77777777" w:rsidR="00000000" w:rsidRDefault="001F1B20">
            <w:pPr>
              <w:pStyle w:val="a3"/>
              <w:spacing w:before="0" w:beforeAutospacing="0" w:after="0" w:afterAutospacing="0"/>
              <w:divId w:val="481508410"/>
              <w:rPr>
                <w:sz w:val="20"/>
                <w:szCs w:val="20"/>
              </w:rPr>
            </w:pPr>
            <w:r>
              <w:rPr>
                <w:sz w:val="2"/>
                <w:szCs w:val="2"/>
              </w:rPr>
              <w:t>​</w:t>
            </w:r>
          </w:p>
        </w:tc>
        <w:tc>
          <w:tcPr>
            <w:tcW w:w="90" w:type="pct"/>
            <w:noWrap/>
            <w:tcMar>
              <w:top w:w="0" w:type="dxa"/>
              <w:left w:w="0" w:type="dxa"/>
              <w:bottom w:w="0" w:type="dxa"/>
              <w:right w:w="0" w:type="dxa"/>
            </w:tcMar>
            <w:vAlign w:val="bottom"/>
            <w:hideMark/>
          </w:tcPr>
          <w:p w14:paraId="25113BA2" w14:textId="77777777" w:rsidR="00000000" w:rsidRDefault="001F1B20">
            <w:pPr>
              <w:pStyle w:val="a3"/>
              <w:spacing w:before="0" w:beforeAutospacing="0" w:after="0" w:afterAutospacing="0"/>
              <w:divId w:val="1856379031"/>
              <w:rPr>
                <w:sz w:val="20"/>
                <w:szCs w:val="20"/>
              </w:rPr>
            </w:pPr>
            <w:r>
              <w:rPr>
                <w:sz w:val="2"/>
                <w:szCs w:val="2"/>
              </w:rPr>
              <w:t>​</w:t>
            </w:r>
          </w:p>
        </w:tc>
        <w:tc>
          <w:tcPr>
            <w:tcW w:w="90" w:type="pct"/>
            <w:noWrap/>
            <w:tcMar>
              <w:top w:w="0" w:type="dxa"/>
              <w:left w:w="0" w:type="dxa"/>
              <w:bottom w:w="0" w:type="dxa"/>
              <w:right w:w="0" w:type="dxa"/>
            </w:tcMar>
            <w:vAlign w:val="bottom"/>
            <w:hideMark/>
          </w:tcPr>
          <w:p w14:paraId="21297A7D" w14:textId="77777777" w:rsidR="00000000" w:rsidRDefault="001F1B20">
            <w:pPr>
              <w:pStyle w:val="a3"/>
              <w:spacing w:before="0" w:beforeAutospacing="0" w:after="0" w:afterAutospacing="0"/>
              <w:divId w:val="704015475"/>
              <w:rPr>
                <w:sz w:val="20"/>
                <w:szCs w:val="20"/>
              </w:rPr>
            </w:pPr>
            <w:r>
              <w:rPr>
                <w:sz w:val="2"/>
                <w:szCs w:val="2"/>
              </w:rPr>
              <w:t>​</w:t>
            </w:r>
          </w:p>
        </w:tc>
        <w:tc>
          <w:tcPr>
            <w:tcW w:w="357" w:type="pct"/>
            <w:noWrap/>
            <w:tcMar>
              <w:top w:w="0" w:type="dxa"/>
              <w:left w:w="0" w:type="dxa"/>
              <w:bottom w:w="0" w:type="dxa"/>
              <w:right w:w="0" w:type="dxa"/>
            </w:tcMar>
            <w:vAlign w:val="center"/>
            <w:hideMark/>
          </w:tcPr>
          <w:p w14:paraId="4F4CCF92" w14:textId="77777777" w:rsidR="00000000" w:rsidRDefault="001F1B20">
            <w:pPr>
              <w:pStyle w:val="a3"/>
              <w:spacing w:before="0" w:beforeAutospacing="0" w:after="0" w:afterAutospacing="0"/>
              <w:divId w:val="2013947137"/>
              <w:rPr>
                <w:sz w:val="20"/>
                <w:szCs w:val="20"/>
              </w:rPr>
            </w:pPr>
            <w:r>
              <w:rPr>
                <w:sz w:val="2"/>
                <w:szCs w:val="2"/>
              </w:rPr>
              <w:t>​</w:t>
            </w:r>
          </w:p>
        </w:tc>
      </w:tr>
      <w:tr w:rsidR="00000000" w14:paraId="3D88DBD9" w14:textId="77777777">
        <w:trPr>
          <w:divId w:val="1854146591"/>
        </w:trPr>
        <w:tc>
          <w:tcPr>
            <w:tcW w:w="2851" w:type="pct"/>
            <w:tcMar>
              <w:top w:w="0" w:type="dxa"/>
              <w:left w:w="0" w:type="dxa"/>
              <w:bottom w:w="0" w:type="dxa"/>
              <w:right w:w="0" w:type="dxa"/>
            </w:tcMar>
            <w:vAlign w:val="bottom"/>
            <w:hideMark/>
          </w:tcPr>
          <w:p w14:paraId="09C5A8AE" w14:textId="77777777" w:rsidR="00000000" w:rsidRDefault="001F1B20">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14:paraId="7EE4BFC6"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tcMar>
              <w:top w:w="0" w:type="dxa"/>
              <w:left w:w="0" w:type="dxa"/>
              <w:bottom w:w="0" w:type="dxa"/>
              <w:right w:w="0" w:type="dxa"/>
            </w:tcMar>
            <w:vAlign w:val="bottom"/>
            <w:hideMark/>
          </w:tcPr>
          <w:p w14:paraId="289E0159"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90" w:type="pct"/>
            <w:noWrap/>
            <w:tcMar>
              <w:top w:w="0" w:type="dxa"/>
              <w:left w:w="0" w:type="dxa"/>
              <w:bottom w:w="0" w:type="dxa"/>
              <w:right w:w="0" w:type="dxa"/>
            </w:tcMar>
            <w:vAlign w:val="bottom"/>
            <w:hideMark/>
          </w:tcPr>
          <w:p w14:paraId="50A674E5" w14:textId="77777777" w:rsidR="00000000" w:rsidRDefault="001F1B20">
            <w:pPr>
              <w:pStyle w:val="a3"/>
              <w:spacing w:before="0" w:beforeAutospacing="0" w:after="0" w:afterAutospacing="0"/>
              <w:rPr>
                <w:sz w:val="20"/>
                <w:szCs w:val="20"/>
              </w:rPr>
            </w:pPr>
            <w:r>
              <w:rPr>
                <w:b/>
                <w:bCs/>
                <w:sz w:val="16"/>
                <w:szCs w:val="16"/>
              </w:rPr>
              <w:t>​</w:t>
            </w:r>
          </w:p>
        </w:tc>
        <w:tc>
          <w:tcPr>
            <w:tcW w:w="984" w:type="pct"/>
            <w:gridSpan w:val="5"/>
            <w:tcMar>
              <w:top w:w="0" w:type="dxa"/>
              <w:left w:w="0" w:type="dxa"/>
              <w:bottom w:w="0" w:type="dxa"/>
              <w:right w:w="0" w:type="dxa"/>
            </w:tcMar>
            <w:vAlign w:val="bottom"/>
            <w:hideMark/>
          </w:tcPr>
          <w:p w14:paraId="1CDF4C8F"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r>
      <w:tr w:rsidR="00000000" w14:paraId="1D2CAA63" w14:textId="77777777">
        <w:trPr>
          <w:divId w:val="1854146591"/>
        </w:trPr>
        <w:tc>
          <w:tcPr>
            <w:tcW w:w="2851" w:type="pct"/>
            <w:tcMar>
              <w:top w:w="0" w:type="dxa"/>
              <w:left w:w="0" w:type="dxa"/>
              <w:bottom w:w="0" w:type="dxa"/>
              <w:right w:w="0" w:type="dxa"/>
            </w:tcMar>
            <w:vAlign w:val="bottom"/>
            <w:hideMark/>
          </w:tcPr>
          <w:p w14:paraId="4666DBC3" w14:textId="77777777" w:rsidR="00000000" w:rsidRDefault="001F1B20">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14:paraId="7309B010" w14:textId="77777777" w:rsidR="00000000" w:rsidRDefault="001F1B20">
            <w:pPr>
              <w:pStyle w:val="a3"/>
              <w:spacing w:before="0" w:beforeAutospacing="0" w:after="0" w:afterAutospacing="0"/>
              <w:rPr>
                <w:sz w:val="20"/>
                <w:szCs w:val="20"/>
              </w:rPr>
            </w:pPr>
            <w:r>
              <w:rPr>
                <w:b/>
                <w:bCs/>
                <w:sz w:val="16"/>
                <w:szCs w:val="16"/>
              </w:rPr>
              <w:t>​</w:t>
            </w:r>
          </w:p>
        </w:tc>
        <w:tc>
          <w:tcPr>
            <w:tcW w:w="983" w:type="pct"/>
            <w:gridSpan w:val="5"/>
            <w:tcBorders>
              <w:bottom w:val="single" w:sz="6" w:space="0" w:color="000000"/>
            </w:tcBorders>
            <w:tcMar>
              <w:top w:w="0" w:type="dxa"/>
              <w:left w:w="0" w:type="dxa"/>
              <w:bottom w:w="0" w:type="dxa"/>
              <w:right w:w="0" w:type="dxa"/>
            </w:tcMar>
            <w:vAlign w:val="bottom"/>
            <w:hideMark/>
          </w:tcPr>
          <w:p w14:paraId="55B4490D"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90" w:type="pct"/>
            <w:noWrap/>
            <w:tcMar>
              <w:top w:w="0" w:type="dxa"/>
              <w:left w:w="0" w:type="dxa"/>
              <w:bottom w:w="0" w:type="dxa"/>
              <w:right w:w="0" w:type="dxa"/>
            </w:tcMar>
            <w:vAlign w:val="bottom"/>
            <w:hideMark/>
          </w:tcPr>
          <w:p w14:paraId="00635FA7" w14:textId="77777777" w:rsidR="00000000" w:rsidRDefault="001F1B20">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tcMar>
              <w:top w:w="0" w:type="dxa"/>
              <w:left w:w="0" w:type="dxa"/>
              <w:bottom w:w="0" w:type="dxa"/>
              <w:right w:w="0" w:type="dxa"/>
            </w:tcMar>
            <w:vAlign w:val="bottom"/>
            <w:hideMark/>
          </w:tcPr>
          <w:p w14:paraId="7F593AAB" w14:textId="77777777" w:rsidR="00000000" w:rsidRDefault="001F1B20">
            <w:pPr>
              <w:pStyle w:val="a3"/>
              <w:spacing w:before="0" w:beforeAutospacing="0" w:after="0" w:afterAutospacing="0"/>
              <w:jc w:val="center"/>
              <w:rPr>
                <w:sz w:val="16"/>
                <w:szCs w:val="16"/>
              </w:rPr>
            </w:pPr>
            <w:r>
              <w:rPr>
                <w:b/>
                <w:bCs/>
                <w:sz w:val="16"/>
                <w:szCs w:val="16"/>
              </w:rPr>
              <w:t>September 30, </w:t>
            </w:r>
          </w:p>
        </w:tc>
      </w:tr>
      <w:tr w:rsidR="00000000" w14:paraId="5C5CAB33" w14:textId="77777777">
        <w:trPr>
          <w:divId w:val="1854146591"/>
        </w:trPr>
        <w:tc>
          <w:tcPr>
            <w:tcW w:w="2851" w:type="pct"/>
            <w:tcBorders>
              <w:bottom w:val="single" w:sz="6" w:space="0" w:color="000000"/>
            </w:tcBorders>
            <w:tcMar>
              <w:top w:w="0" w:type="dxa"/>
              <w:left w:w="0" w:type="dxa"/>
              <w:bottom w:w="0" w:type="dxa"/>
              <w:right w:w="0" w:type="dxa"/>
            </w:tcMar>
            <w:vAlign w:val="bottom"/>
            <w:hideMark/>
          </w:tcPr>
          <w:p w14:paraId="559147FE" w14:textId="77777777" w:rsidR="00000000" w:rsidRDefault="001F1B20">
            <w:pPr>
              <w:pStyle w:val="a3"/>
              <w:spacing w:before="0" w:beforeAutospacing="0" w:after="0" w:afterAutospacing="0"/>
              <w:rPr>
                <w:sz w:val="16"/>
                <w:szCs w:val="16"/>
              </w:rPr>
            </w:pPr>
            <w:r>
              <w:rPr>
                <w:b/>
                <w:bCs/>
                <w:sz w:val="16"/>
                <w:szCs w:val="16"/>
              </w:rPr>
              <w:t>(In thousands)</w:t>
            </w:r>
          </w:p>
        </w:tc>
        <w:tc>
          <w:tcPr>
            <w:tcW w:w="89" w:type="pct"/>
            <w:noWrap/>
            <w:tcMar>
              <w:top w:w="0" w:type="dxa"/>
              <w:left w:w="0" w:type="dxa"/>
              <w:bottom w:w="0" w:type="dxa"/>
              <w:right w:w="0" w:type="dxa"/>
            </w:tcMar>
            <w:vAlign w:val="bottom"/>
            <w:hideMark/>
          </w:tcPr>
          <w:p w14:paraId="4183C5AC" w14:textId="77777777" w:rsidR="00000000" w:rsidRDefault="001F1B20">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14:paraId="77432E9F" w14:textId="77777777" w:rsidR="00000000" w:rsidRDefault="001F1B20">
            <w:pPr>
              <w:pStyle w:val="a3"/>
              <w:spacing w:before="0" w:beforeAutospacing="0" w:after="0" w:afterAutospacing="0"/>
              <w:jc w:val="center"/>
              <w:rPr>
                <w:sz w:val="16"/>
                <w:szCs w:val="16"/>
              </w:rPr>
            </w:pPr>
            <w:r>
              <w:rPr>
                <w:b/>
                <w:bCs/>
                <w:sz w:val="16"/>
                <w:szCs w:val="16"/>
              </w:rPr>
              <w:t>2021</w:t>
            </w:r>
          </w:p>
        </w:tc>
        <w:tc>
          <w:tcPr>
            <w:tcW w:w="90" w:type="pct"/>
            <w:noWrap/>
            <w:tcMar>
              <w:top w:w="0" w:type="dxa"/>
              <w:left w:w="0" w:type="dxa"/>
              <w:bottom w:w="0" w:type="dxa"/>
              <w:right w:w="0" w:type="dxa"/>
            </w:tcMar>
            <w:vAlign w:val="bottom"/>
            <w:hideMark/>
          </w:tcPr>
          <w:p w14:paraId="6760937A" w14:textId="77777777" w:rsidR="00000000" w:rsidRDefault="001F1B20">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14:paraId="7F06AA20" w14:textId="77777777" w:rsidR="00000000" w:rsidRDefault="001F1B20">
            <w:pPr>
              <w:pStyle w:val="a3"/>
              <w:spacing w:before="0" w:beforeAutospacing="0" w:after="0" w:afterAutospacing="0"/>
              <w:jc w:val="center"/>
              <w:rPr>
                <w:sz w:val="16"/>
                <w:szCs w:val="16"/>
              </w:rPr>
            </w:pPr>
            <w:r>
              <w:rPr>
                <w:b/>
                <w:bCs/>
                <w:sz w:val="16"/>
                <w:szCs w:val="16"/>
              </w:rPr>
              <w:t>2020</w:t>
            </w:r>
          </w:p>
        </w:tc>
        <w:tc>
          <w:tcPr>
            <w:tcW w:w="90" w:type="pct"/>
            <w:noWrap/>
            <w:tcMar>
              <w:top w:w="0" w:type="dxa"/>
              <w:left w:w="0" w:type="dxa"/>
              <w:bottom w:w="0" w:type="dxa"/>
              <w:right w:w="0" w:type="dxa"/>
            </w:tcMar>
            <w:vAlign w:val="bottom"/>
            <w:hideMark/>
          </w:tcPr>
          <w:p w14:paraId="3DB982AA" w14:textId="77777777" w:rsidR="00000000" w:rsidRDefault="001F1B20">
            <w:pPr>
              <w:pStyle w:val="a3"/>
              <w:spacing w:before="0" w:beforeAutospacing="0" w:after="0" w:afterAutospacing="0"/>
              <w:jc w:val="center"/>
              <w:rPr>
                <w:sz w:val="20"/>
                <w:szCs w:val="20"/>
              </w:rPr>
            </w:pPr>
            <w:r>
              <w:rPr>
                <w:sz w:val="16"/>
                <w:szCs w:val="16"/>
              </w:rPr>
              <w:t>​</w:t>
            </w:r>
          </w:p>
        </w:tc>
        <w:tc>
          <w:tcPr>
            <w:tcW w:w="447" w:type="pct"/>
            <w:gridSpan w:val="2"/>
            <w:tcBorders>
              <w:bottom w:val="single" w:sz="6" w:space="0" w:color="000000"/>
            </w:tcBorders>
            <w:noWrap/>
            <w:tcMar>
              <w:top w:w="0" w:type="dxa"/>
              <w:left w:w="0" w:type="dxa"/>
              <w:bottom w:w="0" w:type="dxa"/>
              <w:right w:w="0" w:type="dxa"/>
            </w:tcMar>
            <w:vAlign w:val="bottom"/>
            <w:hideMark/>
          </w:tcPr>
          <w:p w14:paraId="10D6831C" w14:textId="77777777" w:rsidR="00000000" w:rsidRDefault="001F1B20">
            <w:pPr>
              <w:pStyle w:val="a3"/>
              <w:spacing w:before="0" w:beforeAutospacing="0" w:after="0" w:afterAutospacing="0"/>
              <w:jc w:val="center"/>
              <w:rPr>
                <w:sz w:val="16"/>
                <w:szCs w:val="16"/>
              </w:rPr>
            </w:pPr>
            <w:r>
              <w:rPr>
                <w:b/>
                <w:bCs/>
                <w:sz w:val="16"/>
                <w:szCs w:val="16"/>
              </w:rPr>
              <w:t>2021</w:t>
            </w:r>
          </w:p>
        </w:tc>
        <w:tc>
          <w:tcPr>
            <w:tcW w:w="90" w:type="pct"/>
            <w:noWrap/>
            <w:tcMar>
              <w:top w:w="0" w:type="dxa"/>
              <w:left w:w="0" w:type="dxa"/>
              <w:bottom w:w="0" w:type="dxa"/>
              <w:right w:w="0" w:type="dxa"/>
            </w:tcMar>
            <w:vAlign w:val="bottom"/>
            <w:hideMark/>
          </w:tcPr>
          <w:p w14:paraId="10708A5D" w14:textId="77777777" w:rsidR="00000000" w:rsidRDefault="001F1B20">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14:paraId="4878C64F" w14:textId="77777777" w:rsidR="00000000" w:rsidRDefault="001F1B20">
            <w:pPr>
              <w:pStyle w:val="a3"/>
              <w:spacing w:before="0" w:beforeAutospacing="0" w:after="0" w:afterAutospacing="0"/>
              <w:jc w:val="center"/>
              <w:rPr>
                <w:sz w:val="16"/>
                <w:szCs w:val="16"/>
              </w:rPr>
            </w:pPr>
            <w:r>
              <w:rPr>
                <w:b/>
                <w:bCs/>
                <w:sz w:val="16"/>
                <w:szCs w:val="16"/>
              </w:rPr>
              <w:t>2020</w:t>
            </w:r>
          </w:p>
        </w:tc>
      </w:tr>
      <w:tr w:rsidR="00000000" w14:paraId="7C53C414" w14:textId="77777777">
        <w:trPr>
          <w:divId w:val="1854146591"/>
        </w:trPr>
        <w:tc>
          <w:tcPr>
            <w:tcW w:w="2851" w:type="pct"/>
            <w:shd w:val="clear" w:color="auto" w:fill="CCEEFF"/>
            <w:tcMar>
              <w:top w:w="0" w:type="dxa"/>
              <w:left w:w="0" w:type="dxa"/>
              <w:bottom w:w="0" w:type="dxa"/>
              <w:right w:w="0" w:type="dxa"/>
            </w:tcMar>
            <w:vAlign w:val="bottom"/>
            <w:hideMark/>
          </w:tcPr>
          <w:p w14:paraId="6A20AFF2" w14:textId="77777777" w:rsidR="00000000" w:rsidRDefault="001F1B20">
            <w:pPr>
              <w:pStyle w:val="a3"/>
              <w:spacing w:before="0" w:beforeAutospacing="0" w:after="0" w:afterAutospacing="0"/>
              <w:rPr>
                <w:sz w:val="20"/>
                <w:szCs w:val="20"/>
              </w:rPr>
            </w:pPr>
            <w:r>
              <w:rPr>
                <w:sz w:val="20"/>
                <w:szCs w:val="20"/>
              </w:rPr>
              <w:t>Royalty revenue and gross profit</w:t>
            </w:r>
          </w:p>
        </w:tc>
        <w:tc>
          <w:tcPr>
            <w:tcW w:w="89" w:type="pct"/>
            <w:shd w:val="clear" w:color="auto" w:fill="CCEEFF"/>
            <w:noWrap/>
            <w:tcMar>
              <w:top w:w="0" w:type="dxa"/>
              <w:left w:w="0" w:type="dxa"/>
              <w:bottom w:w="0" w:type="dxa"/>
              <w:right w:w="0" w:type="dxa"/>
            </w:tcMar>
            <w:vAlign w:val="bottom"/>
            <w:hideMark/>
          </w:tcPr>
          <w:p w14:paraId="030AD0C0" w14:textId="77777777" w:rsidR="00000000" w:rsidRDefault="001F1B2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50F71690" w14:textId="77777777" w:rsidR="00000000" w:rsidRDefault="001F1B20">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center"/>
            <w:hideMark/>
          </w:tcPr>
          <w:p w14:paraId="322970BA" w14:textId="77777777" w:rsidR="00000000" w:rsidRDefault="001F1B20">
            <w:pPr>
              <w:pStyle w:val="a3"/>
              <w:spacing w:before="0" w:beforeAutospacing="0" w:after="0" w:afterAutospacing="0"/>
              <w:ind w:right="60"/>
              <w:jc w:val="right"/>
              <w:rPr>
                <w:sz w:val="20"/>
                <w:szCs w:val="20"/>
              </w:rPr>
            </w:pPr>
            <w:r>
              <w:rPr>
                <w:sz w:val="20"/>
                <w:szCs w:val="20"/>
              </w:rPr>
              <w:t>35,585</w:t>
            </w:r>
          </w:p>
        </w:tc>
        <w:tc>
          <w:tcPr>
            <w:tcW w:w="90" w:type="pct"/>
            <w:shd w:val="clear" w:color="auto" w:fill="CCEEFF"/>
            <w:noWrap/>
            <w:tcMar>
              <w:top w:w="0" w:type="dxa"/>
              <w:left w:w="0" w:type="dxa"/>
              <w:bottom w:w="0" w:type="dxa"/>
              <w:right w:w="0" w:type="dxa"/>
            </w:tcMar>
            <w:vAlign w:val="bottom"/>
            <w:hideMark/>
          </w:tcPr>
          <w:p w14:paraId="7AD654F3" w14:textId="77777777" w:rsidR="00000000" w:rsidRDefault="001F1B2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0B85F620" w14:textId="77777777" w:rsidR="00000000" w:rsidRDefault="001F1B20">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center"/>
            <w:hideMark/>
          </w:tcPr>
          <w:p w14:paraId="2D3FE93E" w14:textId="77777777" w:rsidR="00000000" w:rsidRDefault="001F1B20">
            <w:pPr>
              <w:pStyle w:val="a3"/>
              <w:spacing w:before="0" w:beforeAutospacing="0" w:after="0" w:afterAutospacing="0"/>
              <w:ind w:right="60"/>
              <w:jc w:val="right"/>
              <w:rPr>
                <w:sz w:val="20"/>
                <w:szCs w:val="20"/>
              </w:rPr>
            </w:pPr>
            <w:r>
              <w:rPr>
                <w:sz w:val="20"/>
                <w:szCs w:val="20"/>
              </w:rPr>
              <w:t>16,375</w:t>
            </w:r>
          </w:p>
        </w:tc>
        <w:tc>
          <w:tcPr>
            <w:tcW w:w="90" w:type="pct"/>
            <w:shd w:val="clear" w:color="auto" w:fill="CCEEFF"/>
            <w:noWrap/>
            <w:tcMar>
              <w:top w:w="0" w:type="dxa"/>
              <w:left w:w="0" w:type="dxa"/>
              <w:bottom w:w="0" w:type="dxa"/>
              <w:right w:w="0" w:type="dxa"/>
            </w:tcMar>
            <w:vAlign w:val="bottom"/>
            <w:hideMark/>
          </w:tcPr>
          <w:p w14:paraId="07E3AB2C" w14:textId="77777777" w:rsidR="00000000" w:rsidRDefault="001F1B2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442A5A93" w14:textId="77777777" w:rsidR="00000000" w:rsidRDefault="001F1B20">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center"/>
            <w:hideMark/>
          </w:tcPr>
          <w:p w14:paraId="27E19DF5" w14:textId="77777777" w:rsidR="00000000" w:rsidRDefault="001F1B20">
            <w:pPr>
              <w:pStyle w:val="a3"/>
              <w:spacing w:before="0" w:beforeAutospacing="0" w:after="0" w:afterAutospacing="0"/>
              <w:ind w:right="60"/>
              <w:jc w:val="right"/>
              <w:rPr>
                <w:sz w:val="20"/>
                <w:szCs w:val="20"/>
              </w:rPr>
            </w:pPr>
            <w:r>
              <w:rPr>
                <w:sz w:val="20"/>
                <w:szCs w:val="20"/>
              </w:rPr>
              <w:t>84,055</w:t>
            </w:r>
          </w:p>
        </w:tc>
        <w:tc>
          <w:tcPr>
            <w:tcW w:w="90" w:type="pct"/>
            <w:shd w:val="clear" w:color="auto" w:fill="CCEEFF"/>
            <w:noWrap/>
            <w:tcMar>
              <w:top w:w="0" w:type="dxa"/>
              <w:left w:w="0" w:type="dxa"/>
              <w:bottom w:w="0" w:type="dxa"/>
              <w:right w:w="0" w:type="dxa"/>
            </w:tcMar>
            <w:vAlign w:val="bottom"/>
            <w:hideMark/>
          </w:tcPr>
          <w:p w14:paraId="157590B4" w14:textId="77777777" w:rsidR="00000000" w:rsidRDefault="001F1B2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5A3D14EB" w14:textId="77777777" w:rsidR="00000000" w:rsidRDefault="001F1B20">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center"/>
            <w:hideMark/>
          </w:tcPr>
          <w:p w14:paraId="745858CE" w14:textId="77777777" w:rsidR="00000000" w:rsidRDefault="001F1B20">
            <w:pPr>
              <w:pStyle w:val="a3"/>
              <w:spacing w:before="0" w:beforeAutospacing="0" w:after="0" w:afterAutospacing="0"/>
              <w:ind w:right="60"/>
              <w:jc w:val="right"/>
              <w:rPr>
                <w:sz w:val="20"/>
                <w:szCs w:val="20"/>
              </w:rPr>
            </w:pPr>
            <w:r>
              <w:rPr>
                <w:sz w:val="20"/>
                <w:szCs w:val="20"/>
              </w:rPr>
              <w:t>58,143</w:t>
            </w:r>
          </w:p>
        </w:tc>
      </w:tr>
      <w:tr w:rsidR="00000000" w14:paraId="5B924079" w14:textId="77777777">
        <w:trPr>
          <w:divId w:val="1854146591"/>
        </w:trPr>
        <w:tc>
          <w:tcPr>
            <w:tcW w:w="2851" w:type="pct"/>
            <w:tcMar>
              <w:top w:w="0" w:type="dxa"/>
              <w:left w:w="0" w:type="dxa"/>
              <w:bottom w:w="0" w:type="dxa"/>
              <w:right w:w="0" w:type="dxa"/>
            </w:tcMar>
            <w:vAlign w:val="bottom"/>
            <w:hideMark/>
          </w:tcPr>
          <w:p w14:paraId="34962D2D" w14:textId="77777777" w:rsidR="00000000" w:rsidRDefault="001F1B20">
            <w:pPr>
              <w:pStyle w:val="a3"/>
              <w:spacing w:before="0" w:beforeAutospacing="0" w:after="0" w:afterAutospacing="0"/>
              <w:rPr>
                <w:sz w:val="20"/>
                <w:szCs w:val="20"/>
              </w:rPr>
            </w:pPr>
            <w:r>
              <w:rPr>
                <w:sz w:val="20"/>
                <w:szCs w:val="20"/>
              </w:rPr>
              <w:t>Income from continuing operations</w:t>
            </w:r>
          </w:p>
        </w:tc>
        <w:tc>
          <w:tcPr>
            <w:tcW w:w="89" w:type="pct"/>
            <w:noWrap/>
            <w:tcMar>
              <w:top w:w="0" w:type="dxa"/>
              <w:left w:w="0" w:type="dxa"/>
              <w:bottom w:w="0" w:type="dxa"/>
              <w:right w:w="0" w:type="dxa"/>
            </w:tcMar>
            <w:vAlign w:val="bottom"/>
            <w:hideMark/>
          </w:tcPr>
          <w:p w14:paraId="004FDF35" w14:textId="77777777" w:rsidR="00000000" w:rsidRDefault="001F1B20">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1332AF27" w14:textId="77777777" w:rsidR="00000000" w:rsidRDefault="001F1B20">
            <w:pPr>
              <w:pStyle w:val="a3"/>
              <w:spacing w:before="0" w:beforeAutospacing="0" w:after="0" w:afterAutospacing="0"/>
              <w:rPr>
                <w:sz w:val="20"/>
                <w:szCs w:val="20"/>
              </w:rPr>
            </w:pPr>
            <w:r>
              <w:rPr>
                <w:sz w:val="20"/>
                <w:szCs w:val="20"/>
              </w:rPr>
              <w:t>​</w:t>
            </w:r>
          </w:p>
        </w:tc>
        <w:tc>
          <w:tcPr>
            <w:tcW w:w="356" w:type="pct"/>
            <w:noWrap/>
            <w:tcMar>
              <w:top w:w="0" w:type="dxa"/>
              <w:left w:w="0" w:type="dxa"/>
              <w:bottom w:w="0" w:type="dxa"/>
              <w:right w:w="0" w:type="dxa"/>
            </w:tcMar>
            <w:vAlign w:val="center"/>
            <w:hideMark/>
          </w:tcPr>
          <w:p w14:paraId="1A7615CE" w14:textId="77777777" w:rsidR="00000000" w:rsidRDefault="001F1B20">
            <w:pPr>
              <w:pStyle w:val="a3"/>
              <w:spacing w:before="0" w:beforeAutospacing="0" w:after="0" w:afterAutospacing="0"/>
              <w:ind w:right="60"/>
              <w:jc w:val="right"/>
              <w:rPr>
                <w:sz w:val="20"/>
                <w:szCs w:val="20"/>
              </w:rPr>
            </w:pPr>
            <w:r>
              <w:rPr>
                <w:sz w:val="20"/>
                <w:szCs w:val="20"/>
              </w:rPr>
              <w:t>35,391</w:t>
            </w:r>
          </w:p>
        </w:tc>
        <w:tc>
          <w:tcPr>
            <w:tcW w:w="90" w:type="pct"/>
            <w:noWrap/>
            <w:tcMar>
              <w:top w:w="0" w:type="dxa"/>
              <w:left w:w="0" w:type="dxa"/>
              <w:bottom w:w="0" w:type="dxa"/>
              <w:right w:w="0" w:type="dxa"/>
            </w:tcMar>
            <w:vAlign w:val="bottom"/>
            <w:hideMark/>
          </w:tcPr>
          <w:p w14:paraId="3F2F4F3E" w14:textId="77777777" w:rsidR="00000000" w:rsidRDefault="001F1B20">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14:paraId="14FFCD88" w14:textId="77777777" w:rsidR="00000000" w:rsidRDefault="001F1B20">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center"/>
            <w:hideMark/>
          </w:tcPr>
          <w:p w14:paraId="347C9573" w14:textId="77777777" w:rsidR="00000000" w:rsidRDefault="001F1B20">
            <w:pPr>
              <w:pStyle w:val="a3"/>
              <w:spacing w:before="0" w:beforeAutospacing="0" w:after="0" w:afterAutospacing="0"/>
              <w:ind w:right="60"/>
              <w:jc w:val="right"/>
              <w:rPr>
                <w:sz w:val="20"/>
                <w:szCs w:val="20"/>
              </w:rPr>
            </w:pPr>
            <w:r>
              <w:rPr>
                <w:sz w:val="20"/>
                <w:szCs w:val="20"/>
              </w:rPr>
              <w:t>15,768</w:t>
            </w:r>
          </w:p>
        </w:tc>
        <w:tc>
          <w:tcPr>
            <w:tcW w:w="90" w:type="pct"/>
            <w:noWrap/>
            <w:tcMar>
              <w:top w:w="0" w:type="dxa"/>
              <w:left w:w="0" w:type="dxa"/>
              <w:bottom w:w="0" w:type="dxa"/>
              <w:right w:w="0" w:type="dxa"/>
            </w:tcMar>
            <w:vAlign w:val="bottom"/>
            <w:hideMark/>
          </w:tcPr>
          <w:p w14:paraId="2A7E3BB7" w14:textId="77777777" w:rsidR="00000000" w:rsidRDefault="001F1B20">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14:paraId="47C59447" w14:textId="77777777" w:rsidR="00000000" w:rsidRDefault="001F1B20">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center"/>
            <w:hideMark/>
          </w:tcPr>
          <w:p w14:paraId="01D6357F" w14:textId="77777777" w:rsidR="00000000" w:rsidRDefault="001F1B20">
            <w:pPr>
              <w:pStyle w:val="a3"/>
              <w:spacing w:before="0" w:beforeAutospacing="0" w:after="0" w:afterAutospacing="0"/>
              <w:ind w:right="60"/>
              <w:jc w:val="right"/>
              <w:rPr>
                <w:sz w:val="20"/>
                <w:szCs w:val="20"/>
              </w:rPr>
            </w:pPr>
            <w:r>
              <w:rPr>
                <w:sz w:val="20"/>
                <w:szCs w:val="20"/>
              </w:rPr>
              <w:t>80,244</w:t>
            </w:r>
          </w:p>
        </w:tc>
        <w:tc>
          <w:tcPr>
            <w:tcW w:w="90" w:type="pct"/>
            <w:noWrap/>
            <w:tcMar>
              <w:top w:w="0" w:type="dxa"/>
              <w:left w:w="0" w:type="dxa"/>
              <w:bottom w:w="0" w:type="dxa"/>
              <w:right w:w="0" w:type="dxa"/>
            </w:tcMar>
            <w:vAlign w:val="bottom"/>
            <w:hideMark/>
          </w:tcPr>
          <w:p w14:paraId="11CF0A7A" w14:textId="77777777" w:rsidR="00000000" w:rsidRDefault="001F1B20">
            <w:pPr>
              <w:pStyle w:val="a3"/>
              <w:spacing w:before="0" w:beforeAutospacing="0" w:after="0" w:afterAutospacing="0"/>
              <w:rPr>
                <w:sz w:val="20"/>
                <w:szCs w:val="20"/>
              </w:rPr>
            </w:pPr>
            <w:r>
              <w:rPr>
                <w:sz w:val="20"/>
                <w:szCs w:val="20"/>
              </w:rPr>
              <w:t>​</w:t>
            </w:r>
          </w:p>
        </w:tc>
        <w:tc>
          <w:tcPr>
            <w:tcW w:w="90" w:type="pct"/>
            <w:noWrap/>
            <w:tcMar>
              <w:top w:w="0" w:type="dxa"/>
              <w:left w:w="0" w:type="dxa"/>
              <w:bottom w:w="0" w:type="dxa"/>
              <w:right w:w="0" w:type="dxa"/>
            </w:tcMar>
            <w:vAlign w:val="bottom"/>
            <w:hideMark/>
          </w:tcPr>
          <w:p w14:paraId="4ED1ACC9" w14:textId="77777777" w:rsidR="00000000" w:rsidRDefault="001F1B20">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center"/>
            <w:hideMark/>
          </w:tcPr>
          <w:p w14:paraId="5CDE69EB" w14:textId="77777777" w:rsidR="00000000" w:rsidRDefault="001F1B20">
            <w:pPr>
              <w:pStyle w:val="a3"/>
              <w:spacing w:before="0" w:beforeAutospacing="0" w:after="0" w:afterAutospacing="0"/>
              <w:ind w:right="60"/>
              <w:jc w:val="right"/>
              <w:rPr>
                <w:sz w:val="20"/>
                <w:szCs w:val="20"/>
              </w:rPr>
            </w:pPr>
            <w:r>
              <w:rPr>
                <w:sz w:val="20"/>
                <w:szCs w:val="20"/>
              </w:rPr>
              <w:t>56,785</w:t>
            </w:r>
          </w:p>
        </w:tc>
      </w:tr>
      <w:tr w:rsidR="00000000" w14:paraId="00B4A966" w14:textId="77777777">
        <w:trPr>
          <w:divId w:val="1854146591"/>
        </w:trPr>
        <w:tc>
          <w:tcPr>
            <w:tcW w:w="2851" w:type="pct"/>
            <w:shd w:val="clear" w:color="auto" w:fill="CCEEFF"/>
            <w:tcMar>
              <w:top w:w="0" w:type="dxa"/>
              <w:left w:w="0" w:type="dxa"/>
              <w:bottom w:w="0" w:type="dxa"/>
              <w:right w:w="0" w:type="dxa"/>
            </w:tcMar>
            <w:vAlign w:val="bottom"/>
            <w:hideMark/>
          </w:tcPr>
          <w:p w14:paraId="14C05593" w14:textId="77777777" w:rsidR="00000000" w:rsidRDefault="001F1B20">
            <w:pPr>
              <w:pStyle w:val="a3"/>
              <w:spacing w:before="0" w:beforeAutospacing="0" w:after="0" w:afterAutospacing="0"/>
              <w:rPr>
                <w:sz w:val="20"/>
                <w:szCs w:val="20"/>
              </w:rPr>
            </w:pPr>
            <w:r>
              <w:rPr>
                <w:sz w:val="20"/>
                <w:szCs w:val="20"/>
              </w:rPr>
              <w:t>Net income</w:t>
            </w:r>
          </w:p>
        </w:tc>
        <w:tc>
          <w:tcPr>
            <w:tcW w:w="89" w:type="pct"/>
            <w:shd w:val="clear" w:color="auto" w:fill="CCEEFF"/>
            <w:noWrap/>
            <w:tcMar>
              <w:top w:w="0" w:type="dxa"/>
              <w:left w:w="0" w:type="dxa"/>
              <w:bottom w:w="0" w:type="dxa"/>
              <w:right w:w="0" w:type="dxa"/>
            </w:tcMar>
            <w:vAlign w:val="bottom"/>
            <w:hideMark/>
          </w:tcPr>
          <w:p w14:paraId="319FA64B" w14:textId="77777777" w:rsidR="00000000" w:rsidRDefault="001F1B2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54BB666F" w14:textId="77777777" w:rsidR="00000000" w:rsidRDefault="001F1B20">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center"/>
            <w:hideMark/>
          </w:tcPr>
          <w:p w14:paraId="34558C56" w14:textId="77777777" w:rsidR="00000000" w:rsidRDefault="001F1B20">
            <w:pPr>
              <w:pStyle w:val="a3"/>
              <w:spacing w:before="0" w:beforeAutospacing="0" w:after="0" w:afterAutospacing="0"/>
              <w:ind w:right="60"/>
              <w:jc w:val="right"/>
              <w:rPr>
                <w:sz w:val="20"/>
                <w:szCs w:val="20"/>
              </w:rPr>
            </w:pPr>
            <w:r>
              <w:rPr>
                <w:sz w:val="20"/>
                <w:szCs w:val="20"/>
              </w:rPr>
              <w:t>35,539</w:t>
            </w:r>
          </w:p>
        </w:tc>
        <w:tc>
          <w:tcPr>
            <w:tcW w:w="90" w:type="pct"/>
            <w:shd w:val="clear" w:color="auto" w:fill="CCEEFF"/>
            <w:noWrap/>
            <w:tcMar>
              <w:top w:w="0" w:type="dxa"/>
              <w:left w:w="0" w:type="dxa"/>
              <w:bottom w:w="0" w:type="dxa"/>
              <w:right w:w="0" w:type="dxa"/>
            </w:tcMar>
            <w:vAlign w:val="bottom"/>
            <w:hideMark/>
          </w:tcPr>
          <w:p w14:paraId="50F59B2E" w14:textId="77777777" w:rsidR="00000000" w:rsidRDefault="001F1B2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794F08AD" w14:textId="77777777" w:rsidR="00000000" w:rsidRDefault="001F1B20">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center"/>
            <w:hideMark/>
          </w:tcPr>
          <w:p w14:paraId="680CD44C" w14:textId="77777777" w:rsidR="00000000" w:rsidRDefault="001F1B20">
            <w:pPr>
              <w:pStyle w:val="a3"/>
              <w:spacing w:before="0" w:beforeAutospacing="0" w:after="0" w:afterAutospacing="0"/>
              <w:ind w:right="60"/>
              <w:jc w:val="right"/>
              <w:rPr>
                <w:sz w:val="20"/>
                <w:szCs w:val="20"/>
              </w:rPr>
            </w:pPr>
            <w:r>
              <w:rPr>
                <w:sz w:val="20"/>
                <w:szCs w:val="20"/>
              </w:rPr>
              <w:t>15,768</w:t>
            </w:r>
          </w:p>
        </w:tc>
        <w:tc>
          <w:tcPr>
            <w:tcW w:w="90" w:type="pct"/>
            <w:shd w:val="clear" w:color="auto" w:fill="CCEEFF"/>
            <w:noWrap/>
            <w:tcMar>
              <w:top w:w="0" w:type="dxa"/>
              <w:left w:w="0" w:type="dxa"/>
              <w:bottom w:w="0" w:type="dxa"/>
              <w:right w:w="0" w:type="dxa"/>
            </w:tcMar>
            <w:vAlign w:val="bottom"/>
            <w:hideMark/>
          </w:tcPr>
          <w:p w14:paraId="4F3966C3" w14:textId="77777777" w:rsidR="00000000" w:rsidRDefault="001F1B2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68282A0B" w14:textId="77777777" w:rsidR="00000000" w:rsidRDefault="001F1B20">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center"/>
            <w:hideMark/>
          </w:tcPr>
          <w:p w14:paraId="67E1D4B7" w14:textId="77777777" w:rsidR="00000000" w:rsidRDefault="001F1B20">
            <w:pPr>
              <w:pStyle w:val="a3"/>
              <w:spacing w:before="0" w:beforeAutospacing="0" w:after="0" w:afterAutospacing="0"/>
              <w:ind w:right="60"/>
              <w:jc w:val="right"/>
              <w:rPr>
                <w:sz w:val="20"/>
                <w:szCs w:val="20"/>
              </w:rPr>
            </w:pPr>
            <w:r>
              <w:rPr>
                <w:sz w:val="20"/>
                <w:szCs w:val="20"/>
              </w:rPr>
              <w:t>79,655</w:t>
            </w:r>
          </w:p>
        </w:tc>
        <w:tc>
          <w:tcPr>
            <w:tcW w:w="90" w:type="pct"/>
            <w:shd w:val="clear" w:color="auto" w:fill="CCEEFF"/>
            <w:noWrap/>
            <w:tcMar>
              <w:top w:w="0" w:type="dxa"/>
              <w:left w:w="0" w:type="dxa"/>
              <w:bottom w:w="0" w:type="dxa"/>
              <w:right w:w="0" w:type="dxa"/>
            </w:tcMar>
            <w:vAlign w:val="bottom"/>
            <w:hideMark/>
          </w:tcPr>
          <w:p w14:paraId="5DAA5FD3" w14:textId="77777777" w:rsidR="00000000" w:rsidRDefault="001F1B2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14:paraId="6C2AF858" w14:textId="77777777" w:rsidR="00000000" w:rsidRDefault="001F1B20">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center"/>
            <w:hideMark/>
          </w:tcPr>
          <w:p w14:paraId="478627E0" w14:textId="77777777" w:rsidR="00000000" w:rsidRDefault="001F1B20">
            <w:pPr>
              <w:pStyle w:val="a3"/>
              <w:spacing w:before="0" w:beforeAutospacing="0" w:after="0" w:afterAutospacing="0"/>
              <w:ind w:right="60"/>
              <w:jc w:val="right"/>
              <w:rPr>
                <w:sz w:val="20"/>
                <w:szCs w:val="20"/>
              </w:rPr>
            </w:pPr>
            <w:r>
              <w:rPr>
                <w:sz w:val="20"/>
                <w:szCs w:val="20"/>
              </w:rPr>
              <w:t>56,822</w:t>
            </w:r>
          </w:p>
        </w:tc>
      </w:tr>
    </w:tbl>
    <w:p w14:paraId="2DD36C8C" w14:textId="77777777" w:rsidR="00000000" w:rsidRDefault="001F1B20">
      <w:pPr>
        <w:pStyle w:val="a3"/>
        <w:spacing w:before="0" w:beforeAutospacing="0" w:after="0" w:afterAutospacing="0"/>
        <w:divId w:val="1854146591"/>
        <w:rPr>
          <w:sz w:val="20"/>
          <w:szCs w:val="20"/>
        </w:rPr>
      </w:pPr>
      <w:r>
        <w:rPr>
          <w:sz w:val="20"/>
          <w:szCs w:val="20"/>
        </w:rPr>
        <w:t>​</w:t>
      </w:r>
    </w:p>
    <w:p w14:paraId="22F7FD12" w14:textId="77777777" w:rsidR="00000000" w:rsidRDefault="001F1B20">
      <w:pPr>
        <w:pStyle w:val="a3"/>
        <w:spacing w:before="0" w:beforeAutospacing="0" w:after="0" w:afterAutospacing="0"/>
        <w:ind w:firstLine="720"/>
        <w:divId w:val="1854146591"/>
        <w:rPr>
          <w:sz w:val="20"/>
          <w:szCs w:val="20"/>
        </w:rPr>
      </w:pPr>
      <w:r>
        <w:rPr>
          <w:sz w:val="20"/>
          <w:szCs w:val="20"/>
        </w:rPr>
        <w:t>On June 10, 2020, the Company disclosed in a Form 8-K that it had formally objected to TRC and Innoviva, regarding their proposed plan to use TRELEGY royalties to invest in certain privately-held companies, funds that would otherwise be available for distr</w:t>
      </w:r>
      <w:r>
        <w:rPr>
          <w:sz w:val="20"/>
          <w:szCs w:val="20"/>
        </w:rPr>
        <w:t>ibution to the Company under the terms of the TRC LLC Agreement. In this regard, the Company initiated an arbitration proceeding in October 2020 against Innoviva and TRC, challenging the authority of Innoviva and TRC to pursue such a business plan rather t</w:t>
      </w:r>
      <w:r>
        <w:rPr>
          <w:sz w:val="20"/>
          <w:szCs w:val="20"/>
        </w:rPr>
        <w:t>han distribute such funds to the Company in a manner that it believes is consistent with the TRC LLC Agreement and its 85% economic interest in TRC. The arbitration hearing was held during the week of February 16, 2021, with post-hearing briefing and argum</w:t>
      </w:r>
      <w:r>
        <w:rPr>
          <w:sz w:val="20"/>
          <w:szCs w:val="20"/>
        </w:rPr>
        <w:t>ents taking place over the following few weeks. </w:t>
      </w:r>
    </w:p>
    <w:p w14:paraId="1EB46216" w14:textId="77777777" w:rsidR="00000000" w:rsidRDefault="001F1B20">
      <w:pPr>
        <w:pStyle w:val="a3"/>
        <w:spacing w:before="0" w:beforeAutospacing="0" w:after="0" w:afterAutospacing="0"/>
        <w:ind w:firstLine="720"/>
        <w:divId w:val="1854146591"/>
        <w:rPr>
          <w:sz w:val="20"/>
          <w:szCs w:val="20"/>
        </w:rPr>
      </w:pPr>
      <w:r>
        <w:rPr>
          <w:sz w:val="20"/>
          <w:szCs w:val="20"/>
        </w:rPr>
        <w:t>​</w:t>
      </w:r>
    </w:p>
    <w:p w14:paraId="0923AD37" w14:textId="77777777" w:rsidR="00000000" w:rsidRDefault="001F1B20">
      <w:pPr>
        <w:pStyle w:val="a3"/>
        <w:spacing w:before="0" w:beforeAutospacing="0" w:after="0" w:afterAutospacing="0"/>
        <w:ind w:firstLine="720"/>
        <w:divId w:val="1854146591"/>
        <w:rPr>
          <w:sz w:val="20"/>
          <w:szCs w:val="20"/>
        </w:rPr>
      </w:pPr>
      <w:r>
        <w:rPr>
          <w:sz w:val="20"/>
          <w:szCs w:val="20"/>
        </w:rPr>
        <w:t>On March 30, 2021, the arbitrator ruled that, at its current levels of investment, Innoviva and TRC had not breached the TRC LLC Agreement. The arbitrator further ruled that Innoviva and TRC had not breach</w:t>
      </w:r>
      <w:r>
        <w:rPr>
          <w:sz w:val="20"/>
          <w:szCs w:val="20"/>
        </w:rPr>
        <w:t>ed the implied covenant of good faith and fair dealing; or their fiduciary duties. The arbitrator also ruled that (i) Innoviva is entitled to indemnification from TRC for all legal fees and expenses reasonably incurred in the arbitration and (ii) the Compa</w:t>
      </w:r>
      <w:r>
        <w:rPr>
          <w:sz w:val="20"/>
          <w:szCs w:val="20"/>
        </w:rPr>
        <w:t>ny is entitled to indemnification from TRC for legal fees and costs incurred in defending an action Innoviva brought against it in the Delaware Court of Chancery. The arbitrator noted in the ruling that although the Company failed to show that Innoviva’s i</w:t>
      </w:r>
      <w:r>
        <w:rPr>
          <w:sz w:val="20"/>
          <w:szCs w:val="20"/>
        </w:rPr>
        <w:t xml:space="preserve">nvestment activities, at the current levels of investment, have or will have a material and adverse effect on its economic interest in TRC, this does </w:t>
      </w:r>
    </w:p>
    <w:p w14:paraId="38B8D030" w14:textId="77777777" w:rsidR="00000000" w:rsidRDefault="001F1B20">
      <w:pPr>
        <w:pStyle w:val="a3"/>
        <w:spacing w:before="360" w:beforeAutospacing="0" w:after="0" w:afterAutospacing="0"/>
        <w:jc w:val="center"/>
        <w:divId w:val="122314548"/>
        <w:rPr>
          <w:sz w:val="20"/>
          <w:szCs w:val="20"/>
        </w:rPr>
      </w:pPr>
      <w:r>
        <w:rPr>
          <w:sz w:val="20"/>
          <w:szCs w:val="20"/>
        </w:rPr>
        <w:t>16</w:t>
      </w:r>
    </w:p>
    <w:p w14:paraId="2517A249" w14:textId="77777777" w:rsidR="00000000" w:rsidRDefault="001F1B20">
      <w:pPr>
        <w:pStyle w:val="a3"/>
        <w:spacing w:before="0" w:beforeAutospacing="0" w:after="600" w:afterAutospacing="0"/>
        <w:divId w:val="596716667"/>
        <w:rPr>
          <w:sz w:val="20"/>
          <w:szCs w:val="20"/>
        </w:rPr>
      </w:pPr>
      <w:hyperlink w:anchor="TOC" w:history="1">
        <w:r>
          <w:rPr>
            <w:rStyle w:val="a4"/>
            <w:sz w:val="20"/>
            <w:szCs w:val="20"/>
          </w:rPr>
          <w:t>Table of Contents</w:t>
        </w:r>
      </w:hyperlink>
    </w:p>
    <w:p w14:paraId="16B9886A" w14:textId="77777777" w:rsidR="00000000" w:rsidRDefault="001F1B20">
      <w:pPr>
        <w:pStyle w:val="a3"/>
        <w:spacing w:before="0" w:beforeAutospacing="0" w:after="0" w:afterAutospacing="0"/>
        <w:divId w:val="20937255"/>
        <w:rPr>
          <w:sz w:val="20"/>
          <w:szCs w:val="20"/>
        </w:rPr>
      </w:pPr>
      <w:r>
        <w:rPr>
          <w:sz w:val="20"/>
          <w:szCs w:val="20"/>
        </w:rPr>
        <w:t>not mean that any future investments or actions will not r</w:t>
      </w:r>
      <w:r>
        <w:rPr>
          <w:sz w:val="20"/>
          <w:szCs w:val="20"/>
        </w:rPr>
        <w:t xml:space="preserve">equire the Company’s consent. The arbitrator noted in the ruling that the Company may, in the future, have a consent right over the decision to continue this investment strategy or whether to make a particular investment if, for example, Innoviva develops </w:t>
      </w:r>
      <w:r>
        <w:rPr>
          <w:sz w:val="20"/>
          <w:szCs w:val="20"/>
        </w:rPr>
        <w:t>a track record of poor investments, over allocates royalties to these investment activities, or fails to distribute sufficient investment returns, and such facts cause the strategy or investment to have a material adverse effect on the Company’s economic i</w:t>
      </w:r>
      <w:r>
        <w:rPr>
          <w:sz w:val="20"/>
          <w:szCs w:val="20"/>
        </w:rPr>
        <w:t>nterest in TRC.</w:t>
      </w:r>
    </w:p>
    <w:p w14:paraId="66B2FF55" w14:textId="77777777" w:rsidR="00000000" w:rsidRDefault="001F1B20">
      <w:pPr>
        <w:pStyle w:val="a3"/>
        <w:spacing w:before="0" w:beforeAutospacing="0" w:after="0" w:afterAutospacing="0"/>
        <w:ind w:firstLine="720"/>
        <w:divId w:val="20937255"/>
        <w:rPr>
          <w:sz w:val="20"/>
          <w:szCs w:val="20"/>
        </w:rPr>
      </w:pPr>
      <w:r>
        <w:rPr>
          <w:sz w:val="20"/>
          <w:szCs w:val="20"/>
        </w:rPr>
        <w:t>​</w:t>
      </w:r>
    </w:p>
    <w:p w14:paraId="7BFA3BE3" w14:textId="77777777" w:rsidR="00000000" w:rsidRDefault="001F1B20">
      <w:pPr>
        <w:pStyle w:val="a3"/>
        <w:spacing w:before="0" w:beforeAutospacing="0" w:after="0" w:afterAutospacing="0"/>
        <w:ind w:firstLine="720"/>
        <w:divId w:val="20937255"/>
        <w:rPr>
          <w:sz w:val="20"/>
          <w:szCs w:val="20"/>
        </w:rPr>
      </w:pPr>
      <w:r>
        <w:rPr>
          <w:sz w:val="20"/>
          <w:szCs w:val="20"/>
        </w:rPr>
        <w:t>Pursuant to the terms of the TRC LLC Agreement, Innoviva is required to deliver to the Company a draft quarterly financial plan 30 days prior to the end of each fiscal quarter covering the next fiscal quarter. While the LLC Agreement provides that Innoviva</w:t>
      </w:r>
      <w:r>
        <w:rPr>
          <w:sz w:val="20"/>
          <w:szCs w:val="20"/>
        </w:rPr>
        <w:t xml:space="preserve"> must consider in good faith any comments the Company provides, an applicable financial plan becomes effective 30</w:t>
      </w:r>
      <w:r>
        <w:rPr>
          <w:sz w:val="20"/>
          <w:szCs w:val="20"/>
        </w:rPr>
        <w:t> </w:t>
      </w:r>
      <w:r>
        <w:rPr>
          <w:sz w:val="20"/>
          <w:szCs w:val="20"/>
        </w:rPr>
        <w:t>days after the draft plan is provided to the Company. If TRC identifies and consummates investments and incurs associated fees identified in a</w:t>
      </w:r>
      <w:r>
        <w:rPr>
          <w:sz w:val="20"/>
          <w:szCs w:val="20"/>
        </w:rPr>
        <w:t xml:space="preserve"> TRC quarterly plan, even over the Company’s objections, distributions by TRC to its members in subsequen</w:t>
      </w:r>
      <w:r>
        <w:rPr>
          <w:sz w:val="20"/>
          <w:szCs w:val="20"/>
        </w:rPr>
        <w:t>t</w:t>
      </w:r>
      <w:r>
        <w:rPr>
          <w:b/>
          <w:bCs/>
          <w:sz w:val="20"/>
          <w:szCs w:val="20"/>
        </w:rPr>
        <w:t xml:space="preserve"> </w:t>
      </w:r>
      <w:r>
        <w:rPr>
          <w:sz w:val="20"/>
          <w:szCs w:val="20"/>
        </w:rPr>
        <w:t>quarters will be reduced.</w:t>
      </w:r>
      <w:r>
        <w:rPr>
          <w:color w:val="FF0000"/>
          <w:sz w:val="20"/>
          <w:szCs w:val="20"/>
        </w:rPr>
        <w:t xml:space="preserve"> </w:t>
      </w:r>
    </w:p>
    <w:p w14:paraId="49D875C4" w14:textId="77777777" w:rsidR="00000000" w:rsidRDefault="001F1B20">
      <w:pPr>
        <w:pStyle w:val="a3"/>
        <w:spacing w:before="0" w:beforeAutospacing="0" w:after="0" w:afterAutospacing="0"/>
        <w:divId w:val="20937255"/>
        <w:rPr>
          <w:sz w:val="20"/>
          <w:szCs w:val="20"/>
        </w:rPr>
      </w:pPr>
      <w:r>
        <w:rPr>
          <w:sz w:val="20"/>
          <w:szCs w:val="20"/>
        </w:rPr>
        <w:t>​</w:t>
      </w:r>
    </w:p>
    <w:p w14:paraId="102AB540" w14:textId="77777777" w:rsidR="00000000" w:rsidRDefault="001F1B20">
      <w:pPr>
        <w:pStyle w:val="a3"/>
        <w:spacing w:before="0" w:beforeAutospacing="0" w:after="0" w:afterAutospacing="0"/>
        <w:ind w:firstLine="720"/>
        <w:divId w:val="20937255"/>
        <w:rPr>
          <w:sz w:val="20"/>
          <w:szCs w:val="20"/>
        </w:rPr>
      </w:pPr>
      <w:r>
        <w:rPr>
          <w:sz w:val="20"/>
          <w:szCs w:val="20"/>
        </w:rPr>
        <w:t>The Company’s objections with regard to a TRC quarterly plan or other actions by TRC could result in additional legal pr</w:t>
      </w:r>
      <w:r>
        <w:rPr>
          <w:sz w:val="20"/>
          <w:szCs w:val="20"/>
        </w:rPr>
        <w:t>oceedings between the Company, TRC and Innoviva, as was the case when the Company initiated arbitration proceedings against Innoviva and TRC in May 2019 and again in October 2020. Any such legal proceedings could divert the attention of management and caus</w:t>
      </w:r>
      <w:r>
        <w:rPr>
          <w:sz w:val="20"/>
          <w:szCs w:val="20"/>
        </w:rPr>
        <w:t>e the Company to incur significant costs, regardless of the outcome, which the Company cannot predict. If such proceedings were pursued, there can be no assurance that they would result in the Company receiving additional distributions from TRC. An adverse</w:t>
      </w:r>
      <w:r>
        <w:rPr>
          <w:sz w:val="20"/>
          <w:szCs w:val="20"/>
        </w:rPr>
        <w:t xml:space="preserve"> result could materially and adversely affect the funds that the Company would otherwise expect to receive from TRC in the future. See </w:t>
      </w:r>
      <w:r>
        <w:rPr>
          <w:i/>
          <w:iCs/>
          <w:sz w:val="20"/>
          <w:szCs w:val="20"/>
        </w:rPr>
        <w:t>“Risk Factors—We do not control the commercialization of TRELEGY and we do not control TRC; accordingly the amount of roy</w:t>
      </w:r>
      <w:r>
        <w:rPr>
          <w:i/>
          <w:iCs/>
          <w:sz w:val="20"/>
          <w:szCs w:val="20"/>
        </w:rPr>
        <w:t xml:space="preserve">alties we receive will depend on, among other factors, GSK’s ability to further commercialize TRELEGY and TRC’s decisions concerning use of cash in accordance with the TRC LLC Agreement” </w:t>
      </w:r>
      <w:r>
        <w:rPr>
          <w:sz w:val="20"/>
          <w:szCs w:val="20"/>
        </w:rPr>
        <w:t>for additional information regarding our economic interest in TRC, LL</w:t>
      </w:r>
      <w:r>
        <w:rPr>
          <w:sz w:val="20"/>
          <w:szCs w:val="20"/>
        </w:rPr>
        <w:t>C.</w:t>
      </w:r>
      <w:r>
        <w:rPr>
          <w:i/>
          <w:iCs/>
          <w:sz w:val="20"/>
          <w:szCs w:val="20"/>
        </w:rPr>
        <w:t xml:space="preserve"> </w:t>
      </w:r>
    </w:p>
    <w:p w14:paraId="517811F2" w14:textId="77777777" w:rsidR="00000000" w:rsidRDefault="001F1B20">
      <w:pPr>
        <w:pStyle w:val="a3"/>
        <w:spacing w:before="0" w:beforeAutospacing="0" w:after="0" w:afterAutospacing="0"/>
        <w:ind w:firstLine="720"/>
        <w:divId w:val="20937255"/>
        <w:rPr>
          <w:sz w:val="20"/>
          <w:szCs w:val="20"/>
        </w:rPr>
      </w:pPr>
      <w:r>
        <w:rPr>
          <w:color w:val="FF0000"/>
          <w:sz w:val="20"/>
          <w:szCs w:val="20"/>
        </w:rPr>
        <w:t>​</w:t>
      </w:r>
    </w:p>
    <w:p w14:paraId="06554583" w14:textId="77777777" w:rsidR="00000000" w:rsidRDefault="001F1B20">
      <w:pPr>
        <w:pStyle w:val="a3"/>
        <w:spacing w:before="0" w:beforeAutospacing="0" w:after="0" w:afterAutospacing="0"/>
        <w:divId w:val="20937255"/>
        <w:rPr>
          <w:sz w:val="20"/>
          <w:szCs w:val="20"/>
        </w:rPr>
      </w:pPr>
      <w:r>
        <w:rPr>
          <w:b/>
          <w:bCs/>
          <w:sz w:val="20"/>
          <w:szCs w:val="20"/>
        </w:rPr>
        <w:t>9</w:t>
      </w:r>
      <w:r>
        <w:rPr>
          <w:b/>
          <w:bCs/>
          <w:i/>
          <w:iCs/>
          <w:sz w:val="20"/>
          <w:szCs w:val="20"/>
        </w:rPr>
        <w:t xml:space="preserve">. </w:t>
      </w:r>
      <w:r>
        <w:rPr>
          <w:b/>
          <w:bCs/>
          <w:sz w:val="20"/>
          <w:szCs w:val="20"/>
        </w:rPr>
        <w:t>Share-Based Compensation</w:t>
      </w:r>
    </w:p>
    <w:p w14:paraId="105868D7" w14:textId="77777777" w:rsidR="00000000" w:rsidRDefault="001F1B20">
      <w:pPr>
        <w:pStyle w:val="a3"/>
        <w:spacing w:before="0" w:beforeAutospacing="0" w:after="0" w:afterAutospacing="0"/>
        <w:divId w:val="20937255"/>
        <w:rPr>
          <w:sz w:val="20"/>
          <w:szCs w:val="20"/>
        </w:rPr>
      </w:pPr>
      <w:r>
        <w:rPr>
          <w:sz w:val="10"/>
          <w:szCs w:val="10"/>
        </w:rPr>
        <w:t>​</w:t>
      </w:r>
    </w:p>
    <w:p w14:paraId="2ABAC710" w14:textId="77777777" w:rsidR="00000000" w:rsidRDefault="001F1B20">
      <w:pPr>
        <w:pStyle w:val="a3"/>
        <w:spacing w:before="0" w:beforeAutospacing="0" w:after="0" w:afterAutospacing="0"/>
        <w:ind w:firstLine="720"/>
        <w:divId w:val="20937255"/>
        <w:rPr>
          <w:sz w:val="20"/>
          <w:szCs w:val="20"/>
        </w:rPr>
      </w:pPr>
      <w:r>
        <w:rPr>
          <w:sz w:val="20"/>
          <w:szCs w:val="20"/>
        </w:rPr>
        <w:t xml:space="preserve">The Company periodically grants performance-contingent share-based awards to employees. For the three and nine months ended September 30, 2021, the Company recognized $0.1 million and $0.7 million, respectively, of share-based compensation expense related </w:t>
      </w:r>
      <w:r>
        <w:rPr>
          <w:sz w:val="20"/>
          <w:szCs w:val="20"/>
        </w:rPr>
        <w:t>to these types of awards. As of September 30, 2021, the maximum remaining share-based compensation expense related to outstanding performance-contingent awards was $0.5 million which had performance expiration dates through June 2022. For the three and nin</w:t>
      </w:r>
      <w:r>
        <w:rPr>
          <w:sz w:val="20"/>
          <w:szCs w:val="20"/>
        </w:rPr>
        <w:t>e months ended September 30, 2020, the Company recognized $0.7 million and $3.1 million, respectively, of share-based compensation expense related to performance-contingent share-based awards.</w:t>
      </w:r>
    </w:p>
    <w:p w14:paraId="5A738B2D" w14:textId="77777777" w:rsidR="00000000" w:rsidRDefault="001F1B20">
      <w:pPr>
        <w:pStyle w:val="a3"/>
        <w:spacing w:before="0" w:beforeAutospacing="0" w:after="0" w:afterAutospacing="0"/>
        <w:ind w:firstLine="720"/>
        <w:divId w:val="20937255"/>
        <w:rPr>
          <w:sz w:val="20"/>
          <w:szCs w:val="20"/>
        </w:rPr>
      </w:pPr>
      <w:r>
        <w:rPr>
          <w:sz w:val="20"/>
          <w:szCs w:val="20"/>
        </w:rPr>
        <w:t>​</w:t>
      </w:r>
    </w:p>
    <w:p w14:paraId="1DAF1970" w14:textId="77777777" w:rsidR="00000000" w:rsidRDefault="001F1B20">
      <w:pPr>
        <w:pStyle w:val="a3"/>
        <w:spacing w:before="0" w:beforeAutospacing="0" w:after="0" w:afterAutospacing="0"/>
        <w:divId w:val="20937255"/>
        <w:rPr>
          <w:sz w:val="20"/>
          <w:szCs w:val="20"/>
        </w:rPr>
      </w:pPr>
      <w:r>
        <w:rPr>
          <w:b/>
          <w:bCs/>
          <w:sz w:val="20"/>
          <w:szCs w:val="20"/>
        </w:rPr>
        <w:t>10. Income Taxes</w:t>
      </w:r>
    </w:p>
    <w:p w14:paraId="616F9A3A" w14:textId="77777777" w:rsidR="00000000" w:rsidRDefault="001F1B20">
      <w:pPr>
        <w:pStyle w:val="a3"/>
        <w:spacing w:before="0" w:beforeAutospacing="0" w:after="0" w:afterAutospacing="0"/>
        <w:divId w:val="20937255"/>
        <w:rPr>
          <w:sz w:val="20"/>
          <w:szCs w:val="20"/>
        </w:rPr>
      </w:pPr>
      <w:r>
        <w:rPr>
          <w:sz w:val="10"/>
          <w:szCs w:val="10"/>
        </w:rPr>
        <w:t>​</w:t>
      </w:r>
    </w:p>
    <w:p w14:paraId="117C9A49" w14:textId="77777777" w:rsidR="00000000" w:rsidRDefault="001F1B20">
      <w:pPr>
        <w:pStyle w:val="a3"/>
        <w:spacing w:before="0" w:beforeAutospacing="0" w:after="0" w:afterAutospacing="0"/>
        <w:ind w:firstLine="720"/>
        <w:divId w:val="20937255"/>
        <w:rPr>
          <w:sz w:val="20"/>
          <w:szCs w:val="20"/>
        </w:rPr>
      </w:pPr>
      <w:r>
        <w:rPr>
          <w:sz w:val="20"/>
          <w:szCs w:val="20"/>
        </w:rPr>
        <w:t>For the three months ended September 30, 2</w:t>
      </w:r>
      <w:r>
        <w:rPr>
          <w:sz w:val="20"/>
          <w:szCs w:val="20"/>
        </w:rPr>
        <w:t>021, the Company recognized an income tax benefit of $7,000, and for the nine months ended September 30, 2021, the Company had no income tax expense. The income tax provisions for the three and nine months ended September 30, 2021 were primarily attributed</w:t>
      </w:r>
      <w:r>
        <w:rPr>
          <w:sz w:val="20"/>
          <w:szCs w:val="20"/>
        </w:rPr>
        <w:t xml:space="preserve"> the Company’s estimate of contingent liabilities for uncertain tax positions taken with respect to transfer pricing and tax credits for the reporting periods. No provision for income taxes has been recognized on undistributed earnings of the Company’s for</w:t>
      </w:r>
      <w:r>
        <w:rPr>
          <w:sz w:val="20"/>
          <w:szCs w:val="20"/>
        </w:rPr>
        <w:t xml:space="preserve">eign subsidiaries because it considers such earnings to be indefinitely reinvested. </w:t>
      </w:r>
    </w:p>
    <w:p w14:paraId="7437959E" w14:textId="77777777" w:rsidR="00000000" w:rsidRDefault="001F1B20">
      <w:pPr>
        <w:pStyle w:val="a3"/>
        <w:spacing w:before="0" w:beforeAutospacing="0" w:after="0" w:afterAutospacing="0"/>
        <w:divId w:val="20937255"/>
        <w:rPr>
          <w:sz w:val="20"/>
          <w:szCs w:val="20"/>
        </w:rPr>
      </w:pPr>
      <w:r>
        <w:rPr>
          <w:sz w:val="20"/>
          <w:szCs w:val="20"/>
        </w:rPr>
        <w:t>​</w:t>
      </w:r>
    </w:p>
    <w:p w14:paraId="1373C9F5" w14:textId="77777777" w:rsidR="00000000" w:rsidRDefault="001F1B20">
      <w:pPr>
        <w:pStyle w:val="a3"/>
        <w:spacing w:before="0" w:beforeAutospacing="0" w:after="0" w:afterAutospacing="0"/>
        <w:ind w:firstLine="720"/>
        <w:divId w:val="20937255"/>
        <w:rPr>
          <w:sz w:val="20"/>
          <w:szCs w:val="20"/>
        </w:rPr>
      </w:pPr>
      <w:r>
        <w:rPr>
          <w:sz w:val="20"/>
          <w:szCs w:val="20"/>
        </w:rPr>
        <w:t xml:space="preserve">The Company follows the accounting guidance related to accounting for income taxes which requires that a company reduce its deferred tax assets by a valuation allowance </w:t>
      </w:r>
      <w:r>
        <w:rPr>
          <w:sz w:val="20"/>
          <w:szCs w:val="20"/>
        </w:rPr>
        <w:t>if, based on the weight of available evidence, it is more likely than not that some portion or all of its deferred tax assets will not be realized. As of September 30, 2021, the Company’s deferred tax assets were offset in full by a valuation allowance.</w:t>
      </w:r>
    </w:p>
    <w:p w14:paraId="5C1783B5" w14:textId="77777777" w:rsidR="00000000" w:rsidRDefault="001F1B20">
      <w:pPr>
        <w:pStyle w:val="a3"/>
        <w:spacing w:before="0" w:beforeAutospacing="0" w:after="0" w:afterAutospacing="0"/>
        <w:ind w:firstLine="720"/>
        <w:divId w:val="20937255"/>
        <w:rPr>
          <w:sz w:val="20"/>
          <w:szCs w:val="20"/>
        </w:rPr>
      </w:pPr>
      <w:r>
        <w:rPr>
          <w:sz w:val="20"/>
          <w:szCs w:val="20"/>
        </w:rPr>
        <w:t>​</w:t>
      </w:r>
    </w:p>
    <w:p w14:paraId="0D24B071" w14:textId="77777777" w:rsidR="00000000" w:rsidRDefault="001F1B20">
      <w:pPr>
        <w:pStyle w:val="a3"/>
        <w:spacing w:before="0" w:beforeAutospacing="0" w:after="0" w:afterAutospacing="0"/>
        <w:ind w:firstLine="720"/>
        <w:divId w:val="20937255"/>
        <w:rPr>
          <w:sz w:val="20"/>
          <w:szCs w:val="20"/>
        </w:rPr>
      </w:pPr>
      <w:r>
        <w:rPr>
          <w:sz w:val="20"/>
          <w:szCs w:val="20"/>
        </w:rPr>
        <w:t>The Company records liabilities related to uncertain tax positions in accordance with the income tax guidance which clarifies the accounting for uncertainty in income taxes recognized in an enterprise’s financial statements by prescribing a minimum recogni</w:t>
      </w:r>
      <w:r>
        <w:rPr>
          <w:sz w:val="20"/>
          <w:szCs w:val="20"/>
        </w:rPr>
        <w:t>tion threshold and measurement attribute for the financial statement recognition and measurement of a tax position taken or expected to be taken in a tax return. Resolution of one or more of these uncertain tax positions in any period may have a material i</w:t>
      </w:r>
      <w:r>
        <w:rPr>
          <w:sz w:val="20"/>
          <w:szCs w:val="20"/>
        </w:rPr>
        <w:t>mpact on the results of operations for that period. The Company includes any applicable interest and penalties within the provision for income taxes in the condensed consolidated statements of operations</w:t>
      </w:r>
      <w:r>
        <w:rPr>
          <w:sz w:val="20"/>
          <w:szCs w:val="20"/>
        </w:rPr>
        <w:t>.</w:t>
      </w:r>
    </w:p>
    <w:p w14:paraId="539191ED" w14:textId="77777777" w:rsidR="00000000" w:rsidRDefault="001F1B20">
      <w:pPr>
        <w:pStyle w:val="a3"/>
        <w:spacing w:before="360" w:beforeAutospacing="0" w:after="0" w:afterAutospacing="0"/>
        <w:jc w:val="center"/>
        <w:divId w:val="1728801423"/>
        <w:rPr>
          <w:sz w:val="20"/>
          <w:szCs w:val="20"/>
        </w:rPr>
      </w:pPr>
      <w:r>
        <w:rPr>
          <w:sz w:val="20"/>
          <w:szCs w:val="20"/>
        </w:rPr>
        <w:t>17</w:t>
      </w:r>
    </w:p>
    <w:p w14:paraId="129817C1" w14:textId="77777777" w:rsidR="00000000" w:rsidRDefault="001F1B20">
      <w:pPr>
        <w:pStyle w:val="a3"/>
        <w:spacing w:before="0" w:beforeAutospacing="0" w:after="600" w:afterAutospacing="0"/>
        <w:divId w:val="1842700209"/>
        <w:rPr>
          <w:sz w:val="20"/>
          <w:szCs w:val="20"/>
        </w:rPr>
      </w:pPr>
      <w:hyperlink w:anchor="TOC" w:history="1">
        <w:r>
          <w:rPr>
            <w:rStyle w:val="a4"/>
            <w:sz w:val="20"/>
            <w:szCs w:val="20"/>
          </w:rPr>
          <w:t>Table of Contents</w:t>
        </w:r>
      </w:hyperlink>
    </w:p>
    <w:p w14:paraId="6FD3F4BE" w14:textId="77777777" w:rsidR="00000000" w:rsidRDefault="001F1B20">
      <w:pPr>
        <w:pStyle w:val="a3"/>
        <w:spacing w:before="0" w:beforeAutospacing="0" w:after="0" w:afterAutospacing="0"/>
        <w:ind w:firstLine="720"/>
        <w:divId w:val="166481709"/>
        <w:rPr>
          <w:sz w:val="20"/>
          <w:szCs w:val="20"/>
        </w:rPr>
      </w:pPr>
      <w:r>
        <w:rPr>
          <w:sz w:val="20"/>
          <w:szCs w:val="20"/>
        </w:rPr>
        <w:t>​</w:t>
      </w:r>
    </w:p>
    <w:p w14:paraId="31610E9E" w14:textId="77777777" w:rsidR="00000000" w:rsidRDefault="001F1B20">
      <w:pPr>
        <w:pStyle w:val="a3"/>
        <w:spacing w:before="0" w:beforeAutospacing="0" w:after="0" w:afterAutospacing="0"/>
        <w:ind w:firstLine="720"/>
        <w:divId w:val="166481709"/>
        <w:rPr>
          <w:sz w:val="20"/>
          <w:szCs w:val="20"/>
        </w:rPr>
      </w:pPr>
      <w:r>
        <w:rPr>
          <w:sz w:val="20"/>
          <w:szCs w:val="20"/>
        </w:rPr>
        <w:t>Th</w:t>
      </w:r>
      <w:r>
        <w:rPr>
          <w:sz w:val="20"/>
          <w:szCs w:val="20"/>
        </w:rPr>
        <w:t xml:space="preserve">e Company is currently under Internal Revenue Service (“IRS”) examination for the tax year ended December 31, 2018. The Company believes that an adequate provision has been made for any material adjustments that may result from the tax examination. </w:t>
      </w:r>
    </w:p>
    <w:p w14:paraId="737A84F5" w14:textId="77777777" w:rsidR="00000000" w:rsidRDefault="001F1B20">
      <w:pPr>
        <w:pStyle w:val="a3"/>
        <w:spacing w:before="0" w:beforeAutospacing="0" w:after="0" w:afterAutospacing="0"/>
        <w:ind w:firstLine="720"/>
        <w:divId w:val="166481709"/>
        <w:rPr>
          <w:sz w:val="20"/>
          <w:szCs w:val="20"/>
        </w:rPr>
      </w:pPr>
      <w:r>
        <w:rPr>
          <w:sz w:val="20"/>
          <w:szCs w:val="20"/>
        </w:rPr>
        <w:t>​</w:t>
      </w:r>
    </w:p>
    <w:p w14:paraId="3E4BA8BC" w14:textId="77777777" w:rsidR="00000000" w:rsidRDefault="001F1B20">
      <w:pPr>
        <w:pStyle w:val="a3"/>
        <w:spacing w:before="0" w:beforeAutospacing="0" w:after="0" w:afterAutospacing="0"/>
        <w:ind w:firstLine="720"/>
        <w:divId w:val="166481709"/>
        <w:rPr>
          <w:sz w:val="20"/>
          <w:szCs w:val="20"/>
        </w:rPr>
      </w:pPr>
      <w:r>
        <w:rPr>
          <w:sz w:val="20"/>
          <w:szCs w:val="20"/>
        </w:rPr>
        <w:t xml:space="preserve">The </w:t>
      </w:r>
      <w:r>
        <w:rPr>
          <w:sz w:val="20"/>
          <w:szCs w:val="20"/>
        </w:rPr>
        <w:t xml:space="preserve">US continues to enact legislation in response to the COVID-19 pandemic, including the </w:t>
      </w:r>
      <w:r>
        <w:rPr>
          <w:i/>
          <w:iCs/>
          <w:sz w:val="20"/>
          <w:szCs w:val="20"/>
        </w:rPr>
        <w:t>Consolidated Appropriations Act, 2021</w:t>
      </w:r>
      <w:r>
        <w:rPr>
          <w:sz w:val="20"/>
          <w:szCs w:val="20"/>
        </w:rPr>
        <w:t xml:space="preserve"> and the </w:t>
      </w:r>
      <w:r>
        <w:rPr>
          <w:i/>
          <w:iCs/>
          <w:sz w:val="20"/>
          <w:szCs w:val="20"/>
        </w:rPr>
        <w:t>American Rescue Plan Act of 2021</w:t>
      </w:r>
      <w:r>
        <w:rPr>
          <w:sz w:val="20"/>
          <w:szCs w:val="20"/>
        </w:rPr>
        <w:t xml:space="preserve">. The Company has considered the corporate income tax provisions included in these two acts </w:t>
      </w:r>
      <w:r>
        <w:rPr>
          <w:sz w:val="20"/>
          <w:szCs w:val="20"/>
        </w:rPr>
        <w:t>and believes that they do not have a material impact on the Company’s provision for income tax expense for the three and nine months ended September 30, 2021.</w:t>
      </w:r>
    </w:p>
    <w:p w14:paraId="77950657" w14:textId="77777777" w:rsidR="00000000" w:rsidRDefault="001F1B20">
      <w:pPr>
        <w:pStyle w:val="a3"/>
        <w:spacing w:before="0" w:beforeAutospacing="0" w:after="0" w:afterAutospacing="0"/>
        <w:divId w:val="166481709"/>
        <w:rPr>
          <w:sz w:val="20"/>
          <w:szCs w:val="20"/>
        </w:rPr>
      </w:pPr>
      <w:r>
        <w:rPr>
          <w:color w:val="FF0000"/>
          <w:sz w:val="20"/>
          <w:szCs w:val="20"/>
        </w:rPr>
        <w:t>​</w:t>
      </w:r>
    </w:p>
    <w:p w14:paraId="2B2133D7" w14:textId="77777777" w:rsidR="00000000" w:rsidRDefault="001F1B20">
      <w:pPr>
        <w:pStyle w:val="a3"/>
        <w:spacing w:before="0" w:beforeAutospacing="0" w:after="0" w:afterAutospacing="0"/>
        <w:ind w:firstLine="720"/>
        <w:divId w:val="166481709"/>
        <w:rPr>
          <w:sz w:val="20"/>
          <w:szCs w:val="20"/>
        </w:rPr>
      </w:pPr>
      <w:r>
        <w:rPr>
          <w:sz w:val="20"/>
          <w:szCs w:val="20"/>
        </w:rPr>
        <w:t>The Company’s future income tax expense may be affected by such factors as changes in tax laws,</w:t>
      </w:r>
      <w:r>
        <w:rPr>
          <w:sz w:val="20"/>
          <w:szCs w:val="20"/>
        </w:rPr>
        <w:t xml:space="preserve"> its business, regulations, tax rates, interpretation of existing laws or regulations, the impact of accounting for share-based compensation, the impact of accounting for business combinations, its international organization, shifts in the amount of income</w:t>
      </w:r>
      <w:r>
        <w:rPr>
          <w:sz w:val="20"/>
          <w:szCs w:val="20"/>
        </w:rPr>
        <w:t xml:space="preserve"> before tax earned in the US as compared with other regions in the world, and changes in overall levels of income before tax.</w:t>
      </w:r>
    </w:p>
    <w:p w14:paraId="33CE78E0" w14:textId="77777777" w:rsidR="00000000" w:rsidRDefault="001F1B20">
      <w:pPr>
        <w:pStyle w:val="a3"/>
        <w:spacing w:before="0" w:beforeAutospacing="0" w:after="0" w:afterAutospacing="0"/>
        <w:ind w:firstLine="720"/>
        <w:divId w:val="166481709"/>
        <w:rPr>
          <w:sz w:val="20"/>
          <w:szCs w:val="20"/>
        </w:rPr>
      </w:pPr>
      <w:r>
        <w:rPr>
          <w:sz w:val="20"/>
          <w:szCs w:val="20"/>
        </w:rPr>
        <w:t>​</w:t>
      </w:r>
    </w:p>
    <w:p w14:paraId="130004F1" w14:textId="77777777" w:rsidR="00000000" w:rsidRDefault="001F1B20">
      <w:pPr>
        <w:pStyle w:val="a3"/>
        <w:spacing w:before="0" w:beforeAutospacing="0" w:after="0" w:afterAutospacing="0"/>
        <w:divId w:val="166481709"/>
        <w:rPr>
          <w:sz w:val="20"/>
          <w:szCs w:val="20"/>
        </w:rPr>
      </w:pPr>
      <w:r>
        <w:rPr>
          <w:b/>
          <w:bCs/>
          <w:sz w:val="20"/>
          <w:szCs w:val="20"/>
        </w:rPr>
        <w:t>11. Public Offering of Ordinary Shares</w:t>
      </w:r>
    </w:p>
    <w:p w14:paraId="02CA43AF" w14:textId="77777777" w:rsidR="00000000" w:rsidRDefault="001F1B20">
      <w:pPr>
        <w:pStyle w:val="a3"/>
        <w:spacing w:before="0" w:beforeAutospacing="0" w:after="0" w:afterAutospacing="0"/>
        <w:divId w:val="166481709"/>
        <w:rPr>
          <w:sz w:val="20"/>
          <w:szCs w:val="20"/>
        </w:rPr>
      </w:pPr>
      <w:r>
        <w:rPr>
          <w:sz w:val="10"/>
          <w:szCs w:val="10"/>
        </w:rPr>
        <w:t>​</w:t>
      </w:r>
    </w:p>
    <w:p w14:paraId="2493318B" w14:textId="77777777" w:rsidR="00000000" w:rsidRDefault="001F1B20">
      <w:pPr>
        <w:pStyle w:val="a3"/>
        <w:spacing w:before="0" w:beforeAutospacing="0" w:after="0" w:afterAutospacing="0"/>
        <w:divId w:val="166481709"/>
        <w:rPr>
          <w:sz w:val="20"/>
          <w:szCs w:val="20"/>
        </w:rPr>
      </w:pPr>
      <w:r>
        <w:rPr>
          <w:sz w:val="20"/>
          <w:szCs w:val="20"/>
        </w:rPr>
        <w:t xml:space="preserve">On June 29, 2021, the Company sold 6,700,000 </w:t>
      </w:r>
      <w:r>
        <w:rPr>
          <w:sz w:val="20"/>
          <w:szCs w:val="20"/>
        </w:rPr>
        <w:t xml:space="preserve">ordinary shares at a price to the public of $15.00 per share (the “Shares”). </w:t>
      </w:r>
      <w:r>
        <w:rPr>
          <w:sz w:val="20"/>
          <w:szCs w:val="20"/>
          <w:shd w:val="clear" w:color="auto" w:fill="FFFFFF"/>
        </w:rPr>
        <w:t>Under the terms of the underwriting agreement, on June 29, 2021, the underwriters also exercised a 30-day option to purchase an additional 1,005,000 ordinary shares for a total of</w:t>
      </w:r>
      <w:r>
        <w:rPr>
          <w:sz w:val="20"/>
          <w:szCs w:val="20"/>
          <w:shd w:val="clear" w:color="auto" w:fill="FFFFFF"/>
        </w:rPr>
        <w:t xml:space="preserve"> 7,705,000 ordinary shares sold. </w:t>
      </w:r>
      <w:r>
        <w:rPr>
          <w:sz w:val="20"/>
          <w:szCs w:val="20"/>
        </w:rPr>
        <w:t>The total gross proceeds to the Company from the offering were approximately $115.6 million, before deducting underwriting discounts and commissions and estimated offering expenses. The Shares were issued pursuant to the Co</w:t>
      </w:r>
      <w:r>
        <w:rPr>
          <w:sz w:val="20"/>
          <w:szCs w:val="20"/>
        </w:rPr>
        <w:t>mpany’s currently effective shelf registration statement on Form S-3 and an accompanying prospectus (File No. 333-235339) filed with the SEC, which became effective automatically on December 3, 2019, and a prospectus supplement filed with the SEC in connec</w:t>
      </w:r>
      <w:r>
        <w:rPr>
          <w:sz w:val="20"/>
          <w:szCs w:val="20"/>
        </w:rPr>
        <w:t>tion with the offering.</w:t>
      </w:r>
    </w:p>
    <w:p w14:paraId="3DE07857" w14:textId="77777777" w:rsidR="00000000" w:rsidRDefault="001F1B20">
      <w:pPr>
        <w:pStyle w:val="a3"/>
        <w:spacing w:before="0" w:beforeAutospacing="0" w:after="0" w:afterAutospacing="0"/>
        <w:divId w:val="166481709"/>
        <w:rPr>
          <w:sz w:val="20"/>
          <w:szCs w:val="20"/>
        </w:rPr>
      </w:pPr>
      <w:r>
        <w:rPr>
          <w:sz w:val="20"/>
          <w:szCs w:val="20"/>
        </w:rPr>
        <w:t>​</w:t>
      </w:r>
    </w:p>
    <w:p w14:paraId="67758017" w14:textId="77777777" w:rsidR="00000000" w:rsidRDefault="001F1B20">
      <w:pPr>
        <w:pStyle w:val="a3"/>
        <w:spacing w:before="0" w:beforeAutospacing="0" w:after="0" w:afterAutospacing="0"/>
        <w:divId w:val="166481709"/>
        <w:rPr>
          <w:sz w:val="20"/>
          <w:szCs w:val="20"/>
        </w:rPr>
      </w:pPr>
      <w:r>
        <w:rPr>
          <w:b/>
          <w:bCs/>
          <w:sz w:val="20"/>
          <w:szCs w:val="20"/>
        </w:rPr>
        <w:t xml:space="preserve">12. Corporate Restructuring </w:t>
      </w:r>
    </w:p>
    <w:p w14:paraId="21BFCE12" w14:textId="77777777" w:rsidR="00000000" w:rsidRDefault="001F1B20">
      <w:pPr>
        <w:pStyle w:val="a3"/>
        <w:spacing w:before="0" w:beforeAutospacing="0" w:after="0" w:afterAutospacing="0"/>
        <w:divId w:val="166481709"/>
        <w:rPr>
          <w:sz w:val="20"/>
          <w:szCs w:val="20"/>
        </w:rPr>
      </w:pPr>
      <w:r>
        <w:rPr>
          <w:b/>
          <w:bCs/>
          <w:sz w:val="10"/>
          <w:szCs w:val="10"/>
        </w:rPr>
        <w:t>​</w:t>
      </w:r>
    </w:p>
    <w:p w14:paraId="5651489A" w14:textId="77777777" w:rsidR="00000000" w:rsidRDefault="001F1B20">
      <w:pPr>
        <w:pStyle w:val="a3"/>
        <w:spacing w:before="0" w:beforeAutospacing="0" w:after="0" w:afterAutospacing="0"/>
        <w:ind w:firstLine="720"/>
        <w:divId w:val="166481709"/>
        <w:rPr>
          <w:sz w:val="20"/>
          <w:szCs w:val="20"/>
        </w:rPr>
      </w:pPr>
      <w:r>
        <w:rPr>
          <w:sz w:val="20"/>
          <w:szCs w:val="20"/>
        </w:rPr>
        <w:t>Following recent unfavorable clinical results from the Company’s late-stage development programs, on September 15, 2021, the Company announced a strategic update and corporate restructuring (the “Res</w:t>
      </w:r>
      <w:r>
        <w:rPr>
          <w:sz w:val="20"/>
          <w:szCs w:val="20"/>
        </w:rPr>
        <w:t>tructuring”) to focus on leveraging its expertise in developing and commercializing respiratory therapeutics. As part of the Restructuring, the Company is reducing headcount by approximately 75% through a reduction in its workforce. Approximately 75% of th</w:t>
      </w:r>
      <w:r>
        <w:rPr>
          <w:sz w:val="20"/>
          <w:szCs w:val="20"/>
        </w:rPr>
        <w:t>e total reduction in workforce will take place by November 2021,</w:t>
      </w:r>
      <w:r>
        <w:rPr>
          <w:color w:val="FF0000"/>
          <w:sz w:val="20"/>
          <w:szCs w:val="20"/>
        </w:rPr>
        <w:t xml:space="preserve"> </w:t>
      </w:r>
      <w:r>
        <w:rPr>
          <w:sz w:val="20"/>
          <w:szCs w:val="20"/>
        </w:rPr>
        <w:t xml:space="preserve">and the remainder will be completed in February 2022. </w:t>
      </w:r>
    </w:p>
    <w:p w14:paraId="075B2167" w14:textId="77777777" w:rsidR="00000000" w:rsidRDefault="001F1B20">
      <w:pPr>
        <w:pStyle w:val="a3"/>
        <w:spacing w:before="0" w:beforeAutospacing="0" w:after="0" w:afterAutospacing="0"/>
        <w:ind w:firstLine="720"/>
        <w:divId w:val="166481709"/>
        <w:rPr>
          <w:sz w:val="20"/>
          <w:szCs w:val="20"/>
        </w:rPr>
      </w:pPr>
      <w:r>
        <w:rPr>
          <w:color w:val="FF0000"/>
          <w:sz w:val="20"/>
          <w:szCs w:val="20"/>
        </w:rPr>
        <w:t>​</w:t>
      </w:r>
    </w:p>
    <w:p w14:paraId="4E1D1DA5" w14:textId="77777777" w:rsidR="00000000" w:rsidRDefault="001F1B20">
      <w:pPr>
        <w:pStyle w:val="a3"/>
        <w:spacing w:before="0" w:beforeAutospacing="0" w:after="0" w:afterAutospacing="0"/>
        <w:ind w:firstLine="720"/>
        <w:jc w:val="both"/>
        <w:divId w:val="166481709"/>
        <w:rPr>
          <w:sz w:val="20"/>
          <w:szCs w:val="20"/>
        </w:rPr>
      </w:pPr>
      <w:r>
        <w:rPr>
          <w:sz w:val="20"/>
          <w:szCs w:val="20"/>
          <w:shd w:val="clear" w:color="auto" w:fill="FFFFFF"/>
        </w:rPr>
        <w:t>The Company incurred the following Restructuring charges consisting of one-time severance payments and other employee-related separati</w:t>
      </w:r>
      <w:r>
        <w:rPr>
          <w:sz w:val="20"/>
          <w:szCs w:val="20"/>
          <w:shd w:val="clear" w:color="auto" w:fill="FFFFFF"/>
        </w:rPr>
        <w:t xml:space="preserve">on costs which are being </w:t>
      </w:r>
      <w:r>
        <w:rPr>
          <w:sz w:val="20"/>
          <w:szCs w:val="20"/>
        </w:rPr>
        <w:t>recognized ratably over the future service period:</w:t>
      </w:r>
    </w:p>
    <w:p w14:paraId="4E0729BE" w14:textId="77777777" w:rsidR="00000000" w:rsidRDefault="001F1B20">
      <w:pPr>
        <w:pStyle w:val="a3"/>
        <w:spacing w:before="0" w:beforeAutospacing="0" w:after="0" w:afterAutospacing="0"/>
        <w:ind w:firstLine="720"/>
        <w:divId w:val="166481709"/>
        <w:rPr>
          <w:sz w:val="20"/>
          <w:szCs w:val="20"/>
        </w:rPr>
      </w:pPr>
      <w:r>
        <w:rPr>
          <w:color w:val="FF0000"/>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34"/>
        <w:gridCol w:w="192"/>
        <w:gridCol w:w="191"/>
        <w:gridCol w:w="753"/>
        <w:gridCol w:w="191"/>
        <w:gridCol w:w="191"/>
        <w:gridCol w:w="754"/>
      </w:tblGrid>
      <w:tr w:rsidR="00000000" w14:paraId="311BE93B" w14:textId="77777777">
        <w:trPr>
          <w:divId w:val="166481709"/>
          <w:trHeight w:val="20"/>
        </w:trPr>
        <w:tc>
          <w:tcPr>
            <w:tcW w:w="3631" w:type="pct"/>
            <w:tcMar>
              <w:top w:w="0" w:type="dxa"/>
              <w:left w:w="0" w:type="dxa"/>
              <w:bottom w:w="0" w:type="dxa"/>
              <w:right w:w="0" w:type="dxa"/>
            </w:tcMar>
            <w:vAlign w:val="bottom"/>
            <w:hideMark/>
          </w:tcPr>
          <w:p w14:paraId="03D93FF5" w14:textId="77777777" w:rsidR="00000000" w:rsidRDefault="001F1B20">
            <w:pPr>
              <w:pStyle w:val="a3"/>
              <w:spacing w:before="0" w:beforeAutospacing="0" w:after="0" w:afterAutospacing="0"/>
              <w:divId w:val="778333324"/>
              <w:rPr>
                <w:sz w:val="20"/>
                <w:szCs w:val="20"/>
              </w:rPr>
            </w:pPr>
            <w:r>
              <w:rPr>
                <w:sz w:val="2"/>
                <w:szCs w:val="2"/>
              </w:rPr>
              <w:t>​</w:t>
            </w:r>
          </w:p>
        </w:tc>
        <w:tc>
          <w:tcPr>
            <w:tcW w:w="115" w:type="pct"/>
            <w:noWrap/>
            <w:tcMar>
              <w:top w:w="0" w:type="dxa"/>
              <w:left w:w="0" w:type="dxa"/>
              <w:bottom w:w="0" w:type="dxa"/>
              <w:right w:w="0" w:type="dxa"/>
            </w:tcMar>
            <w:vAlign w:val="bottom"/>
            <w:hideMark/>
          </w:tcPr>
          <w:p w14:paraId="40775CFD" w14:textId="77777777" w:rsidR="00000000" w:rsidRDefault="001F1B20">
            <w:pPr>
              <w:pStyle w:val="a3"/>
              <w:spacing w:before="0" w:beforeAutospacing="0" w:after="0" w:afterAutospacing="0"/>
              <w:divId w:val="2091076566"/>
              <w:rPr>
                <w:sz w:val="20"/>
                <w:szCs w:val="20"/>
              </w:rPr>
            </w:pPr>
            <w:r>
              <w:rPr>
                <w:sz w:val="2"/>
                <w:szCs w:val="2"/>
              </w:rPr>
              <w:t>​</w:t>
            </w:r>
          </w:p>
        </w:tc>
        <w:tc>
          <w:tcPr>
            <w:tcW w:w="115" w:type="pct"/>
            <w:noWrap/>
            <w:tcMar>
              <w:top w:w="0" w:type="dxa"/>
              <w:left w:w="0" w:type="dxa"/>
              <w:bottom w:w="0" w:type="dxa"/>
              <w:right w:w="0" w:type="dxa"/>
            </w:tcMar>
            <w:vAlign w:val="bottom"/>
            <w:hideMark/>
          </w:tcPr>
          <w:p w14:paraId="3E373E96" w14:textId="77777777" w:rsidR="00000000" w:rsidRDefault="001F1B20">
            <w:pPr>
              <w:pStyle w:val="a3"/>
              <w:spacing w:before="0" w:beforeAutospacing="0" w:after="0" w:afterAutospacing="0"/>
              <w:divId w:val="24210828"/>
              <w:rPr>
                <w:sz w:val="20"/>
                <w:szCs w:val="20"/>
              </w:rPr>
            </w:pPr>
            <w:r>
              <w:rPr>
                <w:sz w:val="2"/>
                <w:szCs w:val="2"/>
              </w:rPr>
              <w:t>​</w:t>
            </w:r>
          </w:p>
        </w:tc>
        <w:tc>
          <w:tcPr>
            <w:tcW w:w="453" w:type="pct"/>
            <w:noWrap/>
            <w:tcMar>
              <w:top w:w="0" w:type="dxa"/>
              <w:left w:w="0" w:type="dxa"/>
              <w:bottom w:w="0" w:type="dxa"/>
              <w:right w:w="0" w:type="dxa"/>
            </w:tcMar>
            <w:vAlign w:val="center"/>
            <w:hideMark/>
          </w:tcPr>
          <w:p w14:paraId="6868D0D0" w14:textId="77777777" w:rsidR="00000000" w:rsidRDefault="001F1B20">
            <w:pPr>
              <w:pStyle w:val="a3"/>
              <w:spacing w:before="0" w:beforeAutospacing="0" w:after="0" w:afterAutospacing="0"/>
              <w:divId w:val="694498825"/>
              <w:rPr>
                <w:sz w:val="20"/>
                <w:szCs w:val="20"/>
              </w:rPr>
            </w:pPr>
            <w:r>
              <w:rPr>
                <w:sz w:val="2"/>
                <w:szCs w:val="2"/>
              </w:rPr>
              <w:t>​</w:t>
            </w:r>
          </w:p>
        </w:tc>
        <w:tc>
          <w:tcPr>
            <w:tcW w:w="115" w:type="pct"/>
            <w:noWrap/>
            <w:tcMar>
              <w:top w:w="0" w:type="dxa"/>
              <w:left w:w="0" w:type="dxa"/>
              <w:bottom w:w="0" w:type="dxa"/>
              <w:right w:w="0" w:type="dxa"/>
            </w:tcMar>
            <w:vAlign w:val="bottom"/>
            <w:hideMark/>
          </w:tcPr>
          <w:p w14:paraId="181FB0FA" w14:textId="77777777" w:rsidR="00000000" w:rsidRDefault="001F1B20">
            <w:pPr>
              <w:pStyle w:val="a3"/>
              <w:spacing w:before="0" w:beforeAutospacing="0" w:after="0" w:afterAutospacing="0"/>
              <w:divId w:val="1455442836"/>
              <w:rPr>
                <w:sz w:val="20"/>
                <w:szCs w:val="20"/>
              </w:rPr>
            </w:pPr>
            <w:r>
              <w:rPr>
                <w:sz w:val="2"/>
                <w:szCs w:val="2"/>
              </w:rPr>
              <w:t>​</w:t>
            </w:r>
          </w:p>
        </w:tc>
        <w:tc>
          <w:tcPr>
            <w:tcW w:w="115" w:type="pct"/>
            <w:noWrap/>
            <w:tcMar>
              <w:top w:w="0" w:type="dxa"/>
              <w:left w:w="0" w:type="dxa"/>
              <w:bottom w:w="0" w:type="dxa"/>
              <w:right w:w="0" w:type="dxa"/>
            </w:tcMar>
            <w:vAlign w:val="bottom"/>
            <w:hideMark/>
          </w:tcPr>
          <w:p w14:paraId="12D53280" w14:textId="77777777" w:rsidR="00000000" w:rsidRDefault="001F1B20">
            <w:pPr>
              <w:pStyle w:val="a3"/>
              <w:spacing w:before="0" w:beforeAutospacing="0" w:after="0" w:afterAutospacing="0"/>
              <w:divId w:val="1787578863"/>
              <w:rPr>
                <w:sz w:val="20"/>
                <w:szCs w:val="20"/>
              </w:rPr>
            </w:pPr>
            <w:r>
              <w:rPr>
                <w:sz w:val="2"/>
                <w:szCs w:val="2"/>
              </w:rPr>
              <w:t>​</w:t>
            </w:r>
          </w:p>
        </w:tc>
        <w:tc>
          <w:tcPr>
            <w:tcW w:w="453" w:type="pct"/>
            <w:noWrap/>
            <w:tcMar>
              <w:top w:w="0" w:type="dxa"/>
              <w:left w:w="0" w:type="dxa"/>
              <w:bottom w:w="0" w:type="dxa"/>
              <w:right w:w="0" w:type="dxa"/>
            </w:tcMar>
            <w:vAlign w:val="center"/>
            <w:hideMark/>
          </w:tcPr>
          <w:p w14:paraId="17FF1D83" w14:textId="77777777" w:rsidR="00000000" w:rsidRDefault="001F1B20">
            <w:pPr>
              <w:pStyle w:val="a3"/>
              <w:spacing w:before="0" w:beforeAutospacing="0" w:after="0" w:afterAutospacing="0"/>
              <w:divId w:val="2025400866"/>
              <w:rPr>
                <w:sz w:val="20"/>
                <w:szCs w:val="20"/>
              </w:rPr>
            </w:pPr>
            <w:r>
              <w:rPr>
                <w:sz w:val="2"/>
                <w:szCs w:val="2"/>
              </w:rPr>
              <w:t>​</w:t>
            </w:r>
          </w:p>
        </w:tc>
      </w:tr>
      <w:tr w:rsidR="00000000" w14:paraId="2CAACB8F" w14:textId="77777777">
        <w:trPr>
          <w:divId w:val="166481709"/>
        </w:trPr>
        <w:tc>
          <w:tcPr>
            <w:tcW w:w="3631" w:type="pct"/>
            <w:tcMar>
              <w:top w:w="0" w:type="dxa"/>
              <w:left w:w="0" w:type="dxa"/>
              <w:bottom w:w="0" w:type="dxa"/>
              <w:right w:w="0" w:type="dxa"/>
            </w:tcMar>
            <w:vAlign w:val="bottom"/>
            <w:hideMark/>
          </w:tcPr>
          <w:p w14:paraId="16CF5095" w14:textId="77777777" w:rsidR="00000000" w:rsidRDefault="001F1B20">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14:paraId="2A5316EF" w14:textId="77777777" w:rsidR="00000000" w:rsidRDefault="001F1B20">
            <w:pPr>
              <w:pStyle w:val="a3"/>
              <w:spacing w:before="0" w:beforeAutospacing="0" w:after="0" w:afterAutospacing="0"/>
              <w:rPr>
                <w:sz w:val="20"/>
                <w:szCs w:val="20"/>
              </w:rPr>
            </w:pPr>
            <w:r>
              <w:rPr>
                <w:b/>
                <w:bCs/>
                <w:sz w:val="16"/>
                <w:szCs w:val="16"/>
              </w:rPr>
              <w:t>​</w:t>
            </w:r>
          </w:p>
        </w:tc>
        <w:tc>
          <w:tcPr>
            <w:tcW w:w="1252" w:type="pct"/>
            <w:gridSpan w:val="5"/>
            <w:tcMar>
              <w:top w:w="0" w:type="dxa"/>
              <w:left w:w="0" w:type="dxa"/>
              <w:bottom w:w="0" w:type="dxa"/>
              <w:right w:w="0" w:type="dxa"/>
            </w:tcMar>
            <w:vAlign w:val="bottom"/>
            <w:hideMark/>
          </w:tcPr>
          <w:p w14:paraId="50A38825"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r>
      <w:tr w:rsidR="00000000" w14:paraId="44EA84FE" w14:textId="77777777">
        <w:trPr>
          <w:divId w:val="166481709"/>
        </w:trPr>
        <w:tc>
          <w:tcPr>
            <w:tcW w:w="3631" w:type="pct"/>
            <w:tcMar>
              <w:top w:w="0" w:type="dxa"/>
              <w:left w:w="0" w:type="dxa"/>
              <w:bottom w:w="0" w:type="dxa"/>
              <w:right w:w="0" w:type="dxa"/>
            </w:tcMar>
            <w:vAlign w:val="bottom"/>
            <w:hideMark/>
          </w:tcPr>
          <w:p w14:paraId="2F4FF7CE" w14:textId="77777777" w:rsidR="00000000" w:rsidRDefault="001F1B20">
            <w:pPr>
              <w:pStyle w:val="a3"/>
              <w:spacing w:before="0" w:beforeAutospacing="0" w:after="0"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14:paraId="29E25EEC" w14:textId="77777777" w:rsidR="00000000" w:rsidRDefault="001F1B20">
            <w:pPr>
              <w:pStyle w:val="a3"/>
              <w:spacing w:before="0" w:beforeAutospacing="0" w:after="0" w:afterAutospacing="0"/>
              <w:rPr>
                <w:sz w:val="20"/>
                <w:szCs w:val="20"/>
              </w:rPr>
            </w:pPr>
            <w:r>
              <w:rPr>
                <w:b/>
                <w:bCs/>
                <w:sz w:val="16"/>
                <w:szCs w:val="16"/>
              </w:rPr>
              <w:t>​</w:t>
            </w:r>
          </w:p>
        </w:tc>
        <w:tc>
          <w:tcPr>
            <w:tcW w:w="1252" w:type="pct"/>
            <w:gridSpan w:val="5"/>
            <w:tcBorders>
              <w:bottom w:val="single" w:sz="6" w:space="0" w:color="000000"/>
            </w:tcBorders>
            <w:tcMar>
              <w:top w:w="0" w:type="dxa"/>
              <w:left w:w="0" w:type="dxa"/>
              <w:bottom w:w="0" w:type="dxa"/>
              <w:right w:w="0" w:type="dxa"/>
            </w:tcMar>
            <w:vAlign w:val="bottom"/>
            <w:hideMark/>
          </w:tcPr>
          <w:p w14:paraId="6C604957" w14:textId="77777777" w:rsidR="00000000" w:rsidRDefault="001F1B20">
            <w:pPr>
              <w:pStyle w:val="a3"/>
              <w:spacing w:before="0" w:beforeAutospacing="0" w:after="0" w:afterAutospacing="0"/>
              <w:jc w:val="center"/>
              <w:rPr>
                <w:sz w:val="16"/>
                <w:szCs w:val="16"/>
              </w:rPr>
            </w:pPr>
            <w:r>
              <w:rPr>
                <w:b/>
                <w:bCs/>
                <w:sz w:val="16"/>
                <w:szCs w:val="16"/>
              </w:rPr>
              <w:t>September 30, </w:t>
            </w:r>
          </w:p>
        </w:tc>
      </w:tr>
      <w:tr w:rsidR="00000000" w14:paraId="2B4876A2" w14:textId="77777777">
        <w:trPr>
          <w:divId w:val="166481709"/>
        </w:trPr>
        <w:tc>
          <w:tcPr>
            <w:tcW w:w="3631" w:type="pct"/>
            <w:tcBorders>
              <w:bottom w:val="single" w:sz="6" w:space="0" w:color="000000"/>
            </w:tcBorders>
            <w:tcMar>
              <w:top w:w="0" w:type="dxa"/>
              <w:left w:w="0" w:type="dxa"/>
              <w:bottom w:w="0" w:type="dxa"/>
              <w:right w:w="0" w:type="dxa"/>
            </w:tcMar>
            <w:vAlign w:val="bottom"/>
            <w:hideMark/>
          </w:tcPr>
          <w:p w14:paraId="73FCDDCF" w14:textId="77777777" w:rsidR="00000000" w:rsidRDefault="001F1B20">
            <w:pPr>
              <w:pStyle w:val="a3"/>
              <w:spacing w:before="0" w:beforeAutospacing="0" w:after="0" w:afterAutospacing="0"/>
              <w:rPr>
                <w:sz w:val="16"/>
                <w:szCs w:val="16"/>
              </w:rPr>
            </w:pPr>
            <w:r>
              <w:rPr>
                <w:b/>
                <w:bCs/>
                <w:sz w:val="16"/>
                <w:szCs w:val="16"/>
              </w:rPr>
              <w:t>(In thousands)</w:t>
            </w:r>
          </w:p>
        </w:tc>
        <w:tc>
          <w:tcPr>
            <w:tcW w:w="115" w:type="pct"/>
            <w:noWrap/>
            <w:tcMar>
              <w:top w:w="0" w:type="dxa"/>
              <w:left w:w="0" w:type="dxa"/>
              <w:bottom w:w="0" w:type="dxa"/>
              <w:right w:w="0" w:type="dxa"/>
            </w:tcMar>
            <w:vAlign w:val="bottom"/>
            <w:hideMark/>
          </w:tcPr>
          <w:p w14:paraId="46D650B9" w14:textId="77777777" w:rsidR="00000000" w:rsidRDefault="001F1B20">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14:paraId="26E3B33B" w14:textId="77777777" w:rsidR="00000000" w:rsidRDefault="001F1B20">
            <w:pPr>
              <w:pStyle w:val="a3"/>
              <w:spacing w:before="0" w:beforeAutospacing="0" w:after="0" w:afterAutospacing="0"/>
              <w:jc w:val="center"/>
              <w:rPr>
                <w:sz w:val="16"/>
                <w:szCs w:val="16"/>
              </w:rPr>
            </w:pPr>
            <w:r>
              <w:rPr>
                <w:b/>
                <w:bCs/>
                <w:sz w:val="16"/>
                <w:szCs w:val="16"/>
              </w:rPr>
              <w:t>2021</w:t>
            </w:r>
          </w:p>
        </w:tc>
        <w:tc>
          <w:tcPr>
            <w:tcW w:w="115" w:type="pct"/>
            <w:noWrap/>
            <w:tcMar>
              <w:top w:w="0" w:type="dxa"/>
              <w:left w:w="0" w:type="dxa"/>
              <w:bottom w:w="0" w:type="dxa"/>
              <w:right w:w="0" w:type="dxa"/>
            </w:tcMar>
            <w:vAlign w:val="bottom"/>
            <w:hideMark/>
          </w:tcPr>
          <w:p w14:paraId="085FB91A" w14:textId="77777777" w:rsidR="00000000" w:rsidRDefault="001F1B20">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14:paraId="5B4CC5AD" w14:textId="77777777" w:rsidR="00000000" w:rsidRDefault="001F1B20">
            <w:pPr>
              <w:pStyle w:val="a3"/>
              <w:spacing w:before="0" w:beforeAutospacing="0" w:after="0" w:afterAutospacing="0"/>
              <w:jc w:val="center"/>
              <w:rPr>
                <w:sz w:val="16"/>
                <w:szCs w:val="16"/>
              </w:rPr>
            </w:pPr>
            <w:r>
              <w:rPr>
                <w:b/>
                <w:bCs/>
                <w:sz w:val="16"/>
                <w:szCs w:val="16"/>
              </w:rPr>
              <w:t>2020</w:t>
            </w:r>
          </w:p>
        </w:tc>
      </w:tr>
      <w:tr w:rsidR="00000000" w14:paraId="5135FC22" w14:textId="77777777">
        <w:trPr>
          <w:divId w:val="166481709"/>
        </w:trPr>
        <w:tc>
          <w:tcPr>
            <w:tcW w:w="3631" w:type="pct"/>
            <w:shd w:val="clear" w:color="auto" w:fill="CCEEFF"/>
            <w:tcMar>
              <w:top w:w="0" w:type="dxa"/>
              <w:left w:w="0" w:type="dxa"/>
              <w:bottom w:w="0" w:type="dxa"/>
              <w:right w:w="0" w:type="dxa"/>
            </w:tcMar>
            <w:vAlign w:val="bottom"/>
            <w:hideMark/>
          </w:tcPr>
          <w:p w14:paraId="15FBF733" w14:textId="77777777" w:rsidR="00000000" w:rsidRDefault="001F1B20">
            <w:pPr>
              <w:pStyle w:val="a3"/>
              <w:spacing w:before="0" w:beforeAutospacing="0" w:after="0" w:afterAutospacing="0"/>
              <w:rPr>
                <w:sz w:val="20"/>
                <w:szCs w:val="20"/>
              </w:rPr>
            </w:pPr>
            <w:r>
              <w:rPr>
                <w:sz w:val="20"/>
                <w:szCs w:val="20"/>
              </w:rPr>
              <w:t>Employee-related separation costs</w:t>
            </w:r>
          </w:p>
        </w:tc>
        <w:tc>
          <w:tcPr>
            <w:tcW w:w="115" w:type="pct"/>
            <w:shd w:val="clear" w:color="auto" w:fill="CCEEFF"/>
            <w:noWrap/>
            <w:tcMar>
              <w:top w:w="0" w:type="dxa"/>
              <w:left w:w="0" w:type="dxa"/>
              <w:bottom w:w="0" w:type="dxa"/>
              <w:right w:w="0" w:type="dxa"/>
            </w:tcMar>
            <w:vAlign w:val="bottom"/>
            <w:hideMark/>
          </w:tcPr>
          <w:p w14:paraId="7E472AE7" w14:textId="77777777" w:rsidR="00000000" w:rsidRDefault="001F1B20">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0B45D5C9" w14:textId="77777777" w:rsidR="00000000" w:rsidRDefault="001F1B20">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center"/>
            <w:hideMark/>
          </w:tcPr>
          <w:p w14:paraId="112728DC" w14:textId="77777777" w:rsidR="00000000" w:rsidRDefault="001F1B20">
            <w:pPr>
              <w:pStyle w:val="a3"/>
              <w:spacing w:before="0" w:beforeAutospacing="0" w:after="0" w:afterAutospacing="0"/>
              <w:ind w:right="60"/>
              <w:jc w:val="right"/>
              <w:rPr>
                <w:sz w:val="20"/>
                <w:szCs w:val="20"/>
              </w:rPr>
            </w:pPr>
            <w:r>
              <w:rPr>
                <w:sz w:val="20"/>
                <w:szCs w:val="20"/>
              </w:rPr>
              <w:t>1,771</w:t>
            </w:r>
          </w:p>
        </w:tc>
        <w:tc>
          <w:tcPr>
            <w:tcW w:w="115" w:type="pct"/>
            <w:shd w:val="clear" w:color="auto" w:fill="CCEEFF"/>
            <w:noWrap/>
            <w:tcMar>
              <w:top w:w="0" w:type="dxa"/>
              <w:left w:w="0" w:type="dxa"/>
              <w:bottom w:w="0" w:type="dxa"/>
              <w:right w:w="0" w:type="dxa"/>
            </w:tcMar>
            <w:vAlign w:val="bottom"/>
            <w:hideMark/>
          </w:tcPr>
          <w:p w14:paraId="2657332D" w14:textId="77777777" w:rsidR="00000000" w:rsidRDefault="001F1B20">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14:paraId="7A53021C" w14:textId="77777777" w:rsidR="00000000" w:rsidRDefault="001F1B20">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center"/>
            <w:hideMark/>
          </w:tcPr>
          <w:p w14:paraId="5D84F849" w14:textId="77777777" w:rsidR="00000000" w:rsidRDefault="001F1B20">
            <w:pPr>
              <w:pStyle w:val="a3"/>
              <w:spacing w:before="0" w:beforeAutospacing="0" w:after="0" w:afterAutospacing="0"/>
              <w:ind w:right="60"/>
              <w:jc w:val="right"/>
              <w:rPr>
                <w:sz w:val="20"/>
                <w:szCs w:val="20"/>
              </w:rPr>
            </w:pPr>
            <w:r>
              <w:rPr>
                <w:sz w:val="20"/>
                <w:szCs w:val="20"/>
              </w:rPr>
              <w:t>—</w:t>
            </w:r>
          </w:p>
        </w:tc>
      </w:tr>
    </w:tbl>
    <w:p w14:paraId="1F16889C" w14:textId="77777777" w:rsidR="00000000" w:rsidRDefault="001F1B20">
      <w:pPr>
        <w:pStyle w:val="a3"/>
        <w:spacing w:before="0" w:beforeAutospacing="0" w:after="0" w:afterAutospacing="0"/>
        <w:divId w:val="166481709"/>
        <w:rPr>
          <w:sz w:val="20"/>
          <w:szCs w:val="20"/>
        </w:rPr>
      </w:pPr>
      <w:r>
        <w:rPr>
          <w:color w:val="FF0000"/>
          <w:sz w:val="20"/>
          <w:szCs w:val="20"/>
        </w:rPr>
        <w:t>​</w:t>
      </w:r>
    </w:p>
    <w:p w14:paraId="3E837D7F" w14:textId="77777777" w:rsidR="00000000" w:rsidRDefault="001F1B20">
      <w:pPr>
        <w:pStyle w:val="a3"/>
        <w:spacing w:before="0" w:beforeAutospacing="0" w:after="0" w:afterAutospacing="0"/>
        <w:ind w:firstLine="720"/>
        <w:jc w:val="both"/>
        <w:divId w:val="166481709"/>
        <w:rPr>
          <w:sz w:val="20"/>
          <w:szCs w:val="20"/>
        </w:rPr>
      </w:pPr>
      <w:r>
        <w:rPr>
          <w:sz w:val="20"/>
          <w:szCs w:val="20"/>
        </w:rPr>
        <w:t>Selected information relating to accrued restructuring, severance costs and one-time termination costs is as follows:</w:t>
      </w:r>
    </w:p>
    <w:p w14:paraId="55724D26" w14:textId="77777777" w:rsidR="00000000" w:rsidRDefault="001F1B20">
      <w:pPr>
        <w:pStyle w:val="a3"/>
        <w:spacing w:before="0" w:beforeAutospacing="0" w:after="0" w:afterAutospacing="0"/>
        <w:ind w:firstLine="720"/>
        <w:divId w:val="166481709"/>
        <w:rPr>
          <w:sz w:val="20"/>
          <w:szCs w:val="20"/>
        </w:rPr>
      </w:pPr>
      <w:r>
        <w:rPr>
          <w:color w:val="FF0000"/>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96"/>
        <w:gridCol w:w="219"/>
        <w:gridCol w:w="219"/>
        <w:gridCol w:w="872"/>
      </w:tblGrid>
      <w:tr w:rsidR="00000000" w14:paraId="0ABC8ABE" w14:textId="77777777">
        <w:trPr>
          <w:divId w:val="166481709"/>
          <w:trHeight w:val="20"/>
        </w:trPr>
        <w:tc>
          <w:tcPr>
            <w:tcW w:w="4208" w:type="pct"/>
            <w:tcMar>
              <w:top w:w="0" w:type="dxa"/>
              <w:left w:w="0" w:type="dxa"/>
              <w:bottom w:w="0" w:type="dxa"/>
              <w:right w:w="0" w:type="dxa"/>
            </w:tcMar>
            <w:vAlign w:val="bottom"/>
            <w:hideMark/>
          </w:tcPr>
          <w:p w14:paraId="1D0686BF" w14:textId="77777777" w:rsidR="00000000" w:rsidRDefault="001F1B20">
            <w:pPr>
              <w:pStyle w:val="a3"/>
              <w:spacing w:before="0" w:beforeAutospacing="0" w:after="0" w:afterAutospacing="0"/>
              <w:divId w:val="1591767810"/>
              <w:rPr>
                <w:sz w:val="20"/>
                <w:szCs w:val="20"/>
              </w:rPr>
            </w:pPr>
            <w:r>
              <w:rPr>
                <w:sz w:val="2"/>
                <w:szCs w:val="2"/>
              </w:rPr>
              <w:t>​</w:t>
            </w:r>
          </w:p>
        </w:tc>
        <w:tc>
          <w:tcPr>
            <w:tcW w:w="132" w:type="pct"/>
            <w:noWrap/>
            <w:tcMar>
              <w:top w:w="0" w:type="dxa"/>
              <w:left w:w="0" w:type="dxa"/>
              <w:bottom w:w="0" w:type="dxa"/>
              <w:right w:w="0" w:type="dxa"/>
            </w:tcMar>
            <w:vAlign w:val="bottom"/>
            <w:hideMark/>
          </w:tcPr>
          <w:p w14:paraId="1E6BFBFF" w14:textId="77777777" w:rsidR="00000000" w:rsidRDefault="001F1B20">
            <w:pPr>
              <w:pStyle w:val="a3"/>
              <w:spacing w:before="0" w:beforeAutospacing="0" w:after="0" w:afterAutospacing="0"/>
              <w:divId w:val="1591426346"/>
              <w:rPr>
                <w:sz w:val="20"/>
                <w:szCs w:val="20"/>
              </w:rPr>
            </w:pPr>
            <w:r>
              <w:rPr>
                <w:sz w:val="2"/>
                <w:szCs w:val="2"/>
              </w:rPr>
              <w:t>​</w:t>
            </w:r>
          </w:p>
        </w:tc>
        <w:tc>
          <w:tcPr>
            <w:tcW w:w="132" w:type="pct"/>
            <w:noWrap/>
            <w:tcMar>
              <w:top w:w="0" w:type="dxa"/>
              <w:left w:w="0" w:type="dxa"/>
              <w:bottom w:w="0" w:type="dxa"/>
              <w:right w:w="0" w:type="dxa"/>
            </w:tcMar>
            <w:vAlign w:val="bottom"/>
            <w:hideMark/>
          </w:tcPr>
          <w:p w14:paraId="2FAF185D" w14:textId="77777777" w:rsidR="00000000" w:rsidRDefault="001F1B20">
            <w:pPr>
              <w:pStyle w:val="a3"/>
              <w:spacing w:before="0" w:beforeAutospacing="0" w:after="0" w:afterAutospacing="0"/>
              <w:divId w:val="17892732"/>
              <w:rPr>
                <w:sz w:val="20"/>
                <w:szCs w:val="20"/>
              </w:rPr>
            </w:pPr>
            <w:r>
              <w:rPr>
                <w:sz w:val="2"/>
                <w:szCs w:val="2"/>
              </w:rPr>
              <w:t>​</w:t>
            </w:r>
          </w:p>
        </w:tc>
        <w:tc>
          <w:tcPr>
            <w:tcW w:w="525" w:type="pct"/>
            <w:noWrap/>
            <w:tcMar>
              <w:top w:w="0" w:type="dxa"/>
              <w:left w:w="0" w:type="dxa"/>
              <w:bottom w:w="0" w:type="dxa"/>
              <w:right w:w="0" w:type="dxa"/>
            </w:tcMar>
            <w:vAlign w:val="bottom"/>
            <w:hideMark/>
          </w:tcPr>
          <w:p w14:paraId="6B46807F" w14:textId="77777777" w:rsidR="00000000" w:rsidRDefault="001F1B20">
            <w:pPr>
              <w:pStyle w:val="a3"/>
              <w:spacing w:before="0" w:beforeAutospacing="0" w:after="0" w:afterAutospacing="0"/>
              <w:divId w:val="497503516"/>
              <w:rPr>
                <w:sz w:val="20"/>
                <w:szCs w:val="20"/>
              </w:rPr>
            </w:pPr>
            <w:r>
              <w:rPr>
                <w:sz w:val="2"/>
                <w:szCs w:val="2"/>
              </w:rPr>
              <w:t>​</w:t>
            </w:r>
          </w:p>
        </w:tc>
      </w:tr>
      <w:tr w:rsidR="00000000" w14:paraId="741E19B4" w14:textId="77777777">
        <w:trPr>
          <w:divId w:val="166481709"/>
        </w:trPr>
        <w:tc>
          <w:tcPr>
            <w:tcW w:w="4208" w:type="pct"/>
            <w:tcBorders>
              <w:bottom w:val="single" w:sz="6" w:space="0" w:color="000000"/>
            </w:tcBorders>
            <w:tcMar>
              <w:top w:w="0" w:type="dxa"/>
              <w:left w:w="0" w:type="dxa"/>
              <w:bottom w:w="0" w:type="dxa"/>
              <w:right w:w="0" w:type="dxa"/>
            </w:tcMar>
            <w:vAlign w:val="bottom"/>
            <w:hideMark/>
          </w:tcPr>
          <w:p w14:paraId="7E233F36" w14:textId="77777777" w:rsidR="00000000" w:rsidRDefault="001F1B20">
            <w:pPr>
              <w:pStyle w:val="a3"/>
              <w:spacing w:before="0" w:beforeAutospacing="0" w:after="0" w:afterAutospacing="0"/>
              <w:rPr>
                <w:sz w:val="16"/>
                <w:szCs w:val="16"/>
              </w:rPr>
            </w:pPr>
            <w:r>
              <w:rPr>
                <w:b/>
                <w:bCs/>
                <w:sz w:val="16"/>
                <w:szCs w:val="16"/>
              </w:rPr>
              <w:t>(In thousands)</w:t>
            </w:r>
          </w:p>
        </w:tc>
        <w:tc>
          <w:tcPr>
            <w:tcW w:w="132" w:type="pct"/>
            <w:noWrap/>
            <w:tcMar>
              <w:top w:w="0" w:type="dxa"/>
              <w:left w:w="0" w:type="dxa"/>
              <w:bottom w:w="0" w:type="dxa"/>
              <w:right w:w="0" w:type="dxa"/>
            </w:tcMar>
            <w:vAlign w:val="bottom"/>
            <w:hideMark/>
          </w:tcPr>
          <w:p w14:paraId="293CF08E" w14:textId="77777777" w:rsidR="00000000" w:rsidRDefault="001F1B20">
            <w:pPr>
              <w:pStyle w:val="a3"/>
              <w:spacing w:before="0" w:beforeAutospacing="0" w:after="0" w:afterAutospacing="0"/>
              <w:rPr>
                <w:sz w:val="16"/>
                <w:szCs w:val="16"/>
              </w:rPr>
            </w:pPr>
            <w:r>
              <w:rPr>
                <w:b/>
                <w:bCs/>
                <w:sz w:val="16"/>
                <w:szCs w:val="16"/>
              </w:rPr>
              <w:t>    </w:t>
            </w:r>
          </w:p>
        </w:tc>
        <w:tc>
          <w:tcPr>
            <w:tcW w:w="132" w:type="pct"/>
            <w:tcBorders>
              <w:bottom w:val="single" w:sz="6" w:space="0" w:color="000000"/>
            </w:tcBorders>
            <w:noWrap/>
            <w:tcMar>
              <w:top w:w="0" w:type="dxa"/>
              <w:left w:w="0" w:type="dxa"/>
              <w:bottom w:w="0" w:type="dxa"/>
              <w:right w:w="0" w:type="dxa"/>
            </w:tcMar>
            <w:vAlign w:val="bottom"/>
            <w:hideMark/>
          </w:tcPr>
          <w:p w14:paraId="21E54DD5" w14:textId="77777777" w:rsidR="00000000" w:rsidRDefault="001F1B20">
            <w:pPr>
              <w:pStyle w:val="a3"/>
              <w:spacing w:before="0" w:beforeAutospacing="0" w:after="0" w:afterAutospacing="0"/>
              <w:rPr>
                <w:sz w:val="20"/>
                <w:szCs w:val="20"/>
              </w:rPr>
            </w:pPr>
            <w:r>
              <w:rPr>
                <w:sz w:val="22"/>
                <w:szCs w:val="22"/>
              </w:rPr>
              <w:t>​</w:t>
            </w:r>
          </w:p>
        </w:tc>
        <w:tc>
          <w:tcPr>
            <w:tcW w:w="525" w:type="pct"/>
            <w:tcBorders>
              <w:bottom w:val="single" w:sz="6" w:space="0" w:color="000000"/>
            </w:tcBorders>
            <w:noWrap/>
            <w:tcMar>
              <w:top w:w="0" w:type="dxa"/>
              <w:left w:w="0" w:type="dxa"/>
              <w:bottom w:w="0" w:type="dxa"/>
              <w:right w:w="0" w:type="dxa"/>
            </w:tcMar>
            <w:vAlign w:val="bottom"/>
            <w:hideMark/>
          </w:tcPr>
          <w:p w14:paraId="74E79A79" w14:textId="77777777" w:rsidR="00000000" w:rsidRDefault="001F1B20">
            <w:pPr>
              <w:pStyle w:val="a3"/>
              <w:spacing w:before="0" w:beforeAutospacing="0" w:after="0" w:afterAutospacing="0"/>
              <w:rPr>
                <w:sz w:val="20"/>
                <w:szCs w:val="20"/>
              </w:rPr>
            </w:pPr>
            <w:r>
              <w:rPr>
                <w:sz w:val="22"/>
                <w:szCs w:val="22"/>
              </w:rPr>
              <w:t>​</w:t>
            </w:r>
          </w:p>
        </w:tc>
      </w:tr>
      <w:tr w:rsidR="00000000" w14:paraId="085D399D" w14:textId="77777777">
        <w:trPr>
          <w:divId w:val="166481709"/>
        </w:trPr>
        <w:tc>
          <w:tcPr>
            <w:tcW w:w="4208" w:type="pct"/>
            <w:shd w:val="clear" w:color="auto" w:fill="CCEEFF"/>
            <w:tcMar>
              <w:top w:w="0" w:type="dxa"/>
              <w:left w:w="0" w:type="dxa"/>
              <w:bottom w:w="0" w:type="dxa"/>
              <w:right w:w="0" w:type="dxa"/>
            </w:tcMar>
            <w:vAlign w:val="bottom"/>
            <w:hideMark/>
          </w:tcPr>
          <w:p w14:paraId="41CCF112" w14:textId="77777777" w:rsidR="00000000" w:rsidRDefault="001F1B20">
            <w:pPr>
              <w:pStyle w:val="a3"/>
              <w:spacing w:before="0" w:beforeAutospacing="0" w:after="0" w:afterAutospacing="0"/>
              <w:rPr>
                <w:sz w:val="20"/>
                <w:szCs w:val="20"/>
              </w:rPr>
            </w:pPr>
            <w:r>
              <w:rPr>
                <w:sz w:val="20"/>
                <w:szCs w:val="20"/>
              </w:rPr>
              <w:t>Balance at December 31, 2020</w:t>
            </w:r>
          </w:p>
        </w:tc>
        <w:tc>
          <w:tcPr>
            <w:tcW w:w="132" w:type="pct"/>
            <w:shd w:val="clear" w:color="auto" w:fill="CCEEFF"/>
            <w:noWrap/>
            <w:tcMar>
              <w:top w:w="0" w:type="dxa"/>
              <w:left w:w="0" w:type="dxa"/>
              <w:bottom w:w="0" w:type="dxa"/>
              <w:right w:w="0" w:type="dxa"/>
            </w:tcMar>
            <w:vAlign w:val="bottom"/>
            <w:hideMark/>
          </w:tcPr>
          <w:p w14:paraId="6E4921EB" w14:textId="77777777" w:rsidR="00000000" w:rsidRDefault="001F1B2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14:paraId="06A7212C" w14:textId="77777777" w:rsidR="00000000" w:rsidRDefault="001F1B20">
            <w:pPr>
              <w:pStyle w:val="a3"/>
              <w:spacing w:before="0" w:beforeAutospacing="0" w:after="0" w:afterAutospacing="0"/>
              <w:rPr>
                <w:sz w:val="20"/>
                <w:szCs w:val="20"/>
              </w:rPr>
            </w:pPr>
            <w:r>
              <w:rPr>
                <w:sz w:val="20"/>
                <w:szCs w:val="20"/>
              </w:rPr>
              <w:t>$</w:t>
            </w:r>
          </w:p>
        </w:tc>
        <w:tc>
          <w:tcPr>
            <w:tcW w:w="525" w:type="pct"/>
            <w:shd w:val="clear" w:color="auto" w:fill="CCEEFF"/>
            <w:noWrap/>
            <w:tcMar>
              <w:top w:w="0" w:type="dxa"/>
              <w:left w:w="0" w:type="dxa"/>
              <w:bottom w:w="0" w:type="dxa"/>
              <w:right w:w="0" w:type="dxa"/>
            </w:tcMar>
            <w:vAlign w:val="bottom"/>
            <w:hideMark/>
          </w:tcPr>
          <w:p w14:paraId="54B03E92" w14:textId="77777777" w:rsidR="00000000" w:rsidRDefault="001F1B20">
            <w:pPr>
              <w:pStyle w:val="a3"/>
              <w:spacing w:before="0" w:beforeAutospacing="0" w:after="0" w:afterAutospacing="0"/>
              <w:ind w:right="60"/>
              <w:jc w:val="right"/>
              <w:rPr>
                <w:sz w:val="20"/>
                <w:szCs w:val="20"/>
              </w:rPr>
            </w:pPr>
            <w:r>
              <w:rPr>
                <w:sz w:val="20"/>
                <w:szCs w:val="20"/>
              </w:rPr>
              <w:t>—</w:t>
            </w:r>
          </w:p>
        </w:tc>
      </w:tr>
      <w:tr w:rsidR="00000000" w14:paraId="6284E761" w14:textId="77777777">
        <w:trPr>
          <w:divId w:val="166481709"/>
        </w:trPr>
        <w:tc>
          <w:tcPr>
            <w:tcW w:w="4208" w:type="pct"/>
            <w:tcMar>
              <w:top w:w="0" w:type="dxa"/>
              <w:left w:w="0" w:type="dxa"/>
              <w:bottom w:w="0" w:type="dxa"/>
              <w:right w:w="0" w:type="dxa"/>
            </w:tcMar>
            <w:vAlign w:val="bottom"/>
            <w:hideMark/>
          </w:tcPr>
          <w:p w14:paraId="7B77F5F4" w14:textId="77777777" w:rsidR="00000000" w:rsidRDefault="001F1B20">
            <w:pPr>
              <w:pStyle w:val="a3"/>
              <w:spacing w:before="0" w:beforeAutospacing="0" w:after="0" w:afterAutospacing="0"/>
              <w:rPr>
                <w:sz w:val="20"/>
                <w:szCs w:val="20"/>
              </w:rPr>
            </w:pPr>
            <w:r>
              <w:rPr>
                <w:sz w:val="20"/>
                <w:szCs w:val="20"/>
              </w:rPr>
              <w:t>Net accrual</w:t>
            </w:r>
            <w:r>
              <w:rPr>
                <w:sz w:val="20"/>
                <w:szCs w:val="20"/>
              </w:rPr>
              <w:t>s</w:t>
            </w:r>
          </w:p>
        </w:tc>
        <w:tc>
          <w:tcPr>
            <w:tcW w:w="132" w:type="pct"/>
            <w:noWrap/>
            <w:tcMar>
              <w:top w:w="0" w:type="dxa"/>
              <w:left w:w="0" w:type="dxa"/>
              <w:bottom w:w="0" w:type="dxa"/>
              <w:right w:w="0" w:type="dxa"/>
            </w:tcMar>
            <w:vAlign w:val="bottom"/>
            <w:hideMark/>
          </w:tcPr>
          <w:p w14:paraId="44237B24" w14:textId="77777777" w:rsidR="00000000" w:rsidRDefault="001F1B2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14:paraId="2037E454" w14:textId="77777777" w:rsidR="00000000" w:rsidRDefault="001F1B20">
            <w:pPr>
              <w:pStyle w:val="a3"/>
              <w:spacing w:before="0" w:beforeAutospacing="0" w:after="0" w:afterAutospacing="0"/>
              <w:jc w:val="center"/>
              <w:rPr>
                <w:sz w:val="20"/>
                <w:szCs w:val="20"/>
              </w:rPr>
            </w:pPr>
            <w:r>
              <w:rPr>
                <w:sz w:val="20"/>
                <w:szCs w:val="20"/>
              </w:rPr>
              <w:t>​</w:t>
            </w:r>
          </w:p>
        </w:tc>
        <w:tc>
          <w:tcPr>
            <w:tcW w:w="525" w:type="pct"/>
            <w:noWrap/>
            <w:tcMar>
              <w:top w:w="0" w:type="dxa"/>
              <w:left w:w="0" w:type="dxa"/>
              <w:bottom w:w="0" w:type="dxa"/>
              <w:right w:w="0" w:type="dxa"/>
            </w:tcMar>
            <w:vAlign w:val="bottom"/>
            <w:hideMark/>
          </w:tcPr>
          <w:p w14:paraId="1B3F3299" w14:textId="77777777" w:rsidR="00000000" w:rsidRDefault="001F1B20">
            <w:pPr>
              <w:pStyle w:val="a3"/>
              <w:spacing w:before="0" w:beforeAutospacing="0" w:after="0" w:afterAutospacing="0"/>
              <w:ind w:right="60"/>
              <w:jc w:val="right"/>
              <w:rPr>
                <w:sz w:val="20"/>
                <w:szCs w:val="20"/>
              </w:rPr>
            </w:pPr>
            <w:r>
              <w:rPr>
                <w:sz w:val="20"/>
                <w:szCs w:val="20"/>
              </w:rPr>
              <w:t>1,771</w:t>
            </w:r>
          </w:p>
        </w:tc>
      </w:tr>
      <w:tr w:rsidR="00000000" w14:paraId="519BC09A" w14:textId="77777777">
        <w:trPr>
          <w:divId w:val="166481709"/>
        </w:trPr>
        <w:tc>
          <w:tcPr>
            <w:tcW w:w="4208" w:type="pct"/>
            <w:shd w:val="clear" w:color="auto" w:fill="CCEEFF"/>
            <w:tcMar>
              <w:top w:w="0" w:type="dxa"/>
              <w:left w:w="0" w:type="dxa"/>
              <w:bottom w:w="0" w:type="dxa"/>
              <w:right w:w="0" w:type="dxa"/>
            </w:tcMar>
            <w:vAlign w:val="bottom"/>
            <w:hideMark/>
          </w:tcPr>
          <w:p w14:paraId="1FAD5F3D" w14:textId="77777777" w:rsidR="00000000" w:rsidRDefault="001F1B20">
            <w:pPr>
              <w:pStyle w:val="a3"/>
              <w:spacing w:before="0" w:beforeAutospacing="0" w:after="0" w:afterAutospacing="0"/>
              <w:rPr>
                <w:sz w:val="20"/>
                <w:szCs w:val="20"/>
              </w:rPr>
            </w:pPr>
            <w:r>
              <w:rPr>
                <w:sz w:val="20"/>
                <w:szCs w:val="20"/>
              </w:rPr>
              <w:t>Cash pai</w:t>
            </w:r>
            <w:r>
              <w:rPr>
                <w:sz w:val="20"/>
                <w:szCs w:val="20"/>
              </w:rPr>
              <w:t>d</w:t>
            </w:r>
          </w:p>
        </w:tc>
        <w:tc>
          <w:tcPr>
            <w:tcW w:w="132" w:type="pct"/>
            <w:shd w:val="clear" w:color="auto" w:fill="CCEEFF"/>
            <w:noWrap/>
            <w:tcMar>
              <w:top w:w="0" w:type="dxa"/>
              <w:left w:w="0" w:type="dxa"/>
              <w:bottom w:w="0" w:type="dxa"/>
              <w:right w:w="0" w:type="dxa"/>
            </w:tcMar>
            <w:vAlign w:val="bottom"/>
            <w:hideMark/>
          </w:tcPr>
          <w:p w14:paraId="592B6952" w14:textId="77777777" w:rsidR="00000000" w:rsidRDefault="001F1B20">
            <w:pPr>
              <w:pStyle w:val="a3"/>
              <w:spacing w:before="0" w:beforeAutospacing="0" w:after="0" w:afterAutospacing="0"/>
              <w:rPr>
                <w:sz w:val="20"/>
                <w:szCs w:val="20"/>
              </w:rPr>
            </w:pPr>
            <w:r>
              <w:rPr>
                <w:sz w:val="20"/>
                <w:szCs w:val="20"/>
              </w:rPr>
              <w:t>​</w:t>
            </w:r>
          </w:p>
        </w:tc>
        <w:tc>
          <w:tcPr>
            <w:tcW w:w="132" w:type="pct"/>
            <w:tcBorders>
              <w:bottom w:val="single" w:sz="6" w:space="0" w:color="000000"/>
            </w:tcBorders>
            <w:shd w:val="clear" w:color="auto" w:fill="CCEEFF"/>
            <w:noWrap/>
            <w:tcMar>
              <w:top w:w="0" w:type="dxa"/>
              <w:left w:w="0" w:type="dxa"/>
              <w:bottom w:w="0" w:type="dxa"/>
              <w:right w:w="0" w:type="dxa"/>
            </w:tcMar>
            <w:vAlign w:val="bottom"/>
            <w:hideMark/>
          </w:tcPr>
          <w:p w14:paraId="71745789" w14:textId="77777777" w:rsidR="00000000" w:rsidRDefault="001F1B20">
            <w:pPr>
              <w:pStyle w:val="a3"/>
              <w:spacing w:before="0" w:beforeAutospacing="0" w:after="0" w:afterAutospacing="0"/>
              <w:jc w:val="center"/>
              <w:rPr>
                <w:sz w:val="20"/>
                <w:szCs w:val="20"/>
              </w:rPr>
            </w:pPr>
            <w:r>
              <w:rPr>
                <w:sz w:val="20"/>
                <w:szCs w:val="20"/>
              </w:rPr>
              <w:t> </w:t>
            </w:r>
          </w:p>
        </w:tc>
        <w:tc>
          <w:tcPr>
            <w:tcW w:w="525" w:type="pct"/>
            <w:tcBorders>
              <w:bottom w:val="single" w:sz="6" w:space="0" w:color="000000"/>
            </w:tcBorders>
            <w:shd w:val="clear" w:color="auto" w:fill="CCEEFF"/>
            <w:noWrap/>
            <w:tcMar>
              <w:top w:w="0" w:type="dxa"/>
              <w:left w:w="0" w:type="dxa"/>
              <w:bottom w:w="0" w:type="dxa"/>
              <w:right w:w="0" w:type="dxa"/>
            </w:tcMar>
            <w:vAlign w:val="bottom"/>
            <w:hideMark/>
          </w:tcPr>
          <w:p w14:paraId="174F206D" w14:textId="77777777" w:rsidR="00000000" w:rsidRDefault="001F1B20">
            <w:pPr>
              <w:pStyle w:val="a3"/>
              <w:spacing w:before="0" w:beforeAutospacing="0" w:after="0" w:afterAutospacing="0"/>
              <w:ind w:right="60"/>
              <w:jc w:val="right"/>
              <w:rPr>
                <w:sz w:val="20"/>
                <w:szCs w:val="20"/>
              </w:rPr>
            </w:pPr>
            <w:r>
              <w:rPr>
                <w:sz w:val="20"/>
                <w:szCs w:val="20"/>
              </w:rPr>
              <w:t>—</w:t>
            </w:r>
          </w:p>
        </w:tc>
      </w:tr>
      <w:tr w:rsidR="00000000" w14:paraId="45F98038" w14:textId="77777777">
        <w:trPr>
          <w:divId w:val="166481709"/>
        </w:trPr>
        <w:tc>
          <w:tcPr>
            <w:tcW w:w="4208" w:type="pct"/>
            <w:tcMar>
              <w:top w:w="0" w:type="dxa"/>
              <w:left w:w="0" w:type="dxa"/>
              <w:bottom w:w="0" w:type="dxa"/>
              <w:right w:w="0" w:type="dxa"/>
            </w:tcMar>
            <w:vAlign w:val="bottom"/>
            <w:hideMark/>
          </w:tcPr>
          <w:p w14:paraId="5F38A6F7" w14:textId="77777777" w:rsidR="00000000" w:rsidRDefault="001F1B20">
            <w:pPr>
              <w:pStyle w:val="a3"/>
              <w:spacing w:before="0" w:beforeAutospacing="0" w:after="0" w:afterAutospacing="0"/>
              <w:rPr>
                <w:sz w:val="20"/>
                <w:szCs w:val="20"/>
              </w:rPr>
            </w:pPr>
            <w:r>
              <w:rPr>
                <w:sz w:val="20"/>
                <w:szCs w:val="20"/>
              </w:rPr>
              <w:t>Balance at September 30, 2021</w:t>
            </w:r>
          </w:p>
        </w:tc>
        <w:tc>
          <w:tcPr>
            <w:tcW w:w="132" w:type="pct"/>
            <w:noWrap/>
            <w:tcMar>
              <w:top w:w="0" w:type="dxa"/>
              <w:left w:w="0" w:type="dxa"/>
              <w:bottom w:w="0" w:type="dxa"/>
              <w:right w:w="0" w:type="dxa"/>
            </w:tcMar>
            <w:vAlign w:val="bottom"/>
            <w:hideMark/>
          </w:tcPr>
          <w:p w14:paraId="1B6A3576" w14:textId="77777777" w:rsidR="00000000" w:rsidRDefault="001F1B20">
            <w:pPr>
              <w:pStyle w:val="a3"/>
              <w:spacing w:before="0" w:beforeAutospacing="0" w:after="0" w:afterAutospacing="0"/>
              <w:rPr>
                <w:sz w:val="20"/>
                <w:szCs w:val="20"/>
              </w:rPr>
            </w:pPr>
            <w:r>
              <w:rPr>
                <w:sz w:val="20"/>
                <w:szCs w:val="20"/>
              </w:rPr>
              <w:t>​</w:t>
            </w:r>
          </w:p>
        </w:tc>
        <w:tc>
          <w:tcPr>
            <w:tcW w:w="132" w:type="pct"/>
            <w:tcBorders>
              <w:bottom w:val="double" w:sz="6" w:space="0" w:color="000000"/>
            </w:tcBorders>
            <w:noWrap/>
            <w:tcMar>
              <w:top w:w="0" w:type="dxa"/>
              <w:left w:w="0" w:type="dxa"/>
              <w:bottom w:w="0" w:type="dxa"/>
              <w:right w:w="0" w:type="dxa"/>
            </w:tcMar>
            <w:vAlign w:val="bottom"/>
            <w:hideMark/>
          </w:tcPr>
          <w:p w14:paraId="5491C0A4" w14:textId="77777777" w:rsidR="00000000" w:rsidRDefault="001F1B20">
            <w:pPr>
              <w:pStyle w:val="a3"/>
              <w:spacing w:before="0" w:beforeAutospacing="0" w:after="0" w:afterAutospacing="0"/>
              <w:rPr>
                <w:sz w:val="20"/>
                <w:szCs w:val="20"/>
              </w:rPr>
            </w:pPr>
            <w:r>
              <w:rPr>
                <w:sz w:val="20"/>
                <w:szCs w:val="20"/>
              </w:rPr>
              <w:t>$</w:t>
            </w:r>
          </w:p>
        </w:tc>
        <w:tc>
          <w:tcPr>
            <w:tcW w:w="525" w:type="pct"/>
            <w:tcBorders>
              <w:bottom w:val="double" w:sz="6" w:space="0" w:color="000000"/>
            </w:tcBorders>
            <w:noWrap/>
            <w:tcMar>
              <w:top w:w="0" w:type="dxa"/>
              <w:left w:w="0" w:type="dxa"/>
              <w:bottom w:w="0" w:type="dxa"/>
              <w:right w:w="0" w:type="dxa"/>
            </w:tcMar>
            <w:vAlign w:val="bottom"/>
            <w:hideMark/>
          </w:tcPr>
          <w:p w14:paraId="76982612" w14:textId="77777777" w:rsidR="00000000" w:rsidRDefault="001F1B20">
            <w:pPr>
              <w:pStyle w:val="a3"/>
              <w:spacing w:before="0" w:beforeAutospacing="0" w:after="0" w:afterAutospacing="0"/>
              <w:ind w:right="60"/>
              <w:jc w:val="right"/>
              <w:rPr>
                <w:sz w:val="20"/>
                <w:szCs w:val="20"/>
              </w:rPr>
            </w:pPr>
            <w:r>
              <w:rPr>
                <w:sz w:val="20"/>
                <w:szCs w:val="20"/>
              </w:rPr>
              <w:t>1,771</w:t>
            </w:r>
          </w:p>
        </w:tc>
      </w:tr>
    </w:tbl>
    <w:p w14:paraId="0FB8AB9B" w14:textId="77777777" w:rsidR="00000000" w:rsidRDefault="001F1B20">
      <w:pPr>
        <w:pStyle w:val="a3"/>
        <w:spacing w:before="0" w:beforeAutospacing="0" w:after="0" w:afterAutospacing="0"/>
        <w:divId w:val="166481709"/>
        <w:rPr>
          <w:sz w:val="20"/>
          <w:szCs w:val="20"/>
        </w:rPr>
      </w:pPr>
      <w:r>
        <w:rPr>
          <w:color w:val="FF0000"/>
          <w:sz w:val="20"/>
          <w:szCs w:val="20"/>
        </w:rPr>
        <w:t>​</w:t>
      </w:r>
    </w:p>
    <w:p w14:paraId="3A9C02D2" w14:textId="77777777" w:rsidR="00000000" w:rsidRDefault="001F1B20">
      <w:pPr>
        <w:pStyle w:val="a3"/>
        <w:spacing w:before="0" w:beforeAutospacing="0" w:after="0" w:afterAutospacing="0"/>
        <w:ind w:firstLine="720"/>
        <w:divId w:val="166481709"/>
        <w:rPr>
          <w:sz w:val="20"/>
          <w:szCs w:val="20"/>
        </w:rPr>
      </w:pPr>
      <w:r>
        <w:rPr>
          <w:sz w:val="20"/>
          <w:szCs w:val="20"/>
        </w:rPr>
        <w:t>Of the total $1.8 million in Restructuring charges recognized during the period, $1.0 million was related to R&amp;D expenses and $0.8 million was related to selling, general and administrative expenses.</w:t>
      </w:r>
      <w:r>
        <w:rPr>
          <w:sz w:val="20"/>
          <w:szCs w:val="20"/>
          <w:shd w:val="clear" w:color="auto" w:fill="FFFFFF"/>
        </w:rPr>
        <w:t xml:space="preserve"> The majority </w:t>
      </w:r>
      <w:r>
        <w:rPr>
          <w:sz w:val="20"/>
          <w:szCs w:val="20"/>
          <w:shd w:val="clear" w:color="auto" w:fill="FFFFFF"/>
        </w:rPr>
        <w:t>of cash payments for employee-related Restructuring charges are expected to be paid through the first quarter of 2022 and are primarily comprised of severance and other related costs.</w:t>
      </w:r>
      <w:r>
        <w:rPr>
          <w:sz w:val="20"/>
          <w:szCs w:val="20"/>
        </w:rPr>
        <w:t xml:space="preserve"> The Company estimates that it will incur total cash expenses of approxim</w:t>
      </w:r>
      <w:r>
        <w:rPr>
          <w:sz w:val="20"/>
          <w:szCs w:val="20"/>
        </w:rPr>
        <w:t xml:space="preserve">ately $18.0 million to $20.0 million related to the Restructuring of which the majority will be incurred by the first quarter of 2022. The </w:t>
      </w:r>
    </w:p>
    <w:p w14:paraId="0E24FDE5" w14:textId="77777777" w:rsidR="00000000" w:rsidRDefault="001F1B20">
      <w:pPr>
        <w:pStyle w:val="a3"/>
        <w:spacing w:before="360" w:beforeAutospacing="0" w:after="0" w:afterAutospacing="0"/>
        <w:jc w:val="center"/>
        <w:divId w:val="318382848"/>
        <w:rPr>
          <w:sz w:val="20"/>
          <w:szCs w:val="20"/>
        </w:rPr>
      </w:pPr>
      <w:r>
        <w:rPr>
          <w:sz w:val="20"/>
          <w:szCs w:val="20"/>
        </w:rPr>
        <w:t>18</w:t>
      </w:r>
    </w:p>
    <w:p w14:paraId="3C2CF83C" w14:textId="77777777" w:rsidR="00000000" w:rsidRDefault="001F1B20">
      <w:pPr>
        <w:pStyle w:val="a3"/>
        <w:spacing w:before="0" w:beforeAutospacing="0" w:after="600" w:afterAutospacing="0"/>
        <w:divId w:val="954101166"/>
        <w:rPr>
          <w:sz w:val="20"/>
          <w:szCs w:val="20"/>
        </w:rPr>
      </w:pPr>
      <w:hyperlink w:anchor="TOC" w:history="1">
        <w:r>
          <w:rPr>
            <w:rStyle w:val="a4"/>
            <w:sz w:val="20"/>
            <w:szCs w:val="20"/>
          </w:rPr>
          <w:t>Table of Contents</w:t>
        </w:r>
      </w:hyperlink>
    </w:p>
    <w:p w14:paraId="243BD88F" w14:textId="77777777" w:rsidR="00000000" w:rsidRDefault="001F1B20">
      <w:pPr>
        <w:pStyle w:val="a3"/>
        <w:spacing w:before="0" w:beforeAutospacing="0" w:after="0" w:afterAutospacing="0"/>
        <w:divId w:val="1197086143"/>
        <w:rPr>
          <w:sz w:val="20"/>
          <w:szCs w:val="20"/>
        </w:rPr>
      </w:pPr>
      <w:r>
        <w:rPr>
          <w:sz w:val="20"/>
          <w:szCs w:val="20"/>
        </w:rPr>
        <w:t xml:space="preserve">Company will also incur non-cash charges relating to the acceleration of equity-awards during the fourth quarter of 2021 and the first quarter of 2022 for employees affected by the Restructuring. </w:t>
      </w:r>
    </w:p>
    <w:p w14:paraId="26EFB9B9" w14:textId="77777777" w:rsidR="00000000" w:rsidRDefault="001F1B20">
      <w:pPr>
        <w:pStyle w:val="a3"/>
        <w:spacing w:before="0" w:beforeAutospacing="0" w:after="0" w:afterAutospacing="0"/>
        <w:ind w:firstLine="720"/>
        <w:divId w:val="1197086143"/>
        <w:rPr>
          <w:sz w:val="20"/>
          <w:szCs w:val="20"/>
        </w:rPr>
      </w:pPr>
      <w:r>
        <w:rPr>
          <w:sz w:val="20"/>
          <w:szCs w:val="20"/>
        </w:rPr>
        <w:t>​</w:t>
      </w:r>
    </w:p>
    <w:p w14:paraId="55B4A487" w14:textId="77777777" w:rsidR="00000000" w:rsidRDefault="001F1B20">
      <w:pPr>
        <w:pStyle w:val="a3"/>
        <w:spacing w:before="0" w:beforeAutospacing="0" w:after="0" w:afterAutospacing="0"/>
        <w:ind w:firstLine="720"/>
        <w:divId w:val="1197086143"/>
        <w:rPr>
          <w:sz w:val="20"/>
          <w:szCs w:val="20"/>
        </w:rPr>
      </w:pPr>
      <w:r>
        <w:rPr>
          <w:sz w:val="20"/>
          <w:szCs w:val="20"/>
        </w:rPr>
        <w:t>The Company is also in the process of evaluating the impa</w:t>
      </w:r>
      <w:r>
        <w:rPr>
          <w:sz w:val="20"/>
          <w:szCs w:val="20"/>
        </w:rPr>
        <w:t>ct of the Restructuring on the carrying value of its long-lived assets, such as property and equipment and operating lease assets. This process includes evaluating the estimated remaining lives, significant changes in the use, and potential impairment char</w:t>
      </w:r>
      <w:r>
        <w:rPr>
          <w:sz w:val="20"/>
          <w:szCs w:val="20"/>
        </w:rPr>
        <w:t>ges related to its long-lived assets which will be impacted by decisions to be finalized late in the fourth quarter of 2021. As of September 30, 2021, the Company did not recognize any impairment charges related to its long-lived assets as those amounts we</w:t>
      </w:r>
      <w:r>
        <w:rPr>
          <w:sz w:val="20"/>
          <w:szCs w:val="20"/>
        </w:rPr>
        <w:t>re deemed immaterial. The Company may also incur additional costs not currently contemplated due to events that may occur because of, or that are associated with, the Restructuring</w:t>
      </w:r>
      <w:r>
        <w:rPr>
          <w:color w:val="FF0000"/>
          <w:sz w:val="20"/>
          <w:szCs w:val="20"/>
        </w:rPr>
        <w:t>.</w:t>
      </w:r>
      <w:r>
        <w:rPr>
          <w:sz w:val="20"/>
          <w:szCs w:val="20"/>
        </w:rPr>
        <w:t xml:space="preserve"> </w:t>
      </w:r>
    </w:p>
    <w:p w14:paraId="0E18C356" w14:textId="77777777" w:rsidR="00000000" w:rsidRDefault="001F1B20">
      <w:pPr>
        <w:pStyle w:val="a3"/>
        <w:spacing w:before="0" w:beforeAutospacing="0" w:after="0" w:afterAutospacing="0"/>
        <w:divId w:val="1197086143"/>
        <w:rPr>
          <w:sz w:val="20"/>
          <w:szCs w:val="20"/>
        </w:rPr>
      </w:pPr>
      <w:r>
        <w:rPr>
          <w:sz w:val="20"/>
          <w:szCs w:val="20"/>
        </w:rPr>
        <w:t>​</w:t>
      </w:r>
    </w:p>
    <w:p w14:paraId="670A6A1F" w14:textId="77777777" w:rsidR="00000000" w:rsidRDefault="001F1B20">
      <w:pPr>
        <w:pStyle w:val="a3"/>
        <w:spacing w:before="0" w:beforeAutospacing="0" w:after="0" w:afterAutospacing="0"/>
        <w:ind w:hanging="900"/>
        <w:divId w:val="1197086143"/>
        <w:rPr>
          <w:sz w:val="20"/>
          <w:szCs w:val="20"/>
        </w:rPr>
      </w:pPr>
      <w:r>
        <w:rPr>
          <w:b/>
          <w:bCs/>
          <w:sz w:val="20"/>
          <w:szCs w:val="20"/>
        </w:rPr>
        <w:t>ITEM 2.   MANAGEMENT’S DISCUSSION AND ANALYSIS OF FINANCIAL CONDITION A</w:t>
      </w:r>
      <w:r>
        <w:rPr>
          <w:b/>
          <w:bCs/>
          <w:sz w:val="20"/>
          <w:szCs w:val="20"/>
        </w:rPr>
        <w:t>ND RESULTS OF OPERATIONS</w:t>
      </w:r>
    </w:p>
    <w:p w14:paraId="159603BA" w14:textId="77777777" w:rsidR="00000000" w:rsidRDefault="001F1B20">
      <w:pPr>
        <w:pStyle w:val="a3"/>
        <w:spacing w:before="0" w:beforeAutospacing="0" w:after="0" w:afterAutospacing="0"/>
        <w:divId w:val="1197086143"/>
        <w:rPr>
          <w:sz w:val="20"/>
          <w:szCs w:val="20"/>
        </w:rPr>
      </w:pPr>
      <w:r>
        <w:rPr>
          <w:b/>
          <w:bCs/>
          <w:sz w:val="20"/>
          <w:szCs w:val="20"/>
        </w:rPr>
        <w:t>​</w:t>
      </w:r>
    </w:p>
    <w:p w14:paraId="3719AF97" w14:textId="77777777" w:rsidR="00000000" w:rsidRDefault="001F1B20">
      <w:pPr>
        <w:pStyle w:val="a3"/>
        <w:spacing w:before="0" w:beforeAutospacing="0" w:after="0" w:afterAutospacing="0"/>
        <w:divId w:val="1197086143"/>
        <w:rPr>
          <w:sz w:val="20"/>
          <w:szCs w:val="20"/>
        </w:rPr>
      </w:pPr>
      <w:r>
        <w:rPr>
          <w:b/>
          <w:bCs/>
          <w:sz w:val="20"/>
          <w:szCs w:val="20"/>
        </w:rPr>
        <w:t>Forward-Looking Statements</w:t>
      </w:r>
    </w:p>
    <w:p w14:paraId="6F721675" w14:textId="77777777" w:rsidR="00000000" w:rsidRDefault="001F1B20">
      <w:pPr>
        <w:pStyle w:val="a3"/>
        <w:spacing w:before="0" w:beforeAutospacing="0" w:after="0" w:afterAutospacing="0"/>
        <w:divId w:val="1197086143"/>
        <w:rPr>
          <w:sz w:val="20"/>
          <w:szCs w:val="20"/>
        </w:rPr>
      </w:pPr>
      <w:r>
        <w:rPr>
          <w:sz w:val="10"/>
          <w:szCs w:val="10"/>
        </w:rPr>
        <w:t>​</w:t>
      </w:r>
    </w:p>
    <w:p w14:paraId="06D48835" w14:textId="77777777" w:rsidR="00000000" w:rsidRDefault="001F1B20">
      <w:pPr>
        <w:pStyle w:val="a3"/>
        <w:spacing w:before="0" w:beforeAutospacing="0" w:after="0" w:afterAutospacing="0"/>
        <w:ind w:firstLine="720"/>
        <w:divId w:val="1197086143"/>
        <w:rPr>
          <w:sz w:val="20"/>
          <w:szCs w:val="20"/>
        </w:rPr>
      </w:pPr>
      <w:r>
        <w:rPr>
          <w:i/>
          <w:iCs/>
          <w:sz w:val="20"/>
          <w:szCs w:val="20"/>
        </w:rPr>
        <w:t>You should read the following discussion in conjunction with our condensed consolidated financial statements (unaudited) and related notes included elsewhere in this report. This report includes “forw</w:t>
      </w:r>
      <w:r>
        <w:rPr>
          <w:i/>
          <w:iCs/>
          <w:sz w:val="20"/>
          <w:szCs w:val="20"/>
        </w:rPr>
        <w:t>ard-looking statements” within the meaning of Section 27A of the Securities Act of 1933, as amended (the “Securities Act”), and Section 21E of the Securities Exchange Act of 1934, as amended (the “Exchange Act”), that involve risks and uncertainties. All s</w:t>
      </w:r>
      <w:r>
        <w:rPr>
          <w:i/>
          <w:iCs/>
          <w:sz w:val="20"/>
          <w:szCs w:val="20"/>
        </w:rPr>
        <w:t xml:space="preserve">tatements in this report, other than statements of historical facts, including statements regarding our strategy, future operations, future financial position, future revenues, projected costs, prospects, plans, intentions, expectations and objectives are </w:t>
      </w:r>
      <w:r>
        <w:rPr>
          <w:i/>
          <w:iCs/>
          <w:sz w:val="20"/>
          <w:szCs w:val="20"/>
        </w:rPr>
        <w:t>forward-looking statements. The words “anticipate,” “assume,” “believe,” “contemplate,” “continue,” “could,” “designed,” “developed,” “drive,” “estimate,” “expect,” “forecast,” “goal,” “intend,” “may,” “mission,” “opportunities,” “plan,” “potential,” “pred</w:t>
      </w:r>
      <w:r>
        <w:rPr>
          <w:i/>
          <w:iCs/>
          <w:sz w:val="20"/>
          <w:szCs w:val="20"/>
        </w:rPr>
        <w:t>ict,” “project,” “pursue,” “seek,” “should,” “target,” “will,” “would,” and similar expressions (including the negatives thereof) are intended to identify forward-looking statements, although not all forward-looking statements contain these identifying wor</w:t>
      </w:r>
      <w:r>
        <w:rPr>
          <w:i/>
          <w:iCs/>
          <w:sz w:val="20"/>
          <w:szCs w:val="20"/>
        </w:rPr>
        <w:t>ds. These statements reflect our current views with respect to future events or our future financial performance, are based on assumptions, and involve known and unknown risks, uncertainties and other factors which may cause our actual results, performance</w:t>
      </w:r>
      <w:r>
        <w:rPr>
          <w:i/>
          <w:iCs/>
          <w:sz w:val="20"/>
          <w:szCs w:val="20"/>
        </w:rPr>
        <w:t xml:space="preserve"> or achievements to be materially different from any future results, performance or achievements expressed or implied by the forward-looking statements. We may not actually achieve the plans, intentions, expectations or objectives disclosed in our forward-</w:t>
      </w:r>
      <w:r>
        <w:rPr>
          <w:i/>
          <w:iCs/>
          <w:sz w:val="20"/>
          <w:szCs w:val="20"/>
        </w:rPr>
        <w:t>looking statements and the assumptions underlying our forward-looking statements may prove incorrect. Therefore, you should not place undue reliance on our forward-looking statements. Actual results or events could differ materially from the plans, intenti</w:t>
      </w:r>
      <w:r>
        <w:rPr>
          <w:i/>
          <w:iCs/>
          <w:sz w:val="20"/>
          <w:szCs w:val="20"/>
        </w:rPr>
        <w:t>ons, expectations and objectives disclosed in the forward-looking statements that we make. Factors that we believe could cause actual results or events to differ materially from our forward-looking statements include, but are not limited to, those discusse</w:t>
      </w:r>
      <w:r>
        <w:rPr>
          <w:i/>
          <w:iCs/>
          <w:sz w:val="20"/>
          <w:szCs w:val="20"/>
        </w:rPr>
        <w:t>d in “Risk Factors,” “Management’s Discussion and Analysis of Financial Condition and Results of Operations” and elsewhere in this report and in our Annual Report on Form 10-K for the year ended December 31, 2020. Our forward-looking statements in this rep</w:t>
      </w:r>
      <w:r>
        <w:rPr>
          <w:i/>
          <w:iCs/>
          <w:sz w:val="20"/>
          <w:szCs w:val="20"/>
        </w:rPr>
        <w:t xml:space="preserve">ort are based on current expectations and we do not assume any obligation to update any forward-looking statements for any reason, even if new information becomes available in the future. In addition, while we expect the effects of COVID-19, including new </w:t>
      </w:r>
      <w:r>
        <w:rPr>
          <w:i/>
          <w:iCs/>
          <w:sz w:val="20"/>
          <w:szCs w:val="20"/>
        </w:rPr>
        <w:t>variants of COVID-19, to continue to adversely impact our business operations and financial results, the extent of the impact on our ability to generate revenue from YUPELR</w:t>
      </w:r>
      <w:r>
        <w:rPr>
          <w:i/>
          <w:iCs/>
          <w:sz w:val="20"/>
          <w:szCs w:val="20"/>
        </w:rPr>
        <w:t>I</w:t>
      </w:r>
      <w:r>
        <w:rPr>
          <w:i/>
          <w:iCs/>
          <w:sz w:val="15"/>
          <w:szCs w:val="15"/>
          <w:vertAlign w:val="superscript"/>
        </w:rPr>
        <w:t>®</w:t>
      </w:r>
      <w:r>
        <w:rPr>
          <w:i/>
          <w:iCs/>
          <w:sz w:val="20"/>
          <w:szCs w:val="20"/>
        </w:rPr>
        <w:t xml:space="preserve"> </w:t>
      </w:r>
      <w:r>
        <w:rPr>
          <w:i/>
          <w:iCs/>
          <w:sz w:val="20"/>
          <w:szCs w:val="20"/>
        </w:rPr>
        <w:t>(revefenacin), our clinical development programs (including but not limited to our later-stage clinical programs for izencitinib and ampreloxetine), and the value of and market for our ordinary shares, will depend on future developments that are highly unc</w:t>
      </w:r>
      <w:r>
        <w:rPr>
          <w:i/>
          <w:iCs/>
          <w:sz w:val="20"/>
          <w:szCs w:val="20"/>
        </w:rPr>
        <w:t>ertain and cannot be predicted with confidence at this time. These potential future developments include, but are not limited to, the ultimate duration of the COVID-19 pandemic, travel restrictions, quarantines, vaccination levels, social distancing and bu</w:t>
      </w:r>
      <w:r>
        <w:rPr>
          <w:i/>
          <w:iCs/>
          <w:sz w:val="20"/>
          <w:szCs w:val="20"/>
        </w:rPr>
        <w:t>siness closure requirements in the United States and in other countries, other measures taken by us and those we work with to help protect individuals from contracting COVID-19, and the effectiveness of actions taken globally to contain and treat the disea</w:t>
      </w:r>
      <w:r>
        <w:rPr>
          <w:i/>
          <w:iCs/>
          <w:sz w:val="20"/>
          <w:szCs w:val="20"/>
        </w:rPr>
        <w:t xml:space="preserve">se, including vaccine availability, distribution, acceptance and effectiveness. When used in this report, all references to “Theravance Biopharma”, the “Company”, or “we” and other similar pronouns refer to Theravance Biopharma, Inc. collectively with its </w:t>
      </w:r>
      <w:r>
        <w:rPr>
          <w:i/>
          <w:iCs/>
          <w:sz w:val="20"/>
          <w:szCs w:val="20"/>
        </w:rPr>
        <w:t>subsidiaries.</w:t>
      </w:r>
    </w:p>
    <w:p w14:paraId="227A1CEB" w14:textId="77777777" w:rsidR="00000000" w:rsidRDefault="001F1B20">
      <w:pPr>
        <w:pStyle w:val="a3"/>
        <w:spacing w:before="0" w:beforeAutospacing="0" w:after="0" w:afterAutospacing="0"/>
        <w:divId w:val="1197086143"/>
        <w:rPr>
          <w:sz w:val="20"/>
          <w:szCs w:val="20"/>
        </w:rPr>
      </w:pPr>
      <w:r>
        <w:rPr>
          <w:sz w:val="20"/>
          <w:szCs w:val="20"/>
        </w:rPr>
        <w:t>​</w:t>
      </w:r>
    </w:p>
    <w:p w14:paraId="41B417AC" w14:textId="77777777" w:rsidR="00000000" w:rsidRDefault="001F1B20">
      <w:pPr>
        <w:pStyle w:val="a3"/>
        <w:spacing w:before="0" w:beforeAutospacing="0" w:after="0" w:afterAutospacing="0"/>
        <w:divId w:val="1197086143"/>
        <w:rPr>
          <w:sz w:val="20"/>
          <w:szCs w:val="20"/>
        </w:rPr>
      </w:pPr>
      <w:r>
        <w:rPr>
          <w:b/>
          <w:bCs/>
          <w:sz w:val="20"/>
          <w:szCs w:val="20"/>
        </w:rPr>
        <w:t>Management Overview</w:t>
      </w:r>
    </w:p>
    <w:p w14:paraId="34FCF315" w14:textId="77777777" w:rsidR="00000000" w:rsidRDefault="001F1B20">
      <w:pPr>
        <w:pStyle w:val="a3"/>
        <w:spacing w:before="0" w:beforeAutospacing="0" w:after="0" w:afterAutospacing="0"/>
        <w:divId w:val="1197086143"/>
        <w:rPr>
          <w:sz w:val="20"/>
          <w:szCs w:val="20"/>
        </w:rPr>
      </w:pPr>
      <w:r>
        <w:rPr>
          <w:sz w:val="20"/>
          <w:szCs w:val="20"/>
        </w:rPr>
        <w:t>​</w:t>
      </w:r>
    </w:p>
    <w:p w14:paraId="67063F0C" w14:textId="77777777" w:rsidR="00000000" w:rsidRDefault="001F1B20">
      <w:pPr>
        <w:pStyle w:val="a3"/>
        <w:spacing w:before="0" w:beforeAutospacing="0" w:after="0" w:afterAutospacing="0"/>
        <w:ind w:firstLine="720"/>
        <w:divId w:val="1197086143"/>
        <w:rPr>
          <w:sz w:val="20"/>
          <w:szCs w:val="20"/>
        </w:rPr>
      </w:pPr>
      <w:r>
        <w:rPr>
          <w:sz w:val="20"/>
          <w:szCs w:val="20"/>
        </w:rPr>
        <w:t xml:space="preserve">Theravance Biopharma, Inc. (“we,” “our,” “Theravance Biopharma” or the “Company”) is a biopharmaceutical company primarily focused on the discovery, development and commercialization of respiratory medicines. Our core </w:t>
      </w:r>
      <w:r>
        <w:rPr>
          <w:sz w:val="20"/>
          <w:szCs w:val="20"/>
        </w:rPr>
        <w:t xml:space="preserve">purpose is to create medicines that help improve the lives of patients suffering from respiratory illness. </w:t>
      </w:r>
    </w:p>
    <w:p w14:paraId="75ADA811" w14:textId="77777777" w:rsidR="00000000" w:rsidRDefault="001F1B20">
      <w:pPr>
        <w:pStyle w:val="a3"/>
        <w:spacing w:before="360" w:beforeAutospacing="0" w:after="0" w:afterAutospacing="0"/>
        <w:jc w:val="center"/>
        <w:divId w:val="1209338566"/>
        <w:rPr>
          <w:sz w:val="20"/>
          <w:szCs w:val="20"/>
        </w:rPr>
      </w:pPr>
      <w:r>
        <w:rPr>
          <w:sz w:val="20"/>
          <w:szCs w:val="20"/>
        </w:rPr>
        <w:t>19</w:t>
      </w:r>
    </w:p>
    <w:p w14:paraId="221585EB" w14:textId="77777777" w:rsidR="00000000" w:rsidRDefault="001F1B20">
      <w:pPr>
        <w:pStyle w:val="a3"/>
        <w:spacing w:before="0" w:beforeAutospacing="0" w:after="600" w:afterAutospacing="0"/>
        <w:divId w:val="2031487537"/>
        <w:rPr>
          <w:sz w:val="20"/>
          <w:szCs w:val="20"/>
        </w:rPr>
      </w:pPr>
      <w:hyperlink w:anchor="TOC" w:history="1">
        <w:r>
          <w:rPr>
            <w:rStyle w:val="a4"/>
            <w:sz w:val="20"/>
            <w:szCs w:val="20"/>
          </w:rPr>
          <w:t>Table of Contents</w:t>
        </w:r>
      </w:hyperlink>
    </w:p>
    <w:p w14:paraId="2EBF5805" w14:textId="77777777" w:rsidR="00000000" w:rsidRDefault="001F1B20">
      <w:pPr>
        <w:pStyle w:val="a3"/>
        <w:spacing w:before="0" w:beforeAutospacing="0" w:after="0" w:afterAutospacing="0"/>
        <w:ind w:firstLine="720"/>
        <w:divId w:val="276789493"/>
        <w:rPr>
          <w:sz w:val="20"/>
          <w:szCs w:val="20"/>
        </w:rPr>
      </w:pPr>
      <w:r>
        <w:rPr>
          <w:sz w:val="20"/>
          <w:szCs w:val="20"/>
        </w:rPr>
        <w:t>​</w:t>
      </w:r>
    </w:p>
    <w:p w14:paraId="7DA094E0" w14:textId="77777777" w:rsidR="00000000" w:rsidRDefault="001F1B20">
      <w:pPr>
        <w:pStyle w:val="a3"/>
        <w:spacing w:before="0" w:beforeAutospacing="0" w:after="0" w:afterAutospacing="0"/>
        <w:ind w:firstLine="720"/>
        <w:divId w:val="276789493"/>
        <w:rPr>
          <w:sz w:val="20"/>
          <w:szCs w:val="20"/>
        </w:rPr>
      </w:pPr>
      <w:r>
        <w:rPr>
          <w:sz w:val="20"/>
          <w:szCs w:val="20"/>
        </w:rPr>
        <w:t>In pursuit of its purpose, we leverage decades of respiratory expertise to discover and develop tra</w:t>
      </w:r>
      <w:r>
        <w:rPr>
          <w:sz w:val="20"/>
          <w:szCs w:val="20"/>
        </w:rPr>
        <w:t>nsformational medicines that make a difference. These efforts have led to the development of FDA-approved YUPELR</w:t>
      </w:r>
      <w:r>
        <w:rPr>
          <w:sz w:val="20"/>
          <w:szCs w:val="20"/>
        </w:rPr>
        <w:t>I</w:t>
      </w:r>
      <w:r>
        <w:rPr>
          <w:sz w:val="15"/>
          <w:szCs w:val="15"/>
          <w:vertAlign w:val="superscript"/>
        </w:rPr>
        <w:t>®</w:t>
      </w:r>
      <w:r>
        <w:rPr>
          <w:sz w:val="20"/>
          <w:szCs w:val="20"/>
        </w:rPr>
        <w:t xml:space="preserve"> (revefenacin) inhalation solution indicated for the maintenance treatment of patients with chronic obstructive pulmonary disease (“COPD”). Ou</w:t>
      </w:r>
      <w:r>
        <w:rPr>
          <w:sz w:val="20"/>
          <w:szCs w:val="20"/>
        </w:rPr>
        <w:t>r respiratory pipeline of internally discovered programs is targeted to address significant patient respiratory needs.</w:t>
      </w:r>
    </w:p>
    <w:p w14:paraId="147C4625" w14:textId="77777777" w:rsidR="00000000" w:rsidRDefault="001F1B20">
      <w:pPr>
        <w:pStyle w:val="a3"/>
        <w:spacing w:before="0" w:beforeAutospacing="0" w:after="0" w:afterAutospacing="0"/>
        <w:divId w:val="276789493"/>
        <w:rPr>
          <w:sz w:val="20"/>
          <w:szCs w:val="20"/>
        </w:rPr>
      </w:pPr>
      <w:r>
        <w:rPr>
          <w:sz w:val="20"/>
          <w:szCs w:val="20"/>
        </w:rPr>
        <w:t>​</w:t>
      </w:r>
    </w:p>
    <w:p w14:paraId="7E9BBB26" w14:textId="77777777" w:rsidR="00000000" w:rsidRDefault="001F1B20">
      <w:pPr>
        <w:pStyle w:val="a3"/>
        <w:spacing w:before="0" w:beforeAutospacing="0" w:after="0" w:afterAutospacing="0"/>
        <w:ind w:firstLine="720"/>
        <w:divId w:val="276789493"/>
        <w:rPr>
          <w:sz w:val="20"/>
          <w:szCs w:val="20"/>
        </w:rPr>
      </w:pPr>
      <w:r>
        <w:rPr>
          <w:sz w:val="20"/>
          <w:szCs w:val="20"/>
        </w:rPr>
        <w:t xml:space="preserve">We have an economic interest in potential future payments from Glaxo Group or one of its affiliates (“GSK”) pursuant to our agreements </w:t>
      </w:r>
      <w:r>
        <w:rPr>
          <w:sz w:val="20"/>
          <w:szCs w:val="20"/>
        </w:rPr>
        <w:t>with Innoviva, Inc. (“Innoviva”) relating to certain programs, including TRELEGY.</w:t>
      </w:r>
    </w:p>
    <w:p w14:paraId="3767AC79" w14:textId="77777777" w:rsidR="00000000" w:rsidRDefault="001F1B20">
      <w:pPr>
        <w:pStyle w:val="a3"/>
        <w:spacing w:before="0" w:beforeAutospacing="0" w:after="0" w:afterAutospacing="0"/>
        <w:divId w:val="276789493"/>
        <w:rPr>
          <w:sz w:val="20"/>
          <w:szCs w:val="20"/>
        </w:rPr>
      </w:pPr>
      <w:r>
        <w:rPr>
          <w:sz w:val="20"/>
          <w:szCs w:val="20"/>
        </w:rPr>
        <w:t>​</w:t>
      </w:r>
    </w:p>
    <w:p w14:paraId="1F50679D" w14:textId="77777777" w:rsidR="00000000" w:rsidRDefault="001F1B20">
      <w:pPr>
        <w:pStyle w:val="a3"/>
        <w:spacing w:before="0" w:beforeAutospacing="0" w:after="0" w:afterAutospacing="0"/>
        <w:divId w:val="276789493"/>
        <w:rPr>
          <w:sz w:val="20"/>
          <w:szCs w:val="20"/>
        </w:rPr>
      </w:pPr>
      <w:r>
        <w:rPr>
          <w:b/>
          <w:bCs/>
          <w:sz w:val="20"/>
          <w:szCs w:val="20"/>
        </w:rPr>
        <w:t>Strategic Actions to Focus on Respiratory Diseases</w:t>
      </w:r>
    </w:p>
    <w:p w14:paraId="6AA3BAB7" w14:textId="77777777" w:rsidR="00000000" w:rsidRDefault="001F1B20">
      <w:pPr>
        <w:pStyle w:val="a3"/>
        <w:spacing w:before="0" w:beforeAutospacing="0" w:after="0" w:afterAutospacing="0"/>
        <w:divId w:val="276789493"/>
        <w:rPr>
          <w:sz w:val="20"/>
          <w:szCs w:val="20"/>
        </w:rPr>
      </w:pPr>
      <w:r>
        <w:rPr>
          <w:sz w:val="20"/>
          <w:szCs w:val="20"/>
        </w:rPr>
        <w:t>​</w:t>
      </w:r>
    </w:p>
    <w:p w14:paraId="263EDFAA" w14:textId="77777777" w:rsidR="00000000" w:rsidRDefault="001F1B20">
      <w:pPr>
        <w:pStyle w:val="a3"/>
        <w:spacing w:before="0" w:beforeAutospacing="0" w:after="0" w:afterAutospacing="0"/>
        <w:ind w:firstLine="720"/>
        <w:divId w:val="276789493"/>
        <w:rPr>
          <w:sz w:val="20"/>
          <w:szCs w:val="20"/>
        </w:rPr>
      </w:pPr>
      <w:r>
        <w:rPr>
          <w:sz w:val="20"/>
          <w:szCs w:val="20"/>
        </w:rPr>
        <w:t xml:space="preserve">Given recent clinical results from our late-stage development programs which are further discussed in the </w:t>
      </w:r>
      <w:r>
        <w:rPr>
          <w:i/>
          <w:iCs/>
          <w:sz w:val="20"/>
          <w:szCs w:val="20"/>
        </w:rPr>
        <w:t>Non-Respirato</w:t>
      </w:r>
      <w:r>
        <w:rPr>
          <w:i/>
          <w:iCs/>
          <w:sz w:val="20"/>
          <w:szCs w:val="20"/>
        </w:rPr>
        <w:t>ry Program Highlights</w:t>
      </w:r>
      <w:r>
        <w:rPr>
          <w:sz w:val="20"/>
          <w:szCs w:val="20"/>
        </w:rPr>
        <w:t xml:space="preserve"> section below, in September 2021, our board of directors approved a plan to focus our resources on our most promising respiratory programs and reduce the size of the Company in order to maximize shareholder value. The corporate restru</w:t>
      </w:r>
      <w:r>
        <w:rPr>
          <w:sz w:val="20"/>
          <w:szCs w:val="20"/>
        </w:rPr>
        <w:t>cturing (the “Restructuring”) will result in us reducing headcount by approximately 75%, an estimated 270 positions, through a reduction in our workforce. Approximately 75% of the total reduction in force will take place by November 2021, and the remainder</w:t>
      </w:r>
      <w:r>
        <w:rPr>
          <w:sz w:val="20"/>
          <w:szCs w:val="20"/>
        </w:rPr>
        <w:t xml:space="preserve"> will be completed in February 2022. </w:t>
      </w:r>
    </w:p>
    <w:p w14:paraId="551746C9" w14:textId="77777777" w:rsidR="00000000" w:rsidRDefault="001F1B20">
      <w:pPr>
        <w:pStyle w:val="a3"/>
        <w:spacing w:before="0" w:beforeAutospacing="0" w:after="0" w:afterAutospacing="0"/>
        <w:divId w:val="276789493"/>
        <w:rPr>
          <w:sz w:val="20"/>
          <w:szCs w:val="20"/>
        </w:rPr>
      </w:pPr>
      <w:r>
        <w:rPr>
          <w:sz w:val="20"/>
          <w:szCs w:val="20"/>
        </w:rPr>
        <w:t>​</w:t>
      </w:r>
    </w:p>
    <w:p w14:paraId="7903788A" w14:textId="77777777" w:rsidR="00000000" w:rsidRDefault="001F1B20">
      <w:pPr>
        <w:pStyle w:val="a3"/>
        <w:spacing w:before="0" w:beforeAutospacing="0" w:after="0" w:afterAutospacing="0"/>
        <w:ind w:firstLine="720"/>
        <w:divId w:val="276789493"/>
        <w:rPr>
          <w:sz w:val="20"/>
          <w:szCs w:val="20"/>
        </w:rPr>
      </w:pPr>
      <w:r>
        <w:rPr>
          <w:sz w:val="20"/>
          <w:szCs w:val="20"/>
        </w:rPr>
        <w:t>As a result of the Restructuring, we expect to realize estimated annualized operating expense savings of approximately $165.0 million in the year ending December 31, 2022 (excluding share-based compensation and any one-time costs related to strategic actio</w:t>
      </w:r>
      <w:r>
        <w:rPr>
          <w:sz w:val="20"/>
          <w:szCs w:val="20"/>
        </w:rPr>
        <w:t>ns), and we estimate that we will incur cash</w:t>
      </w:r>
      <w:r>
        <w:rPr>
          <w:b/>
          <w:bCs/>
          <w:sz w:val="20"/>
          <w:szCs w:val="20"/>
        </w:rPr>
        <w:t xml:space="preserve"> </w:t>
      </w:r>
      <w:r>
        <w:rPr>
          <w:sz w:val="20"/>
          <w:szCs w:val="20"/>
        </w:rPr>
        <w:t>expenses of approximately</w:t>
      </w:r>
      <w:r>
        <w:rPr>
          <w:b/>
          <w:bCs/>
          <w:sz w:val="20"/>
          <w:szCs w:val="20"/>
        </w:rPr>
        <w:t xml:space="preserve"> </w:t>
      </w:r>
      <w:r>
        <w:rPr>
          <w:sz w:val="20"/>
          <w:szCs w:val="20"/>
        </w:rPr>
        <w:t xml:space="preserve">$18.0 million to $20.0 million related to the Restructuring. The majority of the Restructuring expenses will be incurred by the first quarter of 2022 </w:t>
      </w:r>
      <w:r>
        <w:rPr>
          <w:sz w:val="20"/>
          <w:szCs w:val="20"/>
          <w:shd w:val="clear" w:color="auto" w:fill="FFFFFF"/>
        </w:rPr>
        <w:t>and are primarily comprised of seve</w:t>
      </w:r>
      <w:r>
        <w:rPr>
          <w:sz w:val="20"/>
          <w:szCs w:val="20"/>
          <w:shd w:val="clear" w:color="auto" w:fill="FFFFFF"/>
        </w:rPr>
        <w:t>rance and other related costs</w:t>
      </w:r>
      <w:r>
        <w:rPr>
          <w:sz w:val="20"/>
          <w:szCs w:val="20"/>
        </w:rPr>
        <w:t>. These estimates are subject to a number of assumptions, and actual amounts may differ. We may also incur additional costs not currently contemplated due to events that may occur as a result of, or that are associated with, th</w:t>
      </w:r>
      <w:r>
        <w:rPr>
          <w:sz w:val="20"/>
          <w:szCs w:val="20"/>
        </w:rPr>
        <w:t xml:space="preserve">e Restructuring. </w:t>
      </w:r>
    </w:p>
    <w:p w14:paraId="15343913" w14:textId="77777777" w:rsidR="00000000" w:rsidRDefault="001F1B20">
      <w:pPr>
        <w:pStyle w:val="a3"/>
        <w:spacing w:before="0" w:beforeAutospacing="0" w:after="0" w:afterAutospacing="0"/>
        <w:ind w:firstLine="720"/>
        <w:divId w:val="276789493"/>
        <w:rPr>
          <w:sz w:val="20"/>
          <w:szCs w:val="20"/>
        </w:rPr>
      </w:pPr>
      <w:r>
        <w:rPr>
          <w:sz w:val="20"/>
          <w:szCs w:val="20"/>
        </w:rPr>
        <w:t>​</w:t>
      </w:r>
    </w:p>
    <w:p w14:paraId="0F7E59F5" w14:textId="77777777" w:rsidR="00000000" w:rsidRDefault="001F1B20">
      <w:pPr>
        <w:pStyle w:val="a3"/>
        <w:spacing w:before="0" w:beforeAutospacing="0" w:after="0" w:afterAutospacing="0"/>
        <w:ind w:firstLine="720"/>
        <w:divId w:val="276789493"/>
        <w:rPr>
          <w:sz w:val="20"/>
          <w:szCs w:val="20"/>
        </w:rPr>
      </w:pPr>
      <w:r>
        <w:rPr>
          <w:sz w:val="20"/>
          <w:szCs w:val="20"/>
        </w:rPr>
        <w:t xml:space="preserve">The go-forward organization will leverage our expertise in developing and commercializing respiratory therapeutics. We intend to significantly narrow our R&amp;D focus on our core respiratory assets, including a clinical study with Viatris </w:t>
      </w:r>
      <w:r>
        <w:rPr>
          <w:sz w:val="20"/>
          <w:szCs w:val="20"/>
        </w:rPr>
        <w:t>Inc. (“Viatris”) intended to provide data to support a possible label update for YUPELRI, which would capture more of YUPELRI’s addressable market and further strengthen its competitive advantage, and investment in our inhaled Janus kinase inhibitor portfo</w:t>
      </w:r>
      <w:r>
        <w:rPr>
          <w:sz w:val="20"/>
          <w:szCs w:val="20"/>
        </w:rPr>
        <w:t xml:space="preserve">lio, with focus on our most advanced clinical candidate, nezulcitinib, initially targeting acute lung injury. We will also continue to explore strategic partnerships for both core and non-core assets to unlock value. All of these actions drive towards our </w:t>
      </w:r>
      <w:r>
        <w:rPr>
          <w:sz w:val="20"/>
          <w:szCs w:val="20"/>
        </w:rPr>
        <w:t>goal to maximize shareholder value.</w:t>
      </w:r>
    </w:p>
    <w:p w14:paraId="7D4DCD7D" w14:textId="77777777" w:rsidR="00000000" w:rsidRDefault="001F1B20">
      <w:pPr>
        <w:pStyle w:val="a3"/>
        <w:spacing w:before="0" w:beforeAutospacing="0" w:after="0" w:afterAutospacing="0"/>
        <w:ind w:firstLine="720"/>
        <w:divId w:val="276789493"/>
        <w:rPr>
          <w:sz w:val="20"/>
          <w:szCs w:val="20"/>
        </w:rPr>
      </w:pPr>
      <w:r>
        <w:rPr>
          <w:sz w:val="20"/>
          <w:szCs w:val="20"/>
        </w:rPr>
        <w:t>​</w:t>
      </w:r>
    </w:p>
    <w:p w14:paraId="2CD12B2C" w14:textId="77777777" w:rsidR="00000000" w:rsidRDefault="001F1B20">
      <w:pPr>
        <w:pStyle w:val="a3"/>
        <w:spacing w:before="0" w:beforeAutospacing="0" w:after="0" w:afterAutospacing="0"/>
        <w:ind w:firstLine="720"/>
        <w:divId w:val="276789493"/>
        <w:rPr>
          <w:sz w:val="20"/>
          <w:szCs w:val="20"/>
        </w:rPr>
      </w:pPr>
      <w:r>
        <w:rPr>
          <w:sz w:val="20"/>
          <w:szCs w:val="20"/>
        </w:rPr>
        <w:t>By implementing these strategic actions, we expect the Company to become sustainably cash flow positive beginning in the second half of 2022, and as our financial flexibility increases, we will work to optimize our cap</w:t>
      </w:r>
      <w:r>
        <w:rPr>
          <w:sz w:val="20"/>
          <w:szCs w:val="20"/>
        </w:rPr>
        <w:t>ital structure in order to maximize total shareholder returns.</w:t>
      </w:r>
      <w:r>
        <w:rPr>
          <w:sz w:val="20"/>
          <w:szCs w:val="20"/>
        </w:rPr>
        <w:t xml:space="preserve"> </w:t>
      </w:r>
    </w:p>
    <w:p w14:paraId="6F720D13" w14:textId="77777777" w:rsidR="00000000" w:rsidRDefault="001F1B20">
      <w:pPr>
        <w:pStyle w:val="a3"/>
        <w:spacing w:before="0" w:beforeAutospacing="0" w:after="0" w:afterAutospacing="0"/>
        <w:ind w:firstLine="720"/>
        <w:divId w:val="276789493"/>
        <w:rPr>
          <w:sz w:val="20"/>
          <w:szCs w:val="20"/>
        </w:rPr>
      </w:pPr>
      <w:r>
        <w:rPr>
          <w:sz w:val="20"/>
          <w:szCs w:val="20"/>
        </w:rPr>
        <w:t>​</w:t>
      </w:r>
    </w:p>
    <w:p w14:paraId="056C86CB" w14:textId="77777777" w:rsidR="00000000" w:rsidRDefault="001F1B20">
      <w:pPr>
        <w:pStyle w:val="a3"/>
        <w:spacing w:before="0" w:beforeAutospacing="0" w:after="0" w:afterAutospacing="0"/>
        <w:divId w:val="276789493"/>
        <w:rPr>
          <w:sz w:val="20"/>
          <w:szCs w:val="20"/>
        </w:rPr>
      </w:pPr>
      <w:r>
        <w:rPr>
          <w:b/>
          <w:bCs/>
          <w:sz w:val="20"/>
          <w:szCs w:val="20"/>
        </w:rPr>
        <w:t>Impact of COVID-19 Pandemic</w:t>
      </w:r>
    </w:p>
    <w:p w14:paraId="2F7BDB03" w14:textId="77777777" w:rsidR="00000000" w:rsidRDefault="001F1B20">
      <w:pPr>
        <w:pStyle w:val="a3"/>
        <w:spacing w:before="0" w:beforeAutospacing="0" w:after="0" w:afterAutospacing="0"/>
        <w:divId w:val="276789493"/>
        <w:rPr>
          <w:sz w:val="20"/>
          <w:szCs w:val="20"/>
        </w:rPr>
      </w:pPr>
      <w:r>
        <w:rPr>
          <w:sz w:val="20"/>
          <w:szCs w:val="20"/>
        </w:rPr>
        <w:t>​</w:t>
      </w:r>
    </w:p>
    <w:p w14:paraId="3D8DBD95" w14:textId="77777777" w:rsidR="00000000" w:rsidRDefault="001F1B20">
      <w:pPr>
        <w:pStyle w:val="a3"/>
        <w:spacing w:before="0" w:beforeAutospacing="0" w:after="0" w:afterAutospacing="0"/>
        <w:ind w:firstLine="720"/>
        <w:divId w:val="276789493"/>
        <w:rPr>
          <w:sz w:val="20"/>
          <w:szCs w:val="20"/>
        </w:rPr>
      </w:pPr>
      <w:r>
        <w:rPr>
          <w:sz w:val="20"/>
          <w:szCs w:val="20"/>
        </w:rPr>
        <w:t xml:space="preserve">The effects of the COVID-19 pandemic and the related actions by governments, companies, and individuals around the world in an attempt to contain the spread of </w:t>
      </w:r>
      <w:r>
        <w:rPr>
          <w:sz w:val="20"/>
          <w:szCs w:val="20"/>
        </w:rPr>
        <w:t xml:space="preserve">the virus </w:t>
      </w:r>
      <w:r>
        <w:rPr>
          <w:sz w:val="20"/>
          <w:szCs w:val="20"/>
          <w:shd w:val="clear" w:color="auto" w:fill="FFFFFF"/>
        </w:rPr>
        <w:t xml:space="preserve">(including new variants of COVID-19) </w:t>
      </w:r>
      <w:r>
        <w:rPr>
          <w:sz w:val="20"/>
          <w:szCs w:val="20"/>
        </w:rPr>
        <w:t>continue to present a substantial public health and economic challenge and are affecting our employees, patients, communities, clinical trial sites, suppliers, business partners and business operations. The fu</w:t>
      </w:r>
      <w:r>
        <w:rPr>
          <w:sz w:val="20"/>
          <w:szCs w:val="20"/>
        </w:rPr>
        <w:t>ll extent to which the COVID-19 pandemic will continue to directly or indirectly impact our business, results of operations and financial condition, including revenue, expenses, clinical trials and research and development costs, will depend on future deve</w:t>
      </w:r>
      <w:r>
        <w:rPr>
          <w:sz w:val="20"/>
          <w:szCs w:val="20"/>
        </w:rPr>
        <w:t>lopments that are highly uncertain and may be impacted by the emergence of new information concerning the COVID-19 pandemic, ongoing spread of the disease across the US and the globe, and the actions taken to contain or treat the disease, including vaccine</w:t>
      </w:r>
      <w:r>
        <w:rPr>
          <w:sz w:val="20"/>
          <w:szCs w:val="20"/>
        </w:rPr>
        <w:t xml:space="preserve"> availability, distribution, acceptance and effectiveness.</w:t>
      </w:r>
    </w:p>
    <w:p w14:paraId="01AEDF84" w14:textId="77777777" w:rsidR="00000000" w:rsidRDefault="001F1B20">
      <w:pPr>
        <w:pStyle w:val="a3"/>
        <w:spacing w:before="0" w:beforeAutospacing="0" w:after="0" w:afterAutospacing="0"/>
        <w:divId w:val="276789493"/>
        <w:rPr>
          <w:sz w:val="20"/>
          <w:szCs w:val="20"/>
        </w:rPr>
      </w:pPr>
      <w:r>
        <w:rPr>
          <w:sz w:val="20"/>
          <w:szCs w:val="20"/>
        </w:rPr>
        <w:t>​</w:t>
      </w:r>
    </w:p>
    <w:p w14:paraId="2CC16B06" w14:textId="77777777" w:rsidR="00000000" w:rsidRDefault="001F1B20">
      <w:pPr>
        <w:pStyle w:val="a3"/>
        <w:spacing w:before="0" w:beforeAutospacing="0" w:after="0" w:afterAutospacing="0"/>
        <w:ind w:firstLine="720"/>
        <w:divId w:val="276789493"/>
        <w:rPr>
          <w:sz w:val="20"/>
          <w:szCs w:val="20"/>
        </w:rPr>
      </w:pPr>
      <w:r>
        <w:rPr>
          <w:sz w:val="20"/>
          <w:szCs w:val="20"/>
        </w:rPr>
        <w:t xml:space="preserve">As part of our response to the ongoing COVID-19 pandemic, we have taken steps to identify and mitigate the adverse impacts on, and risks to, our business posed by its spread and actions taken by </w:t>
      </w:r>
      <w:r>
        <w:rPr>
          <w:sz w:val="20"/>
          <w:szCs w:val="20"/>
        </w:rPr>
        <w:t xml:space="preserve">governmental and health authorities to address the COVID-19 pandemic. The threat of COVID-19 has caused us to modify our business practices, including </w:t>
      </w:r>
    </w:p>
    <w:p w14:paraId="13339522" w14:textId="77777777" w:rsidR="00000000" w:rsidRDefault="001F1B20">
      <w:pPr>
        <w:pStyle w:val="a3"/>
        <w:spacing w:before="360" w:beforeAutospacing="0" w:after="0" w:afterAutospacing="0"/>
        <w:jc w:val="center"/>
        <w:divId w:val="10229179"/>
        <w:rPr>
          <w:sz w:val="20"/>
          <w:szCs w:val="20"/>
        </w:rPr>
      </w:pPr>
      <w:r>
        <w:rPr>
          <w:sz w:val="20"/>
          <w:szCs w:val="20"/>
        </w:rPr>
        <w:t>20</w:t>
      </w:r>
    </w:p>
    <w:p w14:paraId="3CECFC90" w14:textId="77777777" w:rsidR="00000000" w:rsidRDefault="001F1B20">
      <w:pPr>
        <w:pStyle w:val="a3"/>
        <w:spacing w:before="0" w:beforeAutospacing="0" w:after="600" w:afterAutospacing="0"/>
        <w:divId w:val="1496413657"/>
        <w:rPr>
          <w:sz w:val="20"/>
          <w:szCs w:val="20"/>
        </w:rPr>
      </w:pPr>
      <w:hyperlink w:anchor="TOC" w:history="1">
        <w:r>
          <w:rPr>
            <w:rStyle w:val="a4"/>
            <w:sz w:val="20"/>
            <w:szCs w:val="20"/>
          </w:rPr>
          <w:t>Table of Contents</w:t>
        </w:r>
      </w:hyperlink>
    </w:p>
    <w:p w14:paraId="6AA1F787" w14:textId="77777777" w:rsidR="00000000" w:rsidRDefault="001F1B20">
      <w:pPr>
        <w:pStyle w:val="a3"/>
        <w:spacing w:before="0" w:beforeAutospacing="0" w:after="0" w:afterAutospacing="0"/>
        <w:divId w:val="1015378708"/>
        <w:rPr>
          <w:sz w:val="20"/>
          <w:szCs w:val="20"/>
        </w:rPr>
      </w:pPr>
      <w:r>
        <w:rPr>
          <w:sz w:val="20"/>
          <w:szCs w:val="20"/>
        </w:rPr>
        <w:t>implementing a work from home policy for all employees, w</w:t>
      </w:r>
      <w:r>
        <w:rPr>
          <w:sz w:val="20"/>
          <w:szCs w:val="20"/>
        </w:rPr>
        <w:t>ith the exception of key operations and lab personnel, since early March 2020. We have limited non-essential business travel, and we expect to continue to implement measures as may be required or recommended by government authorities or as we determine are</w:t>
      </w:r>
      <w:r>
        <w:rPr>
          <w:sz w:val="20"/>
          <w:szCs w:val="20"/>
        </w:rPr>
        <w:t xml:space="preserve"> in the best interests of our employees, clinical trial sites and participants, the patients we serve, and other stakeholders in light of COVID-19.</w:t>
      </w:r>
    </w:p>
    <w:p w14:paraId="62A1E05D" w14:textId="77777777" w:rsidR="00000000" w:rsidRDefault="001F1B20">
      <w:pPr>
        <w:pStyle w:val="a3"/>
        <w:spacing w:before="0" w:beforeAutospacing="0" w:after="0" w:afterAutospacing="0"/>
        <w:divId w:val="1015378708"/>
        <w:rPr>
          <w:sz w:val="20"/>
          <w:szCs w:val="20"/>
        </w:rPr>
      </w:pPr>
      <w:r>
        <w:rPr>
          <w:sz w:val="20"/>
          <w:szCs w:val="20"/>
        </w:rPr>
        <w:t>​</w:t>
      </w:r>
    </w:p>
    <w:p w14:paraId="77294652" w14:textId="77777777" w:rsidR="00000000" w:rsidRDefault="001F1B20">
      <w:pPr>
        <w:pStyle w:val="a3"/>
        <w:spacing w:before="0" w:beforeAutospacing="0" w:after="0" w:afterAutospacing="0"/>
        <w:divId w:val="1015378708"/>
        <w:rPr>
          <w:sz w:val="20"/>
          <w:szCs w:val="20"/>
        </w:rPr>
      </w:pPr>
      <w:r>
        <w:rPr>
          <w:b/>
          <w:bCs/>
          <w:sz w:val="20"/>
          <w:szCs w:val="20"/>
        </w:rPr>
        <w:t>Respiratory Program Highlights</w:t>
      </w:r>
    </w:p>
    <w:p w14:paraId="057B9F45" w14:textId="77777777" w:rsidR="00000000" w:rsidRDefault="001F1B20">
      <w:pPr>
        <w:pStyle w:val="a3"/>
        <w:spacing w:before="0" w:beforeAutospacing="0" w:after="0" w:afterAutospacing="0"/>
        <w:divId w:val="1015378708"/>
        <w:rPr>
          <w:sz w:val="20"/>
          <w:szCs w:val="20"/>
        </w:rPr>
      </w:pPr>
      <w:r>
        <w:rPr>
          <w:b/>
          <w:bCs/>
          <w:i/>
          <w:iCs/>
          <w:sz w:val="20"/>
          <w:szCs w:val="20"/>
        </w:rPr>
        <w:t>​</w:t>
      </w:r>
    </w:p>
    <w:p w14:paraId="7299C7B2" w14:textId="77777777" w:rsidR="00000000" w:rsidRDefault="001F1B20">
      <w:pPr>
        <w:pStyle w:val="a3"/>
        <w:spacing w:before="0" w:beforeAutospacing="0" w:after="0" w:afterAutospacing="0"/>
        <w:ind w:hanging="200"/>
        <w:divId w:val="1015378708"/>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14:paraId="108EE942" w14:textId="77777777" w:rsidR="00000000" w:rsidRDefault="001F1B20">
      <w:pPr>
        <w:pStyle w:val="a3"/>
        <w:spacing w:before="0" w:beforeAutospacing="0" w:after="0" w:afterAutospacing="0"/>
        <w:divId w:val="1015378708"/>
        <w:rPr>
          <w:sz w:val="20"/>
          <w:szCs w:val="20"/>
        </w:rPr>
      </w:pPr>
      <w:r>
        <w:rPr>
          <w:sz w:val="20"/>
          <w:szCs w:val="20"/>
        </w:rPr>
        <w:t>​</w:t>
      </w:r>
    </w:p>
    <w:p w14:paraId="55974A8A" w14:textId="77777777" w:rsidR="00000000" w:rsidRDefault="001F1B20">
      <w:pPr>
        <w:pStyle w:val="a3"/>
        <w:spacing w:before="0" w:beforeAutospacing="0" w:after="0" w:afterAutospacing="0"/>
        <w:ind w:firstLine="720"/>
        <w:divId w:val="1015378708"/>
        <w:rPr>
          <w:sz w:val="20"/>
          <w:szCs w:val="20"/>
        </w:rPr>
      </w:pPr>
      <w:r>
        <w:rPr>
          <w:sz w:val="20"/>
          <w:szCs w:val="20"/>
        </w:rPr>
        <w:t>YUPELRI (revefenacin) inhalat</w:t>
      </w:r>
      <w:r>
        <w:rPr>
          <w:sz w:val="20"/>
          <w:szCs w:val="20"/>
        </w:rPr>
        <w:t>ion solution is a once-daily, nebulized long-acting muscarinic antagonist (“LAMA”) approved for the maintenance treatment of COPD in the US. LAMAs are recognized by international COPD treatment guidelines as a cornerstone of maintenance therapy for COPD, r</w:t>
      </w:r>
      <w:r>
        <w:rPr>
          <w:sz w:val="20"/>
          <w:szCs w:val="20"/>
        </w:rPr>
        <w:t xml:space="preserve">egardless of severity of disease. Our market research indicates there is an enduring population of COPD patients in the US that either need or prefer nebulized delivery for maintenance therapy. The stability of revefenacin in both metered dose inhaler and </w:t>
      </w:r>
      <w:r>
        <w:rPr>
          <w:sz w:val="20"/>
          <w:szCs w:val="20"/>
        </w:rPr>
        <w:t xml:space="preserve">dry powder inhaler (“MDI/DPI”) formulations suggests that revefenacin could also serve as a foundation for novel handheld combination products. </w:t>
      </w:r>
    </w:p>
    <w:p w14:paraId="28136780" w14:textId="77777777" w:rsidR="00000000" w:rsidRDefault="001F1B20">
      <w:pPr>
        <w:pStyle w:val="a3"/>
        <w:spacing w:before="0" w:beforeAutospacing="0" w:after="0" w:afterAutospacing="0"/>
        <w:ind w:firstLine="720"/>
        <w:divId w:val="1015378708"/>
        <w:rPr>
          <w:sz w:val="20"/>
          <w:szCs w:val="20"/>
        </w:rPr>
      </w:pPr>
      <w:r>
        <w:rPr>
          <w:sz w:val="20"/>
          <w:szCs w:val="20"/>
        </w:rPr>
        <w:t>​</w:t>
      </w:r>
    </w:p>
    <w:p w14:paraId="0B766B66" w14:textId="77777777" w:rsidR="00000000" w:rsidRDefault="001F1B20">
      <w:pPr>
        <w:pStyle w:val="a3"/>
        <w:spacing w:before="0" w:beforeAutospacing="0" w:after="0" w:afterAutospacing="0"/>
        <w:ind w:firstLine="720"/>
        <w:divId w:val="1015378708"/>
        <w:rPr>
          <w:sz w:val="20"/>
          <w:szCs w:val="20"/>
        </w:rPr>
      </w:pPr>
      <w:r>
        <w:rPr>
          <w:sz w:val="20"/>
          <w:szCs w:val="20"/>
        </w:rPr>
        <w:t>In November 2018, YUPELRI was approved by the FDA for the maintenance treatment of patients with COPD. Follow</w:t>
      </w:r>
      <w:r>
        <w:rPr>
          <w:sz w:val="20"/>
          <w:szCs w:val="20"/>
        </w:rPr>
        <w:t>ing shipments into commercial channel in late 2018, we and our collaboration partner, Viatris formally launched our sales and marketing efforts in early 2019. YUPELRI has maintained profitability on a brand basis since the second half of 2020. However, YUP</w:t>
      </w:r>
      <w:r>
        <w:rPr>
          <w:sz w:val="20"/>
          <w:szCs w:val="20"/>
        </w:rPr>
        <w:t xml:space="preserve">ELRI’s growth trajectory was impacted by the COVID-19 pandemic, and we continue to observe increased volatility in YUPELRI sales through 2021. We continue to monitor the impact of the ongoing COVID-19 pandemic on demand for YUPELRI, including the duration </w:t>
      </w:r>
      <w:r>
        <w:rPr>
          <w:sz w:val="20"/>
          <w:szCs w:val="20"/>
        </w:rPr>
        <w:t>and degree to which we may see declines in customer orders or delays in starting new patients on YUPELRI. At this time, we are unable to predict with certainty the ultimate disruptive impact of the ongoing COVID-19 pandemic on YUPELRI, but it is possible t</w:t>
      </w:r>
      <w:r>
        <w:rPr>
          <w:sz w:val="20"/>
          <w:szCs w:val="20"/>
        </w:rPr>
        <w:t xml:space="preserve">he pandemic may continue to put downward pressure on our sales. As a result, the observed sales volatility may continue for the remainder of 2021 and into 2022. </w:t>
      </w:r>
    </w:p>
    <w:p w14:paraId="5902EFFC" w14:textId="77777777" w:rsidR="00000000" w:rsidRDefault="001F1B20">
      <w:pPr>
        <w:pStyle w:val="a3"/>
        <w:spacing w:before="0" w:beforeAutospacing="0" w:after="0" w:afterAutospacing="0"/>
        <w:ind w:firstLine="720"/>
        <w:divId w:val="1015378708"/>
        <w:rPr>
          <w:sz w:val="20"/>
          <w:szCs w:val="20"/>
        </w:rPr>
      </w:pPr>
      <w:r>
        <w:rPr>
          <w:sz w:val="20"/>
          <w:szCs w:val="20"/>
        </w:rPr>
        <w:t>​</w:t>
      </w:r>
    </w:p>
    <w:p w14:paraId="60BD7EC5" w14:textId="77777777" w:rsidR="00000000" w:rsidRDefault="001F1B20">
      <w:pPr>
        <w:pStyle w:val="a3"/>
        <w:spacing w:before="0" w:beforeAutospacing="0" w:after="0" w:afterAutospacing="0"/>
        <w:ind w:firstLine="720"/>
        <w:divId w:val="1015378708"/>
        <w:rPr>
          <w:sz w:val="20"/>
          <w:szCs w:val="20"/>
        </w:rPr>
      </w:pPr>
      <w:r>
        <w:rPr>
          <w:sz w:val="20"/>
          <w:szCs w:val="20"/>
        </w:rPr>
        <w:t xml:space="preserve">We and Viatris continue to supply YUPELRI to our patients and currently do not anticipate any interruptions in supply. In addition, we are tracking several key performance metrics to gauge success in building market acceptance, including formulary success </w:t>
      </w:r>
      <w:r>
        <w:rPr>
          <w:sz w:val="20"/>
          <w:szCs w:val="20"/>
        </w:rPr>
        <w:t xml:space="preserve">and market access. </w:t>
      </w:r>
    </w:p>
    <w:p w14:paraId="60B53ECE" w14:textId="77777777" w:rsidR="00000000" w:rsidRDefault="001F1B20">
      <w:pPr>
        <w:pStyle w:val="a3"/>
        <w:spacing w:before="0" w:beforeAutospacing="0" w:after="0" w:afterAutospacing="0"/>
        <w:ind w:firstLine="720"/>
        <w:divId w:val="1015378708"/>
        <w:rPr>
          <w:sz w:val="20"/>
          <w:szCs w:val="20"/>
        </w:rPr>
      </w:pPr>
      <w:r>
        <w:rPr>
          <w:sz w:val="20"/>
          <w:szCs w:val="20"/>
        </w:rPr>
        <w:t>​</w:t>
      </w:r>
    </w:p>
    <w:p w14:paraId="24374C9D" w14:textId="77777777" w:rsidR="00000000" w:rsidRDefault="001F1B20">
      <w:pPr>
        <w:pStyle w:val="a3"/>
        <w:spacing w:before="0" w:beforeAutospacing="0" w:after="0" w:afterAutospacing="0"/>
        <w:ind w:firstLine="720"/>
        <w:divId w:val="1015378708"/>
        <w:rPr>
          <w:sz w:val="20"/>
          <w:szCs w:val="20"/>
        </w:rPr>
      </w:pPr>
      <w:r>
        <w:rPr>
          <w:sz w:val="20"/>
          <w:szCs w:val="20"/>
        </w:rPr>
        <w:t>In August 2021, we announced that in collaboration with our partner Viatris, we are initiating a Phase 4 study comparing improvements in lung function in adults with severe to very severe COPD and suboptimal inspiratory flow rate foll</w:t>
      </w:r>
      <w:r>
        <w:rPr>
          <w:sz w:val="20"/>
          <w:szCs w:val="20"/>
        </w:rPr>
        <w:t>owing once-daily treatment with either YUPELRI delivered via standard jet nebulizer or tiotropium delivered via a dry powder inhaler (Spiriv</w:t>
      </w:r>
      <w:r>
        <w:rPr>
          <w:sz w:val="20"/>
          <w:szCs w:val="20"/>
        </w:rPr>
        <w:t>a</w:t>
      </w:r>
      <w:r>
        <w:rPr>
          <w:sz w:val="15"/>
          <w:szCs w:val="15"/>
          <w:vertAlign w:val="superscript"/>
        </w:rPr>
        <w:t>®</w:t>
      </w:r>
      <w:r>
        <w:rPr>
          <w:sz w:val="20"/>
          <w:szCs w:val="20"/>
        </w:rPr>
        <w:t xml:space="preserve"> HandiHale</w:t>
      </w:r>
      <w:r>
        <w:rPr>
          <w:sz w:val="20"/>
          <w:szCs w:val="20"/>
        </w:rPr>
        <w:t>r</w:t>
      </w:r>
      <w:r>
        <w:rPr>
          <w:sz w:val="15"/>
          <w:szCs w:val="15"/>
          <w:vertAlign w:val="superscript"/>
        </w:rPr>
        <w:t>®</w:t>
      </w:r>
      <w:r>
        <w:rPr>
          <w:sz w:val="20"/>
          <w:szCs w:val="20"/>
        </w:rPr>
        <w:t>). This study is aimed at helping to better inform decisions when physicians are designing a personali</w:t>
      </w:r>
      <w:r>
        <w:rPr>
          <w:sz w:val="20"/>
          <w:szCs w:val="20"/>
        </w:rPr>
        <w:t>zed COPD treatment plan with patients and is intended to support a possible label update for YUPELRI, which would capture more of YUPELRI’s addressable market and further strengthen its competitive advantage. We expect the study to</w:t>
      </w:r>
      <w:r>
        <w:rPr>
          <w:color w:val="FF0000"/>
          <w:sz w:val="20"/>
          <w:szCs w:val="20"/>
        </w:rPr>
        <w:t xml:space="preserve"> </w:t>
      </w:r>
      <w:r>
        <w:rPr>
          <w:sz w:val="20"/>
          <w:szCs w:val="20"/>
        </w:rPr>
        <w:t xml:space="preserve">initiate in December or </w:t>
      </w:r>
      <w:r>
        <w:rPr>
          <w:sz w:val="20"/>
          <w:szCs w:val="20"/>
        </w:rPr>
        <w:t>January 2022.</w:t>
      </w:r>
    </w:p>
    <w:p w14:paraId="7882EC76" w14:textId="77777777" w:rsidR="00000000" w:rsidRDefault="001F1B20">
      <w:pPr>
        <w:pStyle w:val="a3"/>
        <w:spacing w:before="0" w:beforeAutospacing="0" w:after="0" w:afterAutospacing="0"/>
        <w:ind w:firstLine="720"/>
        <w:divId w:val="1015378708"/>
        <w:rPr>
          <w:sz w:val="20"/>
          <w:szCs w:val="20"/>
        </w:rPr>
      </w:pPr>
      <w:r>
        <w:rPr>
          <w:sz w:val="20"/>
          <w:szCs w:val="20"/>
        </w:rPr>
        <w:t>​</w:t>
      </w:r>
    </w:p>
    <w:p w14:paraId="51B66B5E" w14:textId="77777777" w:rsidR="00000000" w:rsidRDefault="001F1B20">
      <w:pPr>
        <w:pStyle w:val="a3"/>
        <w:spacing w:before="0" w:beforeAutospacing="0" w:after="0" w:afterAutospacing="0"/>
        <w:divId w:val="1015378708"/>
        <w:rPr>
          <w:sz w:val="20"/>
          <w:szCs w:val="20"/>
        </w:rPr>
      </w:pPr>
      <w:r>
        <w:rPr>
          <w:i/>
          <w:iCs/>
          <w:sz w:val="20"/>
          <w:szCs w:val="20"/>
        </w:rPr>
        <w:t>Viatris Collaboration</w:t>
      </w:r>
    </w:p>
    <w:p w14:paraId="5E41E2C4" w14:textId="77777777" w:rsidR="00000000" w:rsidRDefault="001F1B20">
      <w:pPr>
        <w:pStyle w:val="a3"/>
        <w:spacing w:before="0" w:beforeAutospacing="0" w:after="0" w:afterAutospacing="0"/>
        <w:divId w:val="1015378708"/>
        <w:rPr>
          <w:sz w:val="20"/>
          <w:szCs w:val="20"/>
        </w:rPr>
      </w:pPr>
      <w:r>
        <w:rPr>
          <w:sz w:val="20"/>
          <w:szCs w:val="20"/>
        </w:rPr>
        <w:t>​</w:t>
      </w:r>
    </w:p>
    <w:p w14:paraId="20A56F71" w14:textId="77777777" w:rsidR="00000000" w:rsidRDefault="001F1B20">
      <w:pPr>
        <w:pStyle w:val="a3"/>
        <w:spacing w:before="0" w:beforeAutospacing="0" w:after="0" w:afterAutospacing="0"/>
        <w:ind w:firstLine="720"/>
        <w:divId w:val="1015378708"/>
        <w:rPr>
          <w:sz w:val="20"/>
          <w:szCs w:val="20"/>
        </w:rPr>
      </w:pPr>
      <w:r>
        <w:rPr>
          <w:sz w:val="20"/>
          <w:szCs w:val="20"/>
        </w:rPr>
        <w:t>In January 2015, we and Viatris established a strategic collaboration for the development and commercialization of revefenacin. Partnering with a leader in nebulized respiratory therapies enables us to expand the bre</w:t>
      </w:r>
      <w:r>
        <w:rPr>
          <w:sz w:val="20"/>
          <w:szCs w:val="20"/>
        </w:rPr>
        <w:t>adth of our revefenacin development program and extend our commercial reach beyond the acute care setting. Viatris funded the Phase 3 development program of YUPELRI, enabling us to advance other high value pipeline assets alongside YUPELRI.</w:t>
      </w:r>
    </w:p>
    <w:p w14:paraId="05B10DA8" w14:textId="77777777" w:rsidR="00000000" w:rsidRDefault="001F1B20">
      <w:pPr>
        <w:pStyle w:val="a3"/>
        <w:spacing w:before="0" w:beforeAutospacing="0" w:after="0" w:afterAutospacing="0"/>
        <w:divId w:val="1015378708"/>
        <w:rPr>
          <w:sz w:val="20"/>
          <w:szCs w:val="20"/>
        </w:rPr>
      </w:pPr>
      <w:r>
        <w:rPr>
          <w:sz w:val="20"/>
          <w:szCs w:val="20"/>
        </w:rPr>
        <w:t>​</w:t>
      </w:r>
    </w:p>
    <w:p w14:paraId="7465A412" w14:textId="77777777" w:rsidR="00000000" w:rsidRDefault="001F1B20">
      <w:pPr>
        <w:pStyle w:val="a3"/>
        <w:spacing w:before="0" w:beforeAutospacing="0" w:after="0" w:afterAutospacing="0"/>
        <w:ind w:firstLine="720"/>
        <w:divId w:val="1015378708"/>
        <w:rPr>
          <w:sz w:val="20"/>
          <w:szCs w:val="20"/>
        </w:rPr>
      </w:pPr>
      <w:r>
        <w:rPr>
          <w:sz w:val="20"/>
          <w:szCs w:val="20"/>
        </w:rPr>
        <w:t>Under the ter</w:t>
      </w:r>
      <w:r>
        <w:rPr>
          <w:sz w:val="20"/>
          <w:szCs w:val="20"/>
        </w:rPr>
        <w:t>ms of the Viatris Development and Commercialization Agreement (the “Viatris Agreement”), Viatris and Theravance Biopharma co-develop revefenacin for COPD and other respiratory diseases. We led the US Phase 3 development program for YUPELRI in COPD, and Via</w:t>
      </w:r>
      <w:r>
        <w:rPr>
          <w:sz w:val="20"/>
          <w:szCs w:val="20"/>
        </w:rPr>
        <w:t xml:space="preserve">tris was responsible for reimbursement of our costs related to the registrational program up until the approval of the first new drug application (“NDA”), after which costs are shared. With YUPELRI approved in the US, Viatris is leading commercialization, </w:t>
      </w:r>
      <w:r>
        <w:rPr>
          <w:sz w:val="20"/>
          <w:szCs w:val="20"/>
        </w:rPr>
        <w:t>and we co-promote the product in the US under a profit and loss sharing arrangement (65% to Viatris; 35% to Theravance Biopharma). Outside the US, Viatris is responsible for development and commercialization and will pay us a tiered royalty on net sales at</w:t>
      </w:r>
      <w:r>
        <w:rPr>
          <w:sz w:val="20"/>
          <w:szCs w:val="20"/>
        </w:rPr>
        <w:t xml:space="preserve"> percentage royalty rates ranging from low double-digits to mid-teens. </w:t>
      </w:r>
    </w:p>
    <w:p w14:paraId="7A542FA9" w14:textId="77777777" w:rsidR="00000000" w:rsidRDefault="001F1B20">
      <w:pPr>
        <w:pStyle w:val="a3"/>
        <w:spacing w:before="0" w:beforeAutospacing="0" w:after="0" w:afterAutospacing="0"/>
        <w:divId w:val="1015378708"/>
        <w:rPr>
          <w:sz w:val="20"/>
          <w:szCs w:val="20"/>
        </w:rPr>
      </w:pPr>
      <w:r>
        <w:rPr>
          <w:sz w:val="20"/>
          <w:szCs w:val="20"/>
        </w:rPr>
        <w:t>​</w:t>
      </w:r>
    </w:p>
    <w:p w14:paraId="0AB5609B" w14:textId="77777777" w:rsidR="00000000" w:rsidRDefault="001F1B20">
      <w:pPr>
        <w:pStyle w:val="a3"/>
        <w:spacing w:before="360" w:beforeAutospacing="0" w:after="0" w:afterAutospacing="0"/>
        <w:jc w:val="center"/>
        <w:divId w:val="1944649909"/>
        <w:rPr>
          <w:sz w:val="20"/>
          <w:szCs w:val="20"/>
        </w:rPr>
      </w:pPr>
      <w:r>
        <w:rPr>
          <w:sz w:val="20"/>
          <w:szCs w:val="20"/>
        </w:rPr>
        <w:t>21</w:t>
      </w:r>
    </w:p>
    <w:p w14:paraId="6B47D7AC" w14:textId="77777777" w:rsidR="00000000" w:rsidRDefault="001F1B20">
      <w:pPr>
        <w:pStyle w:val="a3"/>
        <w:spacing w:before="0" w:beforeAutospacing="0" w:after="600" w:afterAutospacing="0"/>
        <w:divId w:val="1563057035"/>
        <w:rPr>
          <w:sz w:val="20"/>
          <w:szCs w:val="20"/>
        </w:rPr>
      </w:pPr>
      <w:hyperlink w:anchor="TOC" w:history="1">
        <w:r>
          <w:rPr>
            <w:rStyle w:val="a4"/>
            <w:sz w:val="20"/>
            <w:szCs w:val="20"/>
          </w:rPr>
          <w:t>Table of Contents</w:t>
        </w:r>
      </w:hyperlink>
    </w:p>
    <w:p w14:paraId="3E29D89F" w14:textId="77777777" w:rsidR="00000000" w:rsidRDefault="001F1B20">
      <w:pPr>
        <w:pStyle w:val="a3"/>
        <w:spacing w:before="0" w:beforeAutospacing="0" w:after="0" w:afterAutospacing="0"/>
        <w:ind w:firstLine="720"/>
        <w:divId w:val="317927888"/>
        <w:rPr>
          <w:sz w:val="20"/>
          <w:szCs w:val="20"/>
        </w:rPr>
      </w:pPr>
      <w:r>
        <w:rPr>
          <w:sz w:val="20"/>
          <w:szCs w:val="20"/>
        </w:rPr>
        <w:t xml:space="preserve">In </w:t>
      </w:r>
      <w:r>
        <w:rPr>
          <w:sz w:val="20"/>
          <w:szCs w:val="20"/>
          <w:shd w:val="clear" w:color="auto" w:fill="FFFFFF"/>
        </w:rPr>
        <w:t>June 2019, we announced the expansion of the Viatris Agreement to grant Viatris exclusive development and commercialization rights t</w:t>
      </w:r>
      <w:r>
        <w:rPr>
          <w:sz w:val="20"/>
          <w:szCs w:val="20"/>
          <w:shd w:val="clear" w:color="auto" w:fill="FFFFFF"/>
        </w:rPr>
        <w:t>o nebulized revefenacin in China and adjacent territories, which include Hong Kong SAR, the Macau SAR, and Taiwan. In exchange, we received an upfront payment of $18.5 million (before a required tax withholding) and will be eligible to receive additional p</w:t>
      </w:r>
      <w:r>
        <w:rPr>
          <w:sz w:val="20"/>
          <w:szCs w:val="20"/>
          <w:shd w:val="clear" w:color="auto" w:fill="FFFFFF"/>
        </w:rPr>
        <w:t xml:space="preserve">otential development and sales milestones totaling $54.0 million and low double-digit tiered royalties on net sales of nebulized revefenacin, if approved. In March 2020, we earned a $1.5 million development milestone for the acceptance of a clinical trial </w:t>
      </w:r>
      <w:r>
        <w:rPr>
          <w:sz w:val="20"/>
          <w:szCs w:val="20"/>
          <w:shd w:val="clear" w:color="auto" w:fill="FFFFFF"/>
        </w:rPr>
        <w:t xml:space="preserve">application associated with the use of </w:t>
      </w:r>
      <w:r>
        <w:rPr>
          <w:sz w:val="20"/>
          <w:szCs w:val="20"/>
        </w:rPr>
        <w:t xml:space="preserve">revefenacin </w:t>
      </w:r>
      <w:r>
        <w:rPr>
          <w:sz w:val="20"/>
          <w:szCs w:val="20"/>
          <w:shd w:val="clear" w:color="auto" w:fill="FFFFFF"/>
        </w:rPr>
        <w:t>monotherapy in China and adjacent territories. Viatris is responsible for all aspects of development and commercialization in the partnered regions, including pre- and post-launch activities and product re</w:t>
      </w:r>
      <w:r>
        <w:rPr>
          <w:sz w:val="20"/>
          <w:szCs w:val="20"/>
          <w:shd w:val="clear" w:color="auto" w:fill="FFFFFF"/>
        </w:rPr>
        <w:t xml:space="preserve">gistration and all associated costs. </w:t>
      </w:r>
      <w:r>
        <w:rPr>
          <w:sz w:val="20"/>
          <w:szCs w:val="20"/>
        </w:rPr>
        <w:t>We retain worldwide rights to revefenacin delivered through other dosage forms, such as a MDI/DPI.</w:t>
      </w:r>
    </w:p>
    <w:p w14:paraId="66681E68" w14:textId="77777777" w:rsidR="00000000" w:rsidRDefault="001F1B20">
      <w:pPr>
        <w:pStyle w:val="a3"/>
        <w:spacing w:before="0" w:beforeAutospacing="0" w:after="0" w:afterAutospacing="0"/>
        <w:divId w:val="317927888"/>
        <w:rPr>
          <w:sz w:val="20"/>
          <w:szCs w:val="20"/>
        </w:rPr>
      </w:pPr>
      <w:r>
        <w:rPr>
          <w:sz w:val="20"/>
          <w:szCs w:val="20"/>
        </w:rPr>
        <w:t>​</w:t>
      </w:r>
    </w:p>
    <w:p w14:paraId="43636308" w14:textId="77777777" w:rsidR="00000000" w:rsidRDefault="001F1B20">
      <w:pPr>
        <w:pStyle w:val="a3"/>
        <w:spacing w:before="0" w:beforeAutospacing="0" w:after="0" w:afterAutospacing="0"/>
        <w:ind w:firstLine="720"/>
        <w:divId w:val="317927888"/>
        <w:rPr>
          <w:sz w:val="20"/>
          <w:szCs w:val="20"/>
        </w:rPr>
      </w:pPr>
      <w:r>
        <w:rPr>
          <w:sz w:val="20"/>
          <w:szCs w:val="20"/>
        </w:rPr>
        <w:t>Under the Viatris Agreement, as of September 30, 2021, we are eligible to receive from Viatris potential global develo</w:t>
      </w:r>
      <w:r>
        <w:rPr>
          <w:sz w:val="20"/>
          <w:szCs w:val="20"/>
        </w:rPr>
        <w:t xml:space="preserve">pment, regulatory and sales milestone payments totaling up to $257.5 million in the aggregate with $205.0 million associated with YUPELRI monotherapy and $52.5 million associated with future potential combination products. Of the $205.0 million associated </w:t>
      </w:r>
      <w:r>
        <w:rPr>
          <w:sz w:val="20"/>
          <w:szCs w:val="20"/>
        </w:rPr>
        <w:t>with monotherapy, $187.5 million relates to sales milestones based on achieving certain levels of net sales and $17.5 million relates to global development and regulatory actions. The $52.5 million associated with future potential combination products rela</w:t>
      </w:r>
      <w:r>
        <w:rPr>
          <w:sz w:val="20"/>
          <w:szCs w:val="20"/>
        </w:rPr>
        <w:t xml:space="preserve">tes solely to global development and regulatory actions. </w:t>
      </w:r>
    </w:p>
    <w:p w14:paraId="56DB0F48" w14:textId="77777777" w:rsidR="00000000" w:rsidRDefault="001F1B20">
      <w:pPr>
        <w:pStyle w:val="a3"/>
        <w:spacing w:before="0" w:beforeAutospacing="0" w:after="0" w:afterAutospacing="0"/>
        <w:ind w:firstLine="720"/>
        <w:divId w:val="317927888"/>
        <w:rPr>
          <w:sz w:val="20"/>
          <w:szCs w:val="20"/>
        </w:rPr>
      </w:pPr>
      <w:r>
        <w:rPr>
          <w:sz w:val="20"/>
          <w:szCs w:val="20"/>
        </w:rPr>
        <w:t>​</w:t>
      </w:r>
    </w:p>
    <w:p w14:paraId="2CE63425" w14:textId="77777777" w:rsidR="00000000" w:rsidRDefault="001F1B20">
      <w:pPr>
        <w:pStyle w:val="a3"/>
        <w:spacing w:before="0" w:beforeAutospacing="0" w:after="0" w:afterAutospacing="0"/>
        <w:divId w:val="317927888"/>
        <w:rPr>
          <w:sz w:val="20"/>
          <w:szCs w:val="20"/>
        </w:rPr>
      </w:pPr>
      <w:r>
        <w:rPr>
          <w:b/>
          <w:bCs/>
          <w:i/>
          <w:iCs/>
          <w:sz w:val="20"/>
          <w:szCs w:val="20"/>
        </w:rPr>
        <w:t>Lung-selective, Nebulized Pan-Janus Kinase (JAK) Inhibitor (Nezulcitinib)</w:t>
      </w:r>
    </w:p>
    <w:p w14:paraId="166B3401" w14:textId="77777777" w:rsidR="00000000" w:rsidRDefault="001F1B20">
      <w:pPr>
        <w:pStyle w:val="a3"/>
        <w:spacing w:before="0" w:beforeAutospacing="0" w:after="0" w:afterAutospacing="0"/>
        <w:divId w:val="317927888"/>
        <w:rPr>
          <w:sz w:val="20"/>
          <w:szCs w:val="20"/>
        </w:rPr>
      </w:pPr>
      <w:r>
        <w:rPr>
          <w:sz w:val="20"/>
          <w:szCs w:val="20"/>
        </w:rPr>
        <w:t>​</w:t>
      </w:r>
    </w:p>
    <w:p w14:paraId="29B6C58F" w14:textId="77777777" w:rsidR="00000000" w:rsidRDefault="001F1B20">
      <w:pPr>
        <w:pStyle w:val="a3"/>
        <w:spacing w:before="0" w:beforeAutospacing="0" w:after="0" w:afterAutospacing="0"/>
        <w:ind w:firstLine="720"/>
        <w:divId w:val="317927888"/>
        <w:rPr>
          <w:sz w:val="20"/>
          <w:szCs w:val="20"/>
        </w:rPr>
      </w:pPr>
      <w:r>
        <w:rPr>
          <w:sz w:val="20"/>
          <w:szCs w:val="20"/>
        </w:rPr>
        <w:t>Nezulcitinib (formerly known as TD-0903) is a lung-selective, nebulized JAK inhibitor, in clinical development for the p</w:t>
      </w:r>
      <w:r>
        <w:rPr>
          <w:sz w:val="20"/>
          <w:szCs w:val="20"/>
        </w:rPr>
        <w:t>otential treatment of hospitalized patients with Acute Lung Injury (“ALI”) caused by COVID-19. We discovered nezulcitinib, and it has been shown in experimental murine models to have potent, broad inhibition of JAK-STAT signaling in the airways following c</w:t>
      </w:r>
      <w:r>
        <w:rPr>
          <w:sz w:val="20"/>
          <w:szCs w:val="20"/>
        </w:rPr>
        <w:t>hallenges with multiple cytokines. Preclinical studies suggest that nezulcitinib has a high lung to plasma ratio and rapid metabolic clearance resulting in low systemic exposure, compatible with its lung selectivity. Nezulcitinib is administered via nebuli</w:t>
      </w:r>
      <w:r>
        <w:rPr>
          <w:sz w:val="20"/>
          <w:szCs w:val="20"/>
        </w:rPr>
        <w:t>zed inhalation solution, which further enhances its lung selectivity. Preclinical pharmacodynamic studies indicate that nezulcitinib has an extended duration of action that should enable once daily dosing in humans.</w:t>
      </w:r>
      <w:r>
        <w:rPr>
          <w:sz w:val="20"/>
          <w:szCs w:val="20"/>
        </w:rPr>
        <w:t xml:space="preserve"> </w:t>
      </w:r>
    </w:p>
    <w:p w14:paraId="63C5C574" w14:textId="77777777" w:rsidR="00000000" w:rsidRDefault="001F1B20">
      <w:pPr>
        <w:pStyle w:val="a3"/>
        <w:spacing w:before="0" w:beforeAutospacing="0" w:after="0" w:afterAutospacing="0"/>
        <w:ind w:firstLine="720"/>
        <w:divId w:val="317927888"/>
        <w:rPr>
          <w:sz w:val="20"/>
          <w:szCs w:val="20"/>
        </w:rPr>
      </w:pPr>
      <w:r>
        <w:rPr>
          <w:sz w:val="20"/>
          <w:szCs w:val="20"/>
        </w:rPr>
        <w:t>​</w:t>
      </w:r>
    </w:p>
    <w:p w14:paraId="3534F06C" w14:textId="77777777" w:rsidR="00000000" w:rsidRDefault="001F1B20">
      <w:pPr>
        <w:pStyle w:val="a3"/>
        <w:spacing w:before="0" w:beforeAutospacing="0" w:after="0" w:afterAutospacing="0"/>
        <w:ind w:firstLine="720"/>
        <w:divId w:val="317927888"/>
        <w:rPr>
          <w:sz w:val="20"/>
          <w:szCs w:val="20"/>
        </w:rPr>
      </w:pPr>
      <w:r>
        <w:rPr>
          <w:sz w:val="20"/>
          <w:szCs w:val="20"/>
        </w:rPr>
        <w:t>We believe nezulcitinib has the poten</w:t>
      </w:r>
      <w:r>
        <w:rPr>
          <w:sz w:val="20"/>
          <w:szCs w:val="20"/>
        </w:rPr>
        <w:t>tial to inhibit the cytokine storm associated with ALI and prevent progression to Acute Respiratory Distress Syndrome (“ARDS”). The first healthy volunteer was dosed in a Phase 1 study of nezulcitinib in April 2020, and in June 2020, we completed Phase 1 a</w:t>
      </w:r>
      <w:r>
        <w:rPr>
          <w:sz w:val="20"/>
          <w:szCs w:val="20"/>
        </w:rPr>
        <w:t>nd entered a two-part Phase 2 study. Phase 2 was designed to evaluate the efficacy, safety, and tolerability of nezulcitinib in subjects with confirmed symptomatic COVID-19 hospitalized for symptomatic respiratory insufficiency. This study also evaluated t</w:t>
      </w:r>
      <w:r>
        <w:rPr>
          <w:sz w:val="20"/>
          <w:szCs w:val="20"/>
        </w:rPr>
        <w:t xml:space="preserve">he PK of nezulcitinib in these subjects. To expedite enrollment, we opened additional sites in other regions including Europe, the US, and South America. </w:t>
      </w:r>
    </w:p>
    <w:p w14:paraId="4AF82DAF" w14:textId="77777777" w:rsidR="00000000" w:rsidRDefault="001F1B20">
      <w:pPr>
        <w:pStyle w:val="a3"/>
        <w:spacing w:before="0" w:beforeAutospacing="0" w:after="0" w:afterAutospacing="0"/>
        <w:ind w:firstLine="720"/>
        <w:divId w:val="317927888"/>
        <w:rPr>
          <w:sz w:val="20"/>
          <w:szCs w:val="20"/>
        </w:rPr>
      </w:pPr>
      <w:r>
        <w:rPr>
          <w:sz w:val="20"/>
          <w:szCs w:val="20"/>
        </w:rPr>
        <w:t>​</w:t>
      </w:r>
    </w:p>
    <w:p w14:paraId="2DFD733C" w14:textId="77777777" w:rsidR="00000000" w:rsidRDefault="001F1B20">
      <w:pPr>
        <w:pStyle w:val="a3"/>
        <w:spacing w:before="0" w:beforeAutospacing="0" w:after="0" w:afterAutospacing="0"/>
        <w:ind w:firstLine="720"/>
        <w:divId w:val="317927888"/>
        <w:rPr>
          <w:sz w:val="20"/>
          <w:szCs w:val="20"/>
        </w:rPr>
      </w:pPr>
      <w:r>
        <w:rPr>
          <w:sz w:val="20"/>
          <w:szCs w:val="20"/>
        </w:rPr>
        <w:t>We completed Phase 2, Part 1, a small sub-study of 25 patients intended to assess safety, PK and ex</w:t>
      </w:r>
      <w:r>
        <w:rPr>
          <w:sz w:val="20"/>
          <w:szCs w:val="20"/>
        </w:rPr>
        <w:t>ploratory clinical measures of three doses of nezulcitinib versus placebo. Data showed that inhaled administration of nebulized nezulcitinib, once daily over seven days, was generally well-tolerated and showed a numerical trend towards improved clinical st</w:t>
      </w:r>
      <w:r>
        <w:rPr>
          <w:sz w:val="20"/>
          <w:szCs w:val="20"/>
        </w:rPr>
        <w:t>atus, reduced hospital stay and resulted in fewer deaths compared to placebo during a 28-day observation period. Nezulcitinib also demonstrated evidence of improvements in several relevant inflammatory biomarkers and low systemic exposure at all doses. Thi</w:t>
      </w:r>
      <w:r>
        <w:rPr>
          <w:sz w:val="20"/>
          <w:szCs w:val="20"/>
        </w:rPr>
        <w:t>s demonstrates the lung-selective design features of the molecule.</w:t>
      </w:r>
    </w:p>
    <w:p w14:paraId="6F3A8469" w14:textId="77777777" w:rsidR="00000000" w:rsidRDefault="001F1B20">
      <w:pPr>
        <w:pStyle w:val="a3"/>
        <w:spacing w:before="0" w:beforeAutospacing="0" w:after="0" w:afterAutospacing="0"/>
        <w:ind w:firstLine="720"/>
        <w:divId w:val="317927888"/>
        <w:rPr>
          <w:sz w:val="20"/>
          <w:szCs w:val="20"/>
        </w:rPr>
      </w:pPr>
      <w:r>
        <w:rPr>
          <w:sz w:val="20"/>
          <w:szCs w:val="20"/>
        </w:rPr>
        <w:t>​</w:t>
      </w:r>
    </w:p>
    <w:p w14:paraId="32F69227" w14:textId="77777777" w:rsidR="00000000" w:rsidRDefault="001F1B20">
      <w:pPr>
        <w:pStyle w:val="a3"/>
        <w:spacing w:before="0" w:beforeAutospacing="0" w:after="0" w:afterAutospacing="0"/>
        <w:ind w:firstLine="720"/>
        <w:divId w:val="317927888"/>
        <w:rPr>
          <w:sz w:val="20"/>
          <w:szCs w:val="20"/>
        </w:rPr>
      </w:pPr>
      <w:r>
        <w:rPr>
          <w:sz w:val="20"/>
          <w:szCs w:val="20"/>
        </w:rPr>
        <w:t xml:space="preserve">Phase 2 Dose Finding study was a randomized, double-blind, parallel-group study evaluating efficacy and safety of one dose (3 mg) of nezulcitinib (selected based on the data from Part 1) as compared with placebo in 200 patients. In June 2021, we announced </w:t>
      </w:r>
      <w:r>
        <w:rPr>
          <w:sz w:val="20"/>
          <w:szCs w:val="20"/>
        </w:rPr>
        <w:t>top-line results from our Phase 2 study of 3 mg once-daily nezulcitinib compared to placebo, each in combination with standard of care, which generally included steroids. The study did not meet the primary endpoint of number of Respiratory Failure-Free Day</w:t>
      </w:r>
      <w:r>
        <w:rPr>
          <w:sz w:val="20"/>
          <w:szCs w:val="20"/>
        </w:rPr>
        <w:t>s from randomization through Day 28 in the intent-to-treat population. The study also did not meet secondary endpoints, with no difference shown in change from baseline at Day 7 in SaO</w:t>
      </w:r>
      <w:r>
        <w:rPr>
          <w:sz w:val="15"/>
          <w:szCs w:val="15"/>
          <w:vertAlign w:val="subscript"/>
        </w:rPr>
        <w:t>2</w:t>
      </w:r>
      <w:r>
        <w:rPr>
          <w:sz w:val="20"/>
          <w:szCs w:val="20"/>
        </w:rPr>
        <w:t>/FiO</w:t>
      </w:r>
      <w:r>
        <w:rPr>
          <w:sz w:val="15"/>
          <w:szCs w:val="15"/>
          <w:vertAlign w:val="subscript"/>
        </w:rPr>
        <w:t>2</w:t>
      </w:r>
      <w:r>
        <w:rPr>
          <w:sz w:val="20"/>
          <w:szCs w:val="20"/>
        </w:rPr>
        <w:t xml:space="preserve"> </w:t>
      </w:r>
      <w:r>
        <w:rPr>
          <w:sz w:val="20"/>
          <w:szCs w:val="20"/>
        </w:rPr>
        <w:t>ratio, proportion of patients in each category of the eight-point Clinical Status scale, or proportion of patients alive and respiratory failure-free at Day 28. However, nezulcitinib demonstrated a favorable trend in improvement when compared to placebo fo</w:t>
      </w:r>
      <w:r>
        <w:rPr>
          <w:sz w:val="20"/>
          <w:szCs w:val="20"/>
        </w:rPr>
        <w:t>r 28-day all-cause mortality. In addition, in a post-hoc analysis of patients with C-reactive protein (“CRP”) &lt;150 mg/L, there was an improvement in those treated with nezulcitinib when compared to placebo in 28-day all-cause mortality and in time to recov</w:t>
      </w:r>
      <w:r>
        <w:rPr>
          <w:sz w:val="20"/>
          <w:szCs w:val="20"/>
        </w:rPr>
        <w:t>ery while there was no difference in these outcomes in patients with CRP &gt;150 mg/L. Nezulcitinib was generally well-tolerated, and we intend to further investigate its therapeutic potential as part of our newly focused respiratory portfolio.</w:t>
      </w:r>
    </w:p>
    <w:p w14:paraId="3851AC1F" w14:textId="77777777" w:rsidR="00000000" w:rsidRDefault="001F1B20">
      <w:pPr>
        <w:pStyle w:val="a3"/>
        <w:spacing w:before="360" w:beforeAutospacing="0" w:after="0" w:afterAutospacing="0"/>
        <w:jc w:val="center"/>
        <w:divId w:val="128205034"/>
        <w:rPr>
          <w:sz w:val="20"/>
          <w:szCs w:val="20"/>
        </w:rPr>
      </w:pPr>
      <w:r>
        <w:rPr>
          <w:sz w:val="20"/>
          <w:szCs w:val="20"/>
        </w:rPr>
        <w:t>22</w:t>
      </w:r>
    </w:p>
    <w:p w14:paraId="304505D1" w14:textId="77777777" w:rsidR="00000000" w:rsidRDefault="001F1B20">
      <w:pPr>
        <w:pStyle w:val="a3"/>
        <w:spacing w:before="0" w:beforeAutospacing="0" w:after="600" w:afterAutospacing="0"/>
        <w:divId w:val="1317565108"/>
        <w:rPr>
          <w:sz w:val="20"/>
          <w:szCs w:val="20"/>
        </w:rPr>
      </w:pPr>
      <w:hyperlink w:anchor="TOC" w:history="1">
        <w:r>
          <w:rPr>
            <w:rStyle w:val="a4"/>
            <w:sz w:val="20"/>
            <w:szCs w:val="20"/>
          </w:rPr>
          <w:t>Table of Contents</w:t>
        </w:r>
      </w:hyperlink>
    </w:p>
    <w:p w14:paraId="62FCF39F" w14:textId="77777777" w:rsidR="00000000" w:rsidRDefault="001F1B20">
      <w:pPr>
        <w:pStyle w:val="a3"/>
        <w:spacing w:before="0" w:beforeAutospacing="0" w:after="0" w:afterAutospacing="0"/>
        <w:divId w:val="2081445099"/>
        <w:rPr>
          <w:sz w:val="20"/>
          <w:szCs w:val="20"/>
        </w:rPr>
      </w:pPr>
      <w:r>
        <w:rPr>
          <w:b/>
          <w:bCs/>
          <w:i/>
          <w:iCs/>
          <w:sz w:val="20"/>
          <w:szCs w:val="20"/>
        </w:rPr>
        <w:t>​</w:t>
      </w:r>
    </w:p>
    <w:p w14:paraId="1D1B0CA8" w14:textId="77777777" w:rsidR="00000000" w:rsidRDefault="001F1B20">
      <w:pPr>
        <w:pStyle w:val="a3"/>
        <w:spacing w:before="0" w:beforeAutospacing="0" w:after="0" w:afterAutospacing="0"/>
        <w:divId w:val="2081445099"/>
        <w:rPr>
          <w:sz w:val="20"/>
          <w:szCs w:val="20"/>
        </w:rPr>
      </w:pPr>
      <w:r>
        <w:rPr>
          <w:b/>
          <w:bCs/>
          <w:i/>
          <w:iCs/>
          <w:sz w:val="20"/>
          <w:szCs w:val="20"/>
        </w:rPr>
        <w:t xml:space="preserve">Lung-selective Pan-JAK Inhibitor Program </w:t>
      </w:r>
    </w:p>
    <w:p w14:paraId="31C1401B" w14:textId="77777777" w:rsidR="00000000" w:rsidRDefault="001F1B20">
      <w:pPr>
        <w:pStyle w:val="a3"/>
        <w:spacing w:before="0" w:beforeAutospacing="0" w:after="0" w:afterAutospacing="0"/>
        <w:divId w:val="2081445099"/>
        <w:rPr>
          <w:sz w:val="20"/>
          <w:szCs w:val="20"/>
        </w:rPr>
      </w:pPr>
      <w:r>
        <w:rPr>
          <w:sz w:val="20"/>
          <w:szCs w:val="20"/>
        </w:rPr>
        <w:t>​</w:t>
      </w:r>
    </w:p>
    <w:p w14:paraId="5DC512B0" w14:textId="77777777" w:rsidR="00000000" w:rsidRDefault="001F1B20">
      <w:pPr>
        <w:pStyle w:val="a3"/>
        <w:spacing w:before="0" w:beforeAutospacing="0" w:after="0" w:afterAutospacing="0"/>
        <w:ind w:firstLine="720"/>
        <w:divId w:val="2081445099"/>
        <w:rPr>
          <w:sz w:val="20"/>
          <w:szCs w:val="20"/>
        </w:rPr>
      </w:pPr>
      <w:r>
        <w:rPr>
          <w:sz w:val="20"/>
          <w:szCs w:val="20"/>
        </w:rPr>
        <w:t>TD-8236, an inhaled lung-selective pan-JAK inhibitor, demonstrated a high affinity for each of the JAK family of enzymes (JAK1, JAK2, JAK3 and TYK2) that play a key role in cyto</w:t>
      </w:r>
      <w:r>
        <w:rPr>
          <w:sz w:val="20"/>
          <w:szCs w:val="20"/>
        </w:rPr>
        <w:t>kine signaling. Inhibiting these JAK enzymes interferes with the JAK/STAT signaling pathway and, in turn, modulates the activity of a wide range of pro-inflammatory cytokines. While orally-administered JAK inhibitors are currently approved for the treatmen</w:t>
      </w:r>
      <w:r>
        <w:rPr>
          <w:sz w:val="20"/>
          <w:szCs w:val="20"/>
        </w:rPr>
        <w:t>t of a range of inflammatory diseases, no inhaled JAK inhibitor is approved for the treatment of airway disease, including asthma. The pan-JAK activity of TD-8236 suggests that it may impact a broad range of cytokines that have been associated both T2-high</w:t>
      </w:r>
      <w:r>
        <w:rPr>
          <w:sz w:val="20"/>
          <w:szCs w:val="20"/>
        </w:rPr>
        <w:t xml:space="preserve"> and T2-low asthma. Many moderate to severe asthma patients comprising both T2 phenotypes remain symptomatic despite being compliant on high doses of inhaled steroids. Importantly, TD-8236 was designed to distribute and exert its anti-inflammatory effect w</w:t>
      </w:r>
      <w:r>
        <w:rPr>
          <w:sz w:val="20"/>
          <w:szCs w:val="20"/>
        </w:rPr>
        <w:t>ithin the lungs following dry powder inhalation, with the potential to treat inflammation within that organ while minimizing systemic exposure. In preclinical assessments, TD-8236 has shown to potently inhibit targeted mediators of T2-high and T2-low asthm</w:t>
      </w:r>
      <w:r>
        <w:rPr>
          <w:sz w:val="20"/>
          <w:szCs w:val="20"/>
        </w:rPr>
        <w:t>a in human cells.</w:t>
      </w:r>
    </w:p>
    <w:p w14:paraId="6C6AE3B2" w14:textId="77777777" w:rsidR="00000000" w:rsidRDefault="001F1B20">
      <w:pPr>
        <w:pStyle w:val="a3"/>
        <w:spacing w:before="0" w:beforeAutospacing="0" w:after="0" w:afterAutospacing="0"/>
        <w:divId w:val="2081445099"/>
        <w:rPr>
          <w:sz w:val="20"/>
          <w:szCs w:val="20"/>
        </w:rPr>
      </w:pPr>
      <w:r>
        <w:rPr>
          <w:sz w:val="20"/>
          <w:szCs w:val="20"/>
        </w:rPr>
        <w:t>​</w:t>
      </w:r>
    </w:p>
    <w:p w14:paraId="5BAE03DF" w14:textId="77777777" w:rsidR="00000000" w:rsidRDefault="001F1B20">
      <w:pPr>
        <w:pStyle w:val="a3"/>
        <w:spacing w:before="0" w:beforeAutospacing="0" w:after="0" w:afterAutospacing="0"/>
        <w:ind w:firstLine="720"/>
        <w:divId w:val="2081445099"/>
        <w:rPr>
          <w:sz w:val="20"/>
          <w:szCs w:val="20"/>
        </w:rPr>
      </w:pPr>
      <w:r>
        <w:rPr>
          <w:sz w:val="20"/>
          <w:szCs w:val="20"/>
        </w:rPr>
        <w:t>In September 2019, we announced positive results from a Phase 1 single-ascending dose and multiple-ascending dose clinical trial of TD-8236, an investigational, inhaled lung-selective pan-JAK inhibitor that has demonstrated a high affin</w:t>
      </w:r>
      <w:r>
        <w:rPr>
          <w:sz w:val="20"/>
          <w:szCs w:val="20"/>
        </w:rPr>
        <w:t>ity for each of the JAK family of enzymes (JAK1, JAK2, JAK3 and TYK2) that play a key role in cytokine signaling. The Part C extension portion of the Phase 1 trial, assessing additional biomarkers in patients with moderate to severe asthma, demonstrated th</w:t>
      </w:r>
      <w:r>
        <w:rPr>
          <w:sz w:val="20"/>
          <w:szCs w:val="20"/>
        </w:rPr>
        <w:t>at biomarkers of JAK target engagement (including exhaled nitric oxide and pSTAT1 and pSTAT6 in cellular fractions of bronchoalveolar lavage fluid) were reduced after 7 days of once-daily dosing at a dose level of 1500 µg. In December 2019, we announced th</w:t>
      </w:r>
      <w:r>
        <w:rPr>
          <w:sz w:val="20"/>
          <w:szCs w:val="20"/>
        </w:rPr>
        <w:t>e initiation of a Phase 2 allergen challenge study of TD-8236 in mild allergic asthma patients, and we reported results of the Phase 1C study in the third quarter of 2020. TD-8236 is the first JAK inhibitor to be studied in a Phase 2a Lung Allergen Challen</w:t>
      </w:r>
      <w:r>
        <w:rPr>
          <w:sz w:val="20"/>
          <w:szCs w:val="20"/>
        </w:rPr>
        <w:t>ge (“LAC”) study, but inconsistent with our expectations, it had no impact on decrease in lung function (FEV1) following allergen inhalation after 14 days of once-daily dosing at dose levels of 150 µg and 1500 µg compared to placebo and did not meet the pr</w:t>
      </w:r>
      <w:r>
        <w:rPr>
          <w:sz w:val="20"/>
          <w:szCs w:val="20"/>
        </w:rPr>
        <w:t>imary study objective. The collective data set (preclinical, Phase 1, Phase 2a) demonstrates TD-8236 engages the JAK mechanism at a dose of 1500 µg as evidenced by the reduction in FeNO and reductions in pSTAT, but does not protect against the lung functio</w:t>
      </w:r>
      <w:r>
        <w:rPr>
          <w:sz w:val="20"/>
          <w:szCs w:val="20"/>
        </w:rPr>
        <w:t xml:space="preserve">n decline seen after allergen inhalation. </w:t>
      </w:r>
    </w:p>
    <w:p w14:paraId="3DD7648B" w14:textId="77777777" w:rsidR="00000000" w:rsidRDefault="001F1B20">
      <w:pPr>
        <w:pStyle w:val="a3"/>
        <w:spacing w:before="0" w:beforeAutospacing="0" w:after="0" w:afterAutospacing="0"/>
        <w:ind w:firstLine="720"/>
        <w:divId w:val="2081445099"/>
        <w:rPr>
          <w:sz w:val="20"/>
          <w:szCs w:val="20"/>
        </w:rPr>
      </w:pPr>
      <w:r>
        <w:rPr>
          <w:sz w:val="20"/>
          <w:szCs w:val="20"/>
        </w:rPr>
        <w:t>​</w:t>
      </w:r>
    </w:p>
    <w:p w14:paraId="0B38FCDE" w14:textId="77777777" w:rsidR="00000000" w:rsidRDefault="001F1B20">
      <w:pPr>
        <w:pStyle w:val="a3"/>
        <w:spacing w:before="0" w:beforeAutospacing="0" w:after="0" w:afterAutospacing="0"/>
        <w:ind w:firstLine="720"/>
        <w:divId w:val="2081445099"/>
        <w:rPr>
          <w:sz w:val="20"/>
          <w:szCs w:val="20"/>
        </w:rPr>
      </w:pPr>
      <w:r>
        <w:rPr>
          <w:sz w:val="20"/>
          <w:szCs w:val="20"/>
        </w:rPr>
        <w:t xml:space="preserve">After completing additional analysis on TD-8236 gene signature and biomarker data from the Phase 1C study, we found that the data are consistent with target engagement in the lung. However, based on our current </w:t>
      </w:r>
      <w:r>
        <w:rPr>
          <w:sz w:val="20"/>
          <w:szCs w:val="20"/>
        </w:rPr>
        <w:t xml:space="preserve">understanding of TD-8236, we have decided to pause the clinical program for this compound in its current form and apply our learnings to refining and expanding molecules in our portfolio of inhaled JAK inhibitors. We expect to proceed into the clinic with </w:t>
      </w:r>
      <w:r>
        <w:rPr>
          <w:sz w:val="20"/>
          <w:szCs w:val="20"/>
        </w:rPr>
        <w:t>the next generation compound after securing a strategic partnership.</w:t>
      </w:r>
      <w:r>
        <w:rPr>
          <w:sz w:val="20"/>
          <w:szCs w:val="20"/>
        </w:rPr>
        <w:t xml:space="preserve"> </w:t>
      </w:r>
    </w:p>
    <w:p w14:paraId="2449985B" w14:textId="77777777" w:rsidR="00000000" w:rsidRDefault="001F1B20">
      <w:pPr>
        <w:pStyle w:val="a3"/>
        <w:spacing w:before="0" w:beforeAutospacing="0" w:after="0" w:afterAutospacing="0"/>
        <w:divId w:val="2081445099"/>
        <w:rPr>
          <w:sz w:val="20"/>
          <w:szCs w:val="20"/>
        </w:rPr>
      </w:pPr>
      <w:r>
        <w:rPr>
          <w:sz w:val="20"/>
          <w:szCs w:val="20"/>
        </w:rPr>
        <w:t>​</w:t>
      </w:r>
    </w:p>
    <w:p w14:paraId="3666AE61" w14:textId="77777777" w:rsidR="00000000" w:rsidRDefault="001F1B20">
      <w:pPr>
        <w:pStyle w:val="a3"/>
        <w:spacing w:before="0" w:beforeAutospacing="0" w:after="0" w:afterAutospacing="0"/>
        <w:ind w:firstLine="720"/>
        <w:divId w:val="2081445099"/>
        <w:rPr>
          <w:sz w:val="20"/>
          <w:szCs w:val="20"/>
        </w:rPr>
      </w:pPr>
      <w:r>
        <w:rPr>
          <w:sz w:val="20"/>
          <w:szCs w:val="20"/>
        </w:rPr>
        <w:t>The robust body of scientific evidence from TD-8236 and nezulcitinib programs provide confidence for us to continue the lung-selective inhaled JAK inhibitor program for asthma. The ful</w:t>
      </w:r>
      <w:r>
        <w:rPr>
          <w:sz w:val="20"/>
          <w:szCs w:val="20"/>
        </w:rPr>
        <w:t>l data set for TD-8236 will be presented at future scientific meetings.</w:t>
      </w:r>
    </w:p>
    <w:p w14:paraId="1C3C987B" w14:textId="77777777" w:rsidR="00000000" w:rsidRDefault="001F1B20">
      <w:pPr>
        <w:pStyle w:val="a3"/>
        <w:spacing w:before="0" w:beforeAutospacing="0" w:after="0" w:afterAutospacing="0"/>
        <w:ind w:firstLine="720"/>
        <w:divId w:val="2081445099"/>
        <w:rPr>
          <w:sz w:val="20"/>
          <w:szCs w:val="20"/>
        </w:rPr>
      </w:pPr>
      <w:r>
        <w:rPr>
          <w:b/>
          <w:bCs/>
          <w:i/>
          <w:iCs/>
          <w:sz w:val="20"/>
          <w:szCs w:val="20"/>
        </w:rPr>
        <w:t>​</w:t>
      </w:r>
    </w:p>
    <w:p w14:paraId="5BB266F9" w14:textId="77777777" w:rsidR="00000000" w:rsidRDefault="001F1B20">
      <w:pPr>
        <w:pStyle w:val="a3"/>
        <w:spacing w:before="0" w:beforeAutospacing="0" w:after="0" w:afterAutospacing="0"/>
        <w:divId w:val="2081445099"/>
        <w:rPr>
          <w:sz w:val="20"/>
          <w:szCs w:val="20"/>
        </w:rPr>
      </w:pPr>
      <w:r>
        <w:rPr>
          <w:b/>
          <w:bCs/>
          <w:sz w:val="20"/>
          <w:szCs w:val="20"/>
        </w:rPr>
        <w:t>Non-Core Asset Highlights</w:t>
      </w:r>
    </w:p>
    <w:p w14:paraId="66253273" w14:textId="77777777" w:rsidR="00000000" w:rsidRDefault="001F1B20">
      <w:pPr>
        <w:pStyle w:val="a3"/>
        <w:spacing w:before="0" w:beforeAutospacing="0" w:after="0" w:afterAutospacing="0"/>
        <w:divId w:val="2081445099"/>
        <w:rPr>
          <w:sz w:val="20"/>
          <w:szCs w:val="20"/>
        </w:rPr>
      </w:pPr>
      <w:r>
        <w:rPr>
          <w:b/>
          <w:bCs/>
          <w:i/>
          <w:iCs/>
          <w:sz w:val="20"/>
          <w:szCs w:val="20"/>
        </w:rPr>
        <w:t>​</w:t>
      </w:r>
    </w:p>
    <w:p w14:paraId="3C0D575F" w14:textId="77777777" w:rsidR="00000000" w:rsidRDefault="001F1B20">
      <w:pPr>
        <w:pStyle w:val="a3"/>
        <w:spacing w:before="0" w:beforeAutospacing="0" w:after="0" w:afterAutospacing="0"/>
        <w:ind w:firstLine="720"/>
        <w:divId w:val="2081445099"/>
        <w:rPr>
          <w:sz w:val="20"/>
          <w:szCs w:val="20"/>
        </w:rPr>
      </w:pPr>
      <w:r>
        <w:rPr>
          <w:sz w:val="20"/>
          <w:szCs w:val="20"/>
        </w:rPr>
        <w:t>The key operational activities for all izencitinib and ampreloxetine studies will be completed by the end of the first quarter of 2022.</w:t>
      </w:r>
    </w:p>
    <w:p w14:paraId="66DD9912" w14:textId="77777777" w:rsidR="00000000" w:rsidRDefault="001F1B20">
      <w:pPr>
        <w:pStyle w:val="a3"/>
        <w:spacing w:before="0" w:beforeAutospacing="0" w:after="0" w:afterAutospacing="0"/>
        <w:divId w:val="2081445099"/>
        <w:rPr>
          <w:sz w:val="20"/>
          <w:szCs w:val="20"/>
        </w:rPr>
      </w:pPr>
      <w:r>
        <w:rPr>
          <w:b/>
          <w:bCs/>
          <w:i/>
          <w:iCs/>
          <w:sz w:val="20"/>
          <w:szCs w:val="20"/>
        </w:rPr>
        <w:t>​</w:t>
      </w:r>
    </w:p>
    <w:p w14:paraId="5E464544" w14:textId="77777777" w:rsidR="00000000" w:rsidRDefault="001F1B20">
      <w:pPr>
        <w:pStyle w:val="a3"/>
        <w:spacing w:before="0" w:beforeAutospacing="0" w:after="0" w:afterAutospacing="0"/>
        <w:divId w:val="2081445099"/>
        <w:rPr>
          <w:sz w:val="20"/>
          <w:szCs w:val="20"/>
        </w:rPr>
      </w:pPr>
      <w:r>
        <w:rPr>
          <w:b/>
          <w:bCs/>
          <w:i/>
          <w:iCs/>
          <w:sz w:val="20"/>
          <w:szCs w:val="20"/>
        </w:rPr>
        <w:t>Ampreloxetine (T</w:t>
      </w:r>
      <w:r>
        <w:rPr>
          <w:b/>
          <w:bCs/>
          <w:i/>
          <w:iCs/>
          <w:sz w:val="20"/>
          <w:szCs w:val="20"/>
        </w:rPr>
        <w:t>D-9855)</w:t>
      </w:r>
    </w:p>
    <w:p w14:paraId="48DC39F6" w14:textId="77777777" w:rsidR="00000000" w:rsidRDefault="001F1B20">
      <w:pPr>
        <w:pStyle w:val="a3"/>
        <w:spacing w:before="0" w:beforeAutospacing="0" w:after="0" w:afterAutospacing="0"/>
        <w:divId w:val="2081445099"/>
        <w:rPr>
          <w:sz w:val="20"/>
          <w:szCs w:val="20"/>
        </w:rPr>
      </w:pPr>
      <w:r>
        <w:rPr>
          <w:sz w:val="20"/>
          <w:szCs w:val="20"/>
        </w:rPr>
        <w:t>​</w:t>
      </w:r>
    </w:p>
    <w:p w14:paraId="43A880A9" w14:textId="77777777" w:rsidR="00000000" w:rsidRDefault="001F1B20">
      <w:pPr>
        <w:pStyle w:val="a3"/>
        <w:spacing w:before="0" w:beforeAutospacing="0" w:after="0" w:afterAutospacing="0"/>
        <w:ind w:firstLine="720"/>
        <w:divId w:val="2081445099"/>
        <w:rPr>
          <w:sz w:val="20"/>
          <w:szCs w:val="20"/>
        </w:rPr>
      </w:pPr>
      <w:r>
        <w:rPr>
          <w:sz w:val="20"/>
          <w:szCs w:val="20"/>
        </w:rPr>
        <w:t>Ampreloxetine is an investigational, once-daily norepinephrine reuptake inhibitor (“NRI”) that we were developing for the treatment of patients with symptomatic neurogenic orthostatic hypotension (“nOH”). nOH is caused by primary autonomic failur</w:t>
      </w:r>
      <w:r>
        <w:rPr>
          <w:sz w:val="20"/>
          <w:szCs w:val="20"/>
        </w:rPr>
        <w:t>e conditions, including multiple system atrophy, Parkinson’s disease and pure autonomic failure. The compound has high affinity for binding to norepinephrine transporters. By blocking the action of these transporters, ampreloxetine causes an increase in ex</w:t>
      </w:r>
      <w:r>
        <w:rPr>
          <w:sz w:val="20"/>
          <w:szCs w:val="20"/>
        </w:rPr>
        <w:t>tracellular concentrations of norepinephrine. Ampreloxetine is wholly owned by Theravance Biopharma.</w:t>
      </w:r>
    </w:p>
    <w:p w14:paraId="325CBB9F" w14:textId="77777777" w:rsidR="00000000" w:rsidRDefault="001F1B20">
      <w:pPr>
        <w:pStyle w:val="a3"/>
        <w:spacing w:before="0" w:beforeAutospacing="0" w:after="0" w:afterAutospacing="0"/>
        <w:divId w:val="2081445099"/>
        <w:rPr>
          <w:sz w:val="20"/>
          <w:szCs w:val="20"/>
        </w:rPr>
      </w:pPr>
      <w:r>
        <w:rPr>
          <w:sz w:val="20"/>
          <w:szCs w:val="20"/>
        </w:rPr>
        <w:t>​</w:t>
      </w:r>
    </w:p>
    <w:p w14:paraId="2A968FA4" w14:textId="77777777" w:rsidR="00000000" w:rsidRDefault="001F1B20">
      <w:pPr>
        <w:pStyle w:val="a3"/>
        <w:spacing w:before="360" w:beforeAutospacing="0" w:after="0" w:afterAutospacing="0"/>
        <w:jc w:val="center"/>
        <w:divId w:val="1692607378"/>
        <w:rPr>
          <w:sz w:val="20"/>
          <w:szCs w:val="20"/>
        </w:rPr>
      </w:pPr>
      <w:r>
        <w:rPr>
          <w:sz w:val="20"/>
          <w:szCs w:val="20"/>
        </w:rPr>
        <w:t>23</w:t>
      </w:r>
    </w:p>
    <w:p w14:paraId="6D1147FD" w14:textId="77777777" w:rsidR="00000000" w:rsidRDefault="001F1B20">
      <w:pPr>
        <w:pStyle w:val="a3"/>
        <w:spacing w:before="0" w:beforeAutospacing="0" w:after="600" w:afterAutospacing="0"/>
        <w:divId w:val="829492152"/>
        <w:rPr>
          <w:sz w:val="20"/>
          <w:szCs w:val="20"/>
        </w:rPr>
      </w:pPr>
      <w:hyperlink w:anchor="TOC" w:history="1">
        <w:r>
          <w:rPr>
            <w:rStyle w:val="a4"/>
            <w:sz w:val="20"/>
            <w:szCs w:val="20"/>
          </w:rPr>
          <w:t>Table of Contents</w:t>
        </w:r>
      </w:hyperlink>
    </w:p>
    <w:p w14:paraId="4B03A4B4" w14:textId="77777777" w:rsidR="00000000" w:rsidRDefault="001F1B20">
      <w:pPr>
        <w:pStyle w:val="a3"/>
        <w:spacing w:before="0" w:beforeAutospacing="0" w:after="0" w:afterAutospacing="0"/>
        <w:ind w:firstLine="720"/>
        <w:divId w:val="692658243"/>
        <w:rPr>
          <w:sz w:val="20"/>
          <w:szCs w:val="20"/>
        </w:rPr>
      </w:pPr>
      <w:r>
        <w:rPr>
          <w:sz w:val="20"/>
          <w:szCs w:val="20"/>
        </w:rPr>
        <w:t>Based on positive top-line four-week results from a small exploratory Phase 2 study in nOH and discussions with the FDA, we advanced ampreloxetine into a Phase 3 program. We announced the initiation of patient dosing in study in early 2019. The Phase 3 pro</w:t>
      </w:r>
      <w:r>
        <w:rPr>
          <w:sz w:val="20"/>
          <w:szCs w:val="20"/>
        </w:rPr>
        <w:t>gram consists of two pivotal studies and one non-pivotal study. The first pivotal study (SEQUOIA), a four-week, randomized double-blind, placebo-controlled study, was designed to evaluate the efficacy and safety of ampreloxetine in patients with symptomati</w:t>
      </w:r>
      <w:r>
        <w:rPr>
          <w:sz w:val="20"/>
          <w:szCs w:val="20"/>
        </w:rPr>
        <w:t>c nOH. The second pivotal study (REDWOOD), a four-month open label study followed by a six-week randomized withdrawal phase was designed to evaluate the durability of patient response of ampreloxetine. The third, non-pivotal study (OAK), was designed to al</w:t>
      </w:r>
      <w:r>
        <w:rPr>
          <w:sz w:val="20"/>
          <w:szCs w:val="20"/>
        </w:rPr>
        <w:t>low patients who completed REDWOOD to have continued access to ampreloxetine for up to three and half years.</w:t>
      </w:r>
    </w:p>
    <w:p w14:paraId="65D26787" w14:textId="77777777" w:rsidR="00000000" w:rsidRDefault="001F1B20">
      <w:pPr>
        <w:pStyle w:val="a3"/>
        <w:spacing w:before="0" w:beforeAutospacing="0" w:after="0" w:afterAutospacing="0"/>
        <w:ind w:firstLine="720"/>
        <w:divId w:val="692658243"/>
        <w:rPr>
          <w:sz w:val="20"/>
          <w:szCs w:val="20"/>
        </w:rPr>
      </w:pPr>
      <w:r>
        <w:rPr>
          <w:sz w:val="20"/>
          <w:szCs w:val="20"/>
        </w:rPr>
        <w:t>​</w:t>
      </w:r>
    </w:p>
    <w:p w14:paraId="53DA9396" w14:textId="77777777" w:rsidR="00000000" w:rsidRDefault="001F1B20">
      <w:pPr>
        <w:pStyle w:val="a3"/>
        <w:spacing w:before="0" w:beforeAutospacing="0" w:after="0" w:afterAutospacing="0"/>
        <w:ind w:firstLine="720"/>
        <w:divId w:val="692658243"/>
        <w:rPr>
          <w:sz w:val="20"/>
          <w:szCs w:val="20"/>
        </w:rPr>
      </w:pPr>
      <w:r>
        <w:rPr>
          <w:sz w:val="20"/>
          <w:szCs w:val="20"/>
        </w:rPr>
        <w:t>In September 2021, we reported that the SEQUOIA Phase 3 clinical study did not meet its primary endpoint. Most treatment-related adverse events w</w:t>
      </w:r>
      <w:r>
        <w:rPr>
          <w:sz w:val="20"/>
          <w:szCs w:val="20"/>
        </w:rPr>
        <w:t>ere mild or moderate in severity. Serious adverse events occurred in two patients on placebo and four on ampreloxetine and none were considered related to the study drug. No deaths were reported, and there was no signal for supine hypertension. Study activ</w:t>
      </w:r>
      <w:r>
        <w:rPr>
          <w:sz w:val="20"/>
          <w:szCs w:val="20"/>
        </w:rPr>
        <w:t>ities for the ampreloxetine Phase 3 program will be completed by the end of the first quarter of 2022. We plan to share top-line results from REDWOOD and present the data from the Phase 3 programs at future scientific forums.</w:t>
      </w:r>
      <w:r>
        <w:rPr>
          <w:rFonts w:ascii="Arial" w:hAnsi="Arial" w:cs="Arial"/>
        </w:rPr>
        <w:t xml:space="preserve"> </w:t>
      </w:r>
    </w:p>
    <w:p w14:paraId="035CD0C4" w14:textId="77777777" w:rsidR="00000000" w:rsidRDefault="001F1B20">
      <w:pPr>
        <w:pStyle w:val="a3"/>
        <w:spacing w:before="0" w:beforeAutospacing="0" w:after="0" w:afterAutospacing="0"/>
        <w:divId w:val="692658243"/>
        <w:rPr>
          <w:sz w:val="20"/>
          <w:szCs w:val="20"/>
        </w:rPr>
      </w:pPr>
      <w:r>
        <w:rPr>
          <w:sz w:val="20"/>
          <w:szCs w:val="20"/>
        </w:rPr>
        <w:t>​</w:t>
      </w:r>
    </w:p>
    <w:p w14:paraId="1AC19891" w14:textId="77777777" w:rsidR="00000000" w:rsidRDefault="001F1B20">
      <w:pPr>
        <w:pStyle w:val="a3"/>
        <w:spacing w:before="0" w:beforeAutospacing="0" w:after="0" w:afterAutospacing="0"/>
        <w:divId w:val="692658243"/>
        <w:rPr>
          <w:sz w:val="20"/>
          <w:szCs w:val="20"/>
        </w:rPr>
      </w:pPr>
      <w:r>
        <w:rPr>
          <w:b/>
          <w:bCs/>
          <w:i/>
          <w:iCs/>
          <w:sz w:val="20"/>
          <w:szCs w:val="20"/>
        </w:rPr>
        <w:t>Gut-selective Pan-JAK Inhib</w:t>
      </w:r>
      <w:r>
        <w:rPr>
          <w:b/>
          <w:bCs/>
          <w:i/>
          <w:iCs/>
          <w:sz w:val="20"/>
          <w:szCs w:val="20"/>
        </w:rPr>
        <w:t xml:space="preserve">itor Program (Izencitinib) </w:t>
      </w:r>
    </w:p>
    <w:p w14:paraId="1006B058" w14:textId="77777777" w:rsidR="00000000" w:rsidRDefault="001F1B20">
      <w:pPr>
        <w:pStyle w:val="a3"/>
        <w:spacing w:before="0" w:beforeAutospacing="0" w:after="0" w:afterAutospacing="0"/>
        <w:divId w:val="692658243"/>
        <w:rPr>
          <w:sz w:val="20"/>
          <w:szCs w:val="20"/>
        </w:rPr>
      </w:pPr>
      <w:r>
        <w:rPr>
          <w:sz w:val="20"/>
          <w:szCs w:val="20"/>
        </w:rPr>
        <w:t>​</w:t>
      </w:r>
    </w:p>
    <w:p w14:paraId="6BA7E640" w14:textId="77777777" w:rsidR="00000000" w:rsidRDefault="001F1B20">
      <w:pPr>
        <w:pStyle w:val="a3"/>
        <w:spacing w:before="0" w:beforeAutospacing="0" w:after="0" w:afterAutospacing="0"/>
        <w:ind w:firstLine="720"/>
        <w:divId w:val="692658243"/>
        <w:rPr>
          <w:sz w:val="20"/>
          <w:szCs w:val="20"/>
        </w:rPr>
      </w:pPr>
      <w:r>
        <w:rPr>
          <w:sz w:val="20"/>
          <w:szCs w:val="20"/>
        </w:rPr>
        <w:t>JAK inhibitors function by inhibiting the activity of one or more of the Janus kinase family of enzymes (JAK1, JAK2, JAK3, TYK2) that play a key role in cytokine signaling. Inhibiting these JAK enzymes interferes with the JAK/</w:t>
      </w:r>
      <w:r>
        <w:rPr>
          <w:sz w:val="20"/>
          <w:szCs w:val="20"/>
        </w:rPr>
        <w:t>STAT signaling pathway and, in turn, modulates the activity of a wide range of pro-inflammatory cytokines. JAK inhibitors are currently approved for the treatment of rheumatoid arthritis, myelofibrosis, atopic dermatitis, and ulcerative colitis and have de</w:t>
      </w:r>
      <w:r>
        <w:rPr>
          <w:sz w:val="20"/>
          <w:szCs w:val="20"/>
        </w:rPr>
        <w:t>monstrated therapeutic benefit for patients with Crohn’s disease. However, these products are known to have side effects based on their systemic exposure. With izencitinib, our goal was to develop an orally administered, gut-selective pan-JAK inhibitor spe</w:t>
      </w:r>
      <w:r>
        <w:rPr>
          <w:sz w:val="20"/>
          <w:szCs w:val="20"/>
        </w:rPr>
        <w:t xml:space="preserve">cifically designed to distribute adequately and predominantly to the tissues of the intestinal tract, treating inflammation in those tissues while minimizing systemic exposure. </w:t>
      </w:r>
    </w:p>
    <w:p w14:paraId="23390DA1" w14:textId="77777777" w:rsidR="00000000" w:rsidRDefault="001F1B20">
      <w:pPr>
        <w:pStyle w:val="a3"/>
        <w:spacing w:before="0" w:beforeAutospacing="0" w:after="0" w:afterAutospacing="0"/>
        <w:ind w:firstLine="720"/>
        <w:divId w:val="692658243"/>
        <w:rPr>
          <w:sz w:val="20"/>
          <w:szCs w:val="20"/>
        </w:rPr>
      </w:pPr>
      <w:r>
        <w:rPr>
          <w:sz w:val="20"/>
          <w:szCs w:val="20"/>
        </w:rPr>
        <w:t>​</w:t>
      </w:r>
    </w:p>
    <w:p w14:paraId="5ECC8E03" w14:textId="77777777" w:rsidR="00000000" w:rsidRDefault="001F1B20">
      <w:pPr>
        <w:pStyle w:val="a3"/>
        <w:spacing w:before="0" w:beforeAutospacing="0" w:after="0" w:afterAutospacing="0"/>
        <w:ind w:firstLine="720"/>
        <w:divId w:val="692658243"/>
        <w:rPr>
          <w:sz w:val="20"/>
          <w:szCs w:val="20"/>
        </w:rPr>
      </w:pPr>
      <w:r>
        <w:rPr>
          <w:sz w:val="20"/>
          <w:szCs w:val="20"/>
        </w:rPr>
        <w:t>Based on positive results from a Phase 1b exploratory study in ulcerative co</w:t>
      </w:r>
      <w:r>
        <w:rPr>
          <w:sz w:val="20"/>
          <w:szCs w:val="20"/>
        </w:rPr>
        <w:t>litis and following dialogues with the FDA and European Medicines Agency (“EMA”) regarding study design, we advanced izencitinib into two clinical studies in inflammatory intestinal diseases. The Phase 2 (DIONE) study was a twelve-week randomized, double-b</w:t>
      </w:r>
      <w:r>
        <w:rPr>
          <w:sz w:val="20"/>
          <w:szCs w:val="20"/>
        </w:rPr>
        <w:t>lind, placebo-controlled study designed to evaluate the efficacy and safety of patients with Crohn’s disease, which began dosing patients in late 2018. The Phase 2b/3 (RHEA) study was a randomized, double-blind, placebo-controlled study to evaluate the eff</w:t>
      </w:r>
      <w:r>
        <w:rPr>
          <w:sz w:val="20"/>
          <w:szCs w:val="20"/>
        </w:rPr>
        <w:t xml:space="preserve">icacy and safety of eight weeks induction and 44 weeks maintenance therapy in patients with ulcerative colitis, which began dosing patients in early 2019. </w:t>
      </w:r>
    </w:p>
    <w:p w14:paraId="6870EF97" w14:textId="77777777" w:rsidR="00000000" w:rsidRDefault="001F1B20">
      <w:pPr>
        <w:pStyle w:val="a3"/>
        <w:spacing w:before="0" w:beforeAutospacing="0" w:after="0" w:afterAutospacing="0"/>
        <w:ind w:firstLine="720"/>
        <w:divId w:val="692658243"/>
        <w:rPr>
          <w:sz w:val="20"/>
          <w:szCs w:val="20"/>
        </w:rPr>
      </w:pPr>
      <w:r>
        <w:rPr>
          <w:sz w:val="20"/>
          <w:szCs w:val="20"/>
        </w:rPr>
        <w:t>​</w:t>
      </w:r>
    </w:p>
    <w:p w14:paraId="4FA46047" w14:textId="77777777" w:rsidR="00000000" w:rsidRDefault="001F1B20">
      <w:pPr>
        <w:pStyle w:val="a3"/>
        <w:spacing w:before="0" w:beforeAutospacing="0" w:after="0" w:afterAutospacing="0"/>
        <w:ind w:firstLine="720"/>
        <w:divId w:val="692658243"/>
        <w:rPr>
          <w:sz w:val="20"/>
          <w:szCs w:val="20"/>
        </w:rPr>
      </w:pPr>
      <w:r>
        <w:rPr>
          <w:sz w:val="20"/>
          <w:szCs w:val="20"/>
        </w:rPr>
        <w:t xml:space="preserve">In August 2021, we reported that the Phase 2b/3 (RHEA) study did not meet its primary endpoint of </w:t>
      </w:r>
      <w:r>
        <w:rPr>
          <w:sz w:val="20"/>
          <w:szCs w:val="20"/>
        </w:rPr>
        <w:t>change in the total Mayo score or the key secondary endpoint of clinical remission at week 8, relative to placebo. There was a small dose-dependent increase in clinical response measured by the adapted Mayo score, which was driven by a reduction in rectal</w:t>
      </w:r>
    </w:p>
    <w:p w14:paraId="700E5743" w14:textId="77777777" w:rsidR="00000000" w:rsidRDefault="001F1B20">
      <w:pPr>
        <w:pStyle w:val="a3"/>
        <w:spacing w:before="0" w:beforeAutospacing="0" w:after="0" w:afterAutospacing="0"/>
        <w:divId w:val="692658243"/>
        <w:rPr>
          <w:sz w:val="20"/>
          <w:szCs w:val="20"/>
        </w:rPr>
      </w:pPr>
      <w:r>
        <w:rPr>
          <w:sz w:val="20"/>
          <w:szCs w:val="20"/>
        </w:rPr>
        <w:t xml:space="preserve">bleeding. </w:t>
      </w:r>
    </w:p>
    <w:p w14:paraId="71368C83" w14:textId="77777777" w:rsidR="00000000" w:rsidRDefault="001F1B20">
      <w:pPr>
        <w:pStyle w:val="a3"/>
        <w:spacing w:before="0" w:beforeAutospacing="0" w:after="0" w:afterAutospacing="0"/>
        <w:divId w:val="692658243"/>
        <w:rPr>
          <w:sz w:val="20"/>
          <w:szCs w:val="20"/>
        </w:rPr>
      </w:pPr>
      <w:r>
        <w:rPr>
          <w:sz w:val="20"/>
          <w:szCs w:val="20"/>
        </w:rPr>
        <w:t>​</w:t>
      </w:r>
    </w:p>
    <w:p w14:paraId="54B98270" w14:textId="77777777" w:rsidR="00000000" w:rsidRDefault="001F1B20">
      <w:pPr>
        <w:pStyle w:val="a3"/>
        <w:spacing w:before="0" w:beforeAutospacing="0" w:after="0" w:afterAutospacing="0"/>
        <w:ind w:firstLine="720"/>
        <w:divId w:val="692658243"/>
        <w:rPr>
          <w:sz w:val="20"/>
          <w:szCs w:val="20"/>
        </w:rPr>
      </w:pPr>
      <w:r>
        <w:rPr>
          <w:sz w:val="20"/>
          <w:szCs w:val="20"/>
        </w:rPr>
        <w:t>At all doses, izencitinib was well-tolerated when administered orally once daily for 8 weeks; adverse event rates were similar among patients receiving izencitinib and placebo. There were no instances of perforation, opportunistic infection, m</w:t>
      </w:r>
      <w:r>
        <w:rPr>
          <w:sz w:val="20"/>
          <w:szCs w:val="20"/>
        </w:rPr>
        <w:t>ajor cardiovascular or thromboembolic event, complicated zoster, or non-melanoma skin cancer in patients receiving izencitinib. There were no notable changes in lab values including creatine phosphokinase and lipids in</w:t>
      </w:r>
    </w:p>
    <w:p w14:paraId="6BCDDE79" w14:textId="77777777" w:rsidR="00000000" w:rsidRDefault="001F1B20">
      <w:pPr>
        <w:pStyle w:val="a3"/>
        <w:spacing w:before="0" w:beforeAutospacing="0" w:after="0" w:afterAutospacing="0"/>
        <w:divId w:val="692658243"/>
        <w:rPr>
          <w:sz w:val="20"/>
          <w:szCs w:val="20"/>
        </w:rPr>
      </w:pPr>
      <w:r>
        <w:rPr>
          <w:sz w:val="20"/>
          <w:szCs w:val="20"/>
        </w:rPr>
        <w:t>patients receiving izencitinib relati</w:t>
      </w:r>
      <w:r>
        <w:rPr>
          <w:sz w:val="20"/>
          <w:szCs w:val="20"/>
        </w:rPr>
        <w:t>ve to placebo. Plasma exposure of izencitinib was low, consistent with expectations for a gut-selective medicine. We plan to present the study results at a future scientific forum. The Phase 2 study in Crohn’s disease with izencitinib has completed enrollm</w:t>
      </w:r>
      <w:r>
        <w:rPr>
          <w:sz w:val="20"/>
          <w:szCs w:val="20"/>
        </w:rPr>
        <w:t xml:space="preserve">ent with top-line results expected in the first quarter of 2022. We plan to share top-line results and present the data from this program at a future scientific forum. </w:t>
      </w:r>
    </w:p>
    <w:p w14:paraId="53DCB55A" w14:textId="77777777" w:rsidR="00000000" w:rsidRDefault="001F1B20">
      <w:pPr>
        <w:pStyle w:val="a3"/>
        <w:spacing w:before="0" w:beforeAutospacing="0" w:after="0" w:afterAutospacing="0"/>
        <w:ind w:firstLine="720"/>
        <w:divId w:val="692658243"/>
        <w:rPr>
          <w:sz w:val="20"/>
          <w:szCs w:val="20"/>
        </w:rPr>
      </w:pPr>
      <w:r>
        <w:rPr>
          <w:sz w:val="20"/>
          <w:szCs w:val="20"/>
        </w:rPr>
        <w:t>​</w:t>
      </w:r>
    </w:p>
    <w:p w14:paraId="55261F07" w14:textId="77777777" w:rsidR="00000000" w:rsidRDefault="001F1B20">
      <w:pPr>
        <w:pStyle w:val="a3"/>
        <w:spacing w:before="0" w:beforeAutospacing="0" w:after="0" w:afterAutospacing="0"/>
        <w:divId w:val="692658243"/>
        <w:rPr>
          <w:sz w:val="20"/>
          <w:szCs w:val="20"/>
        </w:rPr>
      </w:pPr>
      <w:r>
        <w:rPr>
          <w:b/>
          <w:bCs/>
          <w:i/>
          <w:iCs/>
          <w:sz w:val="20"/>
          <w:szCs w:val="20"/>
        </w:rPr>
        <w:t>Irreversible JAK3 Inhibitor (TD-5202)</w:t>
      </w:r>
    </w:p>
    <w:p w14:paraId="32812783" w14:textId="77777777" w:rsidR="00000000" w:rsidRDefault="001F1B20">
      <w:pPr>
        <w:pStyle w:val="a3"/>
        <w:spacing w:before="0" w:beforeAutospacing="0" w:after="0" w:afterAutospacing="0"/>
        <w:divId w:val="692658243"/>
        <w:rPr>
          <w:sz w:val="20"/>
          <w:szCs w:val="20"/>
        </w:rPr>
      </w:pPr>
      <w:r>
        <w:rPr>
          <w:b/>
          <w:bCs/>
          <w:i/>
          <w:iCs/>
          <w:sz w:val="20"/>
          <w:szCs w:val="20"/>
        </w:rPr>
        <w:t>​</w:t>
      </w:r>
    </w:p>
    <w:p w14:paraId="1FD58982" w14:textId="77777777" w:rsidR="00000000" w:rsidRDefault="001F1B20">
      <w:pPr>
        <w:pStyle w:val="a3"/>
        <w:spacing w:before="0" w:beforeAutospacing="0" w:after="0" w:afterAutospacing="0"/>
        <w:ind w:firstLine="720"/>
        <w:divId w:val="692658243"/>
        <w:rPr>
          <w:sz w:val="20"/>
          <w:szCs w:val="20"/>
        </w:rPr>
      </w:pPr>
      <w:r>
        <w:rPr>
          <w:sz w:val="20"/>
          <w:szCs w:val="20"/>
        </w:rPr>
        <w:t>TD-5202 is an investigational, orally adminis</w:t>
      </w:r>
      <w:r>
        <w:rPr>
          <w:sz w:val="20"/>
          <w:szCs w:val="20"/>
        </w:rPr>
        <w:t>tered, gut-selective, irreversible JAK3 inhibitor that has demonstrated a high affinity for the JAK3 enzyme. Through the selective inhibition of JAK3, TD-5202 interferes with the JAK/STAT signaling pathway and, in turn, modulates the activity of select pro</w:t>
      </w:r>
      <w:r>
        <w:rPr>
          <w:sz w:val="20"/>
          <w:szCs w:val="20"/>
        </w:rPr>
        <w:t xml:space="preserve">-inflammatory cytokines, including IL-2, IL-15, and IL-21 </w:t>
      </w:r>
    </w:p>
    <w:p w14:paraId="5E090D8D" w14:textId="77777777" w:rsidR="00000000" w:rsidRDefault="001F1B20">
      <w:pPr>
        <w:pStyle w:val="a3"/>
        <w:spacing w:before="360" w:beforeAutospacing="0" w:after="0" w:afterAutospacing="0"/>
        <w:jc w:val="center"/>
        <w:divId w:val="1187869024"/>
        <w:rPr>
          <w:sz w:val="20"/>
          <w:szCs w:val="20"/>
        </w:rPr>
      </w:pPr>
      <w:r>
        <w:rPr>
          <w:sz w:val="20"/>
          <w:szCs w:val="20"/>
        </w:rPr>
        <w:t>24</w:t>
      </w:r>
    </w:p>
    <w:p w14:paraId="1C59C573" w14:textId="77777777" w:rsidR="00000000" w:rsidRDefault="001F1B20">
      <w:pPr>
        <w:pStyle w:val="a3"/>
        <w:spacing w:before="0" w:beforeAutospacing="0" w:after="600" w:afterAutospacing="0"/>
        <w:divId w:val="2068916021"/>
        <w:rPr>
          <w:sz w:val="20"/>
          <w:szCs w:val="20"/>
        </w:rPr>
      </w:pPr>
      <w:hyperlink w:anchor="TOC" w:history="1">
        <w:r>
          <w:rPr>
            <w:rStyle w:val="a4"/>
            <w:sz w:val="20"/>
            <w:szCs w:val="20"/>
          </w:rPr>
          <w:t>Table of Contents</w:t>
        </w:r>
      </w:hyperlink>
    </w:p>
    <w:p w14:paraId="3AF87D7B" w14:textId="77777777" w:rsidR="00000000" w:rsidRDefault="001F1B20">
      <w:pPr>
        <w:pStyle w:val="a3"/>
        <w:spacing w:before="0" w:beforeAutospacing="0" w:after="0" w:afterAutospacing="0"/>
        <w:divId w:val="1031421998"/>
        <w:rPr>
          <w:sz w:val="20"/>
          <w:szCs w:val="20"/>
        </w:rPr>
      </w:pPr>
      <w:r>
        <w:rPr>
          <w:sz w:val="20"/>
          <w:szCs w:val="20"/>
        </w:rPr>
        <w:t>which play a central role in the pathogenesis of T-cell mediated disease, including inflammatory intestinal disease, such as celiac disease. Important</w:t>
      </w:r>
      <w:r>
        <w:rPr>
          <w:sz w:val="20"/>
          <w:szCs w:val="20"/>
        </w:rPr>
        <w:t>ly, TD-5202 is specifically designed to act locally within the intestinal wall thereby limiting systemic exposure.</w:t>
      </w:r>
      <w:r>
        <w:rPr>
          <w:sz w:val="20"/>
          <w:szCs w:val="20"/>
        </w:rPr>
        <w:t xml:space="preserve"> </w:t>
      </w:r>
    </w:p>
    <w:p w14:paraId="69F2B411" w14:textId="77777777" w:rsidR="00000000" w:rsidRDefault="001F1B20">
      <w:pPr>
        <w:pStyle w:val="a3"/>
        <w:spacing w:before="0" w:beforeAutospacing="0" w:after="0" w:afterAutospacing="0"/>
        <w:divId w:val="1031421998"/>
        <w:rPr>
          <w:sz w:val="20"/>
          <w:szCs w:val="20"/>
        </w:rPr>
      </w:pPr>
      <w:r>
        <w:rPr>
          <w:sz w:val="20"/>
          <w:szCs w:val="20"/>
        </w:rPr>
        <w:t>​</w:t>
      </w:r>
    </w:p>
    <w:p w14:paraId="1EF2EEF5" w14:textId="77777777" w:rsidR="00000000" w:rsidRDefault="001F1B20">
      <w:pPr>
        <w:pStyle w:val="a3"/>
        <w:spacing w:before="0" w:beforeAutospacing="0" w:after="0" w:afterAutospacing="0"/>
        <w:ind w:firstLine="720"/>
        <w:divId w:val="1031421998"/>
        <w:rPr>
          <w:sz w:val="20"/>
          <w:szCs w:val="20"/>
        </w:rPr>
      </w:pPr>
      <w:r>
        <w:rPr>
          <w:sz w:val="20"/>
          <w:szCs w:val="20"/>
        </w:rPr>
        <w:t>In September 2019, we announced the initiation of a Phase 1 single ascending dose and multiple ascending dose trial designed to evaluate the safety and tolerability of TD-5202 in healthy participants, plus assess plasma pharmacokinetics of TD-5202 to confi</w:t>
      </w:r>
      <w:r>
        <w:rPr>
          <w:sz w:val="20"/>
          <w:szCs w:val="20"/>
        </w:rPr>
        <w:t>rm circulating levels are low, consistent with a gut-selective approach. In February 2020, we announced that data from the Phase 1 study indicated that TD-5202 was generally well tolerated as a single oral dose up to 2000 milligrams and as a twice-daily or</w:t>
      </w:r>
      <w:r>
        <w:rPr>
          <w:sz w:val="20"/>
          <w:szCs w:val="20"/>
        </w:rPr>
        <w:t xml:space="preserve">al dose up 2000 milligrams total per day given for ten consecutive days in healthy participants. </w:t>
      </w:r>
    </w:p>
    <w:p w14:paraId="68C5ED5D" w14:textId="77777777" w:rsidR="00000000" w:rsidRDefault="001F1B20">
      <w:pPr>
        <w:pStyle w:val="a3"/>
        <w:spacing w:before="0" w:beforeAutospacing="0" w:after="0" w:afterAutospacing="0"/>
        <w:divId w:val="1031421998"/>
        <w:rPr>
          <w:sz w:val="20"/>
          <w:szCs w:val="20"/>
        </w:rPr>
      </w:pPr>
      <w:r>
        <w:rPr>
          <w:sz w:val="20"/>
          <w:szCs w:val="20"/>
        </w:rPr>
        <w:t>​</w:t>
      </w:r>
    </w:p>
    <w:p w14:paraId="0C300A1D" w14:textId="77777777" w:rsidR="00000000" w:rsidRDefault="001F1B20">
      <w:pPr>
        <w:pStyle w:val="a3"/>
        <w:spacing w:before="0" w:beforeAutospacing="0" w:after="0" w:afterAutospacing="0"/>
        <w:ind w:firstLine="720"/>
        <w:divId w:val="1031421998"/>
        <w:rPr>
          <w:sz w:val="20"/>
          <w:szCs w:val="20"/>
        </w:rPr>
      </w:pPr>
      <w:r>
        <w:rPr>
          <w:sz w:val="20"/>
          <w:szCs w:val="20"/>
        </w:rPr>
        <w:t>We were developing izencitinib and TD-5202 in collaboration with Janssen as part of the companies’ global co-development and commercialization agreement for</w:t>
      </w:r>
      <w:r>
        <w:rPr>
          <w:sz w:val="20"/>
          <w:szCs w:val="20"/>
        </w:rPr>
        <w:t xml:space="preserve"> novel, gut-selective JAK inhibitors. </w:t>
      </w:r>
    </w:p>
    <w:p w14:paraId="2A00C1A5" w14:textId="77777777" w:rsidR="00000000" w:rsidRDefault="001F1B20">
      <w:pPr>
        <w:pStyle w:val="a3"/>
        <w:spacing w:before="0" w:beforeAutospacing="0" w:after="0" w:afterAutospacing="0"/>
        <w:divId w:val="1031421998"/>
        <w:rPr>
          <w:sz w:val="20"/>
          <w:szCs w:val="20"/>
        </w:rPr>
      </w:pPr>
      <w:r>
        <w:rPr>
          <w:sz w:val="20"/>
          <w:szCs w:val="20"/>
        </w:rPr>
        <w:t>​</w:t>
      </w:r>
    </w:p>
    <w:p w14:paraId="7A1198E0" w14:textId="77777777" w:rsidR="00000000" w:rsidRDefault="001F1B20">
      <w:pPr>
        <w:pStyle w:val="a3"/>
        <w:spacing w:before="0" w:beforeAutospacing="0" w:after="0" w:afterAutospacing="0"/>
        <w:divId w:val="1031421998"/>
        <w:rPr>
          <w:sz w:val="20"/>
          <w:szCs w:val="20"/>
        </w:rPr>
      </w:pPr>
      <w:r>
        <w:rPr>
          <w:i/>
          <w:iCs/>
          <w:sz w:val="20"/>
          <w:szCs w:val="20"/>
        </w:rPr>
        <w:t>Janssen Biotech Collaboration</w:t>
      </w:r>
    </w:p>
    <w:p w14:paraId="1022C396" w14:textId="77777777" w:rsidR="00000000" w:rsidRDefault="001F1B20">
      <w:pPr>
        <w:pStyle w:val="a3"/>
        <w:spacing w:before="0" w:beforeAutospacing="0" w:after="0" w:afterAutospacing="0"/>
        <w:divId w:val="1031421998"/>
        <w:rPr>
          <w:sz w:val="20"/>
          <w:szCs w:val="20"/>
        </w:rPr>
      </w:pPr>
      <w:r>
        <w:rPr>
          <w:sz w:val="20"/>
          <w:szCs w:val="20"/>
        </w:rPr>
        <w:t>​</w:t>
      </w:r>
    </w:p>
    <w:p w14:paraId="20B60EDC" w14:textId="77777777" w:rsidR="00000000" w:rsidRDefault="001F1B20">
      <w:pPr>
        <w:pStyle w:val="a3"/>
        <w:spacing w:before="0" w:beforeAutospacing="0" w:after="0" w:afterAutospacing="0"/>
        <w:ind w:firstLine="720"/>
        <w:divId w:val="1031421998"/>
        <w:rPr>
          <w:sz w:val="20"/>
          <w:szCs w:val="20"/>
        </w:rPr>
      </w:pPr>
      <w:r>
        <w:rPr>
          <w:sz w:val="20"/>
          <w:szCs w:val="20"/>
        </w:rPr>
        <w:t>In February 2018, we announced a global co-development and commercialization agreement with Janssen for izencitinib and related back-up compounds for inflammatory intestinal diseases,</w:t>
      </w:r>
      <w:r>
        <w:rPr>
          <w:sz w:val="20"/>
          <w:szCs w:val="20"/>
        </w:rPr>
        <w:t xml:space="preserve"> including ulcerative colitis and Crohn's disease. Under the terms of the agreement, we received an upfront payment of $100.0 million and will be eligible to receive up to an additional $900.0 million in potential payments, inclusive of a potential opt-in </w:t>
      </w:r>
      <w:r>
        <w:rPr>
          <w:sz w:val="20"/>
          <w:szCs w:val="20"/>
        </w:rPr>
        <w:t>payment following completion of the Phase 2 Crohn’s disease study and the Phase 2b induction portion of the ulcerative colitis study. At that time, Janssen can elect to obtain an exclusive license to develop and commercialize izencitinib and certain relate</w:t>
      </w:r>
      <w:r>
        <w:rPr>
          <w:sz w:val="20"/>
          <w:szCs w:val="20"/>
        </w:rPr>
        <w:t>d compounds by paying us a fee of $200.0 million. Considering recent unfavorable Phase 2b ulcerative colitis study results, we have excluded the $200.0 million opt-in payment in our assumptions and forecasts.</w:t>
      </w:r>
    </w:p>
    <w:p w14:paraId="0364DEB3" w14:textId="77777777" w:rsidR="00000000" w:rsidRDefault="001F1B20">
      <w:pPr>
        <w:pStyle w:val="a3"/>
        <w:spacing w:before="0" w:beforeAutospacing="0" w:after="0" w:afterAutospacing="0"/>
        <w:divId w:val="1031421998"/>
        <w:rPr>
          <w:sz w:val="20"/>
          <w:szCs w:val="20"/>
        </w:rPr>
      </w:pPr>
      <w:r>
        <w:rPr>
          <w:b/>
          <w:bCs/>
          <w:sz w:val="20"/>
          <w:szCs w:val="20"/>
        </w:rPr>
        <w:t>​</w:t>
      </w:r>
    </w:p>
    <w:p w14:paraId="4FC02529" w14:textId="77777777" w:rsidR="00000000" w:rsidRDefault="001F1B20">
      <w:pPr>
        <w:pStyle w:val="a3"/>
        <w:spacing w:before="0" w:beforeAutospacing="0" w:after="120" w:afterAutospacing="0"/>
        <w:divId w:val="1031421998"/>
        <w:rPr>
          <w:sz w:val="20"/>
          <w:szCs w:val="20"/>
        </w:rPr>
      </w:pPr>
      <w:r>
        <w:rPr>
          <w:b/>
          <w:bCs/>
          <w:sz w:val="20"/>
          <w:szCs w:val="20"/>
        </w:rPr>
        <w:t>Economic Interest in GSK-Partnered Respirator</w:t>
      </w:r>
      <w:r>
        <w:rPr>
          <w:b/>
          <w:bCs/>
          <w:sz w:val="20"/>
          <w:szCs w:val="20"/>
        </w:rPr>
        <w:t>y Programs</w:t>
      </w:r>
    </w:p>
    <w:p w14:paraId="195E6F36" w14:textId="77777777" w:rsidR="00000000" w:rsidRDefault="001F1B20">
      <w:pPr>
        <w:pStyle w:val="a3"/>
        <w:spacing w:before="0" w:beforeAutospacing="0" w:after="0" w:afterAutospacing="0"/>
        <w:ind w:firstLine="720"/>
        <w:divId w:val="1031421998"/>
        <w:rPr>
          <w:sz w:val="20"/>
          <w:szCs w:val="20"/>
        </w:rPr>
      </w:pPr>
      <w:r>
        <w:rPr>
          <w:sz w:val="20"/>
          <w:szCs w:val="20"/>
        </w:rPr>
        <w:t>We hold an 85% economic interest in any future payments that may be made by GSK to Theravance Respiratory Company, LLC (“TRC”) pursuant to its agreements with Innoviva (net of TRC expenses paid and the amount of cash, if any, expected to be used</w:t>
      </w:r>
      <w:r>
        <w:rPr>
          <w:sz w:val="20"/>
          <w:szCs w:val="20"/>
        </w:rPr>
        <w:t xml:space="preserve"> by TRC pursuant to the TRC LLC Agreement over the next four fiscal quarters) relating to the GSK-Partnered Respiratory Programs, which Innoviva partnered with GSK and assigned to TRC in connection with Innoviva’s separation of its biopharmaceutical operat</w:t>
      </w:r>
      <w:r>
        <w:rPr>
          <w:sz w:val="20"/>
          <w:szCs w:val="20"/>
        </w:rPr>
        <w:t>ions into its then wholly-owned subsidiary Theravance Biopharma in June 2014. The GSK-Partnered Respiratory Programs consist primarily of the TRELEGY program, which is described in more detail below. We are entitled to this economic interest through our eq</w:t>
      </w:r>
      <w:r>
        <w:rPr>
          <w:sz w:val="20"/>
          <w:szCs w:val="20"/>
        </w:rPr>
        <w:t xml:space="preserve">uity ownership in TRC. Our economic interest does not include any payments associated with RELVAR ELLIPTA/BREO ELLIPTA, ANORO ELLIPTA or vilanterol monotherapy. </w:t>
      </w:r>
    </w:p>
    <w:p w14:paraId="56DD31DF" w14:textId="77777777" w:rsidR="00000000" w:rsidRDefault="001F1B20">
      <w:pPr>
        <w:pStyle w:val="a3"/>
        <w:spacing w:before="0" w:beforeAutospacing="0" w:after="0" w:afterAutospacing="0"/>
        <w:divId w:val="1031421998"/>
        <w:rPr>
          <w:sz w:val="20"/>
          <w:szCs w:val="20"/>
        </w:rPr>
      </w:pPr>
      <w:r>
        <w:rPr>
          <w:sz w:val="20"/>
          <w:szCs w:val="20"/>
        </w:rPr>
        <w:t>​</w:t>
      </w:r>
    </w:p>
    <w:p w14:paraId="7ECF2E3F" w14:textId="77777777" w:rsidR="00000000" w:rsidRDefault="001F1B20">
      <w:pPr>
        <w:pStyle w:val="a3"/>
        <w:spacing w:before="0" w:beforeAutospacing="0" w:after="0" w:afterAutospacing="0"/>
        <w:ind w:firstLine="720"/>
        <w:divId w:val="1031421998"/>
        <w:rPr>
          <w:sz w:val="20"/>
          <w:szCs w:val="20"/>
        </w:rPr>
      </w:pPr>
      <w:r>
        <w:rPr>
          <w:sz w:val="20"/>
          <w:szCs w:val="20"/>
        </w:rPr>
        <w:t>The following information regarding the TRELEGY program is based solely upon publicly availa</w:t>
      </w:r>
      <w:r>
        <w:rPr>
          <w:sz w:val="20"/>
          <w:szCs w:val="20"/>
        </w:rPr>
        <w:t>ble information and may not reflect the most recent developments under the programs.</w:t>
      </w:r>
    </w:p>
    <w:p w14:paraId="6D2E18DA" w14:textId="77777777" w:rsidR="00000000" w:rsidRDefault="001F1B20">
      <w:pPr>
        <w:pStyle w:val="a3"/>
        <w:spacing w:before="0" w:beforeAutospacing="0" w:after="0" w:afterAutospacing="0"/>
        <w:ind w:firstLine="720"/>
        <w:divId w:val="1031421998"/>
        <w:rPr>
          <w:sz w:val="20"/>
          <w:szCs w:val="20"/>
        </w:rPr>
      </w:pPr>
      <w:r>
        <w:rPr>
          <w:sz w:val="20"/>
          <w:szCs w:val="20"/>
        </w:rPr>
        <w:t>​</w:t>
      </w:r>
    </w:p>
    <w:p w14:paraId="1C7C47AD" w14:textId="77777777" w:rsidR="00000000" w:rsidRDefault="001F1B20">
      <w:pPr>
        <w:pStyle w:val="a3"/>
        <w:spacing w:before="0" w:beforeAutospacing="0" w:after="120" w:afterAutospacing="0"/>
        <w:divId w:val="1031421998"/>
        <w:rPr>
          <w:sz w:val="20"/>
          <w:szCs w:val="20"/>
        </w:rPr>
      </w:pPr>
      <w:r>
        <w:rPr>
          <w:b/>
          <w:bCs/>
          <w:i/>
          <w:iCs/>
          <w:sz w:val="20"/>
          <w:szCs w:val="20"/>
        </w:rPr>
        <w:t>TRELEGY (the combination of fluticasone furoate/umeclidinium bromide/vilanterol)</w:t>
      </w:r>
    </w:p>
    <w:p w14:paraId="66D681A6" w14:textId="77777777" w:rsidR="00000000" w:rsidRDefault="001F1B20">
      <w:pPr>
        <w:pStyle w:val="a3"/>
        <w:spacing w:before="0" w:beforeAutospacing="0" w:after="0" w:afterAutospacing="0"/>
        <w:ind w:firstLine="720"/>
        <w:divId w:val="1031421998"/>
        <w:rPr>
          <w:sz w:val="20"/>
          <w:szCs w:val="20"/>
        </w:rPr>
      </w:pPr>
      <w:r>
        <w:rPr>
          <w:sz w:val="20"/>
          <w:szCs w:val="20"/>
        </w:rPr>
        <w:t>TRELEGY provides the activity of an inhaled corticosteroid (FF) plus two bronchodilators</w:t>
      </w:r>
      <w:r>
        <w:rPr>
          <w:sz w:val="20"/>
          <w:szCs w:val="20"/>
        </w:rPr>
        <w:t xml:space="preserve"> (UMEC, a LAMA, and VI, a long-acting beta2 agonist, or LABA) in a single delivery device administered once-daily. TRELEGY is approved for use in the US, European Union (“EU”), and other countries for the long-term, once-daily, maintenance treatment of pat</w:t>
      </w:r>
      <w:r>
        <w:rPr>
          <w:sz w:val="20"/>
          <w:szCs w:val="20"/>
        </w:rPr>
        <w:t>ients with COPD. We hold an 85% economic interest in the royalties payable by GSK to TRC on worldwide net sales (net of TRC expenses paid and the amount of cash, if any, expected to be used by TRC pursuant to the TRC LLC Agreement over the next four fiscal</w:t>
      </w:r>
      <w:r>
        <w:rPr>
          <w:sz w:val="20"/>
          <w:szCs w:val="20"/>
        </w:rPr>
        <w:t xml:space="preserve"> quarters) through our interest in TRC. Those royalties are upward-tiering from 6.5% to 10%, resulting in cash flows to us of approximately 5.5% to 8.5% of worldwide net sales of TRELEGY (net of TRC expenses paid and the amount of cash, if any, expected to</w:t>
      </w:r>
      <w:r>
        <w:rPr>
          <w:sz w:val="20"/>
          <w:szCs w:val="20"/>
        </w:rPr>
        <w:t xml:space="preserve"> be used by TRC pursuant to the TRC LLC Agreement over the next four fiscal quarters). Theravance Biopharma is not responsible for any of GSK’s costs related to the development or commercialization of TRELEGY.</w:t>
      </w:r>
    </w:p>
    <w:p w14:paraId="4E38BA49" w14:textId="77777777" w:rsidR="00000000" w:rsidRDefault="001F1B20">
      <w:pPr>
        <w:pStyle w:val="a3"/>
        <w:spacing w:before="0" w:beforeAutospacing="0" w:after="0" w:afterAutospacing="0"/>
        <w:divId w:val="1031421998"/>
        <w:rPr>
          <w:sz w:val="20"/>
          <w:szCs w:val="20"/>
        </w:rPr>
      </w:pPr>
      <w:r>
        <w:rPr>
          <w:sz w:val="20"/>
          <w:szCs w:val="20"/>
        </w:rPr>
        <w:t>​</w:t>
      </w:r>
    </w:p>
    <w:p w14:paraId="714F5B75" w14:textId="77777777" w:rsidR="00000000" w:rsidRDefault="001F1B20">
      <w:pPr>
        <w:pStyle w:val="a3"/>
        <w:spacing w:before="0" w:beforeAutospacing="0" w:after="0" w:afterAutospacing="0"/>
        <w:ind w:firstLine="720"/>
        <w:divId w:val="1031421998"/>
        <w:rPr>
          <w:sz w:val="20"/>
          <w:szCs w:val="20"/>
        </w:rPr>
      </w:pPr>
      <w:r>
        <w:rPr>
          <w:sz w:val="20"/>
          <w:szCs w:val="20"/>
        </w:rPr>
        <w:t>Additionally, GSK and Innoviva conducted a P</w:t>
      </w:r>
      <w:r>
        <w:rPr>
          <w:sz w:val="20"/>
          <w:szCs w:val="20"/>
        </w:rPr>
        <w:t>hase 3 (CAPTAIN) study of TRELEGY in patients with asthma. In May 2019, GSK and Innoviva announced that the study had met its primary endpoint, and in October 2019, GSK announced it had filed a sNDA with the FDA seeking an additional indication for the use</w:t>
      </w:r>
      <w:r>
        <w:rPr>
          <w:sz w:val="20"/>
          <w:szCs w:val="20"/>
        </w:rPr>
        <w:t xml:space="preserve"> of once-daily, single-inhaler triple therapy, TRELEGY, for the treatment of asthma in adults. The FDA approved the asthma sNDA in September 2020 making </w:t>
      </w:r>
    </w:p>
    <w:p w14:paraId="0C7488A6" w14:textId="77777777" w:rsidR="00000000" w:rsidRDefault="001F1B20">
      <w:pPr>
        <w:pStyle w:val="a3"/>
        <w:spacing w:before="360" w:beforeAutospacing="0" w:after="0" w:afterAutospacing="0"/>
        <w:jc w:val="center"/>
        <w:divId w:val="1204441555"/>
        <w:rPr>
          <w:sz w:val="20"/>
          <w:szCs w:val="20"/>
        </w:rPr>
      </w:pPr>
      <w:r>
        <w:rPr>
          <w:sz w:val="20"/>
          <w:szCs w:val="20"/>
        </w:rPr>
        <w:t>25</w:t>
      </w:r>
    </w:p>
    <w:p w14:paraId="6DAB0691" w14:textId="77777777" w:rsidR="00000000" w:rsidRDefault="001F1B20">
      <w:pPr>
        <w:pStyle w:val="a3"/>
        <w:spacing w:before="0" w:beforeAutospacing="0" w:after="600" w:afterAutospacing="0"/>
        <w:divId w:val="2010937337"/>
        <w:rPr>
          <w:sz w:val="20"/>
          <w:szCs w:val="20"/>
        </w:rPr>
      </w:pPr>
      <w:hyperlink w:anchor="TOC" w:history="1">
        <w:r>
          <w:rPr>
            <w:rStyle w:val="a4"/>
            <w:sz w:val="20"/>
            <w:szCs w:val="20"/>
          </w:rPr>
          <w:t>Table of Contents</w:t>
        </w:r>
      </w:hyperlink>
    </w:p>
    <w:p w14:paraId="5527E6B4" w14:textId="77777777" w:rsidR="00000000" w:rsidRDefault="001F1B20">
      <w:pPr>
        <w:pStyle w:val="a3"/>
        <w:spacing w:before="0" w:beforeAutospacing="0" w:after="0" w:afterAutospacing="0"/>
        <w:divId w:val="850531519"/>
        <w:rPr>
          <w:sz w:val="20"/>
          <w:szCs w:val="20"/>
        </w:rPr>
      </w:pPr>
      <w:r>
        <w:rPr>
          <w:sz w:val="20"/>
          <w:szCs w:val="20"/>
        </w:rPr>
        <w:t>TRELEGY the first once-daily single inhaler triple ther</w:t>
      </w:r>
      <w:r>
        <w:rPr>
          <w:sz w:val="20"/>
          <w:szCs w:val="20"/>
        </w:rPr>
        <w:t>apy for the treatment of both asthma and COPD in the US. GSK has obtained approval for the asthma indication in ten additional markets. TRELEGY is currently expected to generate global peak sales exceeding $3.0 billion annually.</w:t>
      </w:r>
    </w:p>
    <w:p w14:paraId="76CA754F" w14:textId="77777777" w:rsidR="00000000" w:rsidRDefault="001F1B20">
      <w:pPr>
        <w:pStyle w:val="a3"/>
        <w:spacing w:before="0" w:beforeAutospacing="0" w:after="0" w:afterAutospacing="0"/>
        <w:divId w:val="850531519"/>
        <w:rPr>
          <w:sz w:val="20"/>
          <w:szCs w:val="20"/>
        </w:rPr>
      </w:pPr>
      <w:r>
        <w:rPr>
          <w:i/>
          <w:iCs/>
          <w:sz w:val="20"/>
          <w:szCs w:val="20"/>
        </w:rPr>
        <w:t>​</w:t>
      </w:r>
    </w:p>
    <w:p w14:paraId="50034372" w14:textId="77777777" w:rsidR="00000000" w:rsidRDefault="001F1B20">
      <w:pPr>
        <w:pStyle w:val="a3"/>
        <w:spacing w:before="0" w:beforeAutospacing="0" w:after="120" w:afterAutospacing="0"/>
        <w:divId w:val="850531519"/>
        <w:rPr>
          <w:sz w:val="20"/>
          <w:szCs w:val="20"/>
        </w:rPr>
      </w:pPr>
      <w:r>
        <w:rPr>
          <w:b/>
          <w:bCs/>
          <w:i/>
          <w:iCs/>
          <w:sz w:val="20"/>
          <w:szCs w:val="20"/>
        </w:rPr>
        <w:t>Theravance Respiratory Co</w:t>
      </w:r>
      <w:r>
        <w:rPr>
          <w:b/>
          <w:bCs/>
          <w:i/>
          <w:iCs/>
          <w:sz w:val="20"/>
          <w:szCs w:val="20"/>
        </w:rPr>
        <w:t xml:space="preserve">mpany, LLC </w:t>
      </w:r>
    </w:p>
    <w:p w14:paraId="283F4E0C" w14:textId="77777777" w:rsidR="00000000" w:rsidRDefault="001F1B20">
      <w:pPr>
        <w:pStyle w:val="a3"/>
        <w:spacing w:before="0" w:beforeAutospacing="0" w:after="0" w:afterAutospacing="0"/>
        <w:ind w:firstLine="720"/>
        <w:divId w:val="850531519"/>
        <w:rPr>
          <w:sz w:val="20"/>
          <w:szCs w:val="20"/>
        </w:rPr>
      </w:pPr>
      <w:r>
        <w:rPr>
          <w:sz w:val="20"/>
          <w:szCs w:val="20"/>
        </w:rPr>
        <w:t>Prior to the June 2014 spin-off from Innoviva, our former parent company, Innoviva assigned to Theravance Respiratory Company, LLC (“TRC”), a Delaware limited liability company formed by Innoviva, its strategic alliance agreement with GSK and a</w:t>
      </w:r>
      <w:r>
        <w:rPr>
          <w:sz w:val="20"/>
          <w:szCs w:val="20"/>
        </w:rPr>
        <w:t xml:space="preserve">ll of its rights and obligations under its collaboration agreement with GSK, other than with respect to RELVAR ELLIPTA/BREO ELLIPTA, ANORO ELLIPTA and vilanterol monotherapy. </w:t>
      </w:r>
    </w:p>
    <w:p w14:paraId="1FA1EFD6" w14:textId="77777777" w:rsidR="00000000" w:rsidRDefault="001F1B20">
      <w:pPr>
        <w:pStyle w:val="a3"/>
        <w:spacing w:before="0" w:beforeAutospacing="0" w:after="0" w:afterAutospacing="0"/>
        <w:ind w:firstLine="720"/>
        <w:divId w:val="850531519"/>
        <w:rPr>
          <w:sz w:val="20"/>
          <w:szCs w:val="20"/>
        </w:rPr>
      </w:pPr>
      <w:r>
        <w:rPr>
          <w:sz w:val="20"/>
          <w:szCs w:val="20"/>
        </w:rPr>
        <w:t>​</w:t>
      </w:r>
    </w:p>
    <w:p w14:paraId="227AB78A" w14:textId="77777777" w:rsidR="00000000" w:rsidRDefault="001F1B20">
      <w:pPr>
        <w:pStyle w:val="a3"/>
        <w:spacing w:before="0" w:beforeAutospacing="0" w:after="0" w:afterAutospacing="0"/>
        <w:ind w:firstLine="720"/>
        <w:divId w:val="850531519"/>
        <w:rPr>
          <w:sz w:val="20"/>
          <w:szCs w:val="20"/>
        </w:rPr>
      </w:pPr>
      <w:r>
        <w:rPr>
          <w:sz w:val="20"/>
          <w:szCs w:val="20"/>
        </w:rPr>
        <w:t>Our equity interest in TRC is the mechanism by which we are entitled to the 85% economic interest in any future payments made by GSK under the strategic alliance agreement and under the portion of the collaboration agreement assigned to TRC by Innoviva (ne</w:t>
      </w:r>
      <w:r>
        <w:rPr>
          <w:sz w:val="20"/>
          <w:szCs w:val="20"/>
        </w:rPr>
        <w:t>t of TRC expenses paid and the amount of cash, if any, expected to be used by TRC pursuant to the TRC LLC Agreement over the next four fiscal quarters). TRELEGY is currently the only commercial product arising out of the GSK agreements assigned by Innoviva</w:t>
      </w:r>
      <w:r>
        <w:rPr>
          <w:sz w:val="20"/>
          <w:szCs w:val="20"/>
        </w:rPr>
        <w:t xml:space="preserve"> to TRC. Royalty payments from GSK to TRC arising from the net sales of </w:t>
      </w:r>
      <w:r>
        <w:rPr>
          <w:caps/>
          <w:sz w:val="20"/>
          <w:szCs w:val="20"/>
        </w:rPr>
        <w:t xml:space="preserve">Trelegy </w:t>
      </w:r>
      <w:r>
        <w:rPr>
          <w:sz w:val="20"/>
          <w:szCs w:val="20"/>
        </w:rPr>
        <w:t>are presented in our condensed consolidated statements of operations within “Income from investment in TRC, LLC” and is classified as non-operating income. In June 2020, we als</w:t>
      </w:r>
      <w:r>
        <w:rPr>
          <w:sz w:val="20"/>
          <w:szCs w:val="20"/>
        </w:rPr>
        <w:t xml:space="preserve">o recorded $8.5 million within “Income from investment in TRC, LLC” representing our share of a </w:t>
      </w:r>
      <w:r>
        <w:rPr>
          <w:color w:val="212529"/>
          <w:sz w:val="20"/>
          <w:szCs w:val="20"/>
          <w:shd w:val="clear" w:color="auto" w:fill="FFFFFF"/>
        </w:rPr>
        <w:t xml:space="preserve">$10.0 million fee that GSK agreed to pay TRC upon termination of the </w:t>
      </w:r>
      <w:r>
        <w:rPr>
          <w:sz w:val="20"/>
          <w:szCs w:val="20"/>
        </w:rPr>
        <w:t xml:space="preserve">inhaled Bifunctional Muscarinic Antagonist-Beta2 Agonist </w:t>
      </w:r>
      <w:r>
        <w:rPr>
          <w:color w:val="212529"/>
          <w:sz w:val="20"/>
          <w:szCs w:val="20"/>
          <w:shd w:val="clear" w:color="auto" w:fill="FFFFFF"/>
        </w:rPr>
        <w:t xml:space="preserve">(“MABA”) program. </w:t>
      </w:r>
      <w:r>
        <w:rPr>
          <w:sz w:val="20"/>
          <w:szCs w:val="20"/>
        </w:rPr>
        <w:t>Seventy-five per</w:t>
      </w:r>
      <w:r>
        <w:rPr>
          <w:sz w:val="20"/>
          <w:szCs w:val="20"/>
        </w:rPr>
        <w:t>cent of the “Income from investment in TRC, LLC,” as evidenced by the Issuer II Class C Units (defined below), is available only for payment of the $400.0 million original aggregate amount of 9.5% fixed rate non-recourse term notes due 2035 (the “Non-Recou</w:t>
      </w:r>
      <w:r>
        <w:rPr>
          <w:sz w:val="20"/>
          <w:szCs w:val="20"/>
        </w:rPr>
        <w:t xml:space="preserve">rse 2035 Notes”) and is not available to pay our other obligations or the claims of our other creditors. </w:t>
      </w:r>
    </w:p>
    <w:p w14:paraId="58DFF7F5" w14:textId="77777777" w:rsidR="00000000" w:rsidRDefault="001F1B20">
      <w:pPr>
        <w:pStyle w:val="a3"/>
        <w:spacing w:before="0" w:beforeAutospacing="0" w:after="0" w:afterAutospacing="0"/>
        <w:ind w:firstLine="720"/>
        <w:divId w:val="850531519"/>
        <w:rPr>
          <w:sz w:val="20"/>
          <w:szCs w:val="20"/>
        </w:rPr>
      </w:pPr>
      <w:r>
        <w:rPr>
          <w:sz w:val="20"/>
          <w:szCs w:val="20"/>
        </w:rPr>
        <w:t>​</w:t>
      </w:r>
    </w:p>
    <w:p w14:paraId="23384F24" w14:textId="77777777" w:rsidR="00000000" w:rsidRDefault="001F1B20">
      <w:pPr>
        <w:pStyle w:val="a3"/>
        <w:spacing w:before="0" w:beforeAutospacing="0" w:after="0" w:afterAutospacing="0"/>
        <w:ind w:firstLine="720"/>
        <w:divId w:val="850531519"/>
        <w:rPr>
          <w:sz w:val="20"/>
          <w:szCs w:val="20"/>
        </w:rPr>
      </w:pPr>
      <w:r>
        <w:rPr>
          <w:sz w:val="20"/>
          <w:szCs w:val="20"/>
        </w:rPr>
        <w:t>Our special purpose subsidiary Triple Royalty Sub II LLC (the “Issuer II”) issued the Non-Recourse 2035 Notes in February 2020, the proceeds of whic</w:t>
      </w:r>
      <w:r>
        <w:rPr>
          <w:sz w:val="20"/>
          <w:szCs w:val="20"/>
        </w:rPr>
        <w:t>h were used in part to repay the outstanding balance of our 9.0% non-recourse notes, due on or before 2033 (the “Non-Recourse 2033 Notes”) that were issued in November 2018. The Non-Recourse 2035 Notes are secured by all of the Issuer II’s rights, title an</w:t>
      </w:r>
      <w:r>
        <w:rPr>
          <w:sz w:val="20"/>
          <w:szCs w:val="20"/>
        </w:rPr>
        <w:t>d interest as a holder of certain membership interests (the “Issuer II Class C Units”) in TRC. The Issuer II Class C Units entitle the Issuer II to receive 63.75% of the economic interest that TRC receives in any future payments made by GSK under the agree</w:t>
      </w:r>
      <w:r>
        <w:rPr>
          <w:sz w:val="20"/>
          <w:szCs w:val="20"/>
        </w:rPr>
        <w:t xml:space="preserve">ments described above, or 75% of the income from our 85% ownership interest in TRC. </w:t>
      </w:r>
    </w:p>
    <w:p w14:paraId="4240E973" w14:textId="77777777" w:rsidR="00000000" w:rsidRDefault="001F1B20">
      <w:pPr>
        <w:pStyle w:val="a3"/>
        <w:spacing w:before="0" w:beforeAutospacing="0" w:after="0" w:afterAutospacing="0"/>
        <w:ind w:firstLine="720"/>
        <w:divId w:val="850531519"/>
        <w:rPr>
          <w:sz w:val="20"/>
          <w:szCs w:val="20"/>
        </w:rPr>
      </w:pPr>
      <w:r>
        <w:rPr>
          <w:sz w:val="20"/>
          <w:szCs w:val="20"/>
        </w:rPr>
        <w:t>​</w:t>
      </w:r>
    </w:p>
    <w:p w14:paraId="4F48C4A8" w14:textId="77777777" w:rsidR="00000000" w:rsidRDefault="001F1B20">
      <w:pPr>
        <w:pStyle w:val="a3"/>
        <w:spacing w:before="0" w:beforeAutospacing="0" w:after="0" w:afterAutospacing="0"/>
        <w:ind w:firstLine="720"/>
        <w:divId w:val="850531519"/>
        <w:rPr>
          <w:sz w:val="20"/>
          <w:szCs w:val="20"/>
        </w:rPr>
      </w:pPr>
      <w:r>
        <w:rPr>
          <w:sz w:val="20"/>
          <w:szCs w:val="20"/>
        </w:rPr>
        <w:t>On June 10, 2020, we disclosed in a Form 8-K that we had formally objected to TRC and Innoviva, as the manager of TRC, regarding their proposed plan to use TRELEGY royal</w:t>
      </w:r>
      <w:r>
        <w:rPr>
          <w:sz w:val="20"/>
          <w:szCs w:val="20"/>
        </w:rPr>
        <w:t>ties to invest in certain privately-held companies, funds that would otherwise be available for distribution to us under the terms of the TRC LLC Agreement. In this regard, we initiated an arbitration proceeding in October 2020 against Innoviva and TRC, ch</w:t>
      </w:r>
      <w:r>
        <w:rPr>
          <w:sz w:val="20"/>
          <w:szCs w:val="20"/>
        </w:rPr>
        <w:t>allenging the authority of Innoviva and TRC to pursue such a business plan rather than distribute such funds to us in a manner that we believe is consistent with the TRC LLC Agreement and our 85% economic interest in TRC. The arbitration hearing was held d</w:t>
      </w:r>
      <w:r>
        <w:rPr>
          <w:sz w:val="20"/>
          <w:szCs w:val="20"/>
        </w:rPr>
        <w:t xml:space="preserve">uring the week of February 16, 2021, with post-hearing briefing and arguments taking place over the following few weeks.  </w:t>
      </w:r>
    </w:p>
    <w:p w14:paraId="35AD3FBE" w14:textId="77777777" w:rsidR="00000000" w:rsidRDefault="001F1B20">
      <w:pPr>
        <w:pStyle w:val="a3"/>
        <w:spacing w:before="0" w:beforeAutospacing="0" w:after="0" w:afterAutospacing="0"/>
        <w:ind w:firstLine="720"/>
        <w:divId w:val="850531519"/>
        <w:rPr>
          <w:sz w:val="20"/>
          <w:szCs w:val="20"/>
        </w:rPr>
      </w:pPr>
      <w:r>
        <w:rPr>
          <w:sz w:val="20"/>
          <w:szCs w:val="20"/>
        </w:rPr>
        <w:t>​</w:t>
      </w:r>
    </w:p>
    <w:p w14:paraId="52732647" w14:textId="77777777" w:rsidR="00000000" w:rsidRDefault="001F1B20">
      <w:pPr>
        <w:pStyle w:val="a3"/>
        <w:spacing w:before="0" w:beforeAutospacing="0" w:after="0" w:afterAutospacing="0"/>
        <w:ind w:firstLine="720"/>
        <w:divId w:val="850531519"/>
        <w:rPr>
          <w:sz w:val="20"/>
          <w:szCs w:val="20"/>
        </w:rPr>
      </w:pPr>
      <w:r>
        <w:rPr>
          <w:sz w:val="20"/>
          <w:szCs w:val="20"/>
        </w:rPr>
        <w:t>On March 30, 2021, the arbitrator ruled that, at its current levels of investment, Innoviva and TRC had not breached the LLC Agreem</w:t>
      </w:r>
      <w:r>
        <w:rPr>
          <w:sz w:val="20"/>
          <w:szCs w:val="20"/>
        </w:rPr>
        <w:t xml:space="preserve">ent. The arbitrator further ruled that Innoviva and TRC had not breached the implied covenant of good faith and fair dealing; or their fiduciary duties. The arbitrator also ruled that (i) Innoviva is entitled to indemnification from TRC for all legal fees </w:t>
      </w:r>
      <w:r>
        <w:rPr>
          <w:sz w:val="20"/>
          <w:szCs w:val="20"/>
        </w:rPr>
        <w:t>and expenses reasonably incurred in the arbitration and (ii) we are entitled to indemnification from TRC for legal fees and costs incurred in defending an action Innoviva brought against us in the Delaware Court of Chancery. The arbitrator noted in the rul</w:t>
      </w:r>
      <w:r>
        <w:rPr>
          <w:sz w:val="20"/>
          <w:szCs w:val="20"/>
        </w:rPr>
        <w:t xml:space="preserve">ing that although we failed to show that Innoviva’s investment activities, at the current levels of investment, have or will have a material and adverse effect on our economic interest in TRC, this does not mean that any future investments or actions will </w:t>
      </w:r>
      <w:r>
        <w:rPr>
          <w:sz w:val="20"/>
          <w:szCs w:val="20"/>
        </w:rPr>
        <w:t>not require our consent. The arbitrator noted in the ruling that we may, in the future, have a consent right over the decision to continue this investment strategy or whether to make a particular investment if, for example, Innoviva develops a track record</w:t>
      </w:r>
      <w:r>
        <w:rPr>
          <w:sz w:val="20"/>
          <w:szCs w:val="20"/>
        </w:rPr>
        <w:t xml:space="preserve"> of poor investments, over allocates royalties to these investment activities, or fails to distribute sufficient investment returns, and such facts cause the strategy or investment to have a material adverse effect on our economic interest in TRC. </w:t>
      </w:r>
    </w:p>
    <w:p w14:paraId="26904BDC" w14:textId="77777777" w:rsidR="00000000" w:rsidRDefault="001F1B20">
      <w:pPr>
        <w:pStyle w:val="a3"/>
        <w:spacing w:before="0" w:beforeAutospacing="0" w:after="0" w:afterAutospacing="0"/>
        <w:ind w:firstLine="720"/>
        <w:divId w:val="850531519"/>
        <w:rPr>
          <w:sz w:val="20"/>
          <w:szCs w:val="20"/>
        </w:rPr>
      </w:pPr>
      <w:r>
        <w:rPr>
          <w:sz w:val="20"/>
          <w:szCs w:val="20"/>
        </w:rPr>
        <w:t>​</w:t>
      </w:r>
    </w:p>
    <w:p w14:paraId="08BAF724" w14:textId="77777777" w:rsidR="00000000" w:rsidRDefault="001F1B20">
      <w:pPr>
        <w:pStyle w:val="a3"/>
        <w:spacing w:before="0" w:beforeAutospacing="0" w:after="0" w:afterAutospacing="0"/>
        <w:ind w:firstLine="720"/>
        <w:divId w:val="850531519"/>
        <w:rPr>
          <w:sz w:val="20"/>
          <w:szCs w:val="20"/>
        </w:rPr>
      </w:pPr>
      <w:r>
        <w:rPr>
          <w:sz w:val="20"/>
          <w:szCs w:val="20"/>
        </w:rPr>
        <w:t>Pursu</w:t>
      </w:r>
      <w:r>
        <w:rPr>
          <w:sz w:val="20"/>
          <w:szCs w:val="20"/>
        </w:rPr>
        <w:t xml:space="preserve">ant to the terms of the LLC Agreement, Innoviva is required to deliver to us a draft quarterly financial plan 30 days prior to the end of each fiscal quarter covering the next fiscal quarter. While the LLC Agreement provides that Innoviva </w:t>
      </w:r>
    </w:p>
    <w:p w14:paraId="07A7C6BF" w14:textId="77777777" w:rsidR="00000000" w:rsidRDefault="001F1B20">
      <w:pPr>
        <w:pStyle w:val="a3"/>
        <w:spacing w:before="360" w:beforeAutospacing="0" w:after="0" w:afterAutospacing="0"/>
        <w:jc w:val="center"/>
        <w:divId w:val="1594626728"/>
        <w:rPr>
          <w:sz w:val="20"/>
          <w:szCs w:val="20"/>
        </w:rPr>
      </w:pPr>
      <w:r>
        <w:rPr>
          <w:sz w:val="20"/>
          <w:szCs w:val="20"/>
        </w:rPr>
        <w:t>26</w:t>
      </w:r>
    </w:p>
    <w:p w14:paraId="4A80365F" w14:textId="77777777" w:rsidR="00000000" w:rsidRDefault="001F1B20">
      <w:pPr>
        <w:pStyle w:val="a3"/>
        <w:spacing w:before="0" w:beforeAutospacing="0" w:after="600" w:afterAutospacing="0"/>
        <w:divId w:val="470902464"/>
        <w:rPr>
          <w:sz w:val="20"/>
          <w:szCs w:val="20"/>
        </w:rPr>
      </w:pPr>
      <w:hyperlink w:anchor="TOC" w:history="1">
        <w:r>
          <w:rPr>
            <w:rStyle w:val="a4"/>
            <w:sz w:val="20"/>
            <w:szCs w:val="20"/>
          </w:rPr>
          <w:t>Table of Contents</w:t>
        </w:r>
      </w:hyperlink>
    </w:p>
    <w:p w14:paraId="33B2C210" w14:textId="77777777" w:rsidR="00000000" w:rsidRDefault="001F1B20">
      <w:pPr>
        <w:pStyle w:val="a3"/>
        <w:spacing w:before="0" w:beforeAutospacing="0" w:after="0" w:afterAutospacing="0"/>
        <w:divId w:val="188033635"/>
        <w:rPr>
          <w:sz w:val="20"/>
          <w:szCs w:val="20"/>
        </w:rPr>
      </w:pPr>
      <w:r>
        <w:rPr>
          <w:sz w:val="20"/>
          <w:szCs w:val="20"/>
        </w:rPr>
        <w:t>must consider in good faith any comments the Company provides, an applicable financial plan becomes effective 30 days after the draft plan is provided to the Company. If TRC identifies and consummates investments and incurs a</w:t>
      </w:r>
      <w:r>
        <w:rPr>
          <w:sz w:val="20"/>
          <w:szCs w:val="20"/>
        </w:rPr>
        <w:t>ssociated fees identified in a TRC quarterly plan, even over the Company’s objections, distributions by TRC to its members in subsequent quarters will be reduced</w:t>
      </w:r>
      <w:r>
        <w:rPr>
          <w:sz w:val="20"/>
          <w:szCs w:val="20"/>
        </w:rPr>
        <w:t>.</w:t>
      </w:r>
    </w:p>
    <w:p w14:paraId="6BCBBAB3" w14:textId="77777777" w:rsidR="00000000" w:rsidRDefault="001F1B20">
      <w:pPr>
        <w:pStyle w:val="a3"/>
        <w:spacing w:before="0" w:beforeAutospacing="0" w:after="0" w:afterAutospacing="0"/>
        <w:divId w:val="188033635"/>
        <w:rPr>
          <w:sz w:val="20"/>
          <w:szCs w:val="20"/>
        </w:rPr>
      </w:pPr>
      <w:r>
        <w:rPr>
          <w:sz w:val="20"/>
          <w:szCs w:val="20"/>
        </w:rPr>
        <w:t>​</w:t>
      </w:r>
    </w:p>
    <w:p w14:paraId="01C64B89" w14:textId="77777777" w:rsidR="00000000" w:rsidRDefault="001F1B20">
      <w:pPr>
        <w:pStyle w:val="a3"/>
        <w:spacing w:before="0" w:beforeAutospacing="0" w:after="0" w:afterAutospacing="0"/>
        <w:ind w:firstLine="720"/>
        <w:divId w:val="188033635"/>
        <w:rPr>
          <w:sz w:val="20"/>
          <w:szCs w:val="20"/>
        </w:rPr>
      </w:pPr>
      <w:r>
        <w:rPr>
          <w:sz w:val="20"/>
          <w:szCs w:val="20"/>
        </w:rPr>
        <w:t>Our objections with regard to a draft TRC quarterly plan or other actions by TRC could resu</w:t>
      </w:r>
      <w:r>
        <w:rPr>
          <w:sz w:val="20"/>
          <w:szCs w:val="20"/>
        </w:rPr>
        <w:t>lt in additional legal proceedings between us, TRC and Innoviva, as was the case when we initiated arbitration proceedings against Innoviva and TRC in May 2019 and again in October 2020. Any such legal proceedings could divert the attention of management a</w:t>
      </w:r>
      <w:r>
        <w:rPr>
          <w:sz w:val="20"/>
          <w:szCs w:val="20"/>
        </w:rPr>
        <w:t>nd cause us to incur significant costs, regardless of the outcome, which we cannot predict. If such proceedings were pursued, there can be no assurance that they would result in us receiving additional distributions from TRC. An adverse result could materi</w:t>
      </w:r>
      <w:r>
        <w:rPr>
          <w:sz w:val="20"/>
          <w:szCs w:val="20"/>
        </w:rPr>
        <w:t xml:space="preserve">ally and adversely affect the funds that our affiliates would otherwise expect to receive from TRC in the future. See </w:t>
      </w:r>
      <w:r>
        <w:rPr>
          <w:i/>
          <w:iCs/>
          <w:sz w:val="20"/>
          <w:szCs w:val="20"/>
        </w:rPr>
        <w:t>“Risk Factors—</w:t>
      </w:r>
      <w:r>
        <w:rPr>
          <w:i/>
          <w:iCs/>
          <w:sz w:val="20"/>
          <w:szCs w:val="20"/>
        </w:rPr>
        <w:t>We do not control the commercialization of TRELEGY and we do not control TRC; accordingly the amount of royalties we receive will depend on, among other factors, GSK’s ability to further commercialize TRELEGY and TRC’s decisions concerning use of cash in a</w:t>
      </w:r>
      <w:r>
        <w:rPr>
          <w:i/>
          <w:iCs/>
          <w:sz w:val="20"/>
          <w:szCs w:val="20"/>
        </w:rPr>
        <w:t xml:space="preserve">ccordance with the TRC LLC Agreement” </w:t>
      </w:r>
      <w:r>
        <w:rPr>
          <w:sz w:val="20"/>
          <w:szCs w:val="20"/>
        </w:rPr>
        <w:t>for additional information.</w:t>
      </w:r>
    </w:p>
    <w:p w14:paraId="2F4C6677" w14:textId="77777777" w:rsidR="00000000" w:rsidRDefault="001F1B20">
      <w:pPr>
        <w:pStyle w:val="a3"/>
        <w:spacing w:before="0" w:beforeAutospacing="0" w:after="0" w:afterAutospacing="0"/>
        <w:ind w:firstLine="720"/>
        <w:divId w:val="188033635"/>
        <w:rPr>
          <w:sz w:val="20"/>
          <w:szCs w:val="20"/>
        </w:rPr>
      </w:pPr>
      <w:r>
        <w:rPr>
          <w:sz w:val="20"/>
          <w:szCs w:val="20"/>
        </w:rPr>
        <w:t>​</w:t>
      </w:r>
    </w:p>
    <w:p w14:paraId="2103B6B5" w14:textId="77777777" w:rsidR="00000000" w:rsidRDefault="001F1B20">
      <w:pPr>
        <w:pStyle w:val="a3"/>
        <w:spacing w:before="0" w:beforeAutospacing="0" w:after="120" w:afterAutospacing="0"/>
        <w:divId w:val="188033635"/>
        <w:rPr>
          <w:sz w:val="20"/>
          <w:szCs w:val="20"/>
        </w:rPr>
      </w:pPr>
      <w:r>
        <w:rPr>
          <w:b/>
          <w:bCs/>
          <w:sz w:val="20"/>
          <w:szCs w:val="20"/>
        </w:rPr>
        <w:t>Other Economic Interests</w:t>
      </w:r>
    </w:p>
    <w:p w14:paraId="2684EF35" w14:textId="77777777" w:rsidR="00000000" w:rsidRDefault="001F1B20">
      <w:pPr>
        <w:pStyle w:val="a3"/>
        <w:spacing w:before="0" w:beforeAutospacing="0" w:after="0" w:afterAutospacing="0"/>
        <w:divId w:val="188033635"/>
        <w:rPr>
          <w:sz w:val="20"/>
          <w:szCs w:val="20"/>
        </w:rPr>
      </w:pPr>
      <w:r>
        <w:rPr>
          <w:b/>
          <w:bCs/>
          <w:i/>
          <w:iCs/>
          <w:sz w:val="20"/>
          <w:szCs w:val="20"/>
        </w:rPr>
        <w:t>Selective 5-HT4 Agonist (TD-8954)</w:t>
      </w:r>
    </w:p>
    <w:p w14:paraId="54D99999" w14:textId="77777777" w:rsidR="00000000" w:rsidRDefault="001F1B20">
      <w:pPr>
        <w:pStyle w:val="a3"/>
        <w:spacing w:before="0" w:beforeAutospacing="0" w:after="0" w:afterAutospacing="0"/>
        <w:divId w:val="188033635"/>
        <w:rPr>
          <w:sz w:val="20"/>
          <w:szCs w:val="20"/>
        </w:rPr>
      </w:pPr>
      <w:r>
        <w:rPr>
          <w:sz w:val="20"/>
          <w:szCs w:val="20"/>
        </w:rPr>
        <w:t>​</w:t>
      </w:r>
    </w:p>
    <w:p w14:paraId="3AE65827" w14:textId="77777777" w:rsidR="00000000" w:rsidRDefault="001F1B20">
      <w:pPr>
        <w:pStyle w:val="a3"/>
        <w:spacing w:before="0" w:beforeAutospacing="0" w:after="0" w:afterAutospacing="0"/>
        <w:ind w:firstLine="720"/>
        <w:divId w:val="188033635"/>
        <w:rPr>
          <w:sz w:val="20"/>
          <w:szCs w:val="20"/>
        </w:rPr>
      </w:pPr>
      <w:r>
        <w:rPr>
          <w:sz w:val="20"/>
          <w:szCs w:val="20"/>
        </w:rPr>
        <w:t>TD-8954 is a selective 5-HT4 receptor agonist being developed for potential use in the treatment of gastrointestinal motility d</w:t>
      </w:r>
      <w:r>
        <w:rPr>
          <w:sz w:val="20"/>
          <w:szCs w:val="20"/>
        </w:rPr>
        <w:t>isorders.</w:t>
      </w:r>
      <w:r>
        <w:rPr>
          <w:color w:val="FF0000"/>
          <w:sz w:val="20"/>
          <w:szCs w:val="20"/>
        </w:rPr>
        <w:t xml:space="preserve"> </w:t>
      </w:r>
    </w:p>
    <w:p w14:paraId="31D09447" w14:textId="77777777" w:rsidR="00000000" w:rsidRDefault="001F1B20">
      <w:pPr>
        <w:pStyle w:val="a3"/>
        <w:spacing w:before="0" w:beforeAutospacing="0" w:after="0" w:afterAutospacing="0"/>
        <w:divId w:val="188033635"/>
        <w:rPr>
          <w:sz w:val="20"/>
          <w:szCs w:val="20"/>
        </w:rPr>
      </w:pPr>
      <w:r>
        <w:rPr>
          <w:sz w:val="20"/>
          <w:szCs w:val="20"/>
        </w:rPr>
        <w:t>​</w:t>
      </w:r>
    </w:p>
    <w:p w14:paraId="29D545E8" w14:textId="77777777" w:rsidR="00000000" w:rsidRDefault="001F1B20">
      <w:pPr>
        <w:pStyle w:val="a3"/>
        <w:spacing w:before="0" w:beforeAutospacing="0" w:after="0" w:afterAutospacing="0"/>
        <w:divId w:val="188033635"/>
        <w:rPr>
          <w:sz w:val="20"/>
          <w:szCs w:val="20"/>
        </w:rPr>
      </w:pPr>
      <w:r>
        <w:rPr>
          <w:i/>
          <w:iCs/>
          <w:sz w:val="20"/>
          <w:szCs w:val="20"/>
        </w:rPr>
        <w:t>Takeda Collaborative Arrangement</w:t>
      </w:r>
    </w:p>
    <w:p w14:paraId="75E78E26" w14:textId="77777777" w:rsidR="00000000" w:rsidRDefault="001F1B20">
      <w:pPr>
        <w:pStyle w:val="a3"/>
        <w:spacing w:before="0" w:beforeAutospacing="0" w:after="0" w:afterAutospacing="0"/>
        <w:divId w:val="188033635"/>
        <w:rPr>
          <w:sz w:val="20"/>
          <w:szCs w:val="20"/>
        </w:rPr>
      </w:pPr>
      <w:r>
        <w:rPr>
          <w:sz w:val="20"/>
          <w:szCs w:val="20"/>
        </w:rPr>
        <w:t>​</w:t>
      </w:r>
    </w:p>
    <w:p w14:paraId="4F4542D6" w14:textId="77777777" w:rsidR="00000000" w:rsidRDefault="001F1B20">
      <w:pPr>
        <w:pStyle w:val="a3"/>
        <w:spacing w:before="0" w:beforeAutospacing="0" w:after="0" w:afterAutospacing="0"/>
        <w:ind w:firstLine="720"/>
        <w:divId w:val="188033635"/>
        <w:rPr>
          <w:sz w:val="20"/>
          <w:szCs w:val="20"/>
        </w:rPr>
      </w:pPr>
      <w:r>
        <w:rPr>
          <w:sz w:val="20"/>
          <w:szCs w:val="20"/>
        </w:rPr>
        <w:t>In June 2016, we entered into a License and Collaboration Agreement (the “Takeda Agreement”) with Millennium Pharmaceuticals, Inc. (“Millennium”</w:t>
      </w:r>
      <w:r>
        <w:rPr>
          <w:sz w:val="20"/>
          <w:szCs w:val="20"/>
        </w:rPr>
        <w:t>), in order to establish a collaboration for the development and commercialization of TD-8954 (TAK-954). Millennium is an indirect wholly-owned subsidiary of Takeda Pharmaceutical Company Limited (“Takeda”). TD-8954 is currently in a Phase 2 study as a pot</w:t>
      </w:r>
      <w:r>
        <w:rPr>
          <w:sz w:val="20"/>
          <w:szCs w:val="20"/>
        </w:rPr>
        <w:t>ential treatment for post-operative gastrointestinal dysfunction. Under the terms of the Takeda Agreement, Takeda is responsible for worldwide development and commercialization of TD-8954. We received an upfront cash payment of $15.0 million and will be el</w:t>
      </w:r>
      <w:r>
        <w:rPr>
          <w:sz w:val="20"/>
          <w:szCs w:val="20"/>
        </w:rPr>
        <w:t>igible to receive success-based development, regulatory and sales milestone payments from Takeda. We will also be eligible to receive a tiered royalty on worldwide net sales by Takeda at percentage royalty rates ranging from low double-digits to mid-teens.</w:t>
      </w:r>
    </w:p>
    <w:p w14:paraId="2F21EF79" w14:textId="77777777" w:rsidR="00000000" w:rsidRDefault="001F1B20">
      <w:pPr>
        <w:pStyle w:val="a3"/>
        <w:spacing w:before="0" w:beforeAutospacing="0" w:after="0" w:afterAutospacing="0"/>
        <w:divId w:val="188033635"/>
        <w:rPr>
          <w:sz w:val="20"/>
          <w:szCs w:val="20"/>
        </w:rPr>
      </w:pPr>
      <w:r>
        <w:rPr>
          <w:b/>
          <w:bCs/>
          <w:sz w:val="20"/>
          <w:szCs w:val="20"/>
        </w:rPr>
        <w:t>​</w:t>
      </w:r>
    </w:p>
    <w:p w14:paraId="43ECC5BB" w14:textId="77777777" w:rsidR="00000000" w:rsidRDefault="001F1B20">
      <w:pPr>
        <w:pStyle w:val="a3"/>
        <w:spacing w:before="0" w:beforeAutospacing="0" w:after="0" w:afterAutospacing="0"/>
        <w:divId w:val="188033635"/>
        <w:rPr>
          <w:sz w:val="20"/>
          <w:szCs w:val="20"/>
        </w:rPr>
      </w:pPr>
      <w:r>
        <w:rPr>
          <w:b/>
          <w:bCs/>
          <w:i/>
          <w:iCs/>
          <w:sz w:val="20"/>
          <w:szCs w:val="20"/>
        </w:rPr>
        <w:t xml:space="preserve">Skin-selective Pan-JAK inhibitor Program </w:t>
      </w:r>
    </w:p>
    <w:p w14:paraId="6D6A696D" w14:textId="77777777" w:rsidR="00000000" w:rsidRDefault="001F1B20">
      <w:pPr>
        <w:pStyle w:val="a3"/>
        <w:spacing w:before="0" w:beforeAutospacing="0" w:after="0" w:afterAutospacing="0"/>
        <w:divId w:val="188033635"/>
        <w:rPr>
          <w:sz w:val="20"/>
          <w:szCs w:val="20"/>
        </w:rPr>
      </w:pPr>
      <w:r>
        <w:rPr>
          <w:b/>
          <w:bCs/>
          <w:i/>
          <w:iCs/>
          <w:sz w:val="20"/>
          <w:szCs w:val="20"/>
        </w:rPr>
        <w:t>​</w:t>
      </w:r>
    </w:p>
    <w:p w14:paraId="265B7A47" w14:textId="77777777" w:rsidR="00000000" w:rsidRDefault="001F1B20">
      <w:pPr>
        <w:pStyle w:val="a3"/>
        <w:spacing w:before="0" w:beforeAutospacing="0" w:after="0" w:afterAutospacing="0"/>
        <w:ind w:firstLine="720"/>
        <w:divId w:val="188033635"/>
        <w:rPr>
          <w:sz w:val="20"/>
          <w:szCs w:val="20"/>
        </w:rPr>
      </w:pPr>
      <w:r>
        <w:rPr>
          <w:sz w:val="20"/>
          <w:szCs w:val="20"/>
        </w:rPr>
        <w:t xml:space="preserve">In December 2019, we entered into a global license agreement with Pfizer Inc. (“Pfizer”) for our preclinical skin-selective, locally-acting pan-JAK inhibitor program (the “Pfizer Agreement”). The compounds in </w:t>
      </w:r>
      <w:r>
        <w:rPr>
          <w:sz w:val="20"/>
          <w:szCs w:val="20"/>
        </w:rPr>
        <w:t>this program are designed to target validated pro-inflammatory pathways and are specifically designed to possess skin-selective activity with minimal systemic exposure.</w:t>
      </w:r>
    </w:p>
    <w:p w14:paraId="1E6EBD0D" w14:textId="77777777" w:rsidR="00000000" w:rsidRDefault="001F1B20">
      <w:pPr>
        <w:pStyle w:val="a3"/>
        <w:spacing w:before="0" w:beforeAutospacing="0" w:after="0" w:afterAutospacing="0"/>
        <w:divId w:val="188033635"/>
        <w:rPr>
          <w:sz w:val="20"/>
          <w:szCs w:val="20"/>
        </w:rPr>
      </w:pPr>
      <w:r>
        <w:rPr>
          <w:sz w:val="20"/>
          <w:szCs w:val="20"/>
        </w:rPr>
        <w:t>​</w:t>
      </w:r>
    </w:p>
    <w:p w14:paraId="19576B99" w14:textId="77777777" w:rsidR="00000000" w:rsidRDefault="001F1B20">
      <w:pPr>
        <w:pStyle w:val="a3"/>
        <w:spacing w:before="0" w:beforeAutospacing="0" w:after="0" w:afterAutospacing="0"/>
        <w:ind w:firstLine="720"/>
        <w:divId w:val="188033635"/>
        <w:rPr>
          <w:sz w:val="20"/>
          <w:szCs w:val="20"/>
        </w:rPr>
      </w:pPr>
      <w:r>
        <w:rPr>
          <w:sz w:val="20"/>
          <w:szCs w:val="20"/>
        </w:rPr>
        <w:t>Under the Pfizer Agreement, Pfizer has an exclusive license to develop, manufacture a</w:t>
      </w:r>
      <w:r>
        <w:rPr>
          <w:sz w:val="20"/>
          <w:szCs w:val="20"/>
        </w:rPr>
        <w:t>nd commercialize certain compounds for all uses other than gastrointestinal, ophthalmic and respiratory applications. We received an upfront cash payment of $10.0 million and are eligible to receive up to an additional $240.0 million in development and sal</w:t>
      </w:r>
      <w:r>
        <w:rPr>
          <w:sz w:val="20"/>
          <w:szCs w:val="20"/>
        </w:rPr>
        <w:t>es milestone payments from Pfizer. In addition, we are eligible to receive a tiered royalty on worldwide net sales of any potential products under the license at percentage royalty rates ranging from middle single-digits to low double-digits.</w:t>
      </w:r>
    </w:p>
    <w:p w14:paraId="49C7982F" w14:textId="77777777" w:rsidR="00000000" w:rsidRDefault="001F1B20">
      <w:pPr>
        <w:pStyle w:val="a3"/>
        <w:spacing w:before="0" w:beforeAutospacing="0" w:after="0" w:afterAutospacing="0"/>
        <w:divId w:val="188033635"/>
        <w:rPr>
          <w:sz w:val="20"/>
          <w:szCs w:val="20"/>
        </w:rPr>
      </w:pPr>
      <w:r>
        <w:rPr>
          <w:b/>
          <w:bCs/>
          <w:sz w:val="20"/>
          <w:szCs w:val="20"/>
        </w:rPr>
        <w:t>​</w:t>
      </w:r>
    </w:p>
    <w:p w14:paraId="0926277B" w14:textId="77777777" w:rsidR="00000000" w:rsidRDefault="001F1B20">
      <w:pPr>
        <w:pStyle w:val="a3"/>
        <w:spacing w:before="0" w:beforeAutospacing="0" w:after="0" w:afterAutospacing="0"/>
        <w:divId w:val="188033635"/>
        <w:rPr>
          <w:sz w:val="20"/>
          <w:szCs w:val="20"/>
        </w:rPr>
      </w:pPr>
      <w:r>
        <w:rPr>
          <w:b/>
          <w:bCs/>
          <w:sz w:val="20"/>
          <w:szCs w:val="20"/>
        </w:rPr>
        <w:t>Research Pr</w:t>
      </w:r>
      <w:r>
        <w:rPr>
          <w:b/>
          <w:bCs/>
          <w:sz w:val="20"/>
          <w:szCs w:val="20"/>
        </w:rPr>
        <w:t>ojects</w:t>
      </w:r>
    </w:p>
    <w:p w14:paraId="17C55C73" w14:textId="77777777" w:rsidR="00000000" w:rsidRDefault="001F1B20">
      <w:pPr>
        <w:pStyle w:val="a3"/>
        <w:spacing w:before="0" w:beforeAutospacing="0" w:after="0" w:afterAutospacing="0"/>
        <w:divId w:val="188033635"/>
        <w:rPr>
          <w:sz w:val="20"/>
          <w:szCs w:val="20"/>
        </w:rPr>
      </w:pPr>
      <w:r>
        <w:rPr>
          <w:b/>
          <w:bCs/>
          <w:sz w:val="20"/>
          <w:szCs w:val="20"/>
        </w:rPr>
        <w:t>​</w:t>
      </w:r>
    </w:p>
    <w:p w14:paraId="09785530" w14:textId="77777777" w:rsidR="00000000" w:rsidRDefault="001F1B20">
      <w:pPr>
        <w:pStyle w:val="a3"/>
        <w:spacing w:before="0" w:beforeAutospacing="0" w:after="0" w:afterAutospacing="0"/>
        <w:ind w:firstLine="720"/>
        <w:divId w:val="188033635"/>
        <w:rPr>
          <w:sz w:val="20"/>
          <w:szCs w:val="20"/>
        </w:rPr>
      </w:pPr>
      <w:r>
        <w:rPr>
          <w:sz w:val="20"/>
          <w:szCs w:val="20"/>
        </w:rPr>
        <w:t>Our research projects leverage years of experience in developing lung-selective medicines to address the needs of patients suffering from respiratory illness. As a result of our strategic restructuring announced in September 2021, we intend to str</w:t>
      </w:r>
      <w:r>
        <w:rPr>
          <w:sz w:val="20"/>
          <w:szCs w:val="20"/>
        </w:rPr>
        <w:t>eamline and narrow our R&amp;D focus on our highest value core respiratory opportunities. This would include the peak inspiratory flow rate (“PIFR”) clinical study, in partnership with Viatris, to support the label update of YUPELRI and continued investment in</w:t>
      </w:r>
      <w:r>
        <w:rPr>
          <w:sz w:val="20"/>
          <w:szCs w:val="20"/>
        </w:rPr>
        <w:t xml:space="preserve"> our investigational inhaled Janus kinase inhibitor portfolio, with focus on the most advanced clinical candidate, nezulcitinib, initially targeting acute lung injury. In order to implement this plan, we will halt the development of </w:t>
      </w:r>
    </w:p>
    <w:p w14:paraId="6868C8C2" w14:textId="77777777" w:rsidR="00000000" w:rsidRDefault="001F1B20">
      <w:pPr>
        <w:pStyle w:val="a3"/>
        <w:spacing w:before="360" w:beforeAutospacing="0" w:after="0" w:afterAutospacing="0"/>
        <w:jc w:val="center"/>
        <w:divId w:val="470753145"/>
        <w:rPr>
          <w:sz w:val="20"/>
          <w:szCs w:val="20"/>
        </w:rPr>
      </w:pPr>
      <w:r>
        <w:rPr>
          <w:sz w:val="20"/>
          <w:szCs w:val="20"/>
        </w:rPr>
        <w:t>27</w:t>
      </w:r>
    </w:p>
    <w:p w14:paraId="16EAAEC5" w14:textId="77777777" w:rsidR="00000000" w:rsidRDefault="001F1B20">
      <w:pPr>
        <w:pStyle w:val="a3"/>
        <w:spacing w:before="0" w:beforeAutospacing="0" w:after="600" w:afterAutospacing="0"/>
        <w:divId w:val="1114012037"/>
        <w:rPr>
          <w:sz w:val="20"/>
          <w:szCs w:val="20"/>
        </w:rPr>
      </w:pPr>
      <w:hyperlink w:anchor="TOC" w:history="1">
        <w:r>
          <w:rPr>
            <w:rStyle w:val="a4"/>
            <w:sz w:val="20"/>
            <w:szCs w:val="20"/>
          </w:rPr>
          <w:t>Table of Contents</w:t>
        </w:r>
      </w:hyperlink>
    </w:p>
    <w:p w14:paraId="443F6B72" w14:textId="77777777" w:rsidR="00000000" w:rsidRDefault="001F1B20">
      <w:pPr>
        <w:pStyle w:val="a3"/>
        <w:spacing w:before="0" w:beforeAutospacing="0" w:after="0" w:afterAutospacing="0"/>
        <w:divId w:val="1096832075"/>
        <w:rPr>
          <w:sz w:val="20"/>
          <w:szCs w:val="20"/>
        </w:rPr>
      </w:pPr>
      <w:r>
        <w:rPr>
          <w:sz w:val="20"/>
          <w:szCs w:val="20"/>
        </w:rPr>
        <w:t>all non-respiratory disease related programs except that we will close out the izencitinib Phase 2 Crohn’s disease study and the ampreloxetine Phase 3 REDWOOD study.</w:t>
      </w:r>
    </w:p>
    <w:p w14:paraId="5009D0E0" w14:textId="77777777" w:rsidR="00000000" w:rsidRDefault="001F1B20">
      <w:pPr>
        <w:pStyle w:val="a3"/>
        <w:spacing w:before="0" w:beforeAutospacing="0" w:after="0" w:afterAutospacing="0"/>
        <w:divId w:val="1096832075"/>
        <w:rPr>
          <w:sz w:val="20"/>
          <w:szCs w:val="20"/>
        </w:rPr>
      </w:pPr>
      <w:r>
        <w:rPr>
          <w:sz w:val="20"/>
          <w:szCs w:val="20"/>
        </w:rPr>
        <w:t>​</w:t>
      </w:r>
    </w:p>
    <w:p w14:paraId="239F00C3" w14:textId="77777777" w:rsidR="00000000" w:rsidRDefault="001F1B20">
      <w:pPr>
        <w:pStyle w:val="a3"/>
        <w:spacing w:before="0" w:beforeAutospacing="0" w:after="0" w:afterAutospacing="0"/>
        <w:divId w:val="1096832075"/>
        <w:rPr>
          <w:sz w:val="20"/>
          <w:szCs w:val="20"/>
        </w:rPr>
      </w:pPr>
      <w:r>
        <w:rPr>
          <w:b/>
          <w:bCs/>
          <w:sz w:val="20"/>
          <w:szCs w:val="20"/>
        </w:rPr>
        <w:t>Critical Accounting Policies and Estimates</w:t>
      </w:r>
    </w:p>
    <w:p w14:paraId="25ECF516" w14:textId="77777777" w:rsidR="00000000" w:rsidRDefault="001F1B20">
      <w:pPr>
        <w:pStyle w:val="a3"/>
        <w:spacing w:before="0" w:beforeAutospacing="0" w:after="0" w:afterAutospacing="0"/>
        <w:divId w:val="1096832075"/>
        <w:rPr>
          <w:sz w:val="20"/>
          <w:szCs w:val="20"/>
        </w:rPr>
      </w:pPr>
      <w:r>
        <w:rPr>
          <w:sz w:val="20"/>
          <w:szCs w:val="20"/>
        </w:rPr>
        <w:t>​</w:t>
      </w:r>
    </w:p>
    <w:p w14:paraId="0E8301F8" w14:textId="77777777" w:rsidR="00000000" w:rsidRDefault="001F1B20">
      <w:pPr>
        <w:pStyle w:val="a3"/>
        <w:spacing w:before="0" w:beforeAutospacing="0" w:after="0" w:afterAutospacing="0"/>
        <w:ind w:firstLine="720"/>
        <w:divId w:val="1096832075"/>
        <w:rPr>
          <w:sz w:val="20"/>
          <w:szCs w:val="20"/>
        </w:rPr>
      </w:pPr>
      <w:r>
        <w:rPr>
          <w:sz w:val="20"/>
          <w:szCs w:val="20"/>
        </w:rPr>
        <w:t>Our management’s d</w:t>
      </w:r>
      <w:r>
        <w:rPr>
          <w:sz w:val="20"/>
          <w:szCs w:val="20"/>
        </w:rPr>
        <w:t>iscussion and analysis of our financial condition and results of operations is based on our consolidated financial statements, which have been prepared in accordance with US generally accepted accounting principles (“GAAP”). The preparation of these financ</w:t>
      </w:r>
      <w:r>
        <w:rPr>
          <w:sz w:val="20"/>
          <w:szCs w:val="20"/>
        </w:rPr>
        <w:t>ial statements requires us to make estimates and assumptions that affect the reported amounts of assets and liabilities and the disclosure of contingent assets and liabilities at the date of the financial statements, as well as the reported revenue generat</w:t>
      </w:r>
      <w:r>
        <w:rPr>
          <w:sz w:val="20"/>
          <w:szCs w:val="20"/>
        </w:rPr>
        <w:t xml:space="preserve">ed and expenses incurred during the reporting periods. Our estimates are based on our historical experience and on various other factors that we believe are reasonable under the circumstances, the results of which form the basis for making judgments about </w:t>
      </w:r>
      <w:r>
        <w:rPr>
          <w:sz w:val="20"/>
          <w:szCs w:val="20"/>
        </w:rPr>
        <w:t>the carrying value of assets and liabilities, revenue recognition and clinical trial expenses that are not readily apparent from other sources. The full extent to which the COVID-19 pandemic will directly or indirectly impact our business, results of opera</w:t>
      </w:r>
      <w:r>
        <w:rPr>
          <w:sz w:val="20"/>
          <w:szCs w:val="20"/>
        </w:rPr>
        <w:t>tions and financial condition, including these estimates, will depend on future developments that are highly uncertain and may be impacted by the emergence of new information concerning the COVID-19 pandemic, ongoing spread of the disease across the US and</w:t>
      </w:r>
      <w:r>
        <w:rPr>
          <w:sz w:val="20"/>
          <w:szCs w:val="20"/>
        </w:rPr>
        <w:t xml:space="preserve"> the globe, and the actions taken to contain or treat the disease, including vaccine availability, distribution, acceptance and effectiveness. There have been no material changes to the critical accounting policies and estimates discussed in our Annual Rep</w:t>
      </w:r>
      <w:r>
        <w:rPr>
          <w:sz w:val="20"/>
          <w:szCs w:val="20"/>
        </w:rPr>
        <w:t>ort on Form 10-K for the year ended December 31, 2020.</w:t>
      </w:r>
    </w:p>
    <w:p w14:paraId="52EF4AAE" w14:textId="77777777" w:rsidR="00000000" w:rsidRDefault="001F1B20">
      <w:pPr>
        <w:pStyle w:val="a3"/>
        <w:spacing w:before="0" w:beforeAutospacing="0" w:after="0" w:afterAutospacing="0"/>
        <w:divId w:val="1096832075"/>
        <w:rPr>
          <w:sz w:val="20"/>
          <w:szCs w:val="20"/>
        </w:rPr>
      </w:pPr>
      <w:r>
        <w:rPr>
          <w:sz w:val="20"/>
          <w:szCs w:val="20"/>
        </w:rPr>
        <w:t>​</w:t>
      </w:r>
    </w:p>
    <w:p w14:paraId="4110C8E8" w14:textId="77777777" w:rsidR="00000000" w:rsidRDefault="001F1B20">
      <w:pPr>
        <w:pStyle w:val="a3"/>
        <w:spacing w:before="0" w:beforeAutospacing="0" w:after="0" w:afterAutospacing="0"/>
        <w:divId w:val="1096832075"/>
        <w:rPr>
          <w:sz w:val="20"/>
          <w:szCs w:val="20"/>
        </w:rPr>
      </w:pPr>
      <w:r>
        <w:rPr>
          <w:b/>
          <w:bCs/>
          <w:sz w:val="20"/>
          <w:szCs w:val="20"/>
        </w:rPr>
        <w:t>Results of Operations</w:t>
      </w:r>
    </w:p>
    <w:p w14:paraId="3BF84200" w14:textId="77777777" w:rsidR="00000000" w:rsidRDefault="001F1B20">
      <w:pPr>
        <w:pStyle w:val="a3"/>
        <w:spacing w:before="0" w:beforeAutospacing="0" w:after="0" w:afterAutospacing="0"/>
        <w:divId w:val="1096832075"/>
        <w:rPr>
          <w:sz w:val="20"/>
          <w:szCs w:val="20"/>
        </w:rPr>
      </w:pPr>
      <w:r>
        <w:rPr>
          <w:sz w:val="20"/>
          <w:szCs w:val="20"/>
        </w:rPr>
        <w:t>​</w:t>
      </w:r>
    </w:p>
    <w:p w14:paraId="3E08CC0C" w14:textId="77777777" w:rsidR="00000000" w:rsidRDefault="001F1B20">
      <w:pPr>
        <w:pStyle w:val="a3"/>
        <w:spacing w:before="0" w:beforeAutospacing="0" w:after="0" w:afterAutospacing="0"/>
        <w:divId w:val="1096832075"/>
        <w:rPr>
          <w:sz w:val="20"/>
          <w:szCs w:val="20"/>
        </w:rPr>
      </w:pPr>
      <w:r>
        <w:rPr>
          <w:b/>
          <w:bCs/>
          <w:i/>
          <w:iCs/>
          <w:sz w:val="20"/>
          <w:szCs w:val="20"/>
        </w:rPr>
        <w:t>Revenue</w:t>
      </w:r>
    </w:p>
    <w:p w14:paraId="7288BE39" w14:textId="77777777" w:rsidR="00000000" w:rsidRDefault="001F1B20">
      <w:pPr>
        <w:pStyle w:val="a3"/>
        <w:spacing w:before="0" w:beforeAutospacing="0" w:after="0" w:afterAutospacing="0"/>
        <w:divId w:val="1096832075"/>
        <w:rPr>
          <w:sz w:val="20"/>
          <w:szCs w:val="20"/>
        </w:rPr>
      </w:pPr>
      <w:r>
        <w:rPr>
          <w:sz w:val="20"/>
          <w:szCs w:val="20"/>
        </w:rPr>
        <w:t>​</w:t>
      </w:r>
    </w:p>
    <w:p w14:paraId="02F6970F" w14:textId="77777777" w:rsidR="00000000" w:rsidRDefault="001F1B20">
      <w:pPr>
        <w:pStyle w:val="a3"/>
        <w:spacing w:before="0" w:beforeAutospacing="0" w:after="0" w:afterAutospacing="0"/>
        <w:ind w:firstLine="720"/>
        <w:divId w:val="1096832075"/>
        <w:rPr>
          <w:sz w:val="20"/>
          <w:szCs w:val="20"/>
        </w:rPr>
      </w:pPr>
      <w:r>
        <w:rPr>
          <w:sz w:val="20"/>
          <w:szCs w:val="20"/>
        </w:rPr>
        <w:t>Revenue, as compared to the comparable periods in the prior year, was as follows:</w:t>
      </w:r>
    </w:p>
    <w:p w14:paraId="490DC1C9" w14:textId="77777777" w:rsidR="00000000" w:rsidRDefault="001F1B20">
      <w:pPr>
        <w:pStyle w:val="a3"/>
        <w:spacing w:before="0" w:beforeAutospacing="0" w:after="0" w:afterAutospacing="0"/>
        <w:ind w:firstLine="720"/>
        <w:divId w:val="1096832075"/>
        <w:rPr>
          <w:sz w:val="20"/>
          <w:szCs w:val="20"/>
        </w:rPr>
      </w:pPr>
      <w:r>
        <w:rPr>
          <w:sz w:val="20"/>
          <w:szCs w:val="20"/>
        </w:rPr>
        <w:t>​</w:t>
      </w:r>
    </w:p>
    <w:tbl>
      <w:tblPr>
        <w:tblW w:w="5003" w:type="pct"/>
        <w:tblCellMar>
          <w:top w:w="15" w:type="dxa"/>
          <w:left w:w="0" w:type="dxa"/>
          <w:bottom w:w="15" w:type="dxa"/>
          <w:right w:w="0" w:type="dxa"/>
        </w:tblCellMar>
        <w:tblLook w:val="04A0" w:firstRow="1" w:lastRow="0" w:firstColumn="1" w:lastColumn="0" w:noHBand="0" w:noVBand="1"/>
      </w:tblPr>
      <w:tblGrid>
        <w:gridCol w:w="2212"/>
        <w:gridCol w:w="80"/>
        <w:gridCol w:w="100"/>
        <w:gridCol w:w="610"/>
        <w:gridCol w:w="80"/>
        <w:gridCol w:w="100"/>
        <w:gridCol w:w="610"/>
        <w:gridCol w:w="80"/>
        <w:gridCol w:w="100"/>
        <w:gridCol w:w="584"/>
        <w:gridCol w:w="80"/>
        <w:gridCol w:w="334"/>
        <w:gridCol w:w="267"/>
        <w:gridCol w:w="80"/>
        <w:gridCol w:w="100"/>
        <w:gridCol w:w="610"/>
        <w:gridCol w:w="80"/>
        <w:gridCol w:w="100"/>
        <w:gridCol w:w="610"/>
        <w:gridCol w:w="80"/>
        <w:gridCol w:w="100"/>
        <w:gridCol w:w="684"/>
        <w:gridCol w:w="80"/>
        <w:gridCol w:w="383"/>
        <w:gridCol w:w="167"/>
      </w:tblGrid>
      <w:tr w:rsidR="00000000" w14:paraId="1FA6D7FA" w14:textId="77777777">
        <w:trPr>
          <w:divId w:val="1096832075"/>
          <w:trHeight w:val="20"/>
        </w:trPr>
        <w:tc>
          <w:tcPr>
            <w:tcW w:w="1803" w:type="pct"/>
            <w:tcMar>
              <w:top w:w="0" w:type="dxa"/>
              <w:left w:w="0" w:type="dxa"/>
              <w:bottom w:w="0" w:type="dxa"/>
              <w:right w:w="0" w:type="dxa"/>
            </w:tcMar>
            <w:vAlign w:val="bottom"/>
            <w:hideMark/>
          </w:tcPr>
          <w:p w14:paraId="2FD023B9" w14:textId="77777777" w:rsidR="00000000" w:rsidRDefault="001F1B20">
            <w:pPr>
              <w:pStyle w:val="a3"/>
              <w:spacing w:before="0" w:beforeAutospacing="0" w:after="0" w:afterAutospacing="0"/>
              <w:divId w:val="2115906376"/>
              <w:rPr>
                <w:sz w:val="20"/>
                <w:szCs w:val="20"/>
              </w:rPr>
            </w:pPr>
            <w:r>
              <w:rPr>
                <w:sz w:val="2"/>
                <w:szCs w:val="2"/>
              </w:rPr>
              <w:t>​</w:t>
            </w:r>
          </w:p>
        </w:tc>
        <w:tc>
          <w:tcPr>
            <w:tcW w:w="39" w:type="pct"/>
            <w:noWrap/>
            <w:tcMar>
              <w:top w:w="0" w:type="dxa"/>
              <w:left w:w="0" w:type="dxa"/>
              <w:bottom w:w="0" w:type="dxa"/>
              <w:right w:w="0" w:type="dxa"/>
            </w:tcMar>
            <w:vAlign w:val="bottom"/>
            <w:hideMark/>
          </w:tcPr>
          <w:p w14:paraId="5EF749AB" w14:textId="77777777" w:rsidR="00000000" w:rsidRDefault="001F1B20">
            <w:pPr>
              <w:pStyle w:val="a3"/>
              <w:spacing w:before="0" w:beforeAutospacing="0" w:after="0" w:afterAutospacing="0"/>
              <w:divId w:val="640575538"/>
              <w:rPr>
                <w:sz w:val="20"/>
                <w:szCs w:val="20"/>
              </w:rPr>
            </w:pPr>
            <w:r>
              <w:rPr>
                <w:sz w:val="2"/>
                <w:szCs w:val="2"/>
              </w:rPr>
              <w:t>​</w:t>
            </w:r>
          </w:p>
        </w:tc>
        <w:tc>
          <w:tcPr>
            <w:tcW w:w="49" w:type="pct"/>
            <w:noWrap/>
            <w:tcMar>
              <w:top w:w="0" w:type="dxa"/>
              <w:left w:w="0" w:type="dxa"/>
              <w:bottom w:w="0" w:type="dxa"/>
              <w:right w:w="0" w:type="dxa"/>
            </w:tcMar>
            <w:vAlign w:val="bottom"/>
            <w:hideMark/>
          </w:tcPr>
          <w:p w14:paraId="4FD220AD" w14:textId="77777777" w:rsidR="00000000" w:rsidRDefault="001F1B20">
            <w:pPr>
              <w:pStyle w:val="a3"/>
              <w:spacing w:before="0" w:beforeAutospacing="0" w:after="0" w:afterAutospacing="0"/>
              <w:divId w:val="145168320"/>
              <w:rPr>
                <w:sz w:val="20"/>
                <w:szCs w:val="20"/>
              </w:rPr>
            </w:pPr>
            <w:r>
              <w:rPr>
                <w:sz w:val="2"/>
                <w:szCs w:val="2"/>
              </w:rPr>
              <w:t>​</w:t>
            </w:r>
          </w:p>
        </w:tc>
        <w:tc>
          <w:tcPr>
            <w:tcW w:w="327" w:type="pct"/>
            <w:noWrap/>
            <w:tcMar>
              <w:top w:w="0" w:type="dxa"/>
              <w:left w:w="0" w:type="dxa"/>
              <w:bottom w:w="0" w:type="dxa"/>
              <w:right w:w="0" w:type="dxa"/>
            </w:tcMar>
            <w:vAlign w:val="bottom"/>
            <w:hideMark/>
          </w:tcPr>
          <w:p w14:paraId="4B3C7AD8" w14:textId="77777777" w:rsidR="00000000" w:rsidRDefault="001F1B20">
            <w:pPr>
              <w:pStyle w:val="a3"/>
              <w:spacing w:before="0" w:beforeAutospacing="0" w:after="0" w:afterAutospacing="0"/>
              <w:divId w:val="803040966"/>
              <w:rPr>
                <w:sz w:val="20"/>
                <w:szCs w:val="20"/>
              </w:rPr>
            </w:pPr>
            <w:r>
              <w:rPr>
                <w:sz w:val="2"/>
                <w:szCs w:val="2"/>
              </w:rPr>
              <w:t>​</w:t>
            </w:r>
          </w:p>
        </w:tc>
        <w:tc>
          <w:tcPr>
            <w:tcW w:w="39" w:type="pct"/>
            <w:noWrap/>
            <w:tcMar>
              <w:top w:w="0" w:type="dxa"/>
              <w:left w:w="0" w:type="dxa"/>
              <w:bottom w:w="0" w:type="dxa"/>
              <w:right w:w="0" w:type="dxa"/>
            </w:tcMar>
            <w:vAlign w:val="bottom"/>
            <w:hideMark/>
          </w:tcPr>
          <w:p w14:paraId="6A417CD2" w14:textId="77777777" w:rsidR="00000000" w:rsidRDefault="001F1B20">
            <w:pPr>
              <w:pStyle w:val="a3"/>
              <w:spacing w:before="0" w:beforeAutospacing="0" w:after="0" w:afterAutospacing="0"/>
              <w:divId w:val="864169810"/>
              <w:rPr>
                <w:sz w:val="20"/>
                <w:szCs w:val="20"/>
              </w:rPr>
            </w:pPr>
            <w:r>
              <w:rPr>
                <w:sz w:val="2"/>
                <w:szCs w:val="2"/>
              </w:rPr>
              <w:t>​</w:t>
            </w:r>
          </w:p>
        </w:tc>
        <w:tc>
          <w:tcPr>
            <w:tcW w:w="49" w:type="pct"/>
            <w:noWrap/>
            <w:tcMar>
              <w:top w:w="0" w:type="dxa"/>
              <w:left w:w="0" w:type="dxa"/>
              <w:bottom w:w="0" w:type="dxa"/>
              <w:right w:w="0" w:type="dxa"/>
            </w:tcMar>
            <w:vAlign w:val="bottom"/>
            <w:hideMark/>
          </w:tcPr>
          <w:p w14:paraId="6D5E61A6" w14:textId="77777777" w:rsidR="00000000" w:rsidRDefault="001F1B20">
            <w:pPr>
              <w:pStyle w:val="a3"/>
              <w:spacing w:before="0" w:beforeAutospacing="0" w:after="0" w:afterAutospacing="0"/>
              <w:divId w:val="465006651"/>
              <w:rPr>
                <w:sz w:val="20"/>
                <w:szCs w:val="20"/>
              </w:rPr>
            </w:pPr>
            <w:r>
              <w:rPr>
                <w:sz w:val="2"/>
                <w:szCs w:val="2"/>
              </w:rPr>
              <w:t>​</w:t>
            </w:r>
          </w:p>
        </w:tc>
        <w:tc>
          <w:tcPr>
            <w:tcW w:w="327" w:type="pct"/>
            <w:noWrap/>
            <w:tcMar>
              <w:top w:w="0" w:type="dxa"/>
              <w:left w:w="0" w:type="dxa"/>
              <w:bottom w:w="0" w:type="dxa"/>
              <w:right w:w="0" w:type="dxa"/>
            </w:tcMar>
            <w:vAlign w:val="bottom"/>
            <w:hideMark/>
          </w:tcPr>
          <w:p w14:paraId="58D50395" w14:textId="77777777" w:rsidR="00000000" w:rsidRDefault="001F1B20">
            <w:pPr>
              <w:pStyle w:val="a3"/>
              <w:spacing w:before="0" w:beforeAutospacing="0" w:after="0" w:afterAutospacing="0"/>
              <w:divId w:val="730155249"/>
              <w:rPr>
                <w:sz w:val="20"/>
                <w:szCs w:val="20"/>
              </w:rPr>
            </w:pPr>
            <w:r>
              <w:rPr>
                <w:sz w:val="2"/>
                <w:szCs w:val="2"/>
              </w:rPr>
              <w:t>​</w:t>
            </w:r>
          </w:p>
        </w:tc>
        <w:tc>
          <w:tcPr>
            <w:tcW w:w="39" w:type="pct"/>
            <w:noWrap/>
            <w:tcMar>
              <w:top w:w="0" w:type="dxa"/>
              <w:left w:w="0" w:type="dxa"/>
              <w:bottom w:w="0" w:type="dxa"/>
              <w:right w:w="0" w:type="dxa"/>
            </w:tcMar>
            <w:vAlign w:val="bottom"/>
            <w:hideMark/>
          </w:tcPr>
          <w:p w14:paraId="7EF742B7" w14:textId="77777777" w:rsidR="00000000" w:rsidRDefault="001F1B20">
            <w:pPr>
              <w:pStyle w:val="a3"/>
              <w:spacing w:before="0" w:beforeAutospacing="0" w:after="0" w:afterAutospacing="0"/>
              <w:divId w:val="1302880572"/>
              <w:rPr>
                <w:sz w:val="20"/>
                <w:szCs w:val="20"/>
              </w:rPr>
            </w:pPr>
            <w:r>
              <w:rPr>
                <w:sz w:val="2"/>
                <w:szCs w:val="2"/>
              </w:rPr>
              <w:t>​</w:t>
            </w:r>
          </w:p>
        </w:tc>
        <w:tc>
          <w:tcPr>
            <w:tcW w:w="49" w:type="pct"/>
            <w:noWrap/>
            <w:tcMar>
              <w:top w:w="0" w:type="dxa"/>
              <w:left w:w="0" w:type="dxa"/>
              <w:bottom w:w="0" w:type="dxa"/>
              <w:right w:w="0" w:type="dxa"/>
            </w:tcMar>
            <w:vAlign w:val="bottom"/>
            <w:hideMark/>
          </w:tcPr>
          <w:p w14:paraId="6EC773A5" w14:textId="77777777" w:rsidR="00000000" w:rsidRDefault="001F1B20">
            <w:pPr>
              <w:pStyle w:val="a3"/>
              <w:spacing w:before="0" w:beforeAutospacing="0" w:after="0" w:afterAutospacing="0"/>
              <w:divId w:val="1428771776"/>
              <w:rPr>
                <w:sz w:val="20"/>
                <w:szCs w:val="20"/>
              </w:rPr>
            </w:pPr>
            <w:r>
              <w:rPr>
                <w:sz w:val="2"/>
                <w:szCs w:val="2"/>
              </w:rPr>
              <w:t>​</w:t>
            </w:r>
          </w:p>
        </w:tc>
        <w:tc>
          <w:tcPr>
            <w:tcW w:w="314" w:type="pct"/>
            <w:noWrap/>
            <w:tcMar>
              <w:top w:w="0" w:type="dxa"/>
              <w:left w:w="0" w:type="dxa"/>
              <w:bottom w:w="0" w:type="dxa"/>
              <w:right w:w="0" w:type="dxa"/>
            </w:tcMar>
            <w:vAlign w:val="bottom"/>
            <w:hideMark/>
          </w:tcPr>
          <w:p w14:paraId="74AC62DF" w14:textId="77777777" w:rsidR="00000000" w:rsidRDefault="001F1B20">
            <w:pPr>
              <w:pStyle w:val="a3"/>
              <w:spacing w:before="0" w:beforeAutospacing="0" w:after="0" w:afterAutospacing="0"/>
              <w:divId w:val="851921171"/>
              <w:rPr>
                <w:sz w:val="20"/>
                <w:szCs w:val="20"/>
              </w:rPr>
            </w:pPr>
            <w:r>
              <w:rPr>
                <w:sz w:val="2"/>
                <w:szCs w:val="2"/>
              </w:rPr>
              <w:t>​</w:t>
            </w:r>
          </w:p>
        </w:tc>
        <w:tc>
          <w:tcPr>
            <w:tcW w:w="39" w:type="pct"/>
            <w:noWrap/>
            <w:tcMar>
              <w:top w:w="0" w:type="dxa"/>
              <w:left w:w="0" w:type="dxa"/>
              <w:bottom w:w="0" w:type="dxa"/>
              <w:right w:w="0" w:type="dxa"/>
            </w:tcMar>
            <w:vAlign w:val="bottom"/>
            <w:hideMark/>
          </w:tcPr>
          <w:p w14:paraId="1459EE70" w14:textId="77777777" w:rsidR="00000000" w:rsidRDefault="001F1B20">
            <w:pPr>
              <w:pStyle w:val="a3"/>
              <w:spacing w:before="0" w:beforeAutospacing="0" w:after="0" w:afterAutospacing="0"/>
              <w:divId w:val="1146094483"/>
              <w:rPr>
                <w:sz w:val="20"/>
                <w:szCs w:val="20"/>
              </w:rPr>
            </w:pPr>
            <w:r>
              <w:rPr>
                <w:sz w:val="2"/>
                <w:szCs w:val="2"/>
              </w:rPr>
              <w:t>​</w:t>
            </w:r>
          </w:p>
        </w:tc>
        <w:tc>
          <w:tcPr>
            <w:tcW w:w="190" w:type="pct"/>
            <w:noWrap/>
            <w:tcMar>
              <w:top w:w="0" w:type="dxa"/>
              <w:left w:w="0" w:type="dxa"/>
              <w:bottom w:w="0" w:type="dxa"/>
              <w:right w:w="0" w:type="dxa"/>
            </w:tcMar>
            <w:vAlign w:val="bottom"/>
            <w:hideMark/>
          </w:tcPr>
          <w:p w14:paraId="591D080B" w14:textId="77777777" w:rsidR="00000000" w:rsidRDefault="001F1B20">
            <w:pPr>
              <w:pStyle w:val="a3"/>
              <w:spacing w:before="0" w:beforeAutospacing="0" w:after="0" w:afterAutospacing="0"/>
              <w:divId w:val="2098360217"/>
              <w:rPr>
                <w:sz w:val="20"/>
                <w:szCs w:val="20"/>
              </w:rPr>
            </w:pPr>
            <w:r>
              <w:rPr>
                <w:sz w:val="2"/>
                <w:szCs w:val="2"/>
              </w:rPr>
              <w:t>​</w:t>
            </w:r>
          </w:p>
        </w:tc>
        <w:tc>
          <w:tcPr>
            <w:tcW w:w="132" w:type="pct"/>
            <w:noWrap/>
            <w:tcMar>
              <w:top w:w="0" w:type="dxa"/>
              <w:left w:w="0" w:type="dxa"/>
              <w:bottom w:w="0" w:type="dxa"/>
              <w:right w:w="0" w:type="dxa"/>
            </w:tcMar>
            <w:vAlign w:val="bottom"/>
            <w:hideMark/>
          </w:tcPr>
          <w:p w14:paraId="49CA612B" w14:textId="77777777" w:rsidR="00000000" w:rsidRDefault="001F1B20">
            <w:pPr>
              <w:pStyle w:val="a3"/>
              <w:spacing w:before="0" w:beforeAutospacing="0" w:after="0" w:afterAutospacing="0"/>
              <w:divId w:val="1085805298"/>
              <w:rPr>
                <w:sz w:val="20"/>
                <w:szCs w:val="20"/>
              </w:rPr>
            </w:pPr>
            <w:r>
              <w:rPr>
                <w:sz w:val="2"/>
                <w:szCs w:val="2"/>
              </w:rPr>
              <w:t>​</w:t>
            </w:r>
          </w:p>
        </w:tc>
        <w:tc>
          <w:tcPr>
            <w:tcW w:w="39" w:type="pct"/>
            <w:noWrap/>
            <w:tcMar>
              <w:top w:w="0" w:type="dxa"/>
              <w:left w:w="0" w:type="dxa"/>
              <w:bottom w:w="0" w:type="dxa"/>
              <w:right w:w="0" w:type="dxa"/>
            </w:tcMar>
            <w:vAlign w:val="bottom"/>
            <w:hideMark/>
          </w:tcPr>
          <w:p w14:paraId="73FE79EC" w14:textId="77777777" w:rsidR="00000000" w:rsidRDefault="001F1B20">
            <w:pPr>
              <w:pStyle w:val="a3"/>
              <w:spacing w:before="0" w:beforeAutospacing="0" w:after="0" w:afterAutospacing="0"/>
              <w:divId w:val="653877147"/>
              <w:rPr>
                <w:sz w:val="20"/>
                <w:szCs w:val="20"/>
              </w:rPr>
            </w:pPr>
            <w:r>
              <w:rPr>
                <w:sz w:val="2"/>
                <w:szCs w:val="2"/>
              </w:rPr>
              <w:t>​</w:t>
            </w:r>
          </w:p>
        </w:tc>
        <w:tc>
          <w:tcPr>
            <w:tcW w:w="49" w:type="pct"/>
            <w:noWrap/>
            <w:tcMar>
              <w:top w:w="0" w:type="dxa"/>
              <w:left w:w="0" w:type="dxa"/>
              <w:bottom w:w="0" w:type="dxa"/>
              <w:right w:w="0" w:type="dxa"/>
            </w:tcMar>
            <w:vAlign w:val="bottom"/>
            <w:hideMark/>
          </w:tcPr>
          <w:p w14:paraId="049841A2" w14:textId="77777777" w:rsidR="00000000" w:rsidRDefault="001F1B20">
            <w:pPr>
              <w:pStyle w:val="a3"/>
              <w:spacing w:before="0" w:beforeAutospacing="0" w:after="0" w:afterAutospacing="0"/>
              <w:divId w:val="1132013997"/>
              <w:rPr>
                <w:sz w:val="20"/>
                <w:szCs w:val="20"/>
              </w:rPr>
            </w:pPr>
            <w:r>
              <w:rPr>
                <w:sz w:val="2"/>
                <w:szCs w:val="2"/>
              </w:rPr>
              <w:t>​</w:t>
            </w:r>
          </w:p>
        </w:tc>
        <w:tc>
          <w:tcPr>
            <w:tcW w:w="327" w:type="pct"/>
            <w:noWrap/>
            <w:tcMar>
              <w:top w:w="0" w:type="dxa"/>
              <w:left w:w="0" w:type="dxa"/>
              <w:bottom w:w="0" w:type="dxa"/>
              <w:right w:w="0" w:type="dxa"/>
            </w:tcMar>
            <w:vAlign w:val="bottom"/>
            <w:hideMark/>
          </w:tcPr>
          <w:p w14:paraId="601A90BB" w14:textId="77777777" w:rsidR="00000000" w:rsidRDefault="001F1B20">
            <w:pPr>
              <w:pStyle w:val="a3"/>
              <w:spacing w:before="0" w:beforeAutospacing="0" w:after="0" w:afterAutospacing="0"/>
              <w:divId w:val="1081098118"/>
              <w:rPr>
                <w:sz w:val="20"/>
                <w:szCs w:val="20"/>
              </w:rPr>
            </w:pPr>
            <w:r>
              <w:rPr>
                <w:sz w:val="2"/>
                <w:szCs w:val="2"/>
              </w:rPr>
              <w:t>​</w:t>
            </w:r>
          </w:p>
        </w:tc>
        <w:tc>
          <w:tcPr>
            <w:tcW w:w="39" w:type="pct"/>
            <w:noWrap/>
            <w:tcMar>
              <w:top w:w="0" w:type="dxa"/>
              <w:left w:w="0" w:type="dxa"/>
              <w:bottom w:w="0" w:type="dxa"/>
              <w:right w:w="0" w:type="dxa"/>
            </w:tcMar>
            <w:vAlign w:val="bottom"/>
            <w:hideMark/>
          </w:tcPr>
          <w:p w14:paraId="762F4E91" w14:textId="77777777" w:rsidR="00000000" w:rsidRDefault="001F1B20">
            <w:pPr>
              <w:pStyle w:val="a3"/>
              <w:spacing w:before="0" w:beforeAutospacing="0" w:after="0" w:afterAutospacing="0"/>
              <w:divId w:val="1233858271"/>
              <w:rPr>
                <w:sz w:val="20"/>
                <w:szCs w:val="20"/>
              </w:rPr>
            </w:pPr>
            <w:r>
              <w:rPr>
                <w:sz w:val="2"/>
                <w:szCs w:val="2"/>
              </w:rPr>
              <w:t>​</w:t>
            </w:r>
          </w:p>
        </w:tc>
        <w:tc>
          <w:tcPr>
            <w:tcW w:w="49" w:type="pct"/>
            <w:noWrap/>
            <w:tcMar>
              <w:top w:w="0" w:type="dxa"/>
              <w:left w:w="0" w:type="dxa"/>
              <w:bottom w:w="0" w:type="dxa"/>
              <w:right w:w="0" w:type="dxa"/>
            </w:tcMar>
            <w:vAlign w:val="bottom"/>
            <w:hideMark/>
          </w:tcPr>
          <w:p w14:paraId="0FE5FB74" w14:textId="77777777" w:rsidR="00000000" w:rsidRDefault="001F1B20">
            <w:pPr>
              <w:pStyle w:val="a3"/>
              <w:spacing w:before="0" w:beforeAutospacing="0" w:after="0" w:afterAutospacing="0"/>
              <w:divId w:val="1498568212"/>
              <w:rPr>
                <w:sz w:val="20"/>
                <w:szCs w:val="20"/>
              </w:rPr>
            </w:pPr>
            <w:r>
              <w:rPr>
                <w:sz w:val="2"/>
                <w:szCs w:val="2"/>
              </w:rPr>
              <w:t>​</w:t>
            </w:r>
          </w:p>
        </w:tc>
        <w:tc>
          <w:tcPr>
            <w:tcW w:w="327" w:type="pct"/>
            <w:noWrap/>
            <w:tcMar>
              <w:top w:w="0" w:type="dxa"/>
              <w:left w:w="0" w:type="dxa"/>
              <w:bottom w:w="0" w:type="dxa"/>
              <w:right w:w="0" w:type="dxa"/>
            </w:tcMar>
            <w:vAlign w:val="bottom"/>
            <w:hideMark/>
          </w:tcPr>
          <w:p w14:paraId="04EC3E7A" w14:textId="77777777" w:rsidR="00000000" w:rsidRDefault="001F1B20">
            <w:pPr>
              <w:pStyle w:val="a3"/>
              <w:spacing w:before="0" w:beforeAutospacing="0" w:after="0" w:afterAutospacing="0"/>
              <w:divId w:val="283851282"/>
              <w:rPr>
                <w:sz w:val="20"/>
                <w:szCs w:val="20"/>
              </w:rPr>
            </w:pPr>
            <w:r>
              <w:rPr>
                <w:sz w:val="2"/>
                <w:szCs w:val="2"/>
              </w:rPr>
              <w:t>​</w:t>
            </w:r>
          </w:p>
        </w:tc>
        <w:tc>
          <w:tcPr>
            <w:tcW w:w="39" w:type="pct"/>
            <w:noWrap/>
            <w:tcMar>
              <w:top w:w="0" w:type="dxa"/>
              <w:left w:w="0" w:type="dxa"/>
              <w:bottom w:w="0" w:type="dxa"/>
              <w:right w:w="0" w:type="dxa"/>
            </w:tcMar>
            <w:vAlign w:val="bottom"/>
            <w:hideMark/>
          </w:tcPr>
          <w:p w14:paraId="76257DAC" w14:textId="77777777" w:rsidR="00000000" w:rsidRDefault="001F1B20">
            <w:pPr>
              <w:pStyle w:val="a3"/>
              <w:spacing w:before="0" w:beforeAutospacing="0" w:after="0" w:afterAutospacing="0"/>
              <w:divId w:val="1302879403"/>
              <w:rPr>
                <w:sz w:val="20"/>
                <w:szCs w:val="20"/>
              </w:rPr>
            </w:pPr>
            <w:r>
              <w:rPr>
                <w:sz w:val="2"/>
                <w:szCs w:val="2"/>
              </w:rPr>
              <w:t>​</w:t>
            </w:r>
          </w:p>
        </w:tc>
        <w:tc>
          <w:tcPr>
            <w:tcW w:w="49" w:type="pct"/>
            <w:noWrap/>
            <w:tcMar>
              <w:top w:w="0" w:type="dxa"/>
              <w:left w:w="0" w:type="dxa"/>
              <w:bottom w:w="0" w:type="dxa"/>
              <w:right w:w="0" w:type="dxa"/>
            </w:tcMar>
            <w:vAlign w:val="bottom"/>
            <w:hideMark/>
          </w:tcPr>
          <w:p w14:paraId="175327E6" w14:textId="77777777" w:rsidR="00000000" w:rsidRDefault="001F1B20">
            <w:pPr>
              <w:pStyle w:val="a3"/>
              <w:spacing w:before="0" w:beforeAutospacing="0" w:after="0" w:afterAutospacing="0"/>
              <w:divId w:val="1037196937"/>
              <w:rPr>
                <w:sz w:val="20"/>
                <w:szCs w:val="20"/>
              </w:rPr>
            </w:pPr>
            <w:r>
              <w:rPr>
                <w:sz w:val="2"/>
                <w:szCs w:val="2"/>
              </w:rPr>
              <w:t>​</w:t>
            </w:r>
          </w:p>
        </w:tc>
        <w:tc>
          <w:tcPr>
            <w:tcW w:w="363" w:type="pct"/>
            <w:noWrap/>
            <w:tcMar>
              <w:top w:w="0" w:type="dxa"/>
              <w:left w:w="0" w:type="dxa"/>
              <w:bottom w:w="0" w:type="dxa"/>
              <w:right w:w="0" w:type="dxa"/>
            </w:tcMar>
            <w:vAlign w:val="bottom"/>
            <w:hideMark/>
          </w:tcPr>
          <w:p w14:paraId="6C2E5222" w14:textId="77777777" w:rsidR="00000000" w:rsidRDefault="001F1B20">
            <w:pPr>
              <w:pStyle w:val="a3"/>
              <w:spacing w:before="0" w:beforeAutospacing="0" w:after="0" w:afterAutospacing="0"/>
              <w:divId w:val="2087219574"/>
              <w:rPr>
                <w:sz w:val="20"/>
                <w:szCs w:val="20"/>
              </w:rPr>
            </w:pPr>
            <w:r>
              <w:rPr>
                <w:sz w:val="2"/>
                <w:szCs w:val="2"/>
              </w:rPr>
              <w:t>​</w:t>
            </w:r>
          </w:p>
        </w:tc>
        <w:tc>
          <w:tcPr>
            <w:tcW w:w="39" w:type="pct"/>
            <w:noWrap/>
            <w:tcMar>
              <w:top w:w="0" w:type="dxa"/>
              <w:left w:w="0" w:type="dxa"/>
              <w:bottom w:w="0" w:type="dxa"/>
              <w:right w:w="0" w:type="dxa"/>
            </w:tcMar>
            <w:vAlign w:val="bottom"/>
            <w:hideMark/>
          </w:tcPr>
          <w:p w14:paraId="4811C94E" w14:textId="77777777" w:rsidR="00000000" w:rsidRDefault="001F1B20">
            <w:pPr>
              <w:pStyle w:val="a3"/>
              <w:spacing w:before="0" w:beforeAutospacing="0" w:after="0" w:afterAutospacing="0"/>
              <w:divId w:val="942342202"/>
              <w:rPr>
                <w:sz w:val="20"/>
                <w:szCs w:val="20"/>
              </w:rPr>
            </w:pPr>
            <w:r>
              <w:rPr>
                <w:sz w:val="2"/>
                <w:szCs w:val="2"/>
              </w:rPr>
              <w:t>​</w:t>
            </w:r>
          </w:p>
        </w:tc>
        <w:tc>
          <w:tcPr>
            <w:tcW w:w="190" w:type="pct"/>
            <w:noWrap/>
            <w:tcMar>
              <w:top w:w="0" w:type="dxa"/>
              <w:left w:w="0" w:type="dxa"/>
              <w:bottom w:w="0" w:type="dxa"/>
              <w:right w:w="0" w:type="dxa"/>
            </w:tcMar>
            <w:vAlign w:val="bottom"/>
            <w:hideMark/>
          </w:tcPr>
          <w:p w14:paraId="6D647EFD" w14:textId="77777777" w:rsidR="00000000" w:rsidRDefault="001F1B20">
            <w:pPr>
              <w:pStyle w:val="a3"/>
              <w:spacing w:before="0" w:beforeAutospacing="0" w:after="0" w:afterAutospacing="0"/>
              <w:divId w:val="1584995169"/>
              <w:rPr>
                <w:sz w:val="20"/>
                <w:szCs w:val="20"/>
              </w:rPr>
            </w:pPr>
            <w:r>
              <w:rPr>
                <w:sz w:val="2"/>
                <w:szCs w:val="2"/>
              </w:rPr>
              <w:t>​</w:t>
            </w:r>
          </w:p>
        </w:tc>
        <w:tc>
          <w:tcPr>
            <w:tcW w:w="82" w:type="pct"/>
            <w:noWrap/>
            <w:tcMar>
              <w:top w:w="0" w:type="dxa"/>
              <w:left w:w="0" w:type="dxa"/>
              <w:bottom w:w="0" w:type="dxa"/>
              <w:right w:w="0" w:type="dxa"/>
            </w:tcMar>
            <w:vAlign w:val="bottom"/>
            <w:hideMark/>
          </w:tcPr>
          <w:p w14:paraId="43689EF4" w14:textId="77777777" w:rsidR="00000000" w:rsidRDefault="001F1B20">
            <w:pPr>
              <w:pStyle w:val="a3"/>
              <w:spacing w:before="0" w:beforeAutospacing="0" w:after="0" w:afterAutospacing="0"/>
              <w:divId w:val="215434469"/>
              <w:rPr>
                <w:sz w:val="20"/>
                <w:szCs w:val="20"/>
              </w:rPr>
            </w:pPr>
            <w:r>
              <w:rPr>
                <w:sz w:val="2"/>
                <w:szCs w:val="2"/>
              </w:rPr>
              <w:t>​</w:t>
            </w:r>
          </w:p>
        </w:tc>
      </w:tr>
      <w:tr w:rsidR="00000000" w14:paraId="7185F0FA" w14:textId="77777777">
        <w:trPr>
          <w:divId w:val="1096832075"/>
        </w:trPr>
        <w:tc>
          <w:tcPr>
            <w:tcW w:w="1803" w:type="pct"/>
            <w:tcMar>
              <w:top w:w="0" w:type="dxa"/>
              <w:left w:w="0" w:type="dxa"/>
              <w:bottom w:w="0" w:type="dxa"/>
              <w:right w:w="0" w:type="dxa"/>
            </w:tcMar>
            <w:vAlign w:val="bottom"/>
            <w:hideMark/>
          </w:tcPr>
          <w:p w14:paraId="5EB8436C"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5DFF6983"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noWrap/>
            <w:tcMar>
              <w:top w:w="0" w:type="dxa"/>
              <w:left w:w="0" w:type="dxa"/>
              <w:bottom w:w="0" w:type="dxa"/>
              <w:right w:w="0" w:type="dxa"/>
            </w:tcMar>
            <w:vAlign w:val="bottom"/>
            <w:hideMark/>
          </w:tcPr>
          <w:p w14:paraId="2A7FBA48"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39" w:type="pct"/>
            <w:noWrap/>
            <w:tcMar>
              <w:top w:w="0" w:type="dxa"/>
              <w:left w:w="0" w:type="dxa"/>
              <w:bottom w:w="0" w:type="dxa"/>
              <w:right w:w="0" w:type="dxa"/>
            </w:tcMar>
            <w:vAlign w:val="bottom"/>
            <w:hideMark/>
          </w:tcPr>
          <w:p w14:paraId="011A2105" w14:textId="77777777" w:rsidR="00000000" w:rsidRDefault="001F1B20">
            <w:pPr>
              <w:pStyle w:val="a3"/>
              <w:spacing w:before="0" w:beforeAutospacing="0" w:after="0" w:afterAutospacing="0"/>
              <w:rPr>
                <w:sz w:val="20"/>
                <w:szCs w:val="20"/>
              </w:rPr>
            </w:pPr>
            <w:r>
              <w:rPr>
                <w:b/>
                <w:bCs/>
                <w:sz w:val="16"/>
                <w:szCs w:val="16"/>
              </w:rPr>
              <w:t>​</w:t>
            </w:r>
          </w:p>
        </w:tc>
        <w:tc>
          <w:tcPr>
            <w:tcW w:w="593" w:type="pct"/>
            <w:gridSpan w:val="4"/>
            <w:noWrap/>
            <w:tcMar>
              <w:top w:w="0" w:type="dxa"/>
              <w:left w:w="0" w:type="dxa"/>
              <w:bottom w:w="0" w:type="dxa"/>
              <w:right w:w="0" w:type="dxa"/>
            </w:tcMar>
            <w:vAlign w:val="bottom"/>
            <w:hideMark/>
          </w:tcPr>
          <w:p w14:paraId="62716D85"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348363B5"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2F94D445"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noWrap/>
            <w:tcMar>
              <w:top w:w="0" w:type="dxa"/>
              <w:left w:w="0" w:type="dxa"/>
              <w:bottom w:w="0" w:type="dxa"/>
              <w:right w:w="0" w:type="dxa"/>
            </w:tcMar>
            <w:vAlign w:val="bottom"/>
            <w:hideMark/>
          </w:tcPr>
          <w:p w14:paraId="7BA039C6"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c>
          <w:tcPr>
            <w:tcW w:w="39" w:type="pct"/>
            <w:noWrap/>
            <w:tcMar>
              <w:top w:w="0" w:type="dxa"/>
              <w:left w:w="0" w:type="dxa"/>
              <w:bottom w:w="0" w:type="dxa"/>
              <w:right w:w="0" w:type="dxa"/>
            </w:tcMar>
            <w:vAlign w:val="bottom"/>
            <w:hideMark/>
          </w:tcPr>
          <w:p w14:paraId="4CD5518C" w14:textId="77777777" w:rsidR="00000000" w:rsidRDefault="001F1B20">
            <w:pPr>
              <w:pStyle w:val="a3"/>
              <w:spacing w:before="0" w:beforeAutospacing="0" w:after="0" w:afterAutospacing="0"/>
              <w:jc w:val="center"/>
              <w:rPr>
                <w:sz w:val="20"/>
                <w:szCs w:val="20"/>
              </w:rPr>
            </w:pPr>
            <w:r>
              <w:rPr>
                <w:b/>
                <w:bCs/>
                <w:sz w:val="16"/>
                <w:szCs w:val="16"/>
              </w:rPr>
              <w:t>​</w:t>
            </w:r>
          </w:p>
        </w:tc>
        <w:tc>
          <w:tcPr>
            <w:tcW w:w="643" w:type="pct"/>
            <w:gridSpan w:val="4"/>
            <w:noWrap/>
            <w:tcMar>
              <w:top w:w="0" w:type="dxa"/>
              <w:left w:w="0" w:type="dxa"/>
              <w:bottom w:w="0" w:type="dxa"/>
              <w:right w:w="0" w:type="dxa"/>
            </w:tcMar>
            <w:vAlign w:val="bottom"/>
            <w:hideMark/>
          </w:tcPr>
          <w:p w14:paraId="2EA64200" w14:textId="77777777" w:rsidR="00000000" w:rsidRDefault="001F1B2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14:paraId="3B3EC12F" w14:textId="77777777" w:rsidR="00000000" w:rsidRDefault="001F1B20">
            <w:pPr>
              <w:pStyle w:val="a3"/>
              <w:spacing w:before="0" w:beforeAutospacing="0" w:after="0" w:afterAutospacing="0"/>
              <w:jc w:val="center"/>
              <w:rPr>
                <w:sz w:val="20"/>
                <w:szCs w:val="20"/>
              </w:rPr>
            </w:pPr>
            <w:r>
              <w:rPr>
                <w:sz w:val="16"/>
                <w:szCs w:val="16"/>
              </w:rPr>
              <w:t>​</w:t>
            </w:r>
          </w:p>
        </w:tc>
      </w:tr>
      <w:tr w:rsidR="00000000" w14:paraId="49C17B08" w14:textId="77777777">
        <w:trPr>
          <w:divId w:val="1096832075"/>
        </w:trPr>
        <w:tc>
          <w:tcPr>
            <w:tcW w:w="1803" w:type="pct"/>
            <w:tcMar>
              <w:top w:w="0" w:type="dxa"/>
              <w:left w:w="0" w:type="dxa"/>
              <w:bottom w:w="0" w:type="dxa"/>
              <w:right w:w="0" w:type="dxa"/>
            </w:tcMar>
            <w:vAlign w:val="bottom"/>
            <w:hideMark/>
          </w:tcPr>
          <w:p w14:paraId="3A7A9CE8"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0CE25450"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tcBorders>
              <w:bottom w:val="single" w:sz="6" w:space="0" w:color="000000"/>
            </w:tcBorders>
            <w:noWrap/>
            <w:tcMar>
              <w:top w:w="0" w:type="dxa"/>
              <w:left w:w="0" w:type="dxa"/>
              <w:bottom w:w="0" w:type="dxa"/>
              <w:right w:w="0" w:type="dxa"/>
            </w:tcMar>
            <w:vAlign w:val="bottom"/>
            <w:hideMark/>
          </w:tcPr>
          <w:p w14:paraId="61C94758"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01C2E359" w14:textId="77777777" w:rsidR="00000000" w:rsidRDefault="001F1B20">
            <w:pPr>
              <w:pStyle w:val="a3"/>
              <w:spacing w:before="0" w:beforeAutospacing="0" w:after="0" w:afterAutospacing="0"/>
              <w:rPr>
                <w:sz w:val="20"/>
                <w:szCs w:val="20"/>
              </w:rPr>
            </w:pPr>
            <w:r>
              <w:rPr>
                <w:b/>
                <w:bCs/>
                <w:sz w:val="16"/>
                <w:szCs w:val="16"/>
              </w:rPr>
              <w:t>​</w:t>
            </w:r>
          </w:p>
        </w:tc>
        <w:tc>
          <w:tcPr>
            <w:tcW w:w="593" w:type="pct"/>
            <w:gridSpan w:val="4"/>
            <w:tcBorders>
              <w:bottom w:val="single" w:sz="6" w:space="0" w:color="000000"/>
            </w:tcBorders>
            <w:noWrap/>
            <w:tcMar>
              <w:top w:w="0" w:type="dxa"/>
              <w:left w:w="0" w:type="dxa"/>
              <w:bottom w:w="0" w:type="dxa"/>
              <w:right w:w="0" w:type="dxa"/>
            </w:tcMar>
            <w:vAlign w:val="bottom"/>
            <w:hideMark/>
          </w:tcPr>
          <w:p w14:paraId="2C9881C9"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71B7B531"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2FAEF9FC"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tcBorders>
              <w:bottom w:val="single" w:sz="6" w:space="0" w:color="000000"/>
            </w:tcBorders>
            <w:noWrap/>
            <w:tcMar>
              <w:top w:w="0" w:type="dxa"/>
              <w:left w:w="0" w:type="dxa"/>
              <w:bottom w:w="0" w:type="dxa"/>
              <w:right w:w="0" w:type="dxa"/>
            </w:tcMar>
            <w:vAlign w:val="bottom"/>
            <w:hideMark/>
          </w:tcPr>
          <w:p w14:paraId="66B902A6"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62A78CCB" w14:textId="77777777" w:rsidR="00000000" w:rsidRDefault="001F1B20">
            <w:pPr>
              <w:pStyle w:val="a3"/>
              <w:spacing w:before="0" w:beforeAutospacing="0" w:after="0" w:afterAutospacing="0"/>
              <w:jc w:val="center"/>
              <w:rPr>
                <w:sz w:val="20"/>
                <w:szCs w:val="20"/>
              </w:rPr>
            </w:pPr>
            <w:r>
              <w:rPr>
                <w:b/>
                <w:bCs/>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14:paraId="50D13690" w14:textId="77777777" w:rsidR="00000000" w:rsidRDefault="001F1B20">
            <w:pPr>
              <w:pStyle w:val="a3"/>
              <w:spacing w:before="0" w:beforeAutospacing="0" w:after="0" w:afterAutospacing="0"/>
              <w:jc w:val="center"/>
              <w:rPr>
                <w:sz w:val="16"/>
                <w:szCs w:val="16"/>
              </w:rPr>
            </w:pPr>
            <w:r>
              <w:rPr>
                <w:b/>
                <w:bCs/>
                <w:sz w:val="16"/>
                <w:szCs w:val="16"/>
              </w:rPr>
              <w:t>Change</w:t>
            </w:r>
          </w:p>
        </w:tc>
        <w:tc>
          <w:tcPr>
            <w:tcW w:w="82" w:type="pct"/>
            <w:noWrap/>
            <w:tcMar>
              <w:top w:w="0" w:type="dxa"/>
              <w:left w:w="0" w:type="dxa"/>
              <w:bottom w:w="0" w:type="dxa"/>
              <w:right w:w="0" w:type="dxa"/>
            </w:tcMar>
            <w:vAlign w:val="bottom"/>
            <w:hideMark/>
          </w:tcPr>
          <w:p w14:paraId="052724F5" w14:textId="77777777" w:rsidR="00000000" w:rsidRDefault="001F1B20">
            <w:pPr>
              <w:pStyle w:val="a3"/>
              <w:spacing w:before="0" w:beforeAutospacing="0" w:after="0" w:afterAutospacing="0"/>
              <w:jc w:val="center"/>
              <w:rPr>
                <w:sz w:val="20"/>
                <w:szCs w:val="20"/>
              </w:rPr>
            </w:pPr>
            <w:r>
              <w:rPr>
                <w:sz w:val="16"/>
                <w:szCs w:val="16"/>
              </w:rPr>
              <w:t>​</w:t>
            </w:r>
          </w:p>
        </w:tc>
      </w:tr>
      <w:tr w:rsidR="00000000" w14:paraId="3B68FD82" w14:textId="77777777">
        <w:trPr>
          <w:divId w:val="1096832075"/>
        </w:trPr>
        <w:tc>
          <w:tcPr>
            <w:tcW w:w="1803" w:type="pct"/>
            <w:tcBorders>
              <w:bottom w:val="single" w:sz="6" w:space="0" w:color="000000"/>
            </w:tcBorders>
            <w:tcMar>
              <w:top w:w="0" w:type="dxa"/>
              <w:left w:w="0" w:type="dxa"/>
              <w:bottom w:w="0" w:type="dxa"/>
              <w:right w:w="0" w:type="dxa"/>
            </w:tcMar>
            <w:vAlign w:val="bottom"/>
            <w:hideMark/>
          </w:tcPr>
          <w:p w14:paraId="1E99CC4F" w14:textId="77777777" w:rsidR="00000000" w:rsidRDefault="001F1B20">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14:paraId="0D3FA37B"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5D6F62AC" w14:textId="77777777" w:rsidR="00000000" w:rsidRDefault="001F1B20">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14:paraId="15295B25"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6E9A5B2D"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32A8CB27" w14:textId="77777777" w:rsidR="00000000" w:rsidRDefault="001F1B20">
            <w:pPr>
              <w:pStyle w:val="a3"/>
              <w:spacing w:before="0" w:beforeAutospacing="0" w:after="0" w:afterAutospacing="0"/>
              <w:jc w:val="center"/>
              <w:rPr>
                <w:sz w:val="16"/>
                <w:szCs w:val="16"/>
              </w:rPr>
            </w:pPr>
            <w:r>
              <w:rPr>
                <w:b/>
                <w:bCs/>
                <w:sz w:val="16"/>
                <w:szCs w:val="16"/>
              </w:rPr>
              <w:t>  </w:t>
            </w:r>
          </w:p>
        </w:tc>
        <w:tc>
          <w:tcPr>
            <w:tcW w:w="363" w:type="pct"/>
            <w:gridSpan w:val="2"/>
            <w:tcBorders>
              <w:bottom w:val="single" w:sz="6" w:space="0" w:color="000000"/>
            </w:tcBorders>
            <w:noWrap/>
            <w:tcMar>
              <w:top w:w="0" w:type="dxa"/>
              <w:left w:w="0" w:type="dxa"/>
              <w:bottom w:w="0" w:type="dxa"/>
              <w:right w:w="0" w:type="dxa"/>
            </w:tcMar>
            <w:vAlign w:val="bottom"/>
            <w:hideMark/>
          </w:tcPr>
          <w:p w14:paraId="1086701C"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1087ACF4" w14:textId="77777777" w:rsidR="00000000" w:rsidRDefault="001F1B20">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14:paraId="4002CAC2"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46293E35" w14:textId="77777777" w:rsidR="00000000" w:rsidRDefault="001F1B20">
            <w:pPr>
              <w:pStyle w:val="a3"/>
              <w:spacing w:before="0" w:beforeAutospacing="0" w:after="0" w:afterAutospacing="0"/>
              <w:jc w:val="center"/>
              <w:rPr>
                <w:sz w:val="16"/>
                <w:szCs w:val="16"/>
              </w:rPr>
            </w:pPr>
            <w:r>
              <w:rPr>
                <w:b/>
                <w:bCs/>
                <w:sz w:val="16"/>
                <w:szCs w:val="16"/>
              </w:rPr>
              <w:t>    </w:t>
            </w:r>
          </w:p>
        </w:tc>
        <w:tc>
          <w:tcPr>
            <w:tcW w:w="39" w:type="pct"/>
            <w:noWrap/>
            <w:tcMar>
              <w:top w:w="0" w:type="dxa"/>
              <w:left w:w="0" w:type="dxa"/>
              <w:bottom w:w="0" w:type="dxa"/>
              <w:right w:w="0" w:type="dxa"/>
            </w:tcMar>
            <w:vAlign w:val="bottom"/>
            <w:hideMark/>
          </w:tcPr>
          <w:p w14:paraId="374446E7"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5160E8FA" w14:textId="77777777" w:rsidR="00000000" w:rsidRDefault="001F1B20">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14:paraId="0DD6AF97"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001AF57F"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2548C11C" w14:textId="77777777" w:rsidR="00000000" w:rsidRDefault="001F1B20">
            <w:pPr>
              <w:pStyle w:val="a3"/>
              <w:spacing w:before="0" w:beforeAutospacing="0" w:after="0" w:afterAutospacing="0"/>
              <w:jc w:val="center"/>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14:paraId="73251CF2"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71D46CF7" w14:textId="77777777" w:rsidR="00000000" w:rsidRDefault="001F1B20">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14:paraId="7D654613" w14:textId="77777777" w:rsidR="00000000" w:rsidRDefault="001F1B20">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14:paraId="313E3AF8" w14:textId="77777777" w:rsidR="00000000" w:rsidRDefault="001F1B20">
            <w:pPr>
              <w:pStyle w:val="a3"/>
              <w:spacing w:before="0" w:beforeAutospacing="0" w:after="0" w:afterAutospacing="0"/>
              <w:jc w:val="center"/>
              <w:rPr>
                <w:sz w:val="20"/>
                <w:szCs w:val="20"/>
              </w:rPr>
            </w:pPr>
            <w:r>
              <w:rPr>
                <w:sz w:val="16"/>
                <w:szCs w:val="16"/>
              </w:rPr>
              <w:t>​</w:t>
            </w:r>
          </w:p>
        </w:tc>
      </w:tr>
      <w:tr w:rsidR="00000000" w14:paraId="10DEC81B" w14:textId="77777777">
        <w:trPr>
          <w:divId w:val="1096832075"/>
        </w:trPr>
        <w:tc>
          <w:tcPr>
            <w:tcW w:w="1803" w:type="pct"/>
            <w:shd w:val="clear" w:color="auto" w:fill="CCEEFF"/>
            <w:tcMar>
              <w:top w:w="0" w:type="dxa"/>
              <w:left w:w="0" w:type="dxa"/>
              <w:bottom w:w="0" w:type="dxa"/>
              <w:right w:w="0" w:type="dxa"/>
            </w:tcMar>
            <w:vAlign w:val="bottom"/>
            <w:hideMark/>
          </w:tcPr>
          <w:p w14:paraId="45D22DA8" w14:textId="77777777" w:rsidR="00000000" w:rsidRDefault="001F1B20">
            <w:pPr>
              <w:pStyle w:val="a3"/>
              <w:spacing w:before="0" w:beforeAutospacing="0" w:after="0" w:afterAutospacing="0"/>
              <w:rPr>
                <w:sz w:val="20"/>
                <w:szCs w:val="20"/>
              </w:rPr>
            </w:pPr>
            <w:r>
              <w:rPr>
                <w:sz w:val="20"/>
                <w:szCs w:val="20"/>
              </w:rPr>
              <w:t>Collaboration revenue</w:t>
            </w:r>
          </w:p>
        </w:tc>
        <w:tc>
          <w:tcPr>
            <w:tcW w:w="39" w:type="pct"/>
            <w:shd w:val="clear" w:color="auto" w:fill="CCEEFF"/>
            <w:noWrap/>
            <w:tcMar>
              <w:top w:w="0" w:type="dxa"/>
              <w:left w:w="0" w:type="dxa"/>
              <w:bottom w:w="0" w:type="dxa"/>
              <w:right w:w="0" w:type="dxa"/>
            </w:tcMar>
            <w:vAlign w:val="bottom"/>
            <w:hideMark/>
          </w:tcPr>
          <w:p w14:paraId="2B2E602C"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D2C3F2B"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15801D87" w14:textId="77777777" w:rsidR="00000000" w:rsidRDefault="001F1B20">
            <w:pPr>
              <w:pStyle w:val="a3"/>
              <w:spacing w:before="0" w:beforeAutospacing="0" w:after="0" w:afterAutospacing="0"/>
              <w:ind w:right="60"/>
              <w:jc w:val="right"/>
              <w:rPr>
                <w:sz w:val="20"/>
                <w:szCs w:val="20"/>
              </w:rPr>
            </w:pPr>
            <w:r>
              <w:rPr>
                <w:sz w:val="20"/>
                <w:szCs w:val="20"/>
              </w:rPr>
              <w:t>2,79</w:t>
            </w:r>
            <w:r>
              <w:rPr>
                <w:sz w:val="20"/>
                <w:szCs w:val="20"/>
              </w:rPr>
              <w:t>7</w:t>
            </w:r>
          </w:p>
        </w:tc>
        <w:tc>
          <w:tcPr>
            <w:tcW w:w="39" w:type="pct"/>
            <w:shd w:val="clear" w:color="auto" w:fill="CCEEFF"/>
            <w:noWrap/>
            <w:tcMar>
              <w:top w:w="0" w:type="dxa"/>
              <w:left w:w="0" w:type="dxa"/>
              <w:bottom w:w="0" w:type="dxa"/>
              <w:right w:w="0" w:type="dxa"/>
            </w:tcMar>
            <w:vAlign w:val="bottom"/>
            <w:hideMark/>
          </w:tcPr>
          <w:p w14:paraId="6EF993C4"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7A6AA3B"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4FDD8627" w14:textId="77777777" w:rsidR="00000000" w:rsidRDefault="001F1B20">
            <w:pPr>
              <w:pStyle w:val="a3"/>
              <w:spacing w:before="0" w:beforeAutospacing="0" w:after="0" w:afterAutospacing="0"/>
              <w:ind w:right="60"/>
              <w:jc w:val="right"/>
              <w:rPr>
                <w:sz w:val="20"/>
                <w:szCs w:val="20"/>
              </w:rPr>
            </w:pPr>
            <w:r>
              <w:rPr>
                <w:sz w:val="20"/>
                <w:szCs w:val="20"/>
              </w:rPr>
              <w:t>7,26</w:t>
            </w:r>
            <w:r>
              <w:rPr>
                <w:sz w:val="20"/>
                <w:szCs w:val="20"/>
              </w:rPr>
              <w:t>1</w:t>
            </w:r>
          </w:p>
        </w:tc>
        <w:tc>
          <w:tcPr>
            <w:tcW w:w="39" w:type="pct"/>
            <w:shd w:val="clear" w:color="auto" w:fill="CCEEFF"/>
            <w:noWrap/>
            <w:tcMar>
              <w:top w:w="0" w:type="dxa"/>
              <w:left w:w="0" w:type="dxa"/>
              <w:bottom w:w="0" w:type="dxa"/>
              <w:right w:w="0" w:type="dxa"/>
            </w:tcMar>
            <w:vAlign w:val="bottom"/>
            <w:hideMark/>
          </w:tcPr>
          <w:p w14:paraId="00707597"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55BD926" w14:textId="77777777" w:rsidR="00000000" w:rsidRDefault="001F1B20">
            <w:pPr>
              <w:pStyle w:val="a3"/>
              <w:spacing w:before="0" w:beforeAutospacing="0" w:after="0"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5FA688F4" w14:textId="77777777" w:rsidR="00000000" w:rsidRDefault="001F1B20">
            <w:pPr>
              <w:pStyle w:val="a3"/>
              <w:spacing w:before="0" w:beforeAutospacing="0" w:after="0" w:afterAutospacing="0"/>
              <w:jc w:val="right"/>
              <w:rPr>
                <w:sz w:val="20"/>
                <w:szCs w:val="20"/>
              </w:rPr>
            </w:pPr>
            <w:r>
              <w:rPr>
                <w:sz w:val="20"/>
                <w:szCs w:val="20"/>
              </w:rPr>
              <w:t>(4,464</w:t>
            </w:r>
            <w:r>
              <w:rPr>
                <w:sz w:val="20"/>
                <w:szCs w:val="20"/>
              </w:rPr>
              <w:t>)</w:t>
            </w:r>
          </w:p>
        </w:tc>
        <w:tc>
          <w:tcPr>
            <w:tcW w:w="39" w:type="pct"/>
            <w:shd w:val="clear" w:color="auto" w:fill="CCEEFF"/>
            <w:noWrap/>
            <w:tcMar>
              <w:top w:w="0" w:type="dxa"/>
              <w:left w:w="0" w:type="dxa"/>
              <w:bottom w:w="0" w:type="dxa"/>
              <w:right w:w="0" w:type="dxa"/>
            </w:tcMar>
            <w:vAlign w:val="bottom"/>
            <w:hideMark/>
          </w:tcPr>
          <w:p w14:paraId="12E0F1A7" w14:textId="77777777" w:rsidR="00000000" w:rsidRDefault="001F1B20">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14:paraId="5AA3548E" w14:textId="77777777" w:rsidR="00000000" w:rsidRDefault="001F1B20">
            <w:pPr>
              <w:pStyle w:val="a3"/>
              <w:spacing w:before="0" w:beforeAutospacing="0" w:after="0" w:afterAutospacing="0"/>
              <w:jc w:val="right"/>
              <w:rPr>
                <w:sz w:val="20"/>
                <w:szCs w:val="20"/>
              </w:rPr>
            </w:pPr>
            <w:r>
              <w:rPr>
                <w:sz w:val="20"/>
                <w:szCs w:val="20"/>
              </w:rPr>
              <w:t>(61</w:t>
            </w:r>
            <w:r>
              <w:rPr>
                <w:sz w:val="20"/>
                <w:szCs w:val="20"/>
              </w:rPr>
              <w:t>)</w:t>
            </w:r>
          </w:p>
        </w:tc>
        <w:tc>
          <w:tcPr>
            <w:tcW w:w="132" w:type="pct"/>
            <w:shd w:val="clear" w:color="auto" w:fill="CCEEFF"/>
            <w:noWrap/>
            <w:tcMar>
              <w:top w:w="0" w:type="dxa"/>
              <w:left w:w="0" w:type="dxa"/>
              <w:bottom w:w="0" w:type="dxa"/>
              <w:right w:w="0" w:type="dxa"/>
            </w:tcMar>
            <w:vAlign w:val="bottom"/>
            <w:hideMark/>
          </w:tcPr>
          <w:p w14:paraId="46EFB0F7" w14:textId="77777777" w:rsidR="00000000" w:rsidRDefault="001F1B20">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14:paraId="7464C45A"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8CD9B9E"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62D7DE07" w14:textId="77777777" w:rsidR="00000000" w:rsidRDefault="001F1B20">
            <w:pPr>
              <w:pStyle w:val="a3"/>
              <w:spacing w:before="0" w:beforeAutospacing="0" w:after="0" w:afterAutospacing="0"/>
              <w:ind w:right="60"/>
              <w:jc w:val="right"/>
              <w:rPr>
                <w:sz w:val="20"/>
                <w:szCs w:val="20"/>
              </w:rPr>
            </w:pPr>
            <w:r>
              <w:rPr>
                <w:sz w:val="20"/>
                <w:szCs w:val="20"/>
              </w:rPr>
              <w:t>8,64</w:t>
            </w:r>
            <w:r>
              <w:rPr>
                <w:sz w:val="20"/>
                <w:szCs w:val="20"/>
              </w:rPr>
              <w:t>9</w:t>
            </w:r>
          </w:p>
        </w:tc>
        <w:tc>
          <w:tcPr>
            <w:tcW w:w="39" w:type="pct"/>
            <w:shd w:val="clear" w:color="auto" w:fill="CCEEFF"/>
            <w:noWrap/>
            <w:tcMar>
              <w:top w:w="0" w:type="dxa"/>
              <w:left w:w="0" w:type="dxa"/>
              <w:bottom w:w="0" w:type="dxa"/>
              <w:right w:w="0" w:type="dxa"/>
            </w:tcMar>
            <w:vAlign w:val="bottom"/>
            <w:hideMark/>
          </w:tcPr>
          <w:p w14:paraId="0E6DA663"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1F94D066"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2B0BA7E1" w14:textId="77777777" w:rsidR="00000000" w:rsidRDefault="001F1B20">
            <w:pPr>
              <w:pStyle w:val="a3"/>
              <w:spacing w:before="0" w:beforeAutospacing="0" w:after="0" w:afterAutospacing="0"/>
              <w:ind w:right="60"/>
              <w:jc w:val="right"/>
              <w:rPr>
                <w:sz w:val="20"/>
                <w:szCs w:val="20"/>
              </w:rPr>
            </w:pPr>
            <w:r>
              <w:rPr>
                <w:sz w:val="20"/>
                <w:szCs w:val="20"/>
              </w:rPr>
              <w:t>19,38</w:t>
            </w:r>
            <w:r>
              <w:rPr>
                <w:sz w:val="20"/>
                <w:szCs w:val="20"/>
              </w:rPr>
              <w:t>1</w:t>
            </w:r>
          </w:p>
        </w:tc>
        <w:tc>
          <w:tcPr>
            <w:tcW w:w="39" w:type="pct"/>
            <w:shd w:val="clear" w:color="auto" w:fill="CCEEFF"/>
            <w:noWrap/>
            <w:tcMar>
              <w:top w:w="0" w:type="dxa"/>
              <w:left w:w="0" w:type="dxa"/>
              <w:bottom w:w="0" w:type="dxa"/>
              <w:right w:w="0" w:type="dxa"/>
            </w:tcMar>
            <w:vAlign w:val="bottom"/>
            <w:hideMark/>
          </w:tcPr>
          <w:p w14:paraId="79343FDF"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48345BF" w14:textId="77777777" w:rsidR="00000000" w:rsidRDefault="001F1B20">
            <w:pPr>
              <w:pStyle w:val="a3"/>
              <w:spacing w:before="0" w:beforeAutospacing="0" w:after="0" w:afterAutospacing="0"/>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14:paraId="1B17946B" w14:textId="77777777" w:rsidR="00000000" w:rsidRDefault="001F1B20">
            <w:pPr>
              <w:pStyle w:val="a3"/>
              <w:spacing w:before="0" w:beforeAutospacing="0" w:after="0" w:afterAutospacing="0"/>
              <w:jc w:val="right"/>
              <w:rPr>
                <w:sz w:val="20"/>
                <w:szCs w:val="20"/>
              </w:rPr>
            </w:pPr>
            <w:r>
              <w:rPr>
                <w:sz w:val="20"/>
                <w:szCs w:val="20"/>
              </w:rPr>
              <w:t>(10,732</w:t>
            </w:r>
            <w:r>
              <w:rPr>
                <w:sz w:val="20"/>
                <w:szCs w:val="20"/>
              </w:rPr>
              <w:t>)</w:t>
            </w:r>
          </w:p>
        </w:tc>
        <w:tc>
          <w:tcPr>
            <w:tcW w:w="39" w:type="pct"/>
            <w:shd w:val="clear" w:color="auto" w:fill="CCEEFF"/>
            <w:noWrap/>
            <w:tcMar>
              <w:top w:w="0" w:type="dxa"/>
              <w:left w:w="0" w:type="dxa"/>
              <w:bottom w:w="0" w:type="dxa"/>
              <w:right w:w="0" w:type="dxa"/>
            </w:tcMar>
            <w:vAlign w:val="bottom"/>
            <w:hideMark/>
          </w:tcPr>
          <w:p w14:paraId="72A59327" w14:textId="77777777" w:rsidR="00000000" w:rsidRDefault="001F1B20">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14:paraId="550B278B" w14:textId="77777777" w:rsidR="00000000" w:rsidRDefault="001F1B20">
            <w:pPr>
              <w:pStyle w:val="a3"/>
              <w:spacing w:before="0" w:beforeAutospacing="0" w:after="0" w:afterAutospacing="0"/>
              <w:jc w:val="right"/>
              <w:rPr>
                <w:sz w:val="20"/>
                <w:szCs w:val="20"/>
              </w:rPr>
            </w:pPr>
            <w:r>
              <w:rPr>
                <w:sz w:val="20"/>
                <w:szCs w:val="20"/>
              </w:rPr>
              <w:t>(55</w:t>
            </w:r>
            <w:r>
              <w:rPr>
                <w:sz w:val="20"/>
                <w:szCs w:val="20"/>
              </w:rPr>
              <w:t>)</w:t>
            </w:r>
          </w:p>
        </w:tc>
        <w:tc>
          <w:tcPr>
            <w:tcW w:w="82" w:type="pct"/>
            <w:shd w:val="clear" w:color="auto" w:fill="CCEEFF"/>
            <w:noWrap/>
            <w:tcMar>
              <w:top w:w="0" w:type="dxa"/>
              <w:left w:w="0" w:type="dxa"/>
              <w:bottom w:w="0" w:type="dxa"/>
              <w:right w:w="0" w:type="dxa"/>
            </w:tcMar>
            <w:vAlign w:val="bottom"/>
            <w:hideMark/>
          </w:tcPr>
          <w:p w14:paraId="27F8DA63" w14:textId="77777777" w:rsidR="00000000" w:rsidRDefault="001F1B20">
            <w:pPr>
              <w:pStyle w:val="a3"/>
              <w:spacing w:before="0" w:beforeAutospacing="0" w:after="0" w:afterAutospacing="0"/>
              <w:rPr>
                <w:sz w:val="20"/>
                <w:szCs w:val="20"/>
              </w:rPr>
            </w:pPr>
            <w:r>
              <w:rPr>
                <w:sz w:val="20"/>
                <w:szCs w:val="20"/>
              </w:rPr>
              <w:t>%</w:t>
            </w:r>
          </w:p>
        </w:tc>
      </w:tr>
      <w:tr w:rsidR="00000000" w14:paraId="4DADBB86" w14:textId="77777777">
        <w:trPr>
          <w:divId w:val="1096832075"/>
        </w:trPr>
        <w:tc>
          <w:tcPr>
            <w:tcW w:w="1803" w:type="pct"/>
            <w:tcMar>
              <w:top w:w="0" w:type="dxa"/>
              <w:left w:w="0" w:type="dxa"/>
              <w:bottom w:w="0" w:type="dxa"/>
              <w:right w:w="0" w:type="dxa"/>
            </w:tcMar>
            <w:vAlign w:val="bottom"/>
            <w:hideMark/>
          </w:tcPr>
          <w:p w14:paraId="4DAF79DE" w14:textId="77777777" w:rsidR="00000000" w:rsidRDefault="001F1B20">
            <w:pPr>
              <w:pStyle w:val="a3"/>
              <w:spacing w:before="0" w:beforeAutospacing="0" w:after="0" w:afterAutospacing="0"/>
              <w:rPr>
                <w:sz w:val="20"/>
                <w:szCs w:val="20"/>
              </w:rPr>
            </w:pPr>
            <w:r>
              <w:rPr>
                <w:sz w:val="20"/>
                <w:szCs w:val="20"/>
              </w:rPr>
              <w:t>Licensing revenue</w:t>
            </w:r>
          </w:p>
        </w:tc>
        <w:tc>
          <w:tcPr>
            <w:tcW w:w="39" w:type="pct"/>
            <w:noWrap/>
            <w:tcMar>
              <w:top w:w="0" w:type="dxa"/>
              <w:left w:w="0" w:type="dxa"/>
              <w:bottom w:w="0" w:type="dxa"/>
              <w:right w:w="0" w:type="dxa"/>
            </w:tcMar>
            <w:vAlign w:val="bottom"/>
            <w:hideMark/>
          </w:tcPr>
          <w:p w14:paraId="5FE30D1E" w14:textId="77777777" w:rsidR="00000000" w:rsidRDefault="001F1B20">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14:paraId="247B1F14" w14:textId="77777777" w:rsidR="00000000" w:rsidRDefault="001F1B20">
            <w:pPr>
              <w:pStyle w:val="a3"/>
              <w:spacing w:before="0" w:beforeAutospacing="0" w:after="0" w:afterAutospacing="0"/>
              <w:jc w:val="center"/>
              <w:rPr>
                <w:sz w:val="20"/>
                <w:szCs w:val="20"/>
              </w:rPr>
            </w:pPr>
            <w:r>
              <w:rPr>
                <w:sz w:val="20"/>
                <w:szCs w:val="20"/>
              </w:rPr>
              <w:t>​</w:t>
            </w:r>
          </w:p>
        </w:tc>
        <w:tc>
          <w:tcPr>
            <w:tcW w:w="327" w:type="pct"/>
            <w:noWrap/>
            <w:tcMar>
              <w:top w:w="0" w:type="dxa"/>
              <w:left w:w="0" w:type="dxa"/>
              <w:bottom w:w="0" w:type="dxa"/>
              <w:right w:w="0" w:type="dxa"/>
            </w:tcMar>
            <w:vAlign w:val="bottom"/>
            <w:hideMark/>
          </w:tcPr>
          <w:p w14:paraId="2263FA50"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noWrap/>
            <w:tcMar>
              <w:top w:w="0" w:type="dxa"/>
              <w:left w:w="0" w:type="dxa"/>
              <w:bottom w:w="0" w:type="dxa"/>
              <w:right w:w="0" w:type="dxa"/>
            </w:tcMar>
            <w:vAlign w:val="bottom"/>
            <w:hideMark/>
          </w:tcPr>
          <w:p w14:paraId="7086A3CE" w14:textId="77777777" w:rsidR="00000000" w:rsidRDefault="001F1B20">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78470062" w14:textId="77777777" w:rsidR="00000000" w:rsidRDefault="001F1B20">
            <w:pPr>
              <w:pStyle w:val="a3"/>
              <w:spacing w:before="0" w:beforeAutospacing="0" w:after="0"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14:paraId="56E694D4"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noWrap/>
            <w:tcMar>
              <w:top w:w="0" w:type="dxa"/>
              <w:left w:w="0" w:type="dxa"/>
              <w:bottom w:w="0" w:type="dxa"/>
              <w:right w:w="0" w:type="dxa"/>
            </w:tcMar>
            <w:vAlign w:val="bottom"/>
            <w:hideMark/>
          </w:tcPr>
          <w:p w14:paraId="66E87223" w14:textId="77777777" w:rsidR="00000000" w:rsidRDefault="001F1B20">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7E6FA2D8" w14:textId="77777777" w:rsidR="00000000" w:rsidRDefault="001F1B20">
            <w:pPr>
              <w:pStyle w:val="a3"/>
              <w:spacing w:before="0" w:beforeAutospacing="0" w:after="0" w:afterAutospacing="0"/>
              <w:rPr>
                <w:sz w:val="20"/>
                <w:szCs w:val="20"/>
              </w:rPr>
            </w:pPr>
            <w:r>
              <w:rPr>
                <w:sz w:val="20"/>
                <w:szCs w:val="20"/>
              </w:rPr>
              <w:t>​</w:t>
            </w:r>
          </w:p>
        </w:tc>
        <w:tc>
          <w:tcPr>
            <w:tcW w:w="314" w:type="pct"/>
            <w:noWrap/>
            <w:tcMar>
              <w:top w:w="0" w:type="dxa"/>
              <w:left w:w="0" w:type="dxa"/>
              <w:bottom w:w="0" w:type="dxa"/>
              <w:right w:w="0" w:type="dxa"/>
            </w:tcMar>
            <w:vAlign w:val="bottom"/>
            <w:hideMark/>
          </w:tcPr>
          <w:p w14:paraId="1BC73B85"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noWrap/>
            <w:tcMar>
              <w:top w:w="0" w:type="dxa"/>
              <w:left w:w="0" w:type="dxa"/>
              <w:bottom w:w="0" w:type="dxa"/>
              <w:right w:w="0" w:type="dxa"/>
            </w:tcMar>
            <w:vAlign w:val="bottom"/>
            <w:hideMark/>
          </w:tcPr>
          <w:p w14:paraId="45432B51" w14:textId="77777777" w:rsidR="00000000" w:rsidRDefault="001F1B20">
            <w:pPr>
              <w:pStyle w:val="a3"/>
              <w:spacing w:before="0" w:beforeAutospacing="0" w:after="0" w:afterAutospacing="0"/>
              <w:jc w:val="center"/>
              <w:rPr>
                <w:sz w:val="20"/>
                <w:szCs w:val="20"/>
              </w:rPr>
            </w:pPr>
            <w:r>
              <w:rPr>
                <w:sz w:val="20"/>
                <w:szCs w:val="20"/>
              </w:rPr>
              <w:t>​</w:t>
            </w:r>
          </w:p>
        </w:tc>
        <w:tc>
          <w:tcPr>
            <w:tcW w:w="190" w:type="pct"/>
            <w:noWrap/>
            <w:tcMar>
              <w:top w:w="0" w:type="dxa"/>
              <w:left w:w="0" w:type="dxa"/>
              <w:bottom w:w="0" w:type="dxa"/>
              <w:right w:w="0" w:type="dxa"/>
            </w:tcMar>
            <w:vAlign w:val="bottom"/>
            <w:hideMark/>
          </w:tcPr>
          <w:p w14:paraId="3CE19FA3" w14:textId="77777777" w:rsidR="00000000" w:rsidRDefault="001F1B20">
            <w:pPr>
              <w:pStyle w:val="a3"/>
              <w:spacing w:before="0" w:beforeAutospacing="0" w:after="0" w:afterAutospacing="0"/>
              <w:ind w:right="60"/>
              <w:jc w:val="right"/>
              <w:rPr>
                <w:sz w:val="20"/>
                <w:szCs w:val="20"/>
              </w:rPr>
            </w:pPr>
            <w:r>
              <w:rPr>
                <w:sz w:val="20"/>
                <w:szCs w:val="20"/>
              </w:rPr>
              <w:t>—</w:t>
            </w:r>
          </w:p>
        </w:tc>
        <w:tc>
          <w:tcPr>
            <w:tcW w:w="132" w:type="pct"/>
            <w:noWrap/>
            <w:tcMar>
              <w:top w:w="0" w:type="dxa"/>
              <w:left w:w="0" w:type="dxa"/>
              <w:bottom w:w="0" w:type="dxa"/>
              <w:right w:w="0" w:type="dxa"/>
            </w:tcMar>
            <w:vAlign w:val="bottom"/>
            <w:hideMark/>
          </w:tcPr>
          <w:p w14:paraId="36B6088E" w14:textId="77777777" w:rsidR="00000000" w:rsidRDefault="001F1B20">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14:paraId="00730F59" w14:textId="77777777" w:rsidR="00000000" w:rsidRDefault="001F1B20">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5920820D" w14:textId="77777777" w:rsidR="00000000" w:rsidRDefault="001F1B20">
            <w:pPr>
              <w:pStyle w:val="a3"/>
              <w:spacing w:before="0" w:beforeAutospacing="0" w:after="0"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14:paraId="4F2A19D2"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noWrap/>
            <w:tcMar>
              <w:top w:w="0" w:type="dxa"/>
              <w:left w:w="0" w:type="dxa"/>
              <w:bottom w:w="0" w:type="dxa"/>
              <w:right w:w="0" w:type="dxa"/>
            </w:tcMar>
            <w:vAlign w:val="bottom"/>
            <w:hideMark/>
          </w:tcPr>
          <w:p w14:paraId="1D2D5E37" w14:textId="77777777" w:rsidR="00000000" w:rsidRDefault="001F1B20">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70841E0C" w14:textId="77777777" w:rsidR="00000000" w:rsidRDefault="001F1B20">
            <w:pPr>
              <w:pStyle w:val="a3"/>
              <w:spacing w:before="0" w:beforeAutospacing="0" w:after="0"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14:paraId="1781A9CC" w14:textId="77777777" w:rsidR="00000000" w:rsidRDefault="001F1B20">
            <w:pPr>
              <w:pStyle w:val="a3"/>
              <w:spacing w:before="0" w:beforeAutospacing="0" w:after="0" w:afterAutospacing="0"/>
              <w:ind w:right="60"/>
              <w:jc w:val="right"/>
              <w:rPr>
                <w:sz w:val="20"/>
                <w:szCs w:val="20"/>
              </w:rPr>
            </w:pPr>
            <w:r>
              <w:rPr>
                <w:sz w:val="20"/>
                <w:szCs w:val="20"/>
              </w:rPr>
              <w:t>1,50</w:t>
            </w:r>
            <w:r>
              <w:rPr>
                <w:sz w:val="20"/>
                <w:szCs w:val="20"/>
              </w:rPr>
              <w:t>0</w:t>
            </w:r>
          </w:p>
        </w:tc>
        <w:tc>
          <w:tcPr>
            <w:tcW w:w="39" w:type="pct"/>
            <w:noWrap/>
            <w:tcMar>
              <w:top w:w="0" w:type="dxa"/>
              <w:left w:w="0" w:type="dxa"/>
              <w:bottom w:w="0" w:type="dxa"/>
              <w:right w:w="0" w:type="dxa"/>
            </w:tcMar>
            <w:vAlign w:val="bottom"/>
            <w:hideMark/>
          </w:tcPr>
          <w:p w14:paraId="645BBF43" w14:textId="77777777" w:rsidR="00000000" w:rsidRDefault="001F1B20">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2EC56A79" w14:textId="77777777" w:rsidR="00000000" w:rsidRDefault="001F1B20">
            <w:pPr>
              <w:pStyle w:val="a3"/>
              <w:spacing w:before="0" w:beforeAutospacing="0" w:after="0" w:afterAutospacing="0"/>
              <w:rPr>
                <w:sz w:val="20"/>
                <w:szCs w:val="20"/>
              </w:rPr>
            </w:pPr>
            <w:r>
              <w:rPr>
                <w:sz w:val="20"/>
                <w:szCs w:val="20"/>
              </w:rPr>
              <w:t>​</w:t>
            </w:r>
          </w:p>
        </w:tc>
        <w:tc>
          <w:tcPr>
            <w:tcW w:w="363" w:type="pct"/>
            <w:noWrap/>
            <w:tcMar>
              <w:top w:w="0" w:type="dxa"/>
              <w:left w:w="0" w:type="dxa"/>
              <w:bottom w:w="0" w:type="dxa"/>
              <w:right w:w="0" w:type="dxa"/>
            </w:tcMar>
            <w:vAlign w:val="bottom"/>
            <w:hideMark/>
          </w:tcPr>
          <w:p w14:paraId="66926478" w14:textId="77777777" w:rsidR="00000000" w:rsidRDefault="001F1B20">
            <w:pPr>
              <w:pStyle w:val="a3"/>
              <w:spacing w:before="0" w:beforeAutospacing="0" w:after="0" w:afterAutospacing="0"/>
              <w:jc w:val="right"/>
              <w:rPr>
                <w:sz w:val="20"/>
                <w:szCs w:val="20"/>
              </w:rPr>
            </w:pPr>
            <w:r>
              <w:rPr>
                <w:sz w:val="20"/>
                <w:szCs w:val="20"/>
              </w:rPr>
              <w:t>(1,500</w:t>
            </w:r>
            <w:r>
              <w:rPr>
                <w:sz w:val="20"/>
                <w:szCs w:val="20"/>
              </w:rPr>
              <w:t>)</w:t>
            </w:r>
          </w:p>
        </w:tc>
        <w:tc>
          <w:tcPr>
            <w:tcW w:w="39" w:type="pct"/>
            <w:noWrap/>
            <w:tcMar>
              <w:top w:w="0" w:type="dxa"/>
              <w:left w:w="0" w:type="dxa"/>
              <w:bottom w:w="0" w:type="dxa"/>
              <w:right w:w="0" w:type="dxa"/>
            </w:tcMar>
            <w:vAlign w:val="bottom"/>
            <w:hideMark/>
          </w:tcPr>
          <w:p w14:paraId="1925387F" w14:textId="77777777" w:rsidR="00000000" w:rsidRDefault="001F1B20">
            <w:pPr>
              <w:pStyle w:val="a3"/>
              <w:spacing w:before="0" w:beforeAutospacing="0" w:after="0" w:afterAutospacing="0"/>
              <w:jc w:val="center"/>
              <w:rPr>
                <w:sz w:val="20"/>
                <w:szCs w:val="20"/>
              </w:rPr>
            </w:pPr>
            <w:r>
              <w:rPr>
                <w:sz w:val="20"/>
                <w:szCs w:val="20"/>
              </w:rPr>
              <w:t>​</w:t>
            </w:r>
          </w:p>
        </w:tc>
        <w:tc>
          <w:tcPr>
            <w:tcW w:w="190" w:type="pct"/>
            <w:noWrap/>
            <w:tcMar>
              <w:top w:w="0" w:type="dxa"/>
              <w:left w:w="0" w:type="dxa"/>
              <w:bottom w:w="0" w:type="dxa"/>
              <w:right w:w="0" w:type="dxa"/>
            </w:tcMar>
            <w:vAlign w:val="bottom"/>
            <w:hideMark/>
          </w:tcPr>
          <w:p w14:paraId="43F51F00" w14:textId="77777777" w:rsidR="00000000" w:rsidRDefault="001F1B20">
            <w:pPr>
              <w:pStyle w:val="a3"/>
              <w:spacing w:before="0" w:beforeAutospacing="0" w:after="0" w:afterAutospacing="0"/>
              <w:ind w:right="60"/>
              <w:jc w:val="right"/>
              <w:rPr>
                <w:sz w:val="20"/>
                <w:szCs w:val="20"/>
              </w:rPr>
            </w:pPr>
            <w:r>
              <w:rPr>
                <w:sz w:val="20"/>
                <w:szCs w:val="20"/>
              </w:rPr>
              <w:t>NM</w:t>
            </w:r>
          </w:p>
        </w:tc>
        <w:tc>
          <w:tcPr>
            <w:tcW w:w="82" w:type="pct"/>
            <w:noWrap/>
            <w:tcMar>
              <w:top w:w="0" w:type="dxa"/>
              <w:left w:w="0" w:type="dxa"/>
              <w:bottom w:w="0" w:type="dxa"/>
              <w:right w:w="0" w:type="dxa"/>
            </w:tcMar>
            <w:vAlign w:val="bottom"/>
            <w:hideMark/>
          </w:tcPr>
          <w:p w14:paraId="2DB32C0D" w14:textId="77777777" w:rsidR="00000000" w:rsidRDefault="001F1B20">
            <w:pPr>
              <w:pStyle w:val="a3"/>
              <w:spacing w:before="0" w:beforeAutospacing="0" w:after="0" w:afterAutospacing="0"/>
              <w:rPr>
                <w:sz w:val="20"/>
                <w:szCs w:val="20"/>
              </w:rPr>
            </w:pPr>
            <w:r>
              <w:rPr>
                <w:sz w:val="20"/>
                <w:szCs w:val="20"/>
              </w:rPr>
              <w:t>​</w:t>
            </w:r>
          </w:p>
        </w:tc>
      </w:tr>
      <w:tr w:rsidR="00000000" w14:paraId="43500E57" w14:textId="77777777">
        <w:trPr>
          <w:divId w:val="1096832075"/>
        </w:trPr>
        <w:tc>
          <w:tcPr>
            <w:tcW w:w="1803" w:type="pct"/>
            <w:shd w:val="clear" w:color="auto" w:fill="CCEEFF"/>
            <w:tcMar>
              <w:top w:w="0" w:type="dxa"/>
              <w:left w:w="0" w:type="dxa"/>
              <w:bottom w:w="0" w:type="dxa"/>
              <w:right w:w="0" w:type="dxa"/>
            </w:tcMar>
            <w:vAlign w:val="bottom"/>
            <w:hideMark/>
          </w:tcPr>
          <w:p w14:paraId="1CFFE47D" w14:textId="77777777" w:rsidR="00000000" w:rsidRDefault="001F1B20">
            <w:pPr>
              <w:pStyle w:val="a3"/>
              <w:spacing w:before="0" w:beforeAutospacing="0" w:after="0" w:afterAutospacing="0"/>
              <w:rPr>
                <w:sz w:val="20"/>
                <w:szCs w:val="20"/>
              </w:rPr>
            </w:pPr>
            <w:r>
              <w:rPr>
                <w:sz w:val="20"/>
                <w:szCs w:val="20"/>
              </w:rPr>
              <w:t>Viatris collaboration agreement</w:t>
            </w:r>
          </w:p>
        </w:tc>
        <w:tc>
          <w:tcPr>
            <w:tcW w:w="39" w:type="pct"/>
            <w:shd w:val="clear" w:color="auto" w:fill="CCEEFF"/>
            <w:noWrap/>
            <w:tcMar>
              <w:top w:w="0" w:type="dxa"/>
              <w:left w:w="0" w:type="dxa"/>
              <w:bottom w:w="0" w:type="dxa"/>
              <w:right w:w="0" w:type="dxa"/>
            </w:tcMar>
            <w:vAlign w:val="bottom"/>
            <w:hideMark/>
          </w:tcPr>
          <w:p w14:paraId="1FED5CF7"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14:paraId="70142321" w14:textId="77777777" w:rsidR="00000000" w:rsidRDefault="001F1B20">
            <w:pPr>
              <w:pStyle w:val="a3"/>
              <w:spacing w:before="0" w:beforeAutospacing="0" w:after="0" w:afterAutospacing="0"/>
              <w:jc w:val="center"/>
              <w:rPr>
                <w:sz w:val="20"/>
                <w:szCs w:val="20"/>
              </w:rPr>
            </w:pPr>
            <w:r>
              <w:rPr>
                <w:sz w:val="20"/>
                <w:szCs w:val="20"/>
              </w:rPr>
              <w:t> </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14:paraId="4F949A0E" w14:textId="77777777" w:rsidR="00000000" w:rsidRDefault="001F1B20">
            <w:pPr>
              <w:pStyle w:val="a3"/>
              <w:spacing w:before="0" w:beforeAutospacing="0" w:after="0" w:afterAutospacing="0"/>
              <w:ind w:right="60"/>
              <w:jc w:val="right"/>
              <w:rPr>
                <w:sz w:val="20"/>
                <w:szCs w:val="20"/>
              </w:rPr>
            </w:pPr>
            <w:r>
              <w:rPr>
                <w:sz w:val="20"/>
                <w:szCs w:val="20"/>
              </w:rPr>
              <w:t>10,39</w:t>
            </w:r>
            <w:r>
              <w:rPr>
                <w:sz w:val="20"/>
                <w:szCs w:val="20"/>
              </w:rPr>
              <w:t>7</w:t>
            </w:r>
          </w:p>
        </w:tc>
        <w:tc>
          <w:tcPr>
            <w:tcW w:w="39" w:type="pct"/>
            <w:shd w:val="clear" w:color="auto" w:fill="CCEEFF"/>
            <w:noWrap/>
            <w:tcMar>
              <w:top w:w="0" w:type="dxa"/>
              <w:left w:w="0" w:type="dxa"/>
              <w:bottom w:w="0" w:type="dxa"/>
              <w:right w:w="0" w:type="dxa"/>
            </w:tcMar>
            <w:vAlign w:val="bottom"/>
            <w:hideMark/>
          </w:tcPr>
          <w:p w14:paraId="12E6E8AD"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14:paraId="3F78E34E" w14:textId="77777777" w:rsidR="00000000" w:rsidRDefault="001F1B20">
            <w:pPr>
              <w:pStyle w:val="a3"/>
              <w:spacing w:before="0" w:beforeAutospacing="0" w:after="0" w:afterAutospacing="0"/>
              <w:rPr>
                <w:sz w:val="20"/>
                <w:szCs w:val="20"/>
              </w:rPr>
            </w:pPr>
            <w:r>
              <w:rPr>
                <w:sz w:val="20"/>
                <w:szCs w:val="20"/>
              </w:rPr>
              <w:t> </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14:paraId="1BB4F27E" w14:textId="77777777" w:rsidR="00000000" w:rsidRDefault="001F1B20">
            <w:pPr>
              <w:pStyle w:val="a3"/>
              <w:spacing w:before="0" w:beforeAutospacing="0" w:after="0" w:afterAutospacing="0"/>
              <w:ind w:right="60"/>
              <w:jc w:val="right"/>
              <w:rPr>
                <w:sz w:val="20"/>
                <w:szCs w:val="20"/>
              </w:rPr>
            </w:pPr>
            <w:r>
              <w:rPr>
                <w:sz w:val="20"/>
                <w:szCs w:val="20"/>
              </w:rPr>
              <w:t>10,99</w:t>
            </w:r>
            <w:r>
              <w:rPr>
                <w:sz w:val="20"/>
                <w:szCs w:val="20"/>
              </w:rPr>
              <w:t>6</w:t>
            </w:r>
          </w:p>
        </w:tc>
        <w:tc>
          <w:tcPr>
            <w:tcW w:w="39" w:type="pct"/>
            <w:shd w:val="clear" w:color="auto" w:fill="CCEEFF"/>
            <w:noWrap/>
            <w:tcMar>
              <w:top w:w="0" w:type="dxa"/>
              <w:left w:w="0" w:type="dxa"/>
              <w:bottom w:w="0" w:type="dxa"/>
              <w:right w:w="0" w:type="dxa"/>
            </w:tcMar>
            <w:vAlign w:val="bottom"/>
            <w:hideMark/>
          </w:tcPr>
          <w:p w14:paraId="07C7865F"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14:paraId="0C7A9FA4" w14:textId="77777777" w:rsidR="00000000" w:rsidRDefault="001F1B20">
            <w:pPr>
              <w:pStyle w:val="a3"/>
              <w:spacing w:before="0" w:beforeAutospacing="0" w:after="0" w:afterAutospacing="0"/>
              <w:rPr>
                <w:sz w:val="20"/>
                <w:szCs w:val="20"/>
              </w:rPr>
            </w:pPr>
            <w:r>
              <w:rPr>
                <w:sz w:val="20"/>
                <w:szCs w:val="20"/>
              </w:rPr>
              <w:t>​</w:t>
            </w:r>
          </w:p>
        </w:tc>
        <w:tc>
          <w:tcPr>
            <w:tcW w:w="314" w:type="pct"/>
            <w:tcBorders>
              <w:bottom w:val="single" w:sz="6" w:space="0" w:color="000000"/>
            </w:tcBorders>
            <w:shd w:val="clear" w:color="auto" w:fill="CCEEFF"/>
            <w:noWrap/>
            <w:tcMar>
              <w:top w:w="0" w:type="dxa"/>
              <w:left w:w="0" w:type="dxa"/>
              <w:bottom w:w="0" w:type="dxa"/>
              <w:right w:w="0" w:type="dxa"/>
            </w:tcMar>
            <w:vAlign w:val="bottom"/>
            <w:hideMark/>
          </w:tcPr>
          <w:p w14:paraId="574B01BC" w14:textId="77777777" w:rsidR="00000000" w:rsidRDefault="001F1B20">
            <w:pPr>
              <w:pStyle w:val="a3"/>
              <w:spacing w:before="0" w:beforeAutospacing="0" w:after="0" w:afterAutospacing="0"/>
              <w:jc w:val="right"/>
              <w:rPr>
                <w:sz w:val="20"/>
                <w:szCs w:val="20"/>
              </w:rPr>
            </w:pPr>
            <w:r>
              <w:rPr>
                <w:sz w:val="20"/>
                <w:szCs w:val="20"/>
              </w:rPr>
              <w:t>(599</w:t>
            </w:r>
            <w:r>
              <w:rPr>
                <w:sz w:val="20"/>
                <w:szCs w:val="20"/>
              </w:rPr>
              <w:t>)</w:t>
            </w:r>
          </w:p>
        </w:tc>
        <w:tc>
          <w:tcPr>
            <w:tcW w:w="39" w:type="pct"/>
            <w:shd w:val="clear" w:color="auto" w:fill="CCEEFF"/>
            <w:noWrap/>
            <w:tcMar>
              <w:top w:w="0" w:type="dxa"/>
              <w:left w:w="0" w:type="dxa"/>
              <w:bottom w:w="0" w:type="dxa"/>
              <w:right w:w="0" w:type="dxa"/>
            </w:tcMar>
            <w:vAlign w:val="bottom"/>
            <w:hideMark/>
          </w:tcPr>
          <w:p w14:paraId="738E7B1C" w14:textId="77777777" w:rsidR="00000000" w:rsidRDefault="001F1B20">
            <w:pPr>
              <w:pStyle w:val="a3"/>
              <w:spacing w:before="0" w:beforeAutospacing="0" w:after="0" w:afterAutospacing="0"/>
              <w:rPr>
                <w:sz w:val="20"/>
                <w:szCs w:val="20"/>
              </w:rPr>
            </w:pPr>
            <w:r>
              <w:rPr>
                <w:sz w:val="20"/>
                <w:szCs w:val="20"/>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14:paraId="3C15DE01" w14:textId="77777777" w:rsidR="00000000" w:rsidRDefault="001F1B20">
            <w:pPr>
              <w:pStyle w:val="a3"/>
              <w:spacing w:before="0" w:beforeAutospacing="0" w:after="0" w:afterAutospacing="0"/>
              <w:jc w:val="right"/>
              <w:rPr>
                <w:sz w:val="20"/>
                <w:szCs w:val="20"/>
              </w:rPr>
            </w:pPr>
            <w:r>
              <w:rPr>
                <w:sz w:val="20"/>
                <w:szCs w:val="20"/>
              </w:rPr>
              <w:t>(5</w:t>
            </w:r>
            <w:r>
              <w:rPr>
                <w:sz w:val="20"/>
                <w:szCs w:val="20"/>
              </w:rPr>
              <w:t>)</w:t>
            </w:r>
          </w:p>
        </w:tc>
        <w:tc>
          <w:tcPr>
            <w:tcW w:w="132" w:type="pct"/>
            <w:shd w:val="clear" w:color="auto" w:fill="CCEEFF"/>
            <w:noWrap/>
            <w:tcMar>
              <w:top w:w="0" w:type="dxa"/>
              <w:left w:w="0" w:type="dxa"/>
              <w:bottom w:w="0" w:type="dxa"/>
              <w:right w:w="0" w:type="dxa"/>
            </w:tcMar>
            <w:vAlign w:val="bottom"/>
            <w:hideMark/>
          </w:tcPr>
          <w:p w14:paraId="2DF29785" w14:textId="77777777" w:rsidR="00000000" w:rsidRDefault="001F1B20">
            <w:pPr>
              <w:pStyle w:val="a3"/>
              <w:spacing w:before="0" w:beforeAutospacing="0" w:after="0" w:afterAutospacing="0"/>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4EAB83E9"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14:paraId="24F05D22" w14:textId="77777777" w:rsidR="00000000" w:rsidRDefault="001F1B20">
            <w:pPr>
              <w:pStyle w:val="a3"/>
              <w:spacing w:before="0" w:beforeAutospacing="0" w:after="0" w:afterAutospacing="0"/>
              <w:rPr>
                <w:sz w:val="20"/>
                <w:szCs w:val="20"/>
              </w:rPr>
            </w:pPr>
            <w:r>
              <w:rPr>
                <w:sz w:val="20"/>
                <w:szCs w:val="20"/>
              </w:rPr>
              <w:t> </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14:paraId="3431B2E0" w14:textId="77777777" w:rsidR="00000000" w:rsidRDefault="001F1B20">
            <w:pPr>
              <w:pStyle w:val="a3"/>
              <w:spacing w:before="0" w:beforeAutospacing="0" w:after="0" w:afterAutospacing="0"/>
              <w:ind w:right="60"/>
              <w:jc w:val="right"/>
              <w:rPr>
                <w:sz w:val="20"/>
                <w:szCs w:val="20"/>
              </w:rPr>
            </w:pPr>
            <w:r>
              <w:rPr>
                <w:sz w:val="20"/>
                <w:szCs w:val="20"/>
              </w:rPr>
              <w:t>31,71</w:t>
            </w:r>
            <w:r>
              <w:rPr>
                <w:sz w:val="20"/>
                <w:szCs w:val="20"/>
              </w:rPr>
              <w:t>6</w:t>
            </w:r>
          </w:p>
        </w:tc>
        <w:tc>
          <w:tcPr>
            <w:tcW w:w="39" w:type="pct"/>
            <w:shd w:val="clear" w:color="auto" w:fill="CCEEFF"/>
            <w:noWrap/>
            <w:tcMar>
              <w:top w:w="0" w:type="dxa"/>
              <w:left w:w="0" w:type="dxa"/>
              <w:bottom w:w="0" w:type="dxa"/>
              <w:right w:w="0" w:type="dxa"/>
            </w:tcMar>
            <w:vAlign w:val="bottom"/>
            <w:hideMark/>
          </w:tcPr>
          <w:p w14:paraId="71A806D3"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14:paraId="561AC97B" w14:textId="77777777" w:rsidR="00000000" w:rsidRDefault="001F1B20">
            <w:pPr>
              <w:pStyle w:val="a3"/>
              <w:spacing w:before="0" w:beforeAutospacing="0" w:after="0" w:afterAutospacing="0"/>
              <w:rPr>
                <w:sz w:val="20"/>
                <w:szCs w:val="20"/>
              </w:rPr>
            </w:pPr>
            <w:r>
              <w:rPr>
                <w:sz w:val="20"/>
                <w:szCs w:val="20"/>
              </w:rPr>
              <w:t> </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14:paraId="5CB06533" w14:textId="77777777" w:rsidR="00000000" w:rsidRDefault="001F1B20">
            <w:pPr>
              <w:pStyle w:val="a3"/>
              <w:spacing w:before="0" w:beforeAutospacing="0" w:after="0" w:afterAutospacing="0"/>
              <w:ind w:right="60"/>
              <w:jc w:val="right"/>
              <w:rPr>
                <w:sz w:val="20"/>
                <w:szCs w:val="20"/>
              </w:rPr>
            </w:pPr>
            <w:r>
              <w:rPr>
                <w:sz w:val="20"/>
                <w:szCs w:val="20"/>
              </w:rPr>
              <w:t>32,24</w:t>
            </w:r>
            <w:r>
              <w:rPr>
                <w:sz w:val="20"/>
                <w:szCs w:val="20"/>
              </w:rPr>
              <w:t>6</w:t>
            </w:r>
          </w:p>
        </w:tc>
        <w:tc>
          <w:tcPr>
            <w:tcW w:w="39" w:type="pct"/>
            <w:shd w:val="clear" w:color="auto" w:fill="CCEEFF"/>
            <w:noWrap/>
            <w:tcMar>
              <w:top w:w="0" w:type="dxa"/>
              <w:left w:w="0" w:type="dxa"/>
              <w:bottom w:w="0" w:type="dxa"/>
              <w:right w:w="0" w:type="dxa"/>
            </w:tcMar>
            <w:vAlign w:val="bottom"/>
            <w:hideMark/>
          </w:tcPr>
          <w:p w14:paraId="7627367B"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14:paraId="59620E88" w14:textId="77777777" w:rsidR="00000000" w:rsidRDefault="001F1B20">
            <w:pPr>
              <w:pStyle w:val="a3"/>
              <w:spacing w:before="0" w:beforeAutospacing="0" w:after="0" w:afterAutospacing="0"/>
              <w:rPr>
                <w:sz w:val="20"/>
                <w:szCs w:val="20"/>
              </w:rPr>
            </w:pPr>
            <w:r>
              <w:rPr>
                <w:sz w:val="20"/>
                <w:szCs w:val="20"/>
              </w:rPr>
              <w:t>​</w:t>
            </w:r>
          </w:p>
        </w:tc>
        <w:tc>
          <w:tcPr>
            <w:tcW w:w="363" w:type="pct"/>
            <w:tcBorders>
              <w:bottom w:val="single" w:sz="6" w:space="0" w:color="000000"/>
            </w:tcBorders>
            <w:shd w:val="clear" w:color="auto" w:fill="CCEEFF"/>
            <w:noWrap/>
            <w:tcMar>
              <w:top w:w="0" w:type="dxa"/>
              <w:left w:w="0" w:type="dxa"/>
              <w:bottom w:w="0" w:type="dxa"/>
              <w:right w:w="0" w:type="dxa"/>
            </w:tcMar>
            <w:vAlign w:val="bottom"/>
            <w:hideMark/>
          </w:tcPr>
          <w:p w14:paraId="21D46F5E" w14:textId="77777777" w:rsidR="00000000" w:rsidRDefault="001F1B20">
            <w:pPr>
              <w:pStyle w:val="a3"/>
              <w:spacing w:before="0" w:beforeAutospacing="0" w:after="0" w:afterAutospacing="0"/>
              <w:jc w:val="right"/>
              <w:rPr>
                <w:sz w:val="20"/>
                <w:szCs w:val="20"/>
              </w:rPr>
            </w:pPr>
            <w:r>
              <w:rPr>
                <w:sz w:val="20"/>
                <w:szCs w:val="20"/>
              </w:rPr>
              <w:t>(530</w:t>
            </w:r>
            <w:r>
              <w:rPr>
                <w:sz w:val="20"/>
                <w:szCs w:val="20"/>
              </w:rPr>
              <w:t>)</w:t>
            </w:r>
          </w:p>
        </w:tc>
        <w:tc>
          <w:tcPr>
            <w:tcW w:w="39" w:type="pct"/>
            <w:shd w:val="clear" w:color="auto" w:fill="CCEEFF"/>
            <w:noWrap/>
            <w:tcMar>
              <w:top w:w="0" w:type="dxa"/>
              <w:left w:w="0" w:type="dxa"/>
              <w:bottom w:w="0" w:type="dxa"/>
              <w:right w:w="0" w:type="dxa"/>
            </w:tcMar>
            <w:vAlign w:val="bottom"/>
            <w:hideMark/>
          </w:tcPr>
          <w:p w14:paraId="6DC13B91" w14:textId="77777777" w:rsidR="00000000" w:rsidRDefault="001F1B20">
            <w:pPr>
              <w:pStyle w:val="a3"/>
              <w:spacing w:before="0" w:beforeAutospacing="0" w:after="0" w:afterAutospacing="0"/>
              <w:jc w:val="center"/>
              <w:rPr>
                <w:sz w:val="20"/>
                <w:szCs w:val="20"/>
              </w:rPr>
            </w:pPr>
            <w:r>
              <w:rPr>
                <w:sz w:val="20"/>
                <w:szCs w:val="20"/>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14:paraId="29172263" w14:textId="77777777" w:rsidR="00000000" w:rsidRDefault="001F1B20">
            <w:pPr>
              <w:pStyle w:val="a3"/>
              <w:spacing w:before="0" w:beforeAutospacing="0" w:after="0" w:afterAutospacing="0"/>
              <w:jc w:val="right"/>
              <w:rPr>
                <w:sz w:val="20"/>
                <w:szCs w:val="20"/>
              </w:rPr>
            </w:pPr>
            <w:r>
              <w:rPr>
                <w:sz w:val="20"/>
                <w:szCs w:val="20"/>
              </w:rPr>
              <w:t>(2</w:t>
            </w:r>
            <w:r>
              <w:rPr>
                <w:sz w:val="20"/>
                <w:szCs w:val="20"/>
              </w:rPr>
              <w:t>)</w:t>
            </w:r>
          </w:p>
        </w:tc>
        <w:tc>
          <w:tcPr>
            <w:tcW w:w="82" w:type="pct"/>
            <w:shd w:val="clear" w:color="auto" w:fill="CCEEFF"/>
            <w:noWrap/>
            <w:tcMar>
              <w:top w:w="0" w:type="dxa"/>
              <w:left w:w="0" w:type="dxa"/>
              <w:bottom w:w="0" w:type="dxa"/>
              <w:right w:w="0" w:type="dxa"/>
            </w:tcMar>
            <w:vAlign w:val="bottom"/>
            <w:hideMark/>
          </w:tcPr>
          <w:p w14:paraId="778EFB6A" w14:textId="77777777" w:rsidR="00000000" w:rsidRDefault="001F1B20">
            <w:pPr>
              <w:pStyle w:val="a3"/>
              <w:spacing w:before="0" w:beforeAutospacing="0" w:after="0" w:afterAutospacing="0"/>
              <w:rPr>
                <w:sz w:val="20"/>
                <w:szCs w:val="20"/>
              </w:rPr>
            </w:pPr>
            <w:r>
              <w:rPr>
                <w:sz w:val="20"/>
                <w:szCs w:val="20"/>
              </w:rPr>
              <w:t>​</w:t>
            </w:r>
          </w:p>
        </w:tc>
      </w:tr>
      <w:tr w:rsidR="00000000" w14:paraId="0F2F4A31" w14:textId="77777777">
        <w:trPr>
          <w:divId w:val="1096832075"/>
        </w:trPr>
        <w:tc>
          <w:tcPr>
            <w:tcW w:w="1803" w:type="pct"/>
            <w:tcMar>
              <w:top w:w="0" w:type="dxa"/>
              <w:left w:w="0" w:type="dxa"/>
              <w:bottom w:w="0" w:type="dxa"/>
              <w:right w:w="0" w:type="dxa"/>
            </w:tcMar>
            <w:vAlign w:val="bottom"/>
            <w:hideMark/>
          </w:tcPr>
          <w:p w14:paraId="7142EAC2" w14:textId="77777777" w:rsidR="00000000" w:rsidRDefault="001F1B20">
            <w:pPr>
              <w:pStyle w:val="a3"/>
              <w:spacing w:before="0" w:beforeAutospacing="0" w:after="0" w:afterAutospacing="0"/>
              <w:ind w:left="120"/>
              <w:rPr>
                <w:sz w:val="20"/>
                <w:szCs w:val="20"/>
              </w:rPr>
            </w:pPr>
            <w:r>
              <w:rPr>
                <w:sz w:val="20"/>
                <w:szCs w:val="20"/>
              </w:rPr>
              <w:t>Total revenue</w:t>
            </w:r>
          </w:p>
        </w:tc>
        <w:tc>
          <w:tcPr>
            <w:tcW w:w="39" w:type="pct"/>
            <w:noWrap/>
            <w:tcMar>
              <w:top w:w="0" w:type="dxa"/>
              <w:left w:w="0" w:type="dxa"/>
              <w:bottom w:w="0" w:type="dxa"/>
              <w:right w:w="0" w:type="dxa"/>
            </w:tcMar>
            <w:vAlign w:val="bottom"/>
            <w:hideMark/>
          </w:tcPr>
          <w:p w14:paraId="2F34F56F"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noWrap/>
            <w:tcMar>
              <w:top w:w="0" w:type="dxa"/>
              <w:left w:w="0" w:type="dxa"/>
              <w:bottom w:w="0" w:type="dxa"/>
              <w:right w:w="0" w:type="dxa"/>
            </w:tcMar>
            <w:vAlign w:val="bottom"/>
            <w:hideMark/>
          </w:tcPr>
          <w:p w14:paraId="1DB87EF7" w14:textId="77777777" w:rsidR="00000000" w:rsidRDefault="001F1B20">
            <w:pPr>
              <w:pStyle w:val="a3"/>
              <w:spacing w:before="0" w:beforeAutospacing="0" w:after="0" w:afterAutospacing="0"/>
              <w:rPr>
                <w:sz w:val="20"/>
                <w:szCs w:val="20"/>
              </w:rPr>
            </w:pPr>
            <w:r>
              <w:rPr>
                <w:sz w:val="20"/>
                <w:szCs w:val="20"/>
              </w:rPr>
              <w:t>$</w:t>
            </w:r>
          </w:p>
        </w:tc>
        <w:tc>
          <w:tcPr>
            <w:tcW w:w="327" w:type="pct"/>
            <w:tcBorders>
              <w:bottom w:val="double" w:sz="6" w:space="0" w:color="000000"/>
            </w:tcBorders>
            <w:noWrap/>
            <w:tcMar>
              <w:top w:w="0" w:type="dxa"/>
              <w:left w:w="0" w:type="dxa"/>
              <w:bottom w:w="0" w:type="dxa"/>
              <w:right w:w="0" w:type="dxa"/>
            </w:tcMar>
            <w:vAlign w:val="bottom"/>
            <w:hideMark/>
          </w:tcPr>
          <w:p w14:paraId="49EB82D3" w14:textId="77777777" w:rsidR="00000000" w:rsidRDefault="001F1B20">
            <w:pPr>
              <w:pStyle w:val="a3"/>
              <w:spacing w:before="0" w:beforeAutospacing="0" w:after="0" w:afterAutospacing="0"/>
              <w:ind w:right="60"/>
              <w:jc w:val="right"/>
              <w:rPr>
                <w:sz w:val="20"/>
                <w:szCs w:val="20"/>
              </w:rPr>
            </w:pPr>
            <w:r>
              <w:rPr>
                <w:sz w:val="20"/>
                <w:szCs w:val="20"/>
              </w:rPr>
              <w:t>13,19</w:t>
            </w:r>
            <w:r>
              <w:rPr>
                <w:sz w:val="20"/>
                <w:szCs w:val="20"/>
              </w:rPr>
              <w:t>4</w:t>
            </w:r>
          </w:p>
        </w:tc>
        <w:tc>
          <w:tcPr>
            <w:tcW w:w="39" w:type="pct"/>
            <w:noWrap/>
            <w:tcMar>
              <w:top w:w="0" w:type="dxa"/>
              <w:left w:w="0" w:type="dxa"/>
              <w:bottom w:w="0" w:type="dxa"/>
              <w:right w:w="0" w:type="dxa"/>
            </w:tcMar>
            <w:vAlign w:val="bottom"/>
            <w:hideMark/>
          </w:tcPr>
          <w:p w14:paraId="6B06C239"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noWrap/>
            <w:tcMar>
              <w:top w:w="0" w:type="dxa"/>
              <w:left w:w="0" w:type="dxa"/>
              <w:bottom w:w="0" w:type="dxa"/>
              <w:right w:w="0" w:type="dxa"/>
            </w:tcMar>
            <w:vAlign w:val="bottom"/>
            <w:hideMark/>
          </w:tcPr>
          <w:p w14:paraId="7D560249" w14:textId="77777777" w:rsidR="00000000" w:rsidRDefault="001F1B20">
            <w:pPr>
              <w:pStyle w:val="a3"/>
              <w:spacing w:before="0" w:beforeAutospacing="0" w:after="0" w:afterAutospacing="0"/>
              <w:rPr>
                <w:sz w:val="20"/>
                <w:szCs w:val="20"/>
              </w:rPr>
            </w:pPr>
            <w:r>
              <w:rPr>
                <w:sz w:val="20"/>
                <w:szCs w:val="20"/>
              </w:rPr>
              <w:t>$</w:t>
            </w:r>
          </w:p>
        </w:tc>
        <w:tc>
          <w:tcPr>
            <w:tcW w:w="327" w:type="pct"/>
            <w:tcBorders>
              <w:bottom w:val="double" w:sz="6" w:space="0" w:color="000000"/>
            </w:tcBorders>
            <w:noWrap/>
            <w:tcMar>
              <w:top w:w="0" w:type="dxa"/>
              <w:left w:w="0" w:type="dxa"/>
              <w:bottom w:w="0" w:type="dxa"/>
              <w:right w:w="0" w:type="dxa"/>
            </w:tcMar>
            <w:vAlign w:val="bottom"/>
            <w:hideMark/>
          </w:tcPr>
          <w:p w14:paraId="67A294D7" w14:textId="77777777" w:rsidR="00000000" w:rsidRDefault="001F1B20">
            <w:pPr>
              <w:pStyle w:val="a3"/>
              <w:spacing w:before="0" w:beforeAutospacing="0" w:after="0" w:afterAutospacing="0"/>
              <w:ind w:right="60"/>
              <w:jc w:val="right"/>
              <w:rPr>
                <w:sz w:val="20"/>
                <w:szCs w:val="20"/>
              </w:rPr>
            </w:pPr>
            <w:r>
              <w:rPr>
                <w:sz w:val="20"/>
                <w:szCs w:val="20"/>
              </w:rPr>
              <w:t>18,25</w:t>
            </w:r>
            <w:r>
              <w:rPr>
                <w:sz w:val="20"/>
                <w:szCs w:val="20"/>
              </w:rPr>
              <w:t>7</w:t>
            </w:r>
          </w:p>
        </w:tc>
        <w:tc>
          <w:tcPr>
            <w:tcW w:w="39" w:type="pct"/>
            <w:noWrap/>
            <w:tcMar>
              <w:top w:w="0" w:type="dxa"/>
              <w:left w:w="0" w:type="dxa"/>
              <w:bottom w:w="0" w:type="dxa"/>
              <w:right w:w="0" w:type="dxa"/>
            </w:tcMar>
            <w:vAlign w:val="bottom"/>
            <w:hideMark/>
          </w:tcPr>
          <w:p w14:paraId="6334F2B7"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noWrap/>
            <w:tcMar>
              <w:top w:w="0" w:type="dxa"/>
              <w:left w:w="0" w:type="dxa"/>
              <w:bottom w:w="0" w:type="dxa"/>
              <w:right w:w="0" w:type="dxa"/>
            </w:tcMar>
            <w:vAlign w:val="bottom"/>
            <w:hideMark/>
          </w:tcPr>
          <w:p w14:paraId="015044EE" w14:textId="77777777" w:rsidR="00000000" w:rsidRDefault="001F1B20">
            <w:pPr>
              <w:pStyle w:val="a3"/>
              <w:spacing w:before="0" w:beforeAutospacing="0" w:after="0" w:afterAutospacing="0"/>
              <w:rPr>
                <w:sz w:val="20"/>
                <w:szCs w:val="20"/>
              </w:rPr>
            </w:pPr>
            <w:r>
              <w:rPr>
                <w:sz w:val="20"/>
                <w:szCs w:val="20"/>
              </w:rPr>
              <w:t>$</w:t>
            </w:r>
          </w:p>
        </w:tc>
        <w:tc>
          <w:tcPr>
            <w:tcW w:w="314" w:type="pct"/>
            <w:tcBorders>
              <w:bottom w:val="double" w:sz="6" w:space="0" w:color="000000"/>
            </w:tcBorders>
            <w:noWrap/>
            <w:tcMar>
              <w:top w:w="0" w:type="dxa"/>
              <w:left w:w="0" w:type="dxa"/>
              <w:bottom w:w="0" w:type="dxa"/>
              <w:right w:w="0" w:type="dxa"/>
            </w:tcMar>
            <w:vAlign w:val="bottom"/>
            <w:hideMark/>
          </w:tcPr>
          <w:p w14:paraId="7F7107E5" w14:textId="77777777" w:rsidR="00000000" w:rsidRDefault="001F1B20">
            <w:pPr>
              <w:pStyle w:val="a3"/>
              <w:spacing w:before="0" w:beforeAutospacing="0" w:after="0" w:afterAutospacing="0"/>
              <w:jc w:val="right"/>
              <w:rPr>
                <w:sz w:val="20"/>
                <w:szCs w:val="20"/>
              </w:rPr>
            </w:pPr>
            <w:r>
              <w:rPr>
                <w:sz w:val="20"/>
                <w:szCs w:val="20"/>
              </w:rPr>
              <w:t>(5,063</w:t>
            </w:r>
            <w:r>
              <w:rPr>
                <w:sz w:val="20"/>
                <w:szCs w:val="20"/>
              </w:rPr>
              <w:t>)</w:t>
            </w:r>
          </w:p>
        </w:tc>
        <w:tc>
          <w:tcPr>
            <w:tcW w:w="39" w:type="pct"/>
            <w:noWrap/>
            <w:tcMar>
              <w:top w:w="0" w:type="dxa"/>
              <w:left w:w="0" w:type="dxa"/>
              <w:bottom w:w="0" w:type="dxa"/>
              <w:right w:w="0" w:type="dxa"/>
            </w:tcMar>
            <w:vAlign w:val="bottom"/>
            <w:hideMark/>
          </w:tcPr>
          <w:p w14:paraId="2E48C731" w14:textId="77777777" w:rsidR="00000000" w:rsidRDefault="001F1B20">
            <w:pPr>
              <w:pStyle w:val="a3"/>
              <w:spacing w:before="0" w:beforeAutospacing="0" w:after="0" w:afterAutospacing="0"/>
              <w:rPr>
                <w:sz w:val="20"/>
                <w:szCs w:val="20"/>
              </w:rPr>
            </w:pPr>
            <w:r>
              <w:rPr>
                <w:sz w:val="20"/>
                <w:szCs w:val="20"/>
              </w:rPr>
              <w:t>​</w:t>
            </w:r>
          </w:p>
        </w:tc>
        <w:tc>
          <w:tcPr>
            <w:tcW w:w="190" w:type="pct"/>
            <w:tcBorders>
              <w:bottom w:val="double" w:sz="6" w:space="0" w:color="000000"/>
            </w:tcBorders>
            <w:noWrap/>
            <w:tcMar>
              <w:top w:w="0" w:type="dxa"/>
              <w:left w:w="0" w:type="dxa"/>
              <w:bottom w:w="0" w:type="dxa"/>
              <w:right w:w="0" w:type="dxa"/>
            </w:tcMar>
            <w:vAlign w:val="bottom"/>
            <w:hideMark/>
          </w:tcPr>
          <w:p w14:paraId="390E7081" w14:textId="77777777" w:rsidR="00000000" w:rsidRDefault="001F1B20">
            <w:pPr>
              <w:pStyle w:val="a3"/>
              <w:spacing w:before="0" w:beforeAutospacing="0" w:after="0" w:afterAutospacing="0"/>
              <w:jc w:val="right"/>
              <w:rPr>
                <w:sz w:val="20"/>
                <w:szCs w:val="20"/>
              </w:rPr>
            </w:pPr>
            <w:r>
              <w:rPr>
                <w:sz w:val="20"/>
                <w:szCs w:val="20"/>
              </w:rPr>
              <w:t>(28</w:t>
            </w:r>
            <w:r>
              <w:rPr>
                <w:sz w:val="20"/>
                <w:szCs w:val="20"/>
              </w:rPr>
              <w:t>)</w:t>
            </w:r>
          </w:p>
        </w:tc>
        <w:tc>
          <w:tcPr>
            <w:tcW w:w="132" w:type="pct"/>
            <w:noWrap/>
            <w:tcMar>
              <w:top w:w="0" w:type="dxa"/>
              <w:left w:w="0" w:type="dxa"/>
              <w:bottom w:w="0" w:type="dxa"/>
              <w:right w:w="0" w:type="dxa"/>
            </w:tcMar>
            <w:vAlign w:val="bottom"/>
            <w:hideMark/>
          </w:tcPr>
          <w:p w14:paraId="79FEC633" w14:textId="77777777" w:rsidR="00000000" w:rsidRDefault="001F1B20">
            <w:pPr>
              <w:pStyle w:val="a3"/>
              <w:spacing w:before="0" w:beforeAutospacing="0" w:after="0" w:afterAutospacing="0"/>
              <w:rPr>
                <w:sz w:val="20"/>
                <w:szCs w:val="20"/>
              </w:rPr>
            </w:pPr>
            <w:r>
              <w:rPr>
                <w:sz w:val="20"/>
                <w:szCs w:val="20"/>
              </w:rPr>
              <w:t>%  </w:t>
            </w:r>
          </w:p>
        </w:tc>
        <w:tc>
          <w:tcPr>
            <w:tcW w:w="39" w:type="pct"/>
            <w:noWrap/>
            <w:tcMar>
              <w:top w:w="0" w:type="dxa"/>
              <w:left w:w="0" w:type="dxa"/>
              <w:bottom w:w="0" w:type="dxa"/>
              <w:right w:w="0" w:type="dxa"/>
            </w:tcMar>
            <w:vAlign w:val="bottom"/>
            <w:hideMark/>
          </w:tcPr>
          <w:p w14:paraId="3E067B5A"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noWrap/>
            <w:tcMar>
              <w:top w:w="0" w:type="dxa"/>
              <w:left w:w="0" w:type="dxa"/>
              <w:bottom w:w="0" w:type="dxa"/>
              <w:right w:w="0" w:type="dxa"/>
            </w:tcMar>
            <w:vAlign w:val="bottom"/>
            <w:hideMark/>
          </w:tcPr>
          <w:p w14:paraId="19B70A08" w14:textId="77777777" w:rsidR="00000000" w:rsidRDefault="001F1B20">
            <w:pPr>
              <w:pStyle w:val="a3"/>
              <w:spacing w:before="0" w:beforeAutospacing="0" w:after="0" w:afterAutospacing="0"/>
              <w:rPr>
                <w:sz w:val="20"/>
                <w:szCs w:val="20"/>
              </w:rPr>
            </w:pPr>
            <w:r>
              <w:rPr>
                <w:sz w:val="20"/>
                <w:szCs w:val="20"/>
              </w:rPr>
              <w:t>$</w:t>
            </w:r>
          </w:p>
        </w:tc>
        <w:tc>
          <w:tcPr>
            <w:tcW w:w="327" w:type="pct"/>
            <w:tcBorders>
              <w:bottom w:val="double" w:sz="6" w:space="0" w:color="000000"/>
            </w:tcBorders>
            <w:noWrap/>
            <w:tcMar>
              <w:top w:w="0" w:type="dxa"/>
              <w:left w:w="0" w:type="dxa"/>
              <w:bottom w:w="0" w:type="dxa"/>
              <w:right w:w="0" w:type="dxa"/>
            </w:tcMar>
            <w:vAlign w:val="bottom"/>
            <w:hideMark/>
          </w:tcPr>
          <w:p w14:paraId="1E08A2AF" w14:textId="77777777" w:rsidR="00000000" w:rsidRDefault="001F1B20">
            <w:pPr>
              <w:pStyle w:val="a3"/>
              <w:spacing w:before="0" w:beforeAutospacing="0" w:after="0" w:afterAutospacing="0"/>
              <w:ind w:right="60"/>
              <w:jc w:val="right"/>
              <w:rPr>
                <w:sz w:val="20"/>
                <w:szCs w:val="20"/>
              </w:rPr>
            </w:pPr>
            <w:r>
              <w:rPr>
                <w:sz w:val="20"/>
                <w:szCs w:val="20"/>
              </w:rPr>
              <w:t>40,36</w:t>
            </w:r>
            <w:r>
              <w:rPr>
                <w:sz w:val="20"/>
                <w:szCs w:val="20"/>
              </w:rPr>
              <w:t>5</w:t>
            </w:r>
          </w:p>
        </w:tc>
        <w:tc>
          <w:tcPr>
            <w:tcW w:w="39" w:type="pct"/>
            <w:noWrap/>
            <w:tcMar>
              <w:top w:w="0" w:type="dxa"/>
              <w:left w:w="0" w:type="dxa"/>
              <w:bottom w:w="0" w:type="dxa"/>
              <w:right w:w="0" w:type="dxa"/>
            </w:tcMar>
            <w:vAlign w:val="bottom"/>
            <w:hideMark/>
          </w:tcPr>
          <w:p w14:paraId="4C55DBE1"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noWrap/>
            <w:tcMar>
              <w:top w:w="0" w:type="dxa"/>
              <w:left w:w="0" w:type="dxa"/>
              <w:bottom w:w="0" w:type="dxa"/>
              <w:right w:w="0" w:type="dxa"/>
            </w:tcMar>
            <w:vAlign w:val="bottom"/>
            <w:hideMark/>
          </w:tcPr>
          <w:p w14:paraId="14E12B72" w14:textId="77777777" w:rsidR="00000000" w:rsidRDefault="001F1B20">
            <w:pPr>
              <w:pStyle w:val="a3"/>
              <w:spacing w:before="0" w:beforeAutospacing="0" w:after="0" w:afterAutospacing="0"/>
              <w:rPr>
                <w:sz w:val="20"/>
                <w:szCs w:val="20"/>
              </w:rPr>
            </w:pPr>
            <w:r>
              <w:rPr>
                <w:sz w:val="20"/>
                <w:szCs w:val="20"/>
              </w:rPr>
              <w:t>$</w:t>
            </w:r>
          </w:p>
        </w:tc>
        <w:tc>
          <w:tcPr>
            <w:tcW w:w="327" w:type="pct"/>
            <w:tcBorders>
              <w:bottom w:val="double" w:sz="6" w:space="0" w:color="000000"/>
            </w:tcBorders>
            <w:noWrap/>
            <w:tcMar>
              <w:top w:w="0" w:type="dxa"/>
              <w:left w:w="0" w:type="dxa"/>
              <w:bottom w:w="0" w:type="dxa"/>
              <w:right w:w="0" w:type="dxa"/>
            </w:tcMar>
            <w:vAlign w:val="bottom"/>
            <w:hideMark/>
          </w:tcPr>
          <w:p w14:paraId="1D4C6CB0" w14:textId="77777777" w:rsidR="00000000" w:rsidRDefault="001F1B20">
            <w:pPr>
              <w:pStyle w:val="a3"/>
              <w:spacing w:before="0" w:beforeAutospacing="0" w:after="0" w:afterAutospacing="0"/>
              <w:ind w:right="60"/>
              <w:jc w:val="right"/>
              <w:rPr>
                <w:sz w:val="20"/>
                <w:szCs w:val="20"/>
              </w:rPr>
            </w:pPr>
            <w:r>
              <w:rPr>
                <w:sz w:val="20"/>
                <w:szCs w:val="20"/>
              </w:rPr>
              <w:t>53,12</w:t>
            </w:r>
            <w:r>
              <w:rPr>
                <w:sz w:val="20"/>
                <w:szCs w:val="20"/>
              </w:rPr>
              <w:t>7</w:t>
            </w:r>
          </w:p>
        </w:tc>
        <w:tc>
          <w:tcPr>
            <w:tcW w:w="39" w:type="pct"/>
            <w:noWrap/>
            <w:tcMar>
              <w:top w:w="0" w:type="dxa"/>
              <w:left w:w="0" w:type="dxa"/>
              <w:bottom w:w="0" w:type="dxa"/>
              <w:right w:w="0" w:type="dxa"/>
            </w:tcMar>
            <w:vAlign w:val="bottom"/>
            <w:hideMark/>
          </w:tcPr>
          <w:p w14:paraId="17F25F3A"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noWrap/>
            <w:tcMar>
              <w:top w:w="0" w:type="dxa"/>
              <w:left w:w="0" w:type="dxa"/>
              <w:bottom w:w="0" w:type="dxa"/>
              <w:right w:w="0" w:type="dxa"/>
            </w:tcMar>
            <w:vAlign w:val="bottom"/>
            <w:hideMark/>
          </w:tcPr>
          <w:p w14:paraId="483BEBE4" w14:textId="77777777" w:rsidR="00000000" w:rsidRDefault="001F1B20">
            <w:pPr>
              <w:pStyle w:val="a3"/>
              <w:spacing w:before="0" w:beforeAutospacing="0" w:after="0" w:afterAutospacing="0"/>
              <w:rPr>
                <w:sz w:val="20"/>
                <w:szCs w:val="20"/>
              </w:rPr>
            </w:pPr>
            <w:r>
              <w:rPr>
                <w:sz w:val="20"/>
                <w:szCs w:val="20"/>
              </w:rPr>
              <w:t>$</w:t>
            </w:r>
          </w:p>
        </w:tc>
        <w:tc>
          <w:tcPr>
            <w:tcW w:w="363" w:type="pct"/>
            <w:tcBorders>
              <w:bottom w:val="double" w:sz="6" w:space="0" w:color="000000"/>
            </w:tcBorders>
            <w:noWrap/>
            <w:tcMar>
              <w:top w:w="0" w:type="dxa"/>
              <w:left w:w="0" w:type="dxa"/>
              <w:bottom w:w="0" w:type="dxa"/>
              <w:right w:w="0" w:type="dxa"/>
            </w:tcMar>
            <w:vAlign w:val="bottom"/>
            <w:hideMark/>
          </w:tcPr>
          <w:p w14:paraId="3DD57008" w14:textId="77777777" w:rsidR="00000000" w:rsidRDefault="001F1B20">
            <w:pPr>
              <w:pStyle w:val="a3"/>
              <w:spacing w:before="0" w:beforeAutospacing="0" w:after="0" w:afterAutospacing="0"/>
              <w:jc w:val="right"/>
              <w:rPr>
                <w:sz w:val="20"/>
                <w:szCs w:val="20"/>
              </w:rPr>
            </w:pPr>
            <w:r>
              <w:rPr>
                <w:sz w:val="20"/>
                <w:szCs w:val="20"/>
              </w:rPr>
              <w:t>(12,762</w:t>
            </w:r>
            <w:r>
              <w:rPr>
                <w:sz w:val="20"/>
                <w:szCs w:val="20"/>
              </w:rPr>
              <w:t>)</w:t>
            </w:r>
          </w:p>
        </w:tc>
        <w:tc>
          <w:tcPr>
            <w:tcW w:w="39" w:type="pct"/>
            <w:noWrap/>
            <w:tcMar>
              <w:top w:w="0" w:type="dxa"/>
              <w:left w:w="0" w:type="dxa"/>
              <w:bottom w:w="0" w:type="dxa"/>
              <w:right w:w="0" w:type="dxa"/>
            </w:tcMar>
            <w:vAlign w:val="bottom"/>
            <w:hideMark/>
          </w:tcPr>
          <w:p w14:paraId="4037B374" w14:textId="77777777" w:rsidR="00000000" w:rsidRDefault="001F1B20">
            <w:pPr>
              <w:pStyle w:val="a3"/>
              <w:spacing w:before="0" w:beforeAutospacing="0" w:after="0" w:afterAutospacing="0"/>
              <w:jc w:val="center"/>
              <w:rPr>
                <w:sz w:val="20"/>
                <w:szCs w:val="20"/>
              </w:rPr>
            </w:pPr>
            <w:r>
              <w:rPr>
                <w:sz w:val="20"/>
                <w:szCs w:val="20"/>
              </w:rPr>
              <w:t>​</w:t>
            </w:r>
          </w:p>
        </w:tc>
        <w:tc>
          <w:tcPr>
            <w:tcW w:w="190" w:type="pct"/>
            <w:tcBorders>
              <w:bottom w:val="double" w:sz="6" w:space="0" w:color="000000"/>
            </w:tcBorders>
            <w:noWrap/>
            <w:tcMar>
              <w:top w:w="0" w:type="dxa"/>
              <w:left w:w="0" w:type="dxa"/>
              <w:bottom w:w="0" w:type="dxa"/>
              <w:right w:w="0" w:type="dxa"/>
            </w:tcMar>
            <w:vAlign w:val="bottom"/>
            <w:hideMark/>
          </w:tcPr>
          <w:p w14:paraId="33EC4D19" w14:textId="77777777" w:rsidR="00000000" w:rsidRDefault="001F1B20">
            <w:pPr>
              <w:pStyle w:val="a3"/>
              <w:spacing w:before="0" w:beforeAutospacing="0" w:after="0" w:afterAutospacing="0"/>
              <w:jc w:val="right"/>
              <w:rPr>
                <w:sz w:val="20"/>
                <w:szCs w:val="20"/>
              </w:rPr>
            </w:pPr>
            <w:r>
              <w:rPr>
                <w:sz w:val="20"/>
                <w:szCs w:val="20"/>
              </w:rPr>
              <w:t>(24</w:t>
            </w:r>
            <w:r>
              <w:rPr>
                <w:sz w:val="20"/>
                <w:szCs w:val="20"/>
              </w:rPr>
              <w:t>)</w:t>
            </w:r>
          </w:p>
        </w:tc>
        <w:tc>
          <w:tcPr>
            <w:tcW w:w="82" w:type="pct"/>
            <w:noWrap/>
            <w:tcMar>
              <w:top w:w="0" w:type="dxa"/>
              <w:left w:w="0" w:type="dxa"/>
              <w:bottom w:w="0" w:type="dxa"/>
              <w:right w:w="0" w:type="dxa"/>
            </w:tcMar>
            <w:vAlign w:val="bottom"/>
            <w:hideMark/>
          </w:tcPr>
          <w:p w14:paraId="0B567766" w14:textId="77777777" w:rsidR="00000000" w:rsidRDefault="001F1B20">
            <w:pPr>
              <w:pStyle w:val="a3"/>
              <w:spacing w:before="0" w:beforeAutospacing="0" w:after="0" w:afterAutospacing="0"/>
              <w:rPr>
                <w:sz w:val="20"/>
                <w:szCs w:val="20"/>
              </w:rPr>
            </w:pPr>
            <w:r>
              <w:rPr>
                <w:sz w:val="20"/>
                <w:szCs w:val="20"/>
              </w:rPr>
              <w:t>%</w:t>
            </w:r>
          </w:p>
        </w:tc>
      </w:tr>
    </w:tbl>
    <w:p w14:paraId="243DEDE1" w14:textId="77777777" w:rsidR="00000000" w:rsidRDefault="001F1B20">
      <w:pPr>
        <w:pStyle w:val="a3"/>
        <w:spacing w:before="0" w:beforeAutospacing="0" w:after="0" w:afterAutospacing="0"/>
        <w:divId w:val="1096832075"/>
        <w:rPr>
          <w:sz w:val="20"/>
          <w:szCs w:val="20"/>
        </w:rPr>
      </w:pPr>
      <w:r>
        <w:rPr>
          <w:sz w:val="20"/>
          <w:szCs w:val="20"/>
        </w:rPr>
        <w:t>NM: Not Meaningful</w:t>
      </w:r>
    </w:p>
    <w:p w14:paraId="76DB8D6D" w14:textId="77777777" w:rsidR="00000000" w:rsidRDefault="001F1B20">
      <w:pPr>
        <w:pStyle w:val="a3"/>
        <w:spacing w:before="0" w:beforeAutospacing="0" w:after="0" w:afterAutospacing="0"/>
        <w:divId w:val="1096832075"/>
        <w:rPr>
          <w:sz w:val="20"/>
          <w:szCs w:val="20"/>
        </w:rPr>
      </w:pPr>
      <w:r>
        <w:rPr>
          <w:sz w:val="20"/>
          <w:szCs w:val="20"/>
        </w:rPr>
        <w:t>​</w:t>
      </w:r>
    </w:p>
    <w:p w14:paraId="5FCD93BE" w14:textId="77777777" w:rsidR="00000000" w:rsidRDefault="001F1B20">
      <w:pPr>
        <w:pStyle w:val="a3"/>
        <w:spacing w:before="0" w:beforeAutospacing="0" w:after="0" w:afterAutospacing="0"/>
        <w:ind w:firstLine="720"/>
        <w:divId w:val="1096832075"/>
        <w:rPr>
          <w:sz w:val="20"/>
          <w:szCs w:val="20"/>
        </w:rPr>
      </w:pPr>
      <w:r>
        <w:rPr>
          <w:sz w:val="20"/>
          <w:szCs w:val="20"/>
        </w:rPr>
        <w:t>Collaboration revenue decreased by $4.5 million and $10.7 million for the three and nine months ended September 30, 2021 compared to the same periods in 2020. Collaboration revenue was primarily comprised of revenue recognized related to the $100.0 million</w:t>
      </w:r>
      <w:r>
        <w:rPr>
          <w:sz w:val="20"/>
          <w:szCs w:val="20"/>
        </w:rPr>
        <w:t xml:space="preserve"> upfront payment received in 2018 pursuant to the Janssen collaboration agreement that was entered into in February 2018. Janssen collaboration revenue is recognized for the research and development services we performed during the period based on a measur</w:t>
      </w:r>
      <w:r>
        <w:rPr>
          <w:sz w:val="20"/>
          <w:szCs w:val="20"/>
        </w:rPr>
        <w:t>e of our efforts toward satisfying the performance obligation relative to the total expected efforts or inputs to satisfy the performance obligation (e.g., costs incurred compared to total budgeted costs). The $4.5 million and $10.7 million decreases in co</w:t>
      </w:r>
      <w:r>
        <w:rPr>
          <w:sz w:val="20"/>
          <w:szCs w:val="20"/>
        </w:rPr>
        <w:t>llaboration revenue compared to the prior year periods reflect the reduction of costs incurred to satisfy the remaining performance obligation related to the recently completed izencitinib Phase 2 study for ulcerative colitis and the expected completion of</w:t>
      </w:r>
      <w:r>
        <w:rPr>
          <w:sz w:val="20"/>
          <w:szCs w:val="20"/>
        </w:rPr>
        <w:t xml:space="preserve"> the izencitinib Phase 2 study for Crohn’s disease in the first quarter of 2022.</w:t>
      </w:r>
    </w:p>
    <w:p w14:paraId="6CA9D7AE" w14:textId="77777777" w:rsidR="00000000" w:rsidRDefault="001F1B20">
      <w:pPr>
        <w:pStyle w:val="a3"/>
        <w:spacing w:before="0" w:beforeAutospacing="0" w:after="0" w:afterAutospacing="0"/>
        <w:ind w:firstLine="720"/>
        <w:divId w:val="1096832075"/>
        <w:rPr>
          <w:sz w:val="20"/>
          <w:szCs w:val="20"/>
        </w:rPr>
      </w:pPr>
      <w:r>
        <w:rPr>
          <w:sz w:val="20"/>
          <w:szCs w:val="20"/>
        </w:rPr>
        <w:t>​</w:t>
      </w:r>
    </w:p>
    <w:p w14:paraId="4AC4317C" w14:textId="77777777" w:rsidR="00000000" w:rsidRDefault="001F1B20">
      <w:pPr>
        <w:pStyle w:val="a3"/>
        <w:spacing w:before="0" w:beforeAutospacing="0" w:after="0" w:afterAutospacing="0"/>
        <w:ind w:firstLine="720"/>
        <w:divId w:val="1096832075"/>
        <w:rPr>
          <w:sz w:val="20"/>
          <w:szCs w:val="20"/>
        </w:rPr>
      </w:pPr>
      <w:r>
        <w:rPr>
          <w:sz w:val="20"/>
          <w:szCs w:val="20"/>
        </w:rPr>
        <w:t>Licensing revenue decreased by $1.5 million for the nine months ended September 30, 2021 compared to the same period in 2020. The $1.5 million recognized in the prior year p</w:t>
      </w:r>
      <w:r>
        <w:rPr>
          <w:sz w:val="20"/>
          <w:szCs w:val="20"/>
        </w:rPr>
        <w:t xml:space="preserve">eriod represented the achievement of a non-recurring </w:t>
      </w:r>
      <w:r>
        <w:rPr>
          <w:sz w:val="20"/>
          <w:szCs w:val="20"/>
          <w:shd w:val="clear" w:color="auto" w:fill="FFFFFF"/>
        </w:rPr>
        <w:t xml:space="preserve">milestone related to the acceptance of a clinical trial application </w:t>
      </w:r>
      <w:r>
        <w:rPr>
          <w:sz w:val="20"/>
          <w:szCs w:val="20"/>
        </w:rPr>
        <w:t>associated with our Viatris agreement for the commercialization and development r</w:t>
      </w:r>
      <w:r>
        <w:rPr>
          <w:sz w:val="20"/>
          <w:szCs w:val="20"/>
          <w:shd w:val="clear" w:color="auto" w:fill="FFFFFF"/>
        </w:rPr>
        <w:t xml:space="preserve">ights of nebulized revefenacin </w:t>
      </w:r>
      <w:r>
        <w:rPr>
          <w:sz w:val="20"/>
          <w:szCs w:val="20"/>
        </w:rPr>
        <w:t xml:space="preserve">in China </w:t>
      </w:r>
      <w:r>
        <w:rPr>
          <w:sz w:val="20"/>
          <w:szCs w:val="20"/>
          <w:shd w:val="clear" w:color="auto" w:fill="FFFFFF"/>
        </w:rPr>
        <w:t>and adjacent t</w:t>
      </w:r>
      <w:r>
        <w:rPr>
          <w:sz w:val="20"/>
          <w:szCs w:val="20"/>
          <w:shd w:val="clear" w:color="auto" w:fill="FFFFFF"/>
        </w:rPr>
        <w:t>erritories</w:t>
      </w:r>
      <w:r>
        <w:rPr>
          <w:sz w:val="20"/>
          <w:szCs w:val="20"/>
        </w:rPr>
        <w:t>.</w:t>
      </w:r>
    </w:p>
    <w:p w14:paraId="63AB44E0" w14:textId="77777777" w:rsidR="00000000" w:rsidRDefault="001F1B20">
      <w:pPr>
        <w:pStyle w:val="a3"/>
        <w:spacing w:before="0" w:beforeAutospacing="0" w:after="0" w:afterAutospacing="0"/>
        <w:ind w:firstLine="720"/>
        <w:divId w:val="1096832075"/>
        <w:rPr>
          <w:sz w:val="20"/>
          <w:szCs w:val="20"/>
        </w:rPr>
      </w:pPr>
      <w:r>
        <w:rPr>
          <w:sz w:val="20"/>
          <w:szCs w:val="20"/>
        </w:rPr>
        <w:t>​</w:t>
      </w:r>
    </w:p>
    <w:p w14:paraId="3C7E359E" w14:textId="77777777" w:rsidR="00000000" w:rsidRDefault="001F1B20">
      <w:pPr>
        <w:pStyle w:val="a3"/>
        <w:spacing w:before="0" w:beforeAutospacing="0" w:after="0" w:afterAutospacing="0"/>
        <w:ind w:firstLine="720"/>
        <w:divId w:val="1096832075"/>
        <w:rPr>
          <w:sz w:val="20"/>
          <w:szCs w:val="20"/>
        </w:rPr>
      </w:pPr>
      <w:r>
        <w:rPr>
          <w:sz w:val="20"/>
          <w:szCs w:val="20"/>
        </w:rPr>
        <w:t xml:space="preserve">We are entitled to a share of US profits and losses (65% to Viatris; 35% to Theravance Biopharma) received in connection with commercialization of YUPELRI. </w:t>
      </w:r>
      <w:r>
        <w:rPr>
          <w:sz w:val="20"/>
          <w:szCs w:val="20"/>
          <w:shd w:val="clear" w:color="auto" w:fill="FFFFFF"/>
        </w:rPr>
        <w:t>In accordance with the applicable accounting guidance, amounts receivable</w:t>
      </w:r>
      <w:r>
        <w:rPr>
          <w:sz w:val="20"/>
          <w:szCs w:val="20"/>
        </w:rPr>
        <w:t xml:space="preserve"> from Viatris</w:t>
      </w:r>
      <w:r>
        <w:rPr>
          <w:sz w:val="20"/>
          <w:szCs w:val="20"/>
        </w:rPr>
        <w:t xml:space="preserve"> in connection with the commercialization of YUPELRI are recorded within the condensed consolidated </w:t>
      </w:r>
    </w:p>
    <w:p w14:paraId="50DBCBFC" w14:textId="77777777" w:rsidR="00000000" w:rsidRDefault="001F1B20">
      <w:pPr>
        <w:pStyle w:val="a3"/>
        <w:spacing w:before="360" w:beforeAutospacing="0" w:after="0" w:afterAutospacing="0"/>
        <w:jc w:val="center"/>
        <w:divId w:val="1637492419"/>
        <w:rPr>
          <w:sz w:val="20"/>
          <w:szCs w:val="20"/>
        </w:rPr>
      </w:pPr>
      <w:r>
        <w:rPr>
          <w:sz w:val="20"/>
          <w:szCs w:val="20"/>
        </w:rPr>
        <w:t>28</w:t>
      </w:r>
    </w:p>
    <w:p w14:paraId="1B2D575E" w14:textId="77777777" w:rsidR="00000000" w:rsidRDefault="001F1B20">
      <w:pPr>
        <w:pStyle w:val="a3"/>
        <w:spacing w:before="0" w:beforeAutospacing="0" w:after="600" w:afterAutospacing="0"/>
        <w:divId w:val="140007717"/>
        <w:rPr>
          <w:sz w:val="20"/>
          <w:szCs w:val="20"/>
        </w:rPr>
      </w:pPr>
      <w:hyperlink w:anchor="TOC" w:history="1">
        <w:r>
          <w:rPr>
            <w:rStyle w:val="a4"/>
            <w:sz w:val="20"/>
            <w:szCs w:val="20"/>
          </w:rPr>
          <w:t>Table of Contents</w:t>
        </w:r>
      </w:hyperlink>
    </w:p>
    <w:p w14:paraId="357D7C4D" w14:textId="77777777" w:rsidR="00000000" w:rsidRDefault="001F1B20">
      <w:pPr>
        <w:pStyle w:val="a3"/>
        <w:spacing w:before="0" w:beforeAutospacing="0" w:after="0" w:afterAutospacing="0"/>
        <w:divId w:val="595986978"/>
        <w:rPr>
          <w:sz w:val="20"/>
          <w:szCs w:val="20"/>
        </w:rPr>
      </w:pPr>
      <w:r>
        <w:rPr>
          <w:sz w:val="20"/>
          <w:szCs w:val="20"/>
        </w:rPr>
        <w:t>statements of operations as revenue from “Viatris collaboration agreement” irrespective of whether the overa</w:t>
      </w:r>
      <w:r>
        <w:rPr>
          <w:sz w:val="20"/>
          <w:szCs w:val="20"/>
        </w:rPr>
        <w:t>ll collaboration is profitable. A</w:t>
      </w:r>
      <w:r>
        <w:rPr>
          <w:sz w:val="20"/>
          <w:szCs w:val="20"/>
          <w:shd w:val="clear" w:color="auto" w:fill="FFFFFF"/>
        </w:rPr>
        <w:t>mounts payable to Viatris in connection with the commercialization of YUPELRI, if any, are recorded within the condensed consolidated statements of operations as a collaboration loss within selling, general and administrati</w:t>
      </w:r>
      <w:r>
        <w:rPr>
          <w:sz w:val="20"/>
          <w:szCs w:val="20"/>
          <w:shd w:val="clear" w:color="auto" w:fill="FFFFFF"/>
        </w:rPr>
        <w:t>ve expenses. Any reimbursement from Viatris attributed to the 65% cost-sharing of our research and development (“R&amp;D”) expenses is characterized as a reduction of R&amp;D expense, as we do not consider performing research and development services for reimburse</w:t>
      </w:r>
      <w:r>
        <w:rPr>
          <w:sz w:val="20"/>
          <w:szCs w:val="20"/>
          <w:shd w:val="clear" w:color="auto" w:fill="FFFFFF"/>
        </w:rPr>
        <w:t>ment to be a part of our ordinary operations.</w:t>
      </w:r>
    </w:p>
    <w:p w14:paraId="2A1676EE" w14:textId="77777777" w:rsidR="00000000" w:rsidRDefault="001F1B20">
      <w:pPr>
        <w:pStyle w:val="a3"/>
        <w:spacing w:before="0" w:beforeAutospacing="0" w:after="0" w:afterAutospacing="0"/>
        <w:divId w:val="595986978"/>
        <w:rPr>
          <w:sz w:val="20"/>
          <w:szCs w:val="20"/>
        </w:rPr>
      </w:pPr>
      <w:r>
        <w:rPr>
          <w:sz w:val="20"/>
          <w:szCs w:val="20"/>
          <w:shd w:val="clear" w:color="auto" w:fill="FFFFFF"/>
        </w:rPr>
        <w:t>​</w:t>
      </w:r>
    </w:p>
    <w:p w14:paraId="3ADD63F3" w14:textId="77777777" w:rsidR="00000000" w:rsidRDefault="001F1B20">
      <w:pPr>
        <w:pStyle w:val="a3"/>
        <w:spacing w:before="0" w:beforeAutospacing="0" w:after="0" w:afterAutospacing="0"/>
        <w:ind w:firstLine="720"/>
        <w:divId w:val="595986978"/>
        <w:rPr>
          <w:sz w:val="20"/>
          <w:szCs w:val="20"/>
        </w:rPr>
      </w:pPr>
      <w:r>
        <w:rPr>
          <w:sz w:val="20"/>
          <w:szCs w:val="20"/>
          <w:shd w:val="clear" w:color="auto" w:fill="FFFFFF"/>
        </w:rPr>
        <w:t xml:space="preserve">For the three and nine months ended September 30, 2021, we </w:t>
      </w:r>
      <w:r>
        <w:rPr>
          <w:sz w:val="20"/>
          <w:szCs w:val="20"/>
        </w:rPr>
        <w:t>recognized $10.4 million and $31.7 million, respectively, in revenue from the Viatris collaboration agreement for YUPELRI which represented the recei</w:t>
      </w:r>
      <w:r>
        <w:rPr>
          <w:sz w:val="20"/>
          <w:szCs w:val="20"/>
        </w:rPr>
        <w:t>vables due from Viatris during the periods.</w:t>
      </w:r>
      <w:r>
        <w:rPr>
          <w:color w:val="FF0000"/>
          <w:sz w:val="20"/>
          <w:szCs w:val="20"/>
        </w:rPr>
        <w:t xml:space="preserve"> </w:t>
      </w:r>
      <w:r>
        <w:rPr>
          <w:sz w:val="20"/>
          <w:szCs w:val="20"/>
        </w:rPr>
        <w:t>While Viatris records the total net sales of YUPELRI within its financial statements, Viatris collaboration agreement revenue includes our implied 35% share of net sales of YUPELRI for the three and nine months e</w:t>
      </w:r>
      <w:r>
        <w:rPr>
          <w:sz w:val="20"/>
          <w:szCs w:val="20"/>
        </w:rPr>
        <w:t xml:space="preserve">nded September 30, 2021 of $13.8 million and $41.3 million, respectively. </w:t>
      </w:r>
      <w:r>
        <w:rPr>
          <w:sz w:val="20"/>
          <w:szCs w:val="20"/>
          <w:shd w:val="clear" w:color="auto" w:fill="FFFFFF"/>
        </w:rPr>
        <w:t>Demand doses for YUPELRI increased 1% in the third quarter of 2021 compared to the second quarter 2021 and increased 21% in the third quarter of 2021 compared to the third quarter of</w:t>
      </w:r>
      <w:r>
        <w:rPr>
          <w:sz w:val="20"/>
          <w:szCs w:val="20"/>
          <w:shd w:val="clear" w:color="auto" w:fill="FFFFFF"/>
        </w:rPr>
        <w:t xml:space="preserve"> 2020. While institutions in some parts of the country are allowing more in-person access, in-person engagements remain below pre-pandemic levels. Total prescription volumes continue to grow across most specialties with volumes heading toward parity with 2</w:t>
      </w:r>
      <w:r>
        <w:rPr>
          <w:sz w:val="20"/>
          <w:szCs w:val="20"/>
          <w:shd w:val="clear" w:color="auto" w:fill="FFFFFF"/>
        </w:rPr>
        <w:t>020. However, prescription volumes in pulmonology remain below pre-pandemic levels.</w:t>
      </w:r>
    </w:p>
    <w:p w14:paraId="5A5032CC" w14:textId="77777777" w:rsidR="00000000" w:rsidRDefault="001F1B20">
      <w:pPr>
        <w:pStyle w:val="a3"/>
        <w:spacing w:before="0" w:beforeAutospacing="0" w:after="0" w:afterAutospacing="0"/>
        <w:ind w:firstLine="720"/>
        <w:divId w:val="595986978"/>
        <w:rPr>
          <w:sz w:val="20"/>
          <w:szCs w:val="20"/>
        </w:rPr>
      </w:pPr>
      <w:r>
        <w:rPr>
          <w:sz w:val="20"/>
          <w:szCs w:val="20"/>
          <w:shd w:val="clear" w:color="auto" w:fill="FFFFFF"/>
        </w:rPr>
        <w:t>​</w:t>
      </w:r>
    </w:p>
    <w:p w14:paraId="51B9ADED" w14:textId="77777777" w:rsidR="00000000" w:rsidRDefault="001F1B20">
      <w:pPr>
        <w:pStyle w:val="a3"/>
        <w:spacing w:before="0" w:beforeAutospacing="0" w:after="0" w:afterAutospacing="0"/>
        <w:divId w:val="595986978"/>
        <w:rPr>
          <w:sz w:val="20"/>
          <w:szCs w:val="20"/>
        </w:rPr>
      </w:pPr>
      <w:r>
        <w:rPr>
          <w:b/>
          <w:bCs/>
          <w:i/>
          <w:iCs/>
          <w:sz w:val="20"/>
          <w:szCs w:val="20"/>
        </w:rPr>
        <w:t>Research and Development</w:t>
      </w:r>
    </w:p>
    <w:p w14:paraId="5B523390" w14:textId="77777777" w:rsidR="00000000" w:rsidRDefault="001F1B20">
      <w:pPr>
        <w:pStyle w:val="a3"/>
        <w:spacing w:before="0" w:beforeAutospacing="0" w:after="0" w:afterAutospacing="0"/>
        <w:divId w:val="595986978"/>
        <w:rPr>
          <w:sz w:val="20"/>
          <w:szCs w:val="20"/>
        </w:rPr>
      </w:pPr>
      <w:r>
        <w:rPr>
          <w:sz w:val="20"/>
          <w:szCs w:val="20"/>
        </w:rPr>
        <w:t>​</w:t>
      </w:r>
    </w:p>
    <w:p w14:paraId="7B910CAD" w14:textId="77777777" w:rsidR="00000000" w:rsidRDefault="001F1B20">
      <w:pPr>
        <w:pStyle w:val="a3"/>
        <w:spacing w:before="0" w:beforeAutospacing="0" w:after="0" w:afterAutospacing="0"/>
        <w:ind w:firstLine="720"/>
        <w:divId w:val="595986978"/>
        <w:rPr>
          <w:sz w:val="20"/>
          <w:szCs w:val="20"/>
        </w:rPr>
      </w:pPr>
      <w:r>
        <w:rPr>
          <w:sz w:val="20"/>
          <w:szCs w:val="20"/>
        </w:rPr>
        <w:t>Our R&amp;D expenses consist primarily of employee-related costs, external costs, and various allocable expenses. We budget total R&amp;D expenses on a</w:t>
      </w:r>
      <w:r>
        <w:rPr>
          <w:sz w:val="20"/>
          <w:szCs w:val="20"/>
        </w:rPr>
        <w:t>n internal department level basis, and we manage and report our R&amp;D activities across the following four cost categories:</w:t>
      </w:r>
    </w:p>
    <w:p w14:paraId="06A0423C" w14:textId="77777777" w:rsidR="00000000" w:rsidRDefault="001F1B20">
      <w:pPr>
        <w:pStyle w:val="a3"/>
        <w:spacing w:before="0" w:beforeAutospacing="0" w:after="0" w:afterAutospacing="0"/>
        <w:divId w:val="59598697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B879ED0" w14:textId="77777777">
        <w:trPr>
          <w:divId w:val="595986978"/>
        </w:trPr>
        <w:tc>
          <w:tcPr>
            <w:tcW w:w="720" w:type="dxa"/>
            <w:vAlign w:val="center"/>
            <w:hideMark/>
          </w:tcPr>
          <w:p w14:paraId="4D19B52A" w14:textId="77777777" w:rsidR="00000000" w:rsidRDefault="001F1B20">
            <w:pPr>
              <w:rPr>
                <w:sz w:val="20"/>
                <w:szCs w:val="20"/>
              </w:rPr>
            </w:pPr>
          </w:p>
        </w:tc>
        <w:tc>
          <w:tcPr>
            <w:tcW w:w="360" w:type="dxa"/>
            <w:noWrap/>
            <w:tcMar>
              <w:top w:w="0" w:type="dxa"/>
              <w:left w:w="0" w:type="dxa"/>
              <w:bottom w:w="0" w:type="dxa"/>
              <w:right w:w="0" w:type="dxa"/>
            </w:tcMar>
            <w:hideMark/>
          </w:tcPr>
          <w:p w14:paraId="6E47DD07" w14:textId="77777777" w:rsidR="00000000" w:rsidRDefault="001F1B20">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14:paraId="55F74E67" w14:textId="77777777" w:rsidR="00000000" w:rsidRDefault="001F1B20">
            <w:pPr>
              <w:rPr>
                <w:rFonts w:eastAsia="Times New Roman"/>
                <w:sz w:val="20"/>
                <w:szCs w:val="20"/>
              </w:rPr>
            </w:pPr>
            <w:r>
              <w:rPr>
                <w:rFonts w:eastAsia="Times New Roman"/>
                <w:sz w:val="20"/>
                <w:szCs w:val="20"/>
              </w:rPr>
              <w:t>Employee-related costs, which include salaries, wages and benefits;</w:t>
            </w:r>
          </w:p>
        </w:tc>
      </w:tr>
    </w:tbl>
    <w:p w14:paraId="6CE4396C" w14:textId="77777777" w:rsidR="00000000" w:rsidRDefault="001F1B20">
      <w:pPr>
        <w:pStyle w:val="a3"/>
        <w:spacing w:before="0" w:beforeAutospacing="0" w:after="0" w:afterAutospacing="0"/>
        <w:ind w:left="720" w:hanging="360"/>
        <w:divId w:val="59598697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F9BB58E" w14:textId="77777777">
        <w:trPr>
          <w:divId w:val="595986978"/>
        </w:trPr>
        <w:tc>
          <w:tcPr>
            <w:tcW w:w="720" w:type="dxa"/>
            <w:vAlign w:val="center"/>
            <w:hideMark/>
          </w:tcPr>
          <w:p w14:paraId="0A7BD65B" w14:textId="77777777" w:rsidR="00000000" w:rsidRDefault="001F1B20">
            <w:pPr>
              <w:rPr>
                <w:sz w:val="20"/>
                <w:szCs w:val="20"/>
              </w:rPr>
            </w:pPr>
          </w:p>
        </w:tc>
        <w:tc>
          <w:tcPr>
            <w:tcW w:w="360" w:type="dxa"/>
            <w:noWrap/>
            <w:tcMar>
              <w:top w:w="0" w:type="dxa"/>
              <w:left w:w="0" w:type="dxa"/>
              <w:bottom w:w="0" w:type="dxa"/>
              <w:right w:w="0" w:type="dxa"/>
            </w:tcMar>
            <w:hideMark/>
          </w:tcPr>
          <w:p w14:paraId="4BDB06BF" w14:textId="77777777" w:rsidR="00000000" w:rsidRDefault="001F1B20">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14:paraId="2C9EB53D" w14:textId="77777777" w:rsidR="00000000" w:rsidRDefault="001F1B20">
            <w:pPr>
              <w:rPr>
                <w:rFonts w:eastAsia="Times New Roman"/>
                <w:sz w:val="20"/>
                <w:szCs w:val="20"/>
              </w:rPr>
            </w:pPr>
            <w:r>
              <w:rPr>
                <w:rFonts w:eastAsia="Times New Roman"/>
                <w:sz w:val="20"/>
                <w:szCs w:val="20"/>
              </w:rPr>
              <w:t>Share-based compensation, which includes expenses associated with our equity plans;</w:t>
            </w:r>
          </w:p>
        </w:tc>
      </w:tr>
    </w:tbl>
    <w:p w14:paraId="739104F7" w14:textId="77777777" w:rsidR="00000000" w:rsidRDefault="001F1B20">
      <w:pPr>
        <w:pStyle w:val="a3"/>
        <w:spacing w:before="0" w:beforeAutospacing="0" w:after="0" w:afterAutospacing="0"/>
        <w:ind w:left="720" w:hanging="360"/>
        <w:divId w:val="59598697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EC143AF" w14:textId="77777777">
        <w:trPr>
          <w:divId w:val="595986978"/>
        </w:trPr>
        <w:tc>
          <w:tcPr>
            <w:tcW w:w="720" w:type="dxa"/>
            <w:vAlign w:val="center"/>
            <w:hideMark/>
          </w:tcPr>
          <w:p w14:paraId="1D7865A7" w14:textId="77777777" w:rsidR="00000000" w:rsidRDefault="001F1B20">
            <w:pPr>
              <w:rPr>
                <w:sz w:val="20"/>
                <w:szCs w:val="20"/>
              </w:rPr>
            </w:pPr>
          </w:p>
        </w:tc>
        <w:tc>
          <w:tcPr>
            <w:tcW w:w="360" w:type="dxa"/>
            <w:noWrap/>
            <w:tcMar>
              <w:top w:w="0" w:type="dxa"/>
              <w:left w:w="0" w:type="dxa"/>
              <w:bottom w:w="0" w:type="dxa"/>
              <w:right w:w="0" w:type="dxa"/>
            </w:tcMar>
            <w:hideMark/>
          </w:tcPr>
          <w:p w14:paraId="2EE07D21" w14:textId="77777777" w:rsidR="00000000" w:rsidRDefault="001F1B20">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14:paraId="752D1D12" w14:textId="77777777" w:rsidR="00000000" w:rsidRDefault="001F1B20">
            <w:pPr>
              <w:rPr>
                <w:rFonts w:eastAsia="Times New Roman"/>
                <w:sz w:val="20"/>
                <w:szCs w:val="20"/>
              </w:rPr>
            </w:pPr>
            <w:r>
              <w:rPr>
                <w:rFonts w:eastAsia="Times New Roman"/>
                <w:sz w:val="20"/>
                <w:szCs w:val="20"/>
              </w:rPr>
              <w:t>External-related costs, which include clinical trial related expenses, other contract research fees, consulting fees, and contract manufacturing fees; and</w:t>
            </w:r>
          </w:p>
        </w:tc>
      </w:tr>
    </w:tbl>
    <w:p w14:paraId="374E6C10" w14:textId="77777777" w:rsidR="00000000" w:rsidRDefault="001F1B20">
      <w:pPr>
        <w:pStyle w:val="a3"/>
        <w:spacing w:before="0" w:beforeAutospacing="0" w:after="0" w:afterAutospacing="0"/>
        <w:ind w:left="720" w:hanging="360"/>
        <w:divId w:val="59598697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83C575B" w14:textId="77777777">
        <w:trPr>
          <w:divId w:val="595986978"/>
        </w:trPr>
        <w:tc>
          <w:tcPr>
            <w:tcW w:w="720" w:type="dxa"/>
            <w:vAlign w:val="center"/>
            <w:hideMark/>
          </w:tcPr>
          <w:p w14:paraId="56947355" w14:textId="77777777" w:rsidR="00000000" w:rsidRDefault="001F1B20">
            <w:pPr>
              <w:rPr>
                <w:sz w:val="20"/>
                <w:szCs w:val="20"/>
              </w:rPr>
            </w:pPr>
          </w:p>
        </w:tc>
        <w:tc>
          <w:tcPr>
            <w:tcW w:w="360" w:type="dxa"/>
            <w:noWrap/>
            <w:tcMar>
              <w:top w:w="0" w:type="dxa"/>
              <w:left w:w="0" w:type="dxa"/>
              <w:bottom w:w="0" w:type="dxa"/>
              <w:right w:w="0" w:type="dxa"/>
            </w:tcMar>
            <w:hideMark/>
          </w:tcPr>
          <w:p w14:paraId="181975B3" w14:textId="77777777" w:rsidR="00000000" w:rsidRDefault="001F1B20">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14:paraId="23C50422" w14:textId="77777777" w:rsidR="00000000" w:rsidRDefault="001F1B20">
            <w:pPr>
              <w:rPr>
                <w:rFonts w:eastAsia="Times New Roman"/>
                <w:sz w:val="20"/>
                <w:szCs w:val="20"/>
              </w:rPr>
            </w:pPr>
            <w:r>
              <w:rPr>
                <w:rFonts w:eastAsia="Times New Roman"/>
                <w:sz w:val="20"/>
                <w:szCs w:val="20"/>
              </w:rPr>
              <w:t>Fac</w:t>
            </w:r>
            <w:r>
              <w:rPr>
                <w:rFonts w:eastAsia="Times New Roman"/>
                <w:sz w:val="20"/>
                <w:szCs w:val="20"/>
              </w:rPr>
              <w:t>ilities and other, which include laboratory and office supplies, depreciation and other allocated expenses, which include general and administrative support functions, insurance and general supplies.</w:t>
            </w:r>
          </w:p>
        </w:tc>
      </w:tr>
    </w:tbl>
    <w:p w14:paraId="1DF01115" w14:textId="77777777" w:rsidR="00000000" w:rsidRDefault="001F1B20">
      <w:pPr>
        <w:pStyle w:val="a3"/>
        <w:spacing w:before="0" w:beforeAutospacing="0" w:after="0" w:afterAutospacing="0"/>
        <w:divId w:val="595986978"/>
        <w:rPr>
          <w:sz w:val="20"/>
          <w:szCs w:val="20"/>
        </w:rPr>
      </w:pPr>
      <w:r>
        <w:rPr>
          <w:sz w:val="20"/>
          <w:szCs w:val="20"/>
        </w:rPr>
        <w:t>​</w:t>
      </w:r>
    </w:p>
    <w:p w14:paraId="1DCC0FFF" w14:textId="77777777" w:rsidR="00000000" w:rsidRDefault="001F1B20">
      <w:pPr>
        <w:pStyle w:val="a3"/>
        <w:spacing w:before="0" w:beforeAutospacing="0" w:after="0" w:afterAutospacing="0"/>
        <w:ind w:firstLine="720"/>
        <w:divId w:val="595986978"/>
        <w:rPr>
          <w:sz w:val="20"/>
          <w:szCs w:val="20"/>
        </w:rPr>
      </w:pPr>
      <w:r>
        <w:rPr>
          <w:sz w:val="20"/>
          <w:szCs w:val="20"/>
        </w:rPr>
        <w:t>The following table summarizes our R&amp;D expenses incur</w:t>
      </w:r>
      <w:r>
        <w:rPr>
          <w:sz w:val="20"/>
          <w:szCs w:val="20"/>
        </w:rPr>
        <w:t>red, net of any reimbursements from collaboration partners, as compared to the prior year comparable periods:</w:t>
      </w:r>
    </w:p>
    <w:p w14:paraId="388E7A69" w14:textId="77777777" w:rsidR="00000000" w:rsidRDefault="001F1B20">
      <w:pPr>
        <w:pStyle w:val="a3"/>
        <w:spacing w:before="0" w:beforeAutospacing="0" w:after="0" w:afterAutospacing="0"/>
        <w:divId w:val="595986978"/>
        <w:rPr>
          <w:sz w:val="20"/>
          <w:szCs w:val="20"/>
        </w:rPr>
      </w:pPr>
      <w:r>
        <w:rPr>
          <w:sz w:val="20"/>
          <w:szCs w:val="20"/>
        </w:rPr>
        <w:t>​</w:t>
      </w:r>
    </w:p>
    <w:tbl>
      <w:tblPr>
        <w:tblW w:w="5001" w:type="pct"/>
        <w:tblCellMar>
          <w:top w:w="15" w:type="dxa"/>
          <w:left w:w="0" w:type="dxa"/>
          <w:bottom w:w="15" w:type="dxa"/>
          <w:right w:w="0" w:type="dxa"/>
        </w:tblCellMar>
        <w:tblLook w:val="04A0" w:firstRow="1" w:lastRow="0" w:firstColumn="1" w:lastColumn="0" w:noHBand="0" w:noVBand="1"/>
      </w:tblPr>
      <w:tblGrid>
        <w:gridCol w:w="1858"/>
        <w:gridCol w:w="80"/>
        <w:gridCol w:w="100"/>
        <w:gridCol w:w="610"/>
        <w:gridCol w:w="80"/>
        <w:gridCol w:w="100"/>
        <w:gridCol w:w="610"/>
        <w:gridCol w:w="80"/>
        <w:gridCol w:w="100"/>
        <w:gridCol w:w="684"/>
        <w:gridCol w:w="80"/>
        <w:gridCol w:w="334"/>
        <w:gridCol w:w="267"/>
        <w:gridCol w:w="80"/>
        <w:gridCol w:w="100"/>
        <w:gridCol w:w="710"/>
        <w:gridCol w:w="80"/>
        <w:gridCol w:w="100"/>
        <w:gridCol w:w="710"/>
        <w:gridCol w:w="80"/>
        <w:gridCol w:w="100"/>
        <w:gridCol w:w="684"/>
        <w:gridCol w:w="80"/>
        <w:gridCol w:w="334"/>
        <w:gridCol w:w="267"/>
      </w:tblGrid>
      <w:tr w:rsidR="00000000" w14:paraId="3AF9F936" w14:textId="77777777">
        <w:trPr>
          <w:divId w:val="595986978"/>
          <w:trHeight w:val="20"/>
        </w:trPr>
        <w:tc>
          <w:tcPr>
            <w:tcW w:w="1603" w:type="pct"/>
            <w:tcMar>
              <w:top w:w="0" w:type="dxa"/>
              <w:left w:w="0" w:type="dxa"/>
              <w:bottom w:w="0" w:type="dxa"/>
              <w:right w:w="0" w:type="dxa"/>
            </w:tcMar>
            <w:vAlign w:val="bottom"/>
            <w:hideMark/>
          </w:tcPr>
          <w:p w14:paraId="4CFAE0A4" w14:textId="77777777" w:rsidR="00000000" w:rsidRDefault="001F1B20">
            <w:pPr>
              <w:pStyle w:val="a3"/>
              <w:spacing w:before="0" w:beforeAutospacing="0" w:after="0" w:afterAutospacing="0"/>
              <w:divId w:val="1128208689"/>
              <w:rPr>
                <w:sz w:val="20"/>
                <w:szCs w:val="20"/>
              </w:rPr>
            </w:pPr>
            <w:r>
              <w:rPr>
                <w:sz w:val="2"/>
                <w:szCs w:val="2"/>
              </w:rPr>
              <w:t>​</w:t>
            </w:r>
          </w:p>
        </w:tc>
        <w:tc>
          <w:tcPr>
            <w:tcW w:w="39" w:type="pct"/>
            <w:noWrap/>
            <w:tcMar>
              <w:top w:w="0" w:type="dxa"/>
              <w:left w:w="0" w:type="dxa"/>
              <w:bottom w:w="0" w:type="dxa"/>
              <w:right w:w="0" w:type="dxa"/>
            </w:tcMar>
            <w:vAlign w:val="bottom"/>
            <w:hideMark/>
          </w:tcPr>
          <w:p w14:paraId="4F88CCE4" w14:textId="77777777" w:rsidR="00000000" w:rsidRDefault="001F1B20">
            <w:pPr>
              <w:pStyle w:val="a3"/>
              <w:spacing w:before="0" w:beforeAutospacing="0" w:after="0" w:afterAutospacing="0"/>
              <w:divId w:val="1856268836"/>
              <w:rPr>
                <w:sz w:val="20"/>
                <w:szCs w:val="20"/>
              </w:rPr>
            </w:pPr>
            <w:r>
              <w:rPr>
                <w:sz w:val="2"/>
                <w:szCs w:val="2"/>
              </w:rPr>
              <w:t>​</w:t>
            </w:r>
          </w:p>
        </w:tc>
        <w:tc>
          <w:tcPr>
            <w:tcW w:w="49" w:type="pct"/>
            <w:noWrap/>
            <w:tcMar>
              <w:top w:w="0" w:type="dxa"/>
              <w:left w:w="0" w:type="dxa"/>
              <w:bottom w:w="0" w:type="dxa"/>
              <w:right w:w="0" w:type="dxa"/>
            </w:tcMar>
            <w:vAlign w:val="bottom"/>
            <w:hideMark/>
          </w:tcPr>
          <w:p w14:paraId="4E293473" w14:textId="77777777" w:rsidR="00000000" w:rsidRDefault="001F1B20">
            <w:pPr>
              <w:pStyle w:val="a3"/>
              <w:spacing w:before="0" w:beforeAutospacing="0" w:after="0" w:afterAutospacing="0"/>
              <w:divId w:val="248194753"/>
              <w:rPr>
                <w:sz w:val="20"/>
                <w:szCs w:val="20"/>
              </w:rPr>
            </w:pPr>
            <w:r>
              <w:rPr>
                <w:sz w:val="2"/>
                <w:szCs w:val="2"/>
              </w:rPr>
              <w:t>​</w:t>
            </w:r>
          </w:p>
        </w:tc>
        <w:tc>
          <w:tcPr>
            <w:tcW w:w="327" w:type="pct"/>
            <w:noWrap/>
            <w:tcMar>
              <w:top w:w="0" w:type="dxa"/>
              <w:left w:w="0" w:type="dxa"/>
              <w:bottom w:w="0" w:type="dxa"/>
              <w:right w:w="0" w:type="dxa"/>
            </w:tcMar>
            <w:vAlign w:val="bottom"/>
            <w:hideMark/>
          </w:tcPr>
          <w:p w14:paraId="1DCDEFA7" w14:textId="77777777" w:rsidR="00000000" w:rsidRDefault="001F1B20">
            <w:pPr>
              <w:pStyle w:val="a3"/>
              <w:spacing w:before="0" w:beforeAutospacing="0" w:after="0" w:afterAutospacing="0"/>
              <w:divId w:val="1483039631"/>
              <w:rPr>
                <w:sz w:val="20"/>
                <w:szCs w:val="20"/>
              </w:rPr>
            </w:pPr>
            <w:r>
              <w:rPr>
                <w:sz w:val="2"/>
                <w:szCs w:val="2"/>
              </w:rPr>
              <w:t>​</w:t>
            </w:r>
          </w:p>
        </w:tc>
        <w:tc>
          <w:tcPr>
            <w:tcW w:w="39" w:type="pct"/>
            <w:noWrap/>
            <w:tcMar>
              <w:top w:w="0" w:type="dxa"/>
              <w:left w:w="0" w:type="dxa"/>
              <w:bottom w:w="0" w:type="dxa"/>
              <w:right w:w="0" w:type="dxa"/>
            </w:tcMar>
            <w:vAlign w:val="bottom"/>
            <w:hideMark/>
          </w:tcPr>
          <w:p w14:paraId="006FA546" w14:textId="77777777" w:rsidR="00000000" w:rsidRDefault="001F1B20">
            <w:pPr>
              <w:pStyle w:val="a3"/>
              <w:spacing w:before="0" w:beforeAutospacing="0" w:after="0" w:afterAutospacing="0"/>
              <w:divId w:val="1991056911"/>
              <w:rPr>
                <w:sz w:val="20"/>
                <w:szCs w:val="20"/>
              </w:rPr>
            </w:pPr>
            <w:r>
              <w:rPr>
                <w:sz w:val="2"/>
                <w:szCs w:val="2"/>
              </w:rPr>
              <w:t>​</w:t>
            </w:r>
          </w:p>
        </w:tc>
        <w:tc>
          <w:tcPr>
            <w:tcW w:w="49" w:type="pct"/>
            <w:noWrap/>
            <w:tcMar>
              <w:top w:w="0" w:type="dxa"/>
              <w:left w:w="0" w:type="dxa"/>
              <w:bottom w:w="0" w:type="dxa"/>
              <w:right w:w="0" w:type="dxa"/>
            </w:tcMar>
            <w:vAlign w:val="bottom"/>
            <w:hideMark/>
          </w:tcPr>
          <w:p w14:paraId="56242C78" w14:textId="77777777" w:rsidR="00000000" w:rsidRDefault="001F1B20">
            <w:pPr>
              <w:pStyle w:val="a3"/>
              <w:spacing w:before="0" w:beforeAutospacing="0" w:after="0" w:afterAutospacing="0"/>
              <w:divId w:val="113212823"/>
              <w:rPr>
                <w:sz w:val="20"/>
                <w:szCs w:val="20"/>
              </w:rPr>
            </w:pPr>
            <w:r>
              <w:rPr>
                <w:sz w:val="2"/>
                <w:szCs w:val="2"/>
              </w:rPr>
              <w:t>​</w:t>
            </w:r>
          </w:p>
        </w:tc>
        <w:tc>
          <w:tcPr>
            <w:tcW w:w="327" w:type="pct"/>
            <w:noWrap/>
            <w:tcMar>
              <w:top w:w="0" w:type="dxa"/>
              <w:left w:w="0" w:type="dxa"/>
              <w:bottom w:w="0" w:type="dxa"/>
              <w:right w:w="0" w:type="dxa"/>
            </w:tcMar>
            <w:vAlign w:val="bottom"/>
            <w:hideMark/>
          </w:tcPr>
          <w:p w14:paraId="44CAE0B8" w14:textId="77777777" w:rsidR="00000000" w:rsidRDefault="001F1B20">
            <w:pPr>
              <w:pStyle w:val="a3"/>
              <w:spacing w:before="0" w:beforeAutospacing="0" w:after="0" w:afterAutospacing="0"/>
              <w:divId w:val="1892419484"/>
              <w:rPr>
                <w:sz w:val="20"/>
                <w:szCs w:val="20"/>
              </w:rPr>
            </w:pPr>
            <w:r>
              <w:rPr>
                <w:sz w:val="2"/>
                <w:szCs w:val="2"/>
              </w:rPr>
              <w:t>​</w:t>
            </w:r>
          </w:p>
        </w:tc>
        <w:tc>
          <w:tcPr>
            <w:tcW w:w="39" w:type="pct"/>
            <w:noWrap/>
            <w:tcMar>
              <w:top w:w="0" w:type="dxa"/>
              <w:left w:w="0" w:type="dxa"/>
              <w:bottom w:w="0" w:type="dxa"/>
              <w:right w:w="0" w:type="dxa"/>
            </w:tcMar>
            <w:vAlign w:val="bottom"/>
            <w:hideMark/>
          </w:tcPr>
          <w:p w14:paraId="361BD214" w14:textId="77777777" w:rsidR="00000000" w:rsidRDefault="001F1B20">
            <w:pPr>
              <w:pStyle w:val="a3"/>
              <w:spacing w:before="0" w:beforeAutospacing="0" w:after="0" w:afterAutospacing="0"/>
              <w:divId w:val="891160377"/>
              <w:rPr>
                <w:sz w:val="20"/>
                <w:szCs w:val="20"/>
              </w:rPr>
            </w:pPr>
            <w:r>
              <w:rPr>
                <w:sz w:val="2"/>
                <w:szCs w:val="2"/>
              </w:rPr>
              <w:t>​</w:t>
            </w:r>
          </w:p>
        </w:tc>
        <w:tc>
          <w:tcPr>
            <w:tcW w:w="49" w:type="pct"/>
            <w:noWrap/>
            <w:tcMar>
              <w:top w:w="0" w:type="dxa"/>
              <w:left w:w="0" w:type="dxa"/>
              <w:bottom w:w="0" w:type="dxa"/>
              <w:right w:w="0" w:type="dxa"/>
            </w:tcMar>
            <w:vAlign w:val="bottom"/>
            <w:hideMark/>
          </w:tcPr>
          <w:p w14:paraId="64571DEF" w14:textId="77777777" w:rsidR="00000000" w:rsidRDefault="001F1B20">
            <w:pPr>
              <w:pStyle w:val="a3"/>
              <w:spacing w:before="0" w:beforeAutospacing="0" w:after="0" w:afterAutospacing="0"/>
              <w:divId w:val="1708674255"/>
              <w:rPr>
                <w:sz w:val="20"/>
                <w:szCs w:val="20"/>
              </w:rPr>
            </w:pPr>
            <w:r>
              <w:rPr>
                <w:sz w:val="2"/>
                <w:szCs w:val="2"/>
              </w:rPr>
              <w:t>​</w:t>
            </w:r>
          </w:p>
        </w:tc>
        <w:tc>
          <w:tcPr>
            <w:tcW w:w="363" w:type="pct"/>
            <w:noWrap/>
            <w:tcMar>
              <w:top w:w="0" w:type="dxa"/>
              <w:left w:w="0" w:type="dxa"/>
              <w:bottom w:w="0" w:type="dxa"/>
              <w:right w:w="0" w:type="dxa"/>
            </w:tcMar>
            <w:vAlign w:val="bottom"/>
            <w:hideMark/>
          </w:tcPr>
          <w:p w14:paraId="7D243D67" w14:textId="77777777" w:rsidR="00000000" w:rsidRDefault="001F1B20">
            <w:pPr>
              <w:pStyle w:val="a3"/>
              <w:spacing w:before="0" w:beforeAutospacing="0" w:after="0" w:afterAutospacing="0"/>
              <w:divId w:val="2100052604"/>
              <w:rPr>
                <w:sz w:val="20"/>
                <w:szCs w:val="20"/>
              </w:rPr>
            </w:pPr>
            <w:r>
              <w:rPr>
                <w:sz w:val="2"/>
                <w:szCs w:val="2"/>
              </w:rPr>
              <w:t>​</w:t>
            </w:r>
          </w:p>
        </w:tc>
        <w:tc>
          <w:tcPr>
            <w:tcW w:w="39" w:type="pct"/>
            <w:noWrap/>
            <w:tcMar>
              <w:top w:w="0" w:type="dxa"/>
              <w:left w:w="0" w:type="dxa"/>
              <w:bottom w:w="0" w:type="dxa"/>
              <w:right w:w="0" w:type="dxa"/>
            </w:tcMar>
            <w:vAlign w:val="bottom"/>
            <w:hideMark/>
          </w:tcPr>
          <w:p w14:paraId="7254819D" w14:textId="77777777" w:rsidR="00000000" w:rsidRDefault="001F1B20">
            <w:pPr>
              <w:pStyle w:val="a3"/>
              <w:spacing w:before="0" w:beforeAutospacing="0" w:after="0" w:afterAutospacing="0"/>
              <w:divId w:val="1941797543"/>
              <w:rPr>
                <w:sz w:val="20"/>
                <w:szCs w:val="20"/>
              </w:rPr>
            </w:pPr>
            <w:r>
              <w:rPr>
                <w:sz w:val="2"/>
                <w:szCs w:val="2"/>
              </w:rPr>
              <w:t>​</w:t>
            </w:r>
          </w:p>
        </w:tc>
        <w:tc>
          <w:tcPr>
            <w:tcW w:w="190" w:type="pct"/>
            <w:noWrap/>
            <w:tcMar>
              <w:top w:w="0" w:type="dxa"/>
              <w:left w:w="0" w:type="dxa"/>
              <w:bottom w:w="0" w:type="dxa"/>
              <w:right w:w="0" w:type="dxa"/>
            </w:tcMar>
            <w:vAlign w:val="bottom"/>
            <w:hideMark/>
          </w:tcPr>
          <w:p w14:paraId="2EFD6523" w14:textId="77777777" w:rsidR="00000000" w:rsidRDefault="001F1B20">
            <w:pPr>
              <w:pStyle w:val="a3"/>
              <w:spacing w:before="0" w:beforeAutospacing="0" w:after="0" w:afterAutospacing="0"/>
              <w:divId w:val="1173300284"/>
              <w:rPr>
                <w:sz w:val="20"/>
                <w:szCs w:val="20"/>
              </w:rPr>
            </w:pPr>
            <w:r>
              <w:rPr>
                <w:sz w:val="2"/>
                <w:szCs w:val="2"/>
              </w:rPr>
              <w:t>​</w:t>
            </w:r>
          </w:p>
        </w:tc>
        <w:tc>
          <w:tcPr>
            <w:tcW w:w="132" w:type="pct"/>
            <w:noWrap/>
            <w:tcMar>
              <w:top w:w="0" w:type="dxa"/>
              <w:left w:w="0" w:type="dxa"/>
              <w:bottom w:w="0" w:type="dxa"/>
              <w:right w:w="0" w:type="dxa"/>
            </w:tcMar>
            <w:vAlign w:val="bottom"/>
            <w:hideMark/>
          </w:tcPr>
          <w:p w14:paraId="4A1DC85B" w14:textId="77777777" w:rsidR="00000000" w:rsidRDefault="001F1B20">
            <w:pPr>
              <w:pStyle w:val="a3"/>
              <w:spacing w:before="0" w:beforeAutospacing="0" w:after="0" w:afterAutospacing="0"/>
              <w:divId w:val="1641036088"/>
              <w:rPr>
                <w:sz w:val="20"/>
                <w:szCs w:val="20"/>
              </w:rPr>
            </w:pPr>
            <w:r>
              <w:rPr>
                <w:sz w:val="2"/>
                <w:szCs w:val="2"/>
              </w:rPr>
              <w:t>​</w:t>
            </w:r>
          </w:p>
        </w:tc>
        <w:tc>
          <w:tcPr>
            <w:tcW w:w="39" w:type="pct"/>
            <w:noWrap/>
            <w:tcMar>
              <w:top w:w="0" w:type="dxa"/>
              <w:left w:w="0" w:type="dxa"/>
              <w:bottom w:w="0" w:type="dxa"/>
              <w:right w:w="0" w:type="dxa"/>
            </w:tcMar>
            <w:vAlign w:val="bottom"/>
            <w:hideMark/>
          </w:tcPr>
          <w:p w14:paraId="739C2053" w14:textId="77777777" w:rsidR="00000000" w:rsidRDefault="001F1B20">
            <w:pPr>
              <w:pStyle w:val="a3"/>
              <w:spacing w:before="0" w:beforeAutospacing="0" w:after="0" w:afterAutospacing="0"/>
              <w:divId w:val="1266109900"/>
              <w:rPr>
                <w:sz w:val="20"/>
                <w:szCs w:val="20"/>
              </w:rPr>
            </w:pPr>
            <w:r>
              <w:rPr>
                <w:sz w:val="2"/>
                <w:szCs w:val="2"/>
              </w:rPr>
              <w:t>​</w:t>
            </w:r>
          </w:p>
        </w:tc>
        <w:tc>
          <w:tcPr>
            <w:tcW w:w="49" w:type="pct"/>
            <w:noWrap/>
            <w:tcMar>
              <w:top w:w="0" w:type="dxa"/>
              <w:left w:w="0" w:type="dxa"/>
              <w:bottom w:w="0" w:type="dxa"/>
              <w:right w:w="0" w:type="dxa"/>
            </w:tcMar>
            <w:vAlign w:val="bottom"/>
            <w:hideMark/>
          </w:tcPr>
          <w:p w14:paraId="4791051E" w14:textId="77777777" w:rsidR="00000000" w:rsidRDefault="001F1B20">
            <w:pPr>
              <w:pStyle w:val="a3"/>
              <w:spacing w:before="0" w:beforeAutospacing="0" w:after="0" w:afterAutospacing="0"/>
              <w:divId w:val="743718260"/>
              <w:rPr>
                <w:sz w:val="20"/>
                <w:szCs w:val="20"/>
              </w:rPr>
            </w:pPr>
            <w:r>
              <w:rPr>
                <w:sz w:val="2"/>
                <w:szCs w:val="2"/>
              </w:rPr>
              <w:t>​</w:t>
            </w:r>
          </w:p>
        </w:tc>
        <w:tc>
          <w:tcPr>
            <w:tcW w:w="376" w:type="pct"/>
            <w:noWrap/>
            <w:tcMar>
              <w:top w:w="0" w:type="dxa"/>
              <w:left w:w="0" w:type="dxa"/>
              <w:bottom w:w="0" w:type="dxa"/>
              <w:right w:w="0" w:type="dxa"/>
            </w:tcMar>
            <w:vAlign w:val="bottom"/>
            <w:hideMark/>
          </w:tcPr>
          <w:p w14:paraId="217E1835" w14:textId="77777777" w:rsidR="00000000" w:rsidRDefault="001F1B20">
            <w:pPr>
              <w:pStyle w:val="a3"/>
              <w:spacing w:before="0" w:beforeAutospacing="0" w:after="0" w:afterAutospacing="0"/>
              <w:divId w:val="1123040437"/>
              <w:rPr>
                <w:sz w:val="20"/>
                <w:szCs w:val="20"/>
              </w:rPr>
            </w:pPr>
            <w:r>
              <w:rPr>
                <w:sz w:val="2"/>
                <w:szCs w:val="2"/>
              </w:rPr>
              <w:t>​</w:t>
            </w:r>
          </w:p>
        </w:tc>
        <w:tc>
          <w:tcPr>
            <w:tcW w:w="39" w:type="pct"/>
            <w:noWrap/>
            <w:tcMar>
              <w:top w:w="0" w:type="dxa"/>
              <w:left w:w="0" w:type="dxa"/>
              <w:bottom w:w="0" w:type="dxa"/>
              <w:right w:w="0" w:type="dxa"/>
            </w:tcMar>
            <w:vAlign w:val="bottom"/>
            <w:hideMark/>
          </w:tcPr>
          <w:p w14:paraId="7D736797" w14:textId="77777777" w:rsidR="00000000" w:rsidRDefault="001F1B20">
            <w:pPr>
              <w:pStyle w:val="a3"/>
              <w:spacing w:before="0" w:beforeAutospacing="0" w:after="0" w:afterAutospacing="0"/>
              <w:divId w:val="1883397235"/>
              <w:rPr>
                <w:sz w:val="20"/>
                <w:szCs w:val="20"/>
              </w:rPr>
            </w:pPr>
            <w:r>
              <w:rPr>
                <w:sz w:val="2"/>
                <w:szCs w:val="2"/>
              </w:rPr>
              <w:t>​</w:t>
            </w:r>
          </w:p>
        </w:tc>
        <w:tc>
          <w:tcPr>
            <w:tcW w:w="49" w:type="pct"/>
            <w:noWrap/>
            <w:tcMar>
              <w:top w:w="0" w:type="dxa"/>
              <w:left w:w="0" w:type="dxa"/>
              <w:bottom w:w="0" w:type="dxa"/>
              <w:right w:w="0" w:type="dxa"/>
            </w:tcMar>
            <w:vAlign w:val="bottom"/>
            <w:hideMark/>
          </w:tcPr>
          <w:p w14:paraId="4F5A10DA" w14:textId="77777777" w:rsidR="00000000" w:rsidRDefault="001F1B20">
            <w:pPr>
              <w:pStyle w:val="a3"/>
              <w:spacing w:before="0" w:beforeAutospacing="0" w:after="0" w:afterAutospacing="0"/>
              <w:divId w:val="2085103274"/>
              <w:rPr>
                <w:sz w:val="20"/>
                <w:szCs w:val="20"/>
              </w:rPr>
            </w:pPr>
            <w:r>
              <w:rPr>
                <w:sz w:val="2"/>
                <w:szCs w:val="2"/>
              </w:rPr>
              <w:t>​</w:t>
            </w:r>
          </w:p>
        </w:tc>
        <w:tc>
          <w:tcPr>
            <w:tcW w:w="376" w:type="pct"/>
            <w:noWrap/>
            <w:tcMar>
              <w:top w:w="0" w:type="dxa"/>
              <w:left w:w="0" w:type="dxa"/>
              <w:bottom w:w="0" w:type="dxa"/>
              <w:right w:w="0" w:type="dxa"/>
            </w:tcMar>
            <w:vAlign w:val="bottom"/>
            <w:hideMark/>
          </w:tcPr>
          <w:p w14:paraId="4D4564EB" w14:textId="77777777" w:rsidR="00000000" w:rsidRDefault="001F1B20">
            <w:pPr>
              <w:pStyle w:val="a3"/>
              <w:spacing w:before="0" w:beforeAutospacing="0" w:after="0" w:afterAutospacing="0"/>
              <w:divId w:val="1992713321"/>
              <w:rPr>
                <w:sz w:val="20"/>
                <w:szCs w:val="20"/>
              </w:rPr>
            </w:pPr>
            <w:r>
              <w:rPr>
                <w:sz w:val="2"/>
                <w:szCs w:val="2"/>
              </w:rPr>
              <w:t>​</w:t>
            </w:r>
          </w:p>
        </w:tc>
        <w:tc>
          <w:tcPr>
            <w:tcW w:w="39" w:type="pct"/>
            <w:noWrap/>
            <w:tcMar>
              <w:top w:w="0" w:type="dxa"/>
              <w:left w:w="0" w:type="dxa"/>
              <w:bottom w:w="0" w:type="dxa"/>
              <w:right w:w="0" w:type="dxa"/>
            </w:tcMar>
            <w:vAlign w:val="bottom"/>
            <w:hideMark/>
          </w:tcPr>
          <w:p w14:paraId="7A3D7085" w14:textId="77777777" w:rsidR="00000000" w:rsidRDefault="001F1B20">
            <w:pPr>
              <w:pStyle w:val="a3"/>
              <w:spacing w:before="0" w:beforeAutospacing="0" w:after="0" w:afterAutospacing="0"/>
              <w:divId w:val="90400891"/>
              <w:rPr>
                <w:sz w:val="20"/>
                <w:szCs w:val="20"/>
              </w:rPr>
            </w:pPr>
            <w:r>
              <w:rPr>
                <w:sz w:val="2"/>
                <w:szCs w:val="2"/>
              </w:rPr>
              <w:t>​</w:t>
            </w:r>
          </w:p>
        </w:tc>
        <w:tc>
          <w:tcPr>
            <w:tcW w:w="49" w:type="pct"/>
            <w:noWrap/>
            <w:tcMar>
              <w:top w:w="0" w:type="dxa"/>
              <w:left w:w="0" w:type="dxa"/>
              <w:bottom w:w="0" w:type="dxa"/>
              <w:right w:w="0" w:type="dxa"/>
            </w:tcMar>
            <w:vAlign w:val="bottom"/>
            <w:hideMark/>
          </w:tcPr>
          <w:p w14:paraId="2212A6C3" w14:textId="77777777" w:rsidR="00000000" w:rsidRDefault="001F1B20">
            <w:pPr>
              <w:pStyle w:val="a3"/>
              <w:spacing w:before="0" w:beforeAutospacing="0" w:after="0" w:afterAutospacing="0"/>
              <w:divId w:val="230893254"/>
              <w:rPr>
                <w:sz w:val="20"/>
                <w:szCs w:val="20"/>
              </w:rPr>
            </w:pPr>
            <w:r>
              <w:rPr>
                <w:sz w:val="2"/>
                <w:szCs w:val="2"/>
              </w:rPr>
              <w:t>​</w:t>
            </w:r>
          </w:p>
        </w:tc>
        <w:tc>
          <w:tcPr>
            <w:tcW w:w="363" w:type="pct"/>
            <w:noWrap/>
            <w:tcMar>
              <w:top w:w="0" w:type="dxa"/>
              <w:left w:w="0" w:type="dxa"/>
              <w:bottom w:w="0" w:type="dxa"/>
              <w:right w:w="0" w:type="dxa"/>
            </w:tcMar>
            <w:vAlign w:val="bottom"/>
            <w:hideMark/>
          </w:tcPr>
          <w:p w14:paraId="409457D6" w14:textId="77777777" w:rsidR="00000000" w:rsidRDefault="001F1B20">
            <w:pPr>
              <w:pStyle w:val="a3"/>
              <w:spacing w:before="0" w:beforeAutospacing="0" w:after="0" w:afterAutospacing="0"/>
              <w:divId w:val="327753646"/>
              <w:rPr>
                <w:sz w:val="20"/>
                <w:szCs w:val="20"/>
              </w:rPr>
            </w:pPr>
            <w:r>
              <w:rPr>
                <w:sz w:val="2"/>
                <w:szCs w:val="2"/>
              </w:rPr>
              <w:t>​</w:t>
            </w:r>
          </w:p>
        </w:tc>
        <w:tc>
          <w:tcPr>
            <w:tcW w:w="39" w:type="pct"/>
            <w:noWrap/>
            <w:tcMar>
              <w:top w:w="0" w:type="dxa"/>
              <w:left w:w="0" w:type="dxa"/>
              <w:bottom w:w="0" w:type="dxa"/>
              <w:right w:w="0" w:type="dxa"/>
            </w:tcMar>
            <w:vAlign w:val="bottom"/>
            <w:hideMark/>
          </w:tcPr>
          <w:p w14:paraId="15FA9425" w14:textId="77777777" w:rsidR="00000000" w:rsidRDefault="001F1B20">
            <w:pPr>
              <w:pStyle w:val="a3"/>
              <w:spacing w:before="0" w:beforeAutospacing="0" w:after="0" w:afterAutospacing="0"/>
              <w:divId w:val="1062295405"/>
              <w:rPr>
                <w:sz w:val="20"/>
                <w:szCs w:val="20"/>
              </w:rPr>
            </w:pPr>
            <w:r>
              <w:rPr>
                <w:sz w:val="2"/>
                <w:szCs w:val="2"/>
              </w:rPr>
              <w:t>​</w:t>
            </w:r>
          </w:p>
        </w:tc>
        <w:tc>
          <w:tcPr>
            <w:tcW w:w="190" w:type="pct"/>
            <w:noWrap/>
            <w:tcMar>
              <w:top w:w="0" w:type="dxa"/>
              <w:left w:w="0" w:type="dxa"/>
              <w:bottom w:w="0" w:type="dxa"/>
              <w:right w:w="0" w:type="dxa"/>
            </w:tcMar>
            <w:vAlign w:val="bottom"/>
            <w:hideMark/>
          </w:tcPr>
          <w:p w14:paraId="49121C64" w14:textId="77777777" w:rsidR="00000000" w:rsidRDefault="001F1B20">
            <w:pPr>
              <w:pStyle w:val="a3"/>
              <w:spacing w:before="0" w:beforeAutospacing="0" w:after="0" w:afterAutospacing="0"/>
              <w:divId w:val="410855725"/>
              <w:rPr>
                <w:sz w:val="20"/>
                <w:szCs w:val="20"/>
              </w:rPr>
            </w:pPr>
            <w:r>
              <w:rPr>
                <w:sz w:val="2"/>
                <w:szCs w:val="2"/>
              </w:rPr>
              <w:t>​</w:t>
            </w:r>
          </w:p>
        </w:tc>
        <w:tc>
          <w:tcPr>
            <w:tcW w:w="132" w:type="pct"/>
            <w:noWrap/>
            <w:tcMar>
              <w:top w:w="0" w:type="dxa"/>
              <w:left w:w="0" w:type="dxa"/>
              <w:bottom w:w="0" w:type="dxa"/>
              <w:right w:w="0" w:type="dxa"/>
            </w:tcMar>
            <w:vAlign w:val="bottom"/>
            <w:hideMark/>
          </w:tcPr>
          <w:p w14:paraId="56D81712" w14:textId="77777777" w:rsidR="00000000" w:rsidRDefault="001F1B20">
            <w:pPr>
              <w:pStyle w:val="a3"/>
              <w:spacing w:before="0" w:beforeAutospacing="0" w:after="0" w:afterAutospacing="0"/>
              <w:divId w:val="1396581996"/>
              <w:rPr>
                <w:sz w:val="20"/>
                <w:szCs w:val="20"/>
              </w:rPr>
            </w:pPr>
            <w:r>
              <w:rPr>
                <w:sz w:val="2"/>
                <w:szCs w:val="2"/>
              </w:rPr>
              <w:t>​</w:t>
            </w:r>
          </w:p>
        </w:tc>
      </w:tr>
      <w:tr w:rsidR="00000000" w14:paraId="37631D44" w14:textId="77777777">
        <w:trPr>
          <w:divId w:val="595986978"/>
        </w:trPr>
        <w:tc>
          <w:tcPr>
            <w:tcW w:w="1603" w:type="pct"/>
            <w:tcMar>
              <w:top w:w="0" w:type="dxa"/>
              <w:left w:w="0" w:type="dxa"/>
              <w:bottom w:w="0" w:type="dxa"/>
              <w:right w:w="0" w:type="dxa"/>
            </w:tcMar>
            <w:vAlign w:val="bottom"/>
            <w:hideMark/>
          </w:tcPr>
          <w:p w14:paraId="22DA6722"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2FB34703"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noWrap/>
            <w:tcMar>
              <w:top w:w="0" w:type="dxa"/>
              <w:left w:w="0" w:type="dxa"/>
              <w:bottom w:w="0" w:type="dxa"/>
              <w:right w:w="0" w:type="dxa"/>
            </w:tcMar>
            <w:vAlign w:val="bottom"/>
            <w:hideMark/>
          </w:tcPr>
          <w:p w14:paraId="0BB818C2"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39" w:type="pct"/>
            <w:noWrap/>
            <w:tcMar>
              <w:top w:w="0" w:type="dxa"/>
              <w:left w:w="0" w:type="dxa"/>
              <w:bottom w:w="0" w:type="dxa"/>
              <w:right w:w="0" w:type="dxa"/>
            </w:tcMar>
            <w:vAlign w:val="bottom"/>
            <w:hideMark/>
          </w:tcPr>
          <w:p w14:paraId="309A75B6" w14:textId="77777777" w:rsidR="00000000" w:rsidRDefault="001F1B20">
            <w:pPr>
              <w:pStyle w:val="a3"/>
              <w:spacing w:before="0" w:beforeAutospacing="0" w:after="0" w:afterAutospacing="0"/>
              <w:rPr>
                <w:sz w:val="20"/>
                <w:szCs w:val="20"/>
              </w:rPr>
            </w:pPr>
            <w:r>
              <w:rPr>
                <w:b/>
                <w:bCs/>
                <w:sz w:val="16"/>
                <w:szCs w:val="16"/>
              </w:rPr>
              <w:t>​</w:t>
            </w:r>
          </w:p>
        </w:tc>
        <w:tc>
          <w:tcPr>
            <w:tcW w:w="643" w:type="pct"/>
            <w:gridSpan w:val="4"/>
            <w:noWrap/>
            <w:tcMar>
              <w:top w:w="0" w:type="dxa"/>
              <w:left w:w="0" w:type="dxa"/>
              <w:bottom w:w="0" w:type="dxa"/>
              <w:right w:w="0" w:type="dxa"/>
            </w:tcMar>
            <w:vAlign w:val="bottom"/>
            <w:hideMark/>
          </w:tcPr>
          <w:p w14:paraId="30A2998A"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68E9157A"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50E9DB10" w14:textId="77777777" w:rsidR="00000000" w:rsidRDefault="001F1B20">
            <w:pPr>
              <w:pStyle w:val="a3"/>
              <w:spacing w:before="0" w:beforeAutospacing="0" w:after="0" w:afterAutospacing="0"/>
              <w:jc w:val="center"/>
              <w:rPr>
                <w:sz w:val="20"/>
                <w:szCs w:val="20"/>
              </w:rPr>
            </w:pPr>
            <w:r>
              <w:rPr>
                <w:b/>
                <w:bCs/>
                <w:sz w:val="16"/>
                <w:szCs w:val="16"/>
              </w:rPr>
              <w:t>​</w:t>
            </w:r>
          </w:p>
        </w:tc>
        <w:tc>
          <w:tcPr>
            <w:tcW w:w="892" w:type="pct"/>
            <w:gridSpan w:val="5"/>
            <w:noWrap/>
            <w:tcMar>
              <w:top w:w="0" w:type="dxa"/>
              <w:left w:w="0" w:type="dxa"/>
              <w:bottom w:w="0" w:type="dxa"/>
              <w:right w:w="0" w:type="dxa"/>
            </w:tcMar>
            <w:vAlign w:val="bottom"/>
            <w:hideMark/>
          </w:tcPr>
          <w:p w14:paraId="3685C450"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c>
          <w:tcPr>
            <w:tcW w:w="39" w:type="pct"/>
            <w:noWrap/>
            <w:tcMar>
              <w:top w:w="0" w:type="dxa"/>
              <w:left w:w="0" w:type="dxa"/>
              <w:bottom w:w="0" w:type="dxa"/>
              <w:right w:w="0" w:type="dxa"/>
            </w:tcMar>
            <w:vAlign w:val="bottom"/>
            <w:hideMark/>
          </w:tcPr>
          <w:p w14:paraId="44C90030" w14:textId="77777777" w:rsidR="00000000" w:rsidRDefault="001F1B20">
            <w:pPr>
              <w:pStyle w:val="a3"/>
              <w:spacing w:before="0" w:beforeAutospacing="0" w:after="0" w:afterAutospacing="0"/>
              <w:jc w:val="center"/>
              <w:rPr>
                <w:sz w:val="20"/>
                <w:szCs w:val="20"/>
              </w:rPr>
            </w:pPr>
            <w:r>
              <w:rPr>
                <w:b/>
                <w:bCs/>
                <w:sz w:val="16"/>
                <w:szCs w:val="16"/>
              </w:rPr>
              <w:t>​</w:t>
            </w:r>
          </w:p>
        </w:tc>
        <w:tc>
          <w:tcPr>
            <w:tcW w:w="643" w:type="pct"/>
            <w:gridSpan w:val="4"/>
            <w:noWrap/>
            <w:tcMar>
              <w:top w:w="0" w:type="dxa"/>
              <w:left w:w="0" w:type="dxa"/>
              <w:bottom w:w="0" w:type="dxa"/>
              <w:right w:w="0" w:type="dxa"/>
            </w:tcMar>
            <w:vAlign w:val="bottom"/>
            <w:hideMark/>
          </w:tcPr>
          <w:p w14:paraId="6E190415"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50BE80E1" w14:textId="77777777" w:rsidR="00000000" w:rsidRDefault="001F1B20">
            <w:pPr>
              <w:pStyle w:val="a3"/>
              <w:spacing w:before="0" w:beforeAutospacing="0" w:after="0" w:afterAutospacing="0"/>
              <w:rPr>
                <w:sz w:val="20"/>
                <w:szCs w:val="20"/>
              </w:rPr>
            </w:pPr>
            <w:r>
              <w:rPr>
                <w:b/>
                <w:bCs/>
                <w:sz w:val="16"/>
                <w:szCs w:val="16"/>
              </w:rPr>
              <w:t>​</w:t>
            </w:r>
          </w:p>
        </w:tc>
      </w:tr>
      <w:tr w:rsidR="00000000" w14:paraId="79DDDCB7" w14:textId="77777777">
        <w:trPr>
          <w:divId w:val="595986978"/>
        </w:trPr>
        <w:tc>
          <w:tcPr>
            <w:tcW w:w="1603" w:type="pct"/>
            <w:tcMar>
              <w:top w:w="0" w:type="dxa"/>
              <w:left w:w="0" w:type="dxa"/>
              <w:bottom w:w="0" w:type="dxa"/>
              <w:right w:w="0" w:type="dxa"/>
            </w:tcMar>
            <w:vAlign w:val="bottom"/>
            <w:hideMark/>
          </w:tcPr>
          <w:p w14:paraId="70669843"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2AEC2506"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tcBorders>
              <w:bottom w:val="single" w:sz="6" w:space="0" w:color="000000"/>
            </w:tcBorders>
            <w:noWrap/>
            <w:tcMar>
              <w:top w:w="0" w:type="dxa"/>
              <w:left w:w="0" w:type="dxa"/>
              <w:bottom w:w="0" w:type="dxa"/>
              <w:right w:w="0" w:type="dxa"/>
            </w:tcMar>
            <w:vAlign w:val="bottom"/>
            <w:hideMark/>
          </w:tcPr>
          <w:p w14:paraId="40551333"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1ACE51F6" w14:textId="77777777" w:rsidR="00000000" w:rsidRDefault="001F1B20">
            <w:pPr>
              <w:pStyle w:val="a3"/>
              <w:spacing w:before="0" w:beforeAutospacing="0" w:after="0" w:afterAutospacing="0"/>
              <w:rPr>
                <w:sz w:val="20"/>
                <w:szCs w:val="20"/>
              </w:rPr>
            </w:pPr>
            <w:r>
              <w:rPr>
                <w:b/>
                <w:bCs/>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14:paraId="782B1A50"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289D6800"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39AB8212" w14:textId="77777777" w:rsidR="00000000" w:rsidRDefault="001F1B20">
            <w:pPr>
              <w:pStyle w:val="a3"/>
              <w:spacing w:before="0" w:beforeAutospacing="0" w:after="0" w:afterAutospacing="0"/>
              <w:jc w:val="center"/>
              <w:rPr>
                <w:sz w:val="20"/>
                <w:szCs w:val="20"/>
              </w:rPr>
            </w:pPr>
            <w:r>
              <w:rPr>
                <w:b/>
                <w:bCs/>
                <w:sz w:val="16"/>
                <w:szCs w:val="16"/>
              </w:rPr>
              <w:t>​</w:t>
            </w:r>
          </w:p>
        </w:tc>
        <w:tc>
          <w:tcPr>
            <w:tcW w:w="892" w:type="pct"/>
            <w:gridSpan w:val="5"/>
            <w:tcBorders>
              <w:bottom w:val="single" w:sz="6" w:space="0" w:color="000000"/>
            </w:tcBorders>
            <w:noWrap/>
            <w:tcMar>
              <w:top w:w="0" w:type="dxa"/>
              <w:left w:w="0" w:type="dxa"/>
              <w:bottom w:w="0" w:type="dxa"/>
              <w:right w:w="0" w:type="dxa"/>
            </w:tcMar>
            <w:vAlign w:val="bottom"/>
            <w:hideMark/>
          </w:tcPr>
          <w:p w14:paraId="03A9BD9E"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21DBF80B" w14:textId="77777777" w:rsidR="00000000" w:rsidRDefault="001F1B20">
            <w:pPr>
              <w:pStyle w:val="a3"/>
              <w:spacing w:before="0" w:beforeAutospacing="0" w:after="0" w:afterAutospacing="0"/>
              <w:jc w:val="center"/>
              <w:rPr>
                <w:sz w:val="20"/>
                <w:szCs w:val="20"/>
              </w:rPr>
            </w:pPr>
            <w:r>
              <w:rPr>
                <w:b/>
                <w:bCs/>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14:paraId="0EC786D4"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178C3BC6" w14:textId="77777777" w:rsidR="00000000" w:rsidRDefault="001F1B20">
            <w:pPr>
              <w:pStyle w:val="a3"/>
              <w:spacing w:before="0" w:beforeAutospacing="0" w:after="0" w:afterAutospacing="0"/>
              <w:rPr>
                <w:sz w:val="20"/>
                <w:szCs w:val="20"/>
              </w:rPr>
            </w:pPr>
            <w:r>
              <w:rPr>
                <w:b/>
                <w:bCs/>
                <w:sz w:val="16"/>
                <w:szCs w:val="16"/>
              </w:rPr>
              <w:t>​</w:t>
            </w:r>
          </w:p>
        </w:tc>
      </w:tr>
      <w:tr w:rsidR="00000000" w14:paraId="4DDF6CEB" w14:textId="77777777">
        <w:trPr>
          <w:divId w:val="595986978"/>
        </w:trPr>
        <w:tc>
          <w:tcPr>
            <w:tcW w:w="1603" w:type="pct"/>
            <w:tcBorders>
              <w:bottom w:val="single" w:sz="6" w:space="0" w:color="000000"/>
            </w:tcBorders>
            <w:tcMar>
              <w:top w:w="0" w:type="dxa"/>
              <w:left w:w="0" w:type="dxa"/>
              <w:bottom w:w="0" w:type="dxa"/>
              <w:right w:w="0" w:type="dxa"/>
            </w:tcMar>
            <w:vAlign w:val="bottom"/>
            <w:hideMark/>
          </w:tcPr>
          <w:p w14:paraId="4F6944C0" w14:textId="77777777" w:rsidR="00000000" w:rsidRDefault="001F1B20">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14:paraId="147F65BA"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766E3A3A" w14:textId="77777777" w:rsidR="00000000" w:rsidRDefault="001F1B20">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14:paraId="7DBCC2F8"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4D90A6B1"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4157C538" w14:textId="77777777" w:rsidR="00000000" w:rsidRDefault="001F1B20">
            <w:pPr>
              <w:pStyle w:val="a3"/>
              <w:spacing w:before="0" w:beforeAutospacing="0" w:after="0" w:afterAutospacing="0"/>
              <w:jc w:val="center"/>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14:paraId="5F35C4EB"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2CD04177" w14:textId="77777777" w:rsidR="00000000" w:rsidRDefault="001F1B20">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14:paraId="4C6C40C1"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6FFD13BD" w14:textId="77777777" w:rsidR="00000000" w:rsidRDefault="001F1B20">
            <w:pPr>
              <w:pStyle w:val="a3"/>
              <w:spacing w:before="0" w:beforeAutospacing="0" w:after="0" w:afterAutospacing="0"/>
              <w:jc w:val="center"/>
              <w:rPr>
                <w:sz w:val="16"/>
                <w:szCs w:val="16"/>
              </w:rPr>
            </w:pPr>
            <w:r>
              <w:rPr>
                <w:b/>
                <w:bCs/>
                <w:sz w:val="16"/>
                <w:szCs w:val="16"/>
              </w:rPr>
              <w:t>    </w:t>
            </w:r>
          </w:p>
        </w:tc>
        <w:tc>
          <w:tcPr>
            <w:tcW w:w="39" w:type="pct"/>
            <w:noWrap/>
            <w:tcMar>
              <w:top w:w="0" w:type="dxa"/>
              <w:left w:w="0" w:type="dxa"/>
              <w:bottom w:w="0" w:type="dxa"/>
              <w:right w:w="0" w:type="dxa"/>
            </w:tcMar>
            <w:vAlign w:val="bottom"/>
            <w:hideMark/>
          </w:tcPr>
          <w:p w14:paraId="5AEB1B84" w14:textId="77777777" w:rsidR="00000000" w:rsidRDefault="001F1B20">
            <w:pPr>
              <w:pStyle w:val="a3"/>
              <w:spacing w:before="0" w:beforeAutospacing="0" w:after="0" w:afterAutospacing="0"/>
              <w:jc w:val="center"/>
              <w:rPr>
                <w:sz w:val="16"/>
                <w:szCs w:val="16"/>
              </w:rPr>
            </w:pPr>
            <w:r>
              <w:rPr>
                <w:b/>
                <w:bCs/>
                <w:sz w:val="16"/>
                <w:szCs w:val="16"/>
              </w:rPr>
              <w:t>  </w:t>
            </w:r>
          </w:p>
        </w:tc>
        <w:tc>
          <w:tcPr>
            <w:tcW w:w="426" w:type="pct"/>
            <w:gridSpan w:val="2"/>
            <w:tcBorders>
              <w:bottom w:val="single" w:sz="6" w:space="0" w:color="000000"/>
            </w:tcBorders>
            <w:noWrap/>
            <w:tcMar>
              <w:top w:w="0" w:type="dxa"/>
              <w:left w:w="0" w:type="dxa"/>
              <w:bottom w:w="0" w:type="dxa"/>
              <w:right w:w="0" w:type="dxa"/>
            </w:tcMar>
            <w:vAlign w:val="bottom"/>
            <w:hideMark/>
          </w:tcPr>
          <w:p w14:paraId="088B797D" w14:textId="77777777" w:rsidR="00000000" w:rsidRDefault="001F1B20">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14:paraId="69C05E6A" w14:textId="77777777" w:rsidR="00000000" w:rsidRDefault="001F1B20">
            <w:pPr>
              <w:pStyle w:val="a3"/>
              <w:spacing w:before="0" w:beforeAutospacing="0" w:after="0" w:afterAutospacing="0"/>
              <w:jc w:val="center"/>
              <w:rPr>
                <w:sz w:val="16"/>
                <w:szCs w:val="16"/>
              </w:rPr>
            </w:pPr>
            <w:r>
              <w:rPr>
                <w:b/>
                <w:bCs/>
                <w:sz w:val="16"/>
                <w:szCs w:val="16"/>
              </w:rPr>
              <w:t>  </w:t>
            </w:r>
          </w:p>
        </w:tc>
        <w:tc>
          <w:tcPr>
            <w:tcW w:w="426" w:type="pct"/>
            <w:gridSpan w:val="2"/>
            <w:tcBorders>
              <w:bottom w:val="single" w:sz="6" w:space="0" w:color="000000"/>
            </w:tcBorders>
            <w:noWrap/>
            <w:tcMar>
              <w:top w:w="0" w:type="dxa"/>
              <w:left w:w="0" w:type="dxa"/>
              <w:bottom w:w="0" w:type="dxa"/>
              <w:right w:w="0" w:type="dxa"/>
            </w:tcMar>
            <w:vAlign w:val="bottom"/>
            <w:hideMark/>
          </w:tcPr>
          <w:p w14:paraId="13F2F695"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6AEA5F15" w14:textId="77777777" w:rsidR="00000000" w:rsidRDefault="001F1B20">
            <w:pPr>
              <w:pStyle w:val="a3"/>
              <w:spacing w:before="0" w:beforeAutospacing="0" w:after="0" w:afterAutospacing="0"/>
              <w:jc w:val="center"/>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14:paraId="3C4EA83B"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3098C629" w14:textId="77777777" w:rsidR="00000000" w:rsidRDefault="001F1B20">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14:paraId="6FF6EDDB"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6F0FD807" w14:textId="77777777" w:rsidR="00000000" w:rsidRDefault="001F1B20">
            <w:pPr>
              <w:pStyle w:val="a3"/>
              <w:spacing w:before="0" w:beforeAutospacing="0" w:after="0" w:afterAutospacing="0"/>
              <w:jc w:val="center"/>
              <w:rPr>
                <w:sz w:val="16"/>
                <w:szCs w:val="16"/>
              </w:rPr>
            </w:pPr>
            <w:r>
              <w:rPr>
                <w:b/>
                <w:bCs/>
                <w:sz w:val="16"/>
                <w:szCs w:val="16"/>
              </w:rPr>
              <w:t>    </w:t>
            </w:r>
          </w:p>
        </w:tc>
      </w:tr>
      <w:tr w:rsidR="00000000" w14:paraId="7AB90A7E" w14:textId="77777777">
        <w:trPr>
          <w:divId w:val="595986978"/>
        </w:trPr>
        <w:tc>
          <w:tcPr>
            <w:tcW w:w="1603" w:type="pct"/>
            <w:shd w:val="clear" w:color="auto" w:fill="CCEEFF"/>
            <w:tcMar>
              <w:top w:w="0" w:type="dxa"/>
              <w:left w:w="0" w:type="dxa"/>
              <w:bottom w:w="0" w:type="dxa"/>
              <w:right w:w="0" w:type="dxa"/>
            </w:tcMar>
            <w:vAlign w:val="bottom"/>
            <w:hideMark/>
          </w:tcPr>
          <w:p w14:paraId="0F624E43" w14:textId="77777777" w:rsidR="00000000" w:rsidRDefault="001F1B20">
            <w:pPr>
              <w:pStyle w:val="a3"/>
              <w:spacing w:before="0" w:beforeAutospacing="0" w:after="0" w:afterAutospacing="0"/>
              <w:rPr>
                <w:sz w:val="20"/>
                <w:szCs w:val="20"/>
              </w:rPr>
            </w:pPr>
            <w:r>
              <w:rPr>
                <w:sz w:val="20"/>
                <w:szCs w:val="20"/>
              </w:rPr>
              <w:t>Employee-related</w:t>
            </w:r>
          </w:p>
        </w:tc>
        <w:tc>
          <w:tcPr>
            <w:tcW w:w="39" w:type="pct"/>
            <w:shd w:val="clear" w:color="auto" w:fill="CCEEFF"/>
            <w:noWrap/>
            <w:tcMar>
              <w:top w:w="0" w:type="dxa"/>
              <w:left w:w="0" w:type="dxa"/>
              <w:bottom w:w="0" w:type="dxa"/>
              <w:right w:w="0" w:type="dxa"/>
            </w:tcMar>
            <w:vAlign w:val="bottom"/>
            <w:hideMark/>
          </w:tcPr>
          <w:p w14:paraId="4961207A"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E27D4BE"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4919507E" w14:textId="77777777" w:rsidR="00000000" w:rsidRDefault="001F1B20">
            <w:pPr>
              <w:pStyle w:val="a3"/>
              <w:spacing w:before="0" w:beforeAutospacing="0" w:after="0" w:afterAutospacing="0"/>
              <w:ind w:right="60"/>
              <w:jc w:val="right"/>
              <w:rPr>
                <w:sz w:val="20"/>
                <w:szCs w:val="20"/>
              </w:rPr>
            </w:pPr>
            <w:r>
              <w:rPr>
                <w:sz w:val="20"/>
                <w:szCs w:val="20"/>
              </w:rPr>
              <w:t>7,50</w:t>
            </w:r>
            <w:r>
              <w:rPr>
                <w:sz w:val="20"/>
                <w:szCs w:val="20"/>
              </w:rPr>
              <w:t>6</w:t>
            </w:r>
          </w:p>
        </w:tc>
        <w:tc>
          <w:tcPr>
            <w:tcW w:w="39" w:type="pct"/>
            <w:shd w:val="clear" w:color="auto" w:fill="CCEEFF"/>
            <w:noWrap/>
            <w:tcMar>
              <w:top w:w="0" w:type="dxa"/>
              <w:left w:w="0" w:type="dxa"/>
              <w:bottom w:w="0" w:type="dxa"/>
              <w:right w:w="0" w:type="dxa"/>
            </w:tcMar>
            <w:vAlign w:val="bottom"/>
            <w:hideMark/>
          </w:tcPr>
          <w:p w14:paraId="6B31D8F3"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25CC0AF"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6B58F4AE" w14:textId="77777777" w:rsidR="00000000" w:rsidRDefault="001F1B20">
            <w:pPr>
              <w:pStyle w:val="a3"/>
              <w:spacing w:before="0" w:beforeAutospacing="0" w:after="0" w:afterAutospacing="0"/>
              <w:ind w:right="60"/>
              <w:jc w:val="right"/>
              <w:rPr>
                <w:sz w:val="20"/>
                <w:szCs w:val="20"/>
              </w:rPr>
            </w:pPr>
            <w:r>
              <w:rPr>
                <w:sz w:val="20"/>
                <w:szCs w:val="20"/>
              </w:rPr>
              <w:t>15,97</w:t>
            </w:r>
            <w:r>
              <w:rPr>
                <w:sz w:val="20"/>
                <w:szCs w:val="20"/>
              </w:rPr>
              <w:t>9</w:t>
            </w:r>
          </w:p>
        </w:tc>
        <w:tc>
          <w:tcPr>
            <w:tcW w:w="39" w:type="pct"/>
            <w:shd w:val="clear" w:color="auto" w:fill="CCEEFF"/>
            <w:noWrap/>
            <w:tcMar>
              <w:top w:w="0" w:type="dxa"/>
              <w:left w:w="0" w:type="dxa"/>
              <w:bottom w:w="0" w:type="dxa"/>
              <w:right w:w="0" w:type="dxa"/>
            </w:tcMar>
            <w:vAlign w:val="bottom"/>
            <w:hideMark/>
          </w:tcPr>
          <w:p w14:paraId="4EAFA1D5"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42E05480" w14:textId="77777777" w:rsidR="00000000" w:rsidRDefault="001F1B20">
            <w:pPr>
              <w:pStyle w:val="a3"/>
              <w:spacing w:before="0" w:beforeAutospacing="0" w:after="0" w:afterAutospacing="0"/>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14:paraId="33169076" w14:textId="77777777" w:rsidR="00000000" w:rsidRDefault="001F1B20">
            <w:pPr>
              <w:pStyle w:val="a3"/>
              <w:spacing w:before="0" w:beforeAutospacing="0" w:after="0" w:afterAutospacing="0"/>
              <w:jc w:val="right"/>
              <w:rPr>
                <w:sz w:val="20"/>
                <w:szCs w:val="20"/>
              </w:rPr>
            </w:pPr>
            <w:r>
              <w:rPr>
                <w:sz w:val="20"/>
                <w:szCs w:val="20"/>
              </w:rPr>
              <w:t>(8,473</w:t>
            </w:r>
            <w:r>
              <w:rPr>
                <w:sz w:val="20"/>
                <w:szCs w:val="20"/>
              </w:rPr>
              <w:t>)</w:t>
            </w:r>
          </w:p>
        </w:tc>
        <w:tc>
          <w:tcPr>
            <w:tcW w:w="39" w:type="pct"/>
            <w:shd w:val="clear" w:color="auto" w:fill="CCEEFF"/>
            <w:noWrap/>
            <w:tcMar>
              <w:top w:w="0" w:type="dxa"/>
              <w:left w:w="0" w:type="dxa"/>
              <w:bottom w:w="0" w:type="dxa"/>
              <w:right w:w="0" w:type="dxa"/>
            </w:tcMar>
            <w:vAlign w:val="bottom"/>
            <w:hideMark/>
          </w:tcPr>
          <w:p w14:paraId="03B0D02B" w14:textId="77777777" w:rsidR="00000000" w:rsidRDefault="001F1B20">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14:paraId="312EB82C" w14:textId="77777777" w:rsidR="00000000" w:rsidRDefault="001F1B20">
            <w:pPr>
              <w:pStyle w:val="a3"/>
              <w:spacing w:before="0" w:beforeAutospacing="0" w:after="0" w:afterAutospacing="0"/>
              <w:jc w:val="right"/>
              <w:rPr>
                <w:sz w:val="20"/>
                <w:szCs w:val="20"/>
              </w:rPr>
            </w:pPr>
            <w:r>
              <w:rPr>
                <w:sz w:val="20"/>
                <w:szCs w:val="20"/>
              </w:rPr>
              <w:t>(53</w:t>
            </w:r>
            <w:r>
              <w:rPr>
                <w:sz w:val="20"/>
                <w:szCs w:val="20"/>
              </w:rPr>
              <w:t>)</w:t>
            </w:r>
          </w:p>
        </w:tc>
        <w:tc>
          <w:tcPr>
            <w:tcW w:w="132" w:type="pct"/>
            <w:shd w:val="clear" w:color="auto" w:fill="CCEEFF"/>
            <w:noWrap/>
            <w:tcMar>
              <w:top w:w="0" w:type="dxa"/>
              <w:left w:w="0" w:type="dxa"/>
              <w:bottom w:w="0" w:type="dxa"/>
              <w:right w:w="0" w:type="dxa"/>
            </w:tcMar>
            <w:vAlign w:val="bottom"/>
            <w:hideMark/>
          </w:tcPr>
          <w:p w14:paraId="685C2C73" w14:textId="77777777" w:rsidR="00000000" w:rsidRDefault="001F1B20">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14:paraId="33222805"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40662567" w14:textId="77777777" w:rsidR="00000000" w:rsidRDefault="001F1B20">
            <w:pPr>
              <w:pStyle w:val="a3"/>
              <w:spacing w:before="0" w:beforeAutospacing="0" w:after="0" w:afterAutospacing="0"/>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14:paraId="29B5B53D" w14:textId="77777777" w:rsidR="00000000" w:rsidRDefault="001F1B20">
            <w:pPr>
              <w:pStyle w:val="a3"/>
              <w:spacing w:before="0" w:beforeAutospacing="0" w:after="0" w:afterAutospacing="0"/>
              <w:ind w:right="60"/>
              <w:jc w:val="right"/>
              <w:rPr>
                <w:sz w:val="20"/>
                <w:szCs w:val="20"/>
              </w:rPr>
            </w:pPr>
            <w:r>
              <w:rPr>
                <w:sz w:val="20"/>
                <w:szCs w:val="20"/>
              </w:rPr>
              <w:t>39,52</w:t>
            </w:r>
            <w:r>
              <w:rPr>
                <w:sz w:val="20"/>
                <w:szCs w:val="20"/>
              </w:rPr>
              <w:t>1</w:t>
            </w:r>
          </w:p>
        </w:tc>
        <w:tc>
          <w:tcPr>
            <w:tcW w:w="39" w:type="pct"/>
            <w:shd w:val="clear" w:color="auto" w:fill="CCEEFF"/>
            <w:noWrap/>
            <w:tcMar>
              <w:top w:w="0" w:type="dxa"/>
              <w:left w:w="0" w:type="dxa"/>
              <w:bottom w:w="0" w:type="dxa"/>
              <w:right w:w="0" w:type="dxa"/>
            </w:tcMar>
            <w:vAlign w:val="bottom"/>
            <w:hideMark/>
          </w:tcPr>
          <w:p w14:paraId="3AF6B050"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4D6CE06" w14:textId="77777777" w:rsidR="00000000" w:rsidRDefault="001F1B20">
            <w:pPr>
              <w:pStyle w:val="a3"/>
              <w:spacing w:before="0" w:beforeAutospacing="0" w:after="0" w:afterAutospacing="0"/>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14:paraId="5FAA714D" w14:textId="77777777" w:rsidR="00000000" w:rsidRDefault="001F1B20">
            <w:pPr>
              <w:pStyle w:val="a3"/>
              <w:spacing w:before="0" w:beforeAutospacing="0" w:after="0" w:afterAutospacing="0"/>
              <w:ind w:right="60"/>
              <w:jc w:val="right"/>
              <w:rPr>
                <w:sz w:val="20"/>
                <w:szCs w:val="20"/>
              </w:rPr>
            </w:pPr>
            <w:r>
              <w:rPr>
                <w:sz w:val="20"/>
                <w:szCs w:val="20"/>
              </w:rPr>
              <w:t>45,28</w:t>
            </w:r>
            <w:r>
              <w:rPr>
                <w:sz w:val="20"/>
                <w:szCs w:val="20"/>
              </w:rPr>
              <w:t>5</w:t>
            </w:r>
          </w:p>
        </w:tc>
        <w:tc>
          <w:tcPr>
            <w:tcW w:w="39" w:type="pct"/>
            <w:shd w:val="clear" w:color="auto" w:fill="CCEEFF"/>
            <w:noWrap/>
            <w:tcMar>
              <w:top w:w="0" w:type="dxa"/>
              <w:left w:w="0" w:type="dxa"/>
              <w:bottom w:w="0" w:type="dxa"/>
              <w:right w:w="0" w:type="dxa"/>
            </w:tcMar>
            <w:vAlign w:val="bottom"/>
            <w:hideMark/>
          </w:tcPr>
          <w:p w14:paraId="28C98EDC"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77A5960" w14:textId="77777777" w:rsidR="00000000" w:rsidRDefault="001F1B20">
            <w:pPr>
              <w:pStyle w:val="a3"/>
              <w:spacing w:before="0" w:beforeAutospacing="0" w:after="0" w:afterAutospacing="0"/>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14:paraId="0BC38E59" w14:textId="77777777" w:rsidR="00000000" w:rsidRDefault="001F1B20">
            <w:pPr>
              <w:pStyle w:val="a3"/>
              <w:spacing w:before="0" w:beforeAutospacing="0" w:after="0" w:afterAutospacing="0"/>
              <w:jc w:val="right"/>
              <w:rPr>
                <w:sz w:val="20"/>
                <w:szCs w:val="20"/>
              </w:rPr>
            </w:pPr>
            <w:r>
              <w:rPr>
                <w:sz w:val="20"/>
                <w:szCs w:val="20"/>
              </w:rPr>
              <w:t>(5,764</w:t>
            </w:r>
            <w:r>
              <w:rPr>
                <w:sz w:val="20"/>
                <w:szCs w:val="20"/>
              </w:rPr>
              <w:t>)</w:t>
            </w:r>
          </w:p>
        </w:tc>
        <w:tc>
          <w:tcPr>
            <w:tcW w:w="39" w:type="pct"/>
            <w:shd w:val="clear" w:color="auto" w:fill="CCEEFF"/>
            <w:noWrap/>
            <w:tcMar>
              <w:top w:w="0" w:type="dxa"/>
              <w:left w:w="0" w:type="dxa"/>
              <w:bottom w:w="0" w:type="dxa"/>
              <w:right w:w="0" w:type="dxa"/>
            </w:tcMar>
            <w:vAlign w:val="bottom"/>
            <w:hideMark/>
          </w:tcPr>
          <w:p w14:paraId="683890F8" w14:textId="77777777" w:rsidR="00000000" w:rsidRDefault="001F1B20">
            <w:pPr>
              <w:pStyle w:val="a3"/>
              <w:spacing w:before="0" w:beforeAutospacing="0" w:after="0" w:afterAutospacing="0"/>
              <w:jc w:val="center"/>
              <w:rPr>
                <w:sz w:val="20"/>
                <w:szCs w:val="20"/>
              </w:rPr>
            </w:pPr>
            <w:r>
              <w:rPr>
                <w:b/>
                <w:bCs/>
                <w:sz w:val="16"/>
                <w:szCs w:val="16"/>
              </w:rPr>
              <w:t>​</w:t>
            </w:r>
          </w:p>
        </w:tc>
        <w:tc>
          <w:tcPr>
            <w:tcW w:w="190" w:type="pct"/>
            <w:shd w:val="clear" w:color="auto" w:fill="CCEEFF"/>
            <w:noWrap/>
            <w:tcMar>
              <w:top w:w="0" w:type="dxa"/>
              <w:left w:w="0" w:type="dxa"/>
              <w:bottom w:w="0" w:type="dxa"/>
              <w:right w:w="0" w:type="dxa"/>
            </w:tcMar>
            <w:vAlign w:val="bottom"/>
            <w:hideMark/>
          </w:tcPr>
          <w:p w14:paraId="5D1E737A" w14:textId="77777777" w:rsidR="00000000" w:rsidRDefault="001F1B20">
            <w:pPr>
              <w:pStyle w:val="a3"/>
              <w:spacing w:before="0" w:beforeAutospacing="0" w:after="0" w:afterAutospacing="0"/>
              <w:jc w:val="right"/>
              <w:rPr>
                <w:sz w:val="20"/>
                <w:szCs w:val="20"/>
              </w:rPr>
            </w:pPr>
            <w:r>
              <w:rPr>
                <w:sz w:val="20"/>
                <w:szCs w:val="20"/>
              </w:rPr>
              <w:t>(13</w:t>
            </w:r>
            <w:r>
              <w:rPr>
                <w:sz w:val="20"/>
                <w:szCs w:val="20"/>
              </w:rPr>
              <w:t>)</w:t>
            </w:r>
          </w:p>
        </w:tc>
        <w:tc>
          <w:tcPr>
            <w:tcW w:w="132" w:type="pct"/>
            <w:shd w:val="clear" w:color="auto" w:fill="CCEEFF"/>
            <w:noWrap/>
            <w:tcMar>
              <w:top w:w="0" w:type="dxa"/>
              <w:left w:w="0" w:type="dxa"/>
              <w:bottom w:w="0" w:type="dxa"/>
              <w:right w:w="0" w:type="dxa"/>
            </w:tcMar>
            <w:vAlign w:val="bottom"/>
            <w:hideMark/>
          </w:tcPr>
          <w:p w14:paraId="7440F30C" w14:textId="77777777" w:rsidR="00000000" w:rsidRDefault="001F1B20">
            <w:pPr>
              <w:pStyle w:val="a3"/>
              <w:spacing w:before="0" w:beforeAutospacing="0" w:after="0" w:afterAutospacing="0"/>
              <w:rPr>
                <w:sz w:val="20"/>
                <w:szCs w:val="20"/>
              </w:rPr>
            </w:pPr>
            <w:r>
              <w:rPr>
                <w:sz w:val="20"/>
                <w:szCs w:val="20"/>
              </w:rPr>
              <w:t>%  </w:t>
            </w:r>
          </w:p>
        </w:tc>
      </w:tr>
      <w:tr w:rsidR="00000000" w14:paraId="2A92266F" w14:textId="77777777">
        <w:trPr>
          <w:divId w:val="595986978"/>
        </w:trPr>
        <w:tc>
          <w:tcPr>
            <w:tcW w:w="1603" w:type="pct"/>
            <w:tcMar>
              <w:top w:w="0" w:type="dxa"/>
              <w:left w:w="0" w:type="dxa"/>
              <w:bottom w:w="0" w:type="dxa"/>
              <w:right w:w="0" w:type="dxa"/>
            </w:tcMar>
            <w:vAlign w:val="bottom"/>
            <w:hideMark/>
          </w:tcPr>
          <w:p w14:paraId="27D47CC9" w14:textId="77777777" w:rsidR="00000000" w:rsidRDefault="001F1B20">
            <w:pPr>
              <w:pStyle w:val="a3"/>
              <w:spacing w:before="0" w:beforeAutospacing="0" w:after="0" w:afterAutospacing="0"/>
              <w:rPr>
                <w:sz w:val="20"/>
                <w:szCs w:val="20"/>
              </w:rPr>
            </w:pPr>
            <w:r>
              <w:rPr>
                <w:sz w:val="20"/>
                <w:szCs w:val="20"/>
              </w:rPr>
              <w:t>Share-based compensation</w:t>
            </w:r>
          </w:p>
        </w:tc>
        <w:tc>
          <w:tcPr>
            <w:tcW w:w="39" w:type="pct"/>
            <w:noWrap/>
            <w:tcMar>
              <w:top w:w="0" w:type="dxa"/>
              <w:left w:w="0" w:type="dxa"/>
              <w:bottom w:w="0" w:type="dxa"/>
              <w:right w:w="0" w:type="dxa"/>
            </w:tcMar>
            <w:vAlign w:val="bottom"/>
            <w:hideMark/>
          </w:tcPr>
          <w:p w14:paraId="1DC3EBFC" w14:textId="77777777" w:rsidR="00000000" w:rsidRDefault="001F1B20">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14:paraId="0040E889" w14:textId="77777777" w:rsidR="00000000" w:rsidRDefault="001F1B20">
            <w:pPr>
              <w:pStyle w:val="a3"/>
              <w:spacing w:before="0" w:beforeAutospacing="0" w:after="0" w:afterAutospacing="0"/>
              <w:jc w:val="center"/>
              <w:rPr>
                <w:sz w:val="20"/>
                <w:szCs w:val="20"/>
              </w:rPr>
            </w:pPr>
            <w:r>
              <w:rPr>
                <w:sz w:val="20"/>
                <w:szCs w:val="20"/>
              </w:rPr>
              <w:t> </w:t>
            </w:r>
          </w:p>
        </w:tc>
        <w:tc>
          <w:tcPr>
            <w:tcW w:w="327" w:type="pct"/>
            <w:noWrap/>
            <w:tcMar>
              <w:top w:w="0" w:type="dxa"/>
              <w:left w:w="0" w:type="dxa"/>
              <w:bottom w:w="0" w:type="dxa"/>
              <w:right w:w="0" w:type="dxa"/>
            </w:tcMar>
            <w:vAlign w:val="bottom"/>
            <w:hideMark/>
          </w:tcPr>
          <w:p w14:paraId="552575E8" w14:textId="77777777" w:rsidR="00000000" w:rsidRDefault="001F1B20">
            <w:pPr>
              <w:pStyle w:val="a3"/>
              <w:spacing w:before="0" w:beforeAutospacing="0" w:after="0" w:afterAutospacing="0"/>
              <w:ind w:right="60"/>
              <w:jc w:val="right"/>
              <w:rPr>
                <w:sz w:val="20"/>
                <w:szCs w:val="20"/>
              </w:rPr>
            </w:pPr>
            <w:r>
              <w:rPr>
                <w:sz w:val="20"/>
                <w:szCs w:val="20"/>
              </w:rPr>
              <w:t>6,95</w:t>
            </w:r>
            <w:r>
              <w:rPr>
                <w:sz w:val="20"/>
                <w:szCs w:val="20"/>
              </w:rPr>
              <w:t>6</w:t>
            </w:r>
          </w:p>
        </w:tc>
        <w:tc>
          <w:tcPr>
            <w:tcW w:w="39" w:type="pct"/>
            <w:noWrap/>
            <w:tcMar>
              <w:top w:w="0" w:type="dxa"/>
              <w:left w:w="0" w:type="dxa"/>
              <w:bottom w:w="0" w:type="dxa"/>
              <w:right w:w="0" w:type="dxa"/>
            </w:tcMar>
            <w:vAlign w:val="bottom"/>
            <w:hideMark/>
          </w:tcPr>
          <w:p w14:paraId="19293095" w14:textId="77777777" w:rsidR="00000000" w:rsidRDefault="001F1B20">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14:paraId="5C398A2F" w14:textId="77777777" w:rsidR="00000000" w:rsidRDefault="001F1B20">
            <w:pPr>
              <w:pStyle w:val="a3"/>
              <w:spacing w:before="0" w:beforeAutospacing="0" w:after="0" w:afterAutospacing="0"/>
              <w:rPr>
                <w:sz w:val="20"/>
                <w:szCs w:val="20"/>
              </w:rPr>
            </w:pPr>
            <w:r>
              <w:rPr>
                <w:sz w:val="20"/>
                <w:szCs w:val="20"/>
              </w:rPr>
              <w:t> </w:t>
            </w:r>
          </w:p>
        </w:tc>
        <w:tc>
          <w:tcPr>
            <w:tcW w:w="327" w:type="pct"/>
            <w:noWrap/>
            <w:tcMar>
              <w:top w:w="0" w:type="dxa"/>
              <w:left w:w="0" w:type="dxa"/>
              <w:bottom w:w="0" w:type="dxa"/>
              <w:right w:w="0" w:type="dxa"/>
            </w:tcMar>
            <w:vAlign w:val="bottom"/>
            <w:hideMark/>
          </w:tcPr>
          <w:p w14:paraId="267726E9" w14:textId="77777777" w:rsidR="00000000" w:rsidRDefault="001F1B20">
            <w:pPr>
              <w:pStyle w:val="a3"/>
              <w:spacing w:before="0" w:beforeAutospacing="0" w:after="0" w:afterAutospacing="0"/>
              <w:ind w:right="60"/>
              <w:jc w:val="right"/>
              <w:rPr>
                <w:sz w:val="20"/>
                <w:szCs w:val="20"/>
              </w:rPr>
            </w:pPr>
            <w:r>
              <w:rPr>
                <w:sz w:val="20"/>
                <w:szCs w:val="20"/>
              </w:rPr>
              <w:t>7,76</w:t>
            </w:r>
            <w:r>
              <w:rPr>
                <w:sz w:val="20"/>
                <w:szCs w:val="20"/>
              </w:rPr>
              <w:t>1</w:t>
            </w:r>
          </w:p>
        </w:tc>
        <w:tc>
          <w:tcPr>
            <w:tcW w:w="39" w:type="pct"/>
            <w:noWrap/>
            <w:tcMar>
              <w:top w:w="0" w:type="dxa"/>
              <w:left w:w="0" w:type="dxa"/>
              <w:bottom w:w="0" w:type="dxa"/>
              <w:right w:w="0" w:type="dxa"/>
            </w:tcMar>
            <w:vAlign w:val="bottom"/>
            <w:hideMark/>
          </w:tcPr>
          <w:p w14:paraId="441C7975" w14:textId="77777777" w:rsidR="00000000" w:rsidRDefault="001F1B20">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14:paraId="136C5BEB" w14:textId="77777777" w:rsidR="00000000" w:rsidRDefault="001F1B20">
            <w:pPr>
              <w:pStyle w:val="a3"/>
              <w:spacing w:before="0" w:beforeAutospacing="0" w:after="0" w:afterAutospacing="0"/>
              <w:rPr>
                <w:sz w:val="20"/>
                <w:szCs w:val="20"/>
              </w:rPr>
            </w:pPr>
            <w:r>
              <w:rPr>
                <w:sz w:val="20"/>
                <w:szCs w:val="20"/>
              </w:rPr>
              <w:t> </w:t>
            </w:r>
          </w:p>
        </w:tc>
        <w:tc>
          <w:tcPr>
            <w:tcW w:w="363" w:type="pct"/>
            <w:noWrap/>
            <w:tcMar>
              <w:top w:w="0" w:type="dxa"/>
              <w:left w:w="0" w:type="dxa"/>
              <w:bottom w:w="0" w:type="dxa"/>
              <w:right w:w="0" w:type="dxa"/>
            </w:tcMar>
            <w:vAlign w:val="bottom"/>
            <w:hideMark/>
          </w:tcPr>
          <w:p w14:paraId="3F0EF4C1" w14:textId="77777777" w:rsidR="00000000" w:rsidRDefault="001F1B20">
            <w:pPr>
              <w:pStyle w:val="a3"/>
              <w:spacing w:before="0" w:beforeAutospacing="0" w:after="0" w:afterAutospacing="0"/>
              <w:jc w:val="right"/>
              <w:rPr>
                <w:sz w:val="20"/>
                <w:szCs w:val="20"/>
              </w:rPr>
            </w:pPr>
            <w:r>
              <w:rPr>
                <w:sz w:val="20"/>
                <w:szCs w:val="20"/>
              </w:rPr>
              <w:t>(805</w:t>
            </w:r>
            <w:r>
              <w:rPr>
                <w:sz w:val="20"/>
                <w:szCs w:val="20"/>
              </w:rPr>
              <w:t>)</w:t>
            </w:r>
          </w:p>
        </w:tc>
        <w:tc>
          <w:tcPr>
            <w:tcW w:w="39" w:type="pct"/>
            <w:noWrap/>
            <w:tcMar>
              <w:top w:w="0" w:type="dxa"/>
              <w:left w:w="0" w:type="dxa"/>
              <w:bottom w:w="0" w:type="dxa"/>
              <w:right w:w="0" w:type="dxa"/>
            </w:tcMar>
            <w:vAlign w:val="bottom"/>
            <w:hideMark/>
          </w:tcPr>
          <w:p w14:paraId="3BD0544C" w14:textId="77777777" w:rsidR="00000000" w:rsidRDefault="001F1B20">
            <w:pPr>
              <w:pStyle w:val="a3"/>
              <w:spacing w:before="0" w:beforeAutospacing="0" w:after="0" w:afterAutospacing="0"/>
              <w:rPr>
                <w:sz w:val="20"/>
                <w:szCs w:val="20"/>
              </w:rPr>
            </w:pPr>
            <w:r>
              <w:rPr>
                <w:sz w:val="20"/>
                <w:szCs w:val="20"/>
              </w:rPr>
              <w:t>​</w:t>
            </w:r>
          </w:p>
        </w:tc>
        <w:tc>
          <w:tcPr>
            <w:tcW w:w="190" w:type="pct"/>
            <w:noWrap/>
            <w:tcMar>
              <w:top w:w="0" w:type="dxa"/>
              <w:left w:w="0" w:type="dxa"/>
              <w:bottom w:w="0" w:type="dxa"/>
              <w:right w:w="0" w:type="dxa"/>
            </w:tcMar>
            <w:vAlign w:val="bottom"/>
            <w:hideMark/>
          </w:tcPr>
          <w:p w14:paraId="423ECCB0" w14:textId="77777777" w:rsidR="00000000" w:rsidRDefault="001F1B20">
            <w:pPr>
              <w:pStyle w:val="a3"/>
              <w:spacing w:before="0" w:beforeAutospacing="0" w:after="0" w:afterAutospacing="0"/>
              <w:jc w:val="right"/>
              <w:rPr>
                <w:sz w:val="20"/>
                <w:szCs w:val="20"/>
              </w:rPr>
            </w:pPr>
            <w:r>
              <w:rPr>
                <w:sz w:val="20"/>
                <w:szCs w:val="20"/>
              </w:rPr>
              <w:t>(10</w:t>
            </w:r>
            <w:r>
              <w:rPr>
                <w:sz w:val="20"/>
                <w:szCs w:val="20"/>
              </w:rPr>
              <w:t>)</w:t>
            </w:r>
          </w:p>
        </w:tc>
        <w:tc>
          <w:tcPr>
            <w:tcW w:w="132" w:type="pct"/>
            <w:noWrap/>
            <w:tcMar>
              <w:top w:w="0" w:type="dxa"/>
              <w:left w:w="0" w:type="dxa"/>
              <w:bottom w:w="0" w:type="dxa"/>
              <w:right w:w="0" w:type="dxa"/>
            </w:tcMar>
            <w:vAlign w:val="bottom"/>
            <w:hideMark/>
          </w:tcPr>
          <w:p w14:paraId="7E3F570C" w14:textId="77777777" w:rsidR="00000000" w:rsidRDefault="001F1B20">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14:paraId="5EFB62C4" w14:textId="77777777" w:rsidR="00000000" w:rsidRDefault="001F1B20">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6D08D955" w14:textId="77777777" w:rsidR="00000000" w:rsidRDefault="001F1B20">
            <w:pPr>
              <w:pStyle w:val="a3"/>
              <w:spacing w:before="0" w:beforeAutospacing="0" w:after="0" w:afterAutospacing="0"/>
              <w:rPr>
                <w:sz w:val="20"/>
                <w:szCs w:val="20"/>
              </w:rPr>
            </w:pPr>
            <w:r>
              <w:rPr>
                <w:sz w:val="20"/>
                <w:szCs w:val="20"/>
              </w:rPr>
              <w:t> </w:t>
            </w:r>
          </w:p>
        </w:tc>
        <w:tc>
          <w:tcPr>
            <w:tcW w:w="376" w:type="pct"/>
            <w:noWrap/>
            <w:tcMar>
              <w:top w:w="0" w:type="dxa"/>
              <w:left w:w="0" w:type="dxa"/>
              <w:bottom w:w="0" w:type="dxa"/>
              <w:right w:w="0" w:type="dxa"/>
            </w:tcMar>
            <w:vAlign w:val="bottom"/>
            <w:hideMark/>
          </w:tcPr>
          <w:p w14:paraId="078693CF" w14:textId="77777777" w:rsidR="00000000" w:rsidRDefault="001F1B20">
            <w:pPr>
              <w:pStyle w:val="a3"/>
              <w:spacing w:before="0" w:beforeAutospacing="0" w:after="0" w:afterAutospacing="0"/>
              <w:ind w:right="60"/>
              <w:jc w:val="right"/>
              <w:rPr>
                <w:sz w:val="20"/>
                <w:szCs w:val="20"/>
              </w:rPr>
            </w:pPr>
            <w:r>
              <w:rPr>
                <w:sz w:val="20"/>
                <w:szCs w:val="20"/>
              </w:rPr>
              <w:t>22,19</w:t>
            </w:r>
            <w:r>
              <w:rPr>
                <w:sz w:val="20"/>
                <w:szCs w:val="20"/>
              </w:rPr>
              <w:t>2</w:t>
            </w:r>
          </w:p>
        </w:tc>
        <w:tc>
          <w:tcPr>
            <w:tcW w:w="39" w:type="pct"/>
            <w:noWrap/>
            <w:tcMar>
              <w:top w:w="0" w:type="dxa"/>
              <w:left w:w="0" w:type="dxa"/>
              <w:bottom w:w="0" w:type="dxa"/>
              <w:right w:w="0" w:type="dxa"/>
            </w:tcMar>
            <w:vAlign w:val="bottom"/>
            <w:hideMark/>
          </w:tcPr>
          <w:p w14:paraId="50E11E7A" w14:textId="77777777" w:rsidR="00000000" w:rsidRDefault="001F1B20">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675B0396" w14:textId="77777777" w:rsidR="00000000" w:rsidRDefault="001F1B20">
            <w:pPr>
              <w:pStyle w:val="a3"/>
              <w:spacing w:before="0" w:beforeAutospacing="0" w:after="0" w:afterAutospacing="0"/>
              <w:rPr>
                <w:sz w:val="20"/>
                <w:szCs w:val="20"/>
              </w:rPr>
            </w:pPr>
            <w:r>
              <w:rPr>
                <w:sz w:val="20"/>
                <w:szCs w:val="20"/>
              </w:rPr>
              <w:t> </w:t>
            </w:r>
          </w:p>
        </w:tc>
        <w:tc>
          <w:tcPr>
            <w:tcW w:w="376" w:type="pct"/>
            <w:noWrap/>
            <w:tcMar>
              <w:top w:w="0" w:type="dxa"/>
              <w:left w:w="0" w:type="dxa"/>
              <w:bottom w:w="0" w:type="dxa"/>
              <w:right w:w="0" w:type="dxa"/>
            </w:tcMar>
            <w:vAlign w:val="bottom"/>
            <w:hideMark/>
          </w:tcPr>
          <w:p w14:paraId="29A58675" w14:textId="77777777" w:rsidR="00000000" w:rsidRDefault="001F1B20">
            <w:pPr>
              <w:pStyle w:val="a3"/>
              <w:spacing w:before="0" w:beforeAutospacing="0" w:after="0" w:afterAutospacing="0"/>
              <w:ind w:right="60"/>
              <w:jc w:val="right"/>
              <w:rPr>
                <w:sz w:val="20"/>
                <w:szCs w:val="20"/>
              </w:rPr>
            </w:pPr>
            <w:r>
              <w:rPr>
                <w:sz w:val="20"/>
                <w:szCs w:val="20"/>
              </w:rPr>
              <w:t>23,72</w:t>
            </w:r>
            <w:r>
              <w:rPr>
                <w:sz w:val="20"/>
                <w:szCs w:val="20"/>
              </w:rPr>
              <w:t>4</w:t>
            </w:r>
          </w:p>
        </w:tc>
        <w:tc>
          <w:tcPr>
            <w:tcW w:w="39" w:type="pct"/>
            <w:noWrap/>
            <w:tcMar>
              <w:top w:w="0" w:type="dxa"/>
              <w:left w:w="0" w:type="dxa"/>
              <w:bottom w:w="0" w:type="dxa"/>
              <w:right w:w="0" w:type="dxa"/>
            </w:tcMar>
            <w:vAlign w:val="bottom"/>
            <w:hideMark/>
          </w:tcPr>
          <w:p w14:paraId="4E23FEBC" w14:textId="77777777" w:rsidR="00000000" w:rsidRDefault="001F1B20">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55F05008" w14:textId="77777777" w:rsidR="00000000" w:rsidRDefault="001F1B20">
            <w:pPr>
              <w:pStyle w:val="a3"/>
              <w:spacing w:before="0" w:beforeAutospacing="0" w:after="0" w:afterAutospacing="0"/>
              <w:rPr>
                <w:sz w:val="20"/>
                <w:szCs w:val="20"/>
              </w:rPr>
            </w:pPr>
            <w:r>
              <w:rPr>
                <w:sz w:val="20"/>
                <w:szCs w:val="20"/>
              </w:rPr>
              <w:t>​</w:t>
            </w:r>
          </w:p>
        </w:tc>
        <w:tc>
          <w:tcPr>
            <w:tcW w:w="363" w:type="pct"/>
            <w:noWrap/>
            <w:tcMar>
              <w:top w:w="0" w:type="dxa"/>
              <w:left w:w="0" w:type="dxa"/>
              <w:bottom w:w="0" w:type="dxa"/>
              <w:right w:w="0" w:type="dxa"/>
            </w:tcMar>
            <w:vAlign w:val="bottom"/>
            <w:hideMark/>
          </w:tcPr>
          <w:p w14:paraId="7F3B25A9" w14:textId="77777777" w:rsidR="00000000" w:rsidRDefault="001F1B20">
            <w:pPr>
              <w:pStyle w:val="a3"/>
              <w:spacing w:before="0" w:beforeAutospacing="0" w:after="0" w:afterAutospacing="0"/>
              <w:jc w:val="right"/>
              <w:rPr>
                <w:sz w:val="20"/>
                <w:szCs w:val="20"/>
              </w:rPr>
            </w:pPr>
            <w:r>
              <w:rPr>
                <w:sz w:val="20"/>
                <w:szCs w:val="20"/>
              </w:rPr>
              <w:t>(1,532</w:t>
            </w:r>
            <w:r>
              <w:rPr>
                <w:sz w:val="20"/>
                <w:szCs w:val="20"/>
              </w:rPr>
              <w:t>)</w:t>
            </w:r>
          </w:p>
        </w:tc>
        <w:tc>
          <w:tcPr>
            <w:tcW w:w="39" w:type="pct"/>
            <w:noWrap/>
            <w:tcMar>
              <w:top w:w="0" w:type="dxa"/>
              <w:left w:w="0" w:type="dxa"/>
              <w:bottom w:w="0" w:type="dxa"/>
              <w:right w:w="0" w:type="dxa"/>
            </w:tcMar>
            <w:vAlign w:val="bottom"/>
            <w:hideMark/>
          </w:tcPr>
          <w:p w14:paraId="1B20ADAC" w14:textId="77777777" w:rsidR="00000000" w:rsidRDefault="001F1B20">
            <w:pPr>
              <w:pStyle w:val="a3"/>
              <w:spacing w:before="0" w:beforeAutospacing="0" w:after="0" w:afterAutospacing="0"/>
              <w:jc w:val="center"/>
              <w:rPr>
                <w:sz w:val="20"/>
                <w:szCs w:val="20"/>
              </w:rPr>
            </w:pPr>
            <w:r>
              <w:rPr>
                <w:sz w:val="20"/>
                <w:szCs w:val="20"/>
              </w:rPr>
              <w:t>​</w:t>
            </w:r>
          </w:p>
        </w:tc>
        <w:tc>
          <w:tcPr>
            <w:tcW w:w="190" w:type="pct"/>
            <w:noWrap/>
            <w:tcMar>
              <w:top w:w="0" w:type="dxa"/>
              <w:left w:w="0" w:type="dxa"/>
              <w:bottom w:w="0" w:type="dxa"/>
              <w:right w:w="0" w:type="dxa"/>
            </w:tcMar>
            <w:vAlign w:val="bottom"/>
            <w:hideMark/>
          </w:tcPr>
          <w:p w14:paraId="4FB35AE7" w14:textId="77777777" w:rsidR="00000000" w:rsidRDefault="001F1B20">
            <w:pPr>
              <w:pStyle w:val="a3"/>
              <w:spacing w:before="0" w:beforeAutospacing="0" w:after="0" w:afterAutospacing="0"/>
              <w:jc w:val="right"/>
              <w:rPr>
                <w:sz w:val="20"/>
                <w:szCs w:val="20"/>
              </w:rPr>
            </w:pPr>
            <w:r>
              <w:rPr>
                <w:sz w:val="20"/>
                <w:szCs w:val="20"/>
              </w:rPr>
              <w:t>(6</w:t>
            </w:r>
            <w:r>
              <w:rPr>
                <w:sz w:val="20"/>
                <w:szCs w:val="20"/>
              </w:rPr>
              <w:t>)</w:t>
            </w:r>
          </w:p>
        </w:tc>
        <w:tc>
          <w:tcPr>
            <w:tcW w:w="132" w:type="pct"/>
            <w:noWrap/>
            <w:tcMar>
              <w:top w:w="0" w:type="dxa"/>
              <w:left w:w="0" w:type="dxa"/>
              <w:bottom w:w="0" w:type="dxa"/>
              <w:right w:w="0" w:type="dxa"/>
            </w:tcMar>
            <w:vAlign w:val="bottom"/>
            <w:hideMark/>
          </w:tcPr>
          <w:p w14:paraId="2EB32B55" w14:textId="77777777" w:rsidR="00000000" w:rsidRDefault="001F1B20">
            <w:pPr>
              <w:pStyle w:val="a3"/>
              <w:spacing w:before="0" w:beforeAutospacing="0" w:after="0" w:afterAutospacing="0"/>
              <w:jc w:val="center"/>
              <w:rPr>
                <w:sz w:val="20"/>
                <w:szCs w:val="20"/>
              </w:rPr>
            </w:pPr>
            <w:r>
              <w:rPr>
                <w:sz w:val="20"/>
                <w:szCs w:val="20"/>
              </w:rPr>
              <w:t>​</w:t>
            </w:r>
          </w:p>
        </w:tc>
      </w:tr>
      <w:tr w:rsidR="00000000" w14:paraId="578C832C" w14:textId="77777777">
        <w:trPr>
          <w:divId w:val="595986978"/>
        </w:trPr>
        <w:tc>
          <w:tcPr>
            <w:tcW w:w="1603" w:type="pct"/>
            <w:shd w:val="clear" w:color="auto" w:fill="CCEEFF"/>
            <w:tcMar>
              <w:top w:w="0" w:type="dxa"/>
              <w:left w:w="0" w:type="dxa"/>
              <w:bottom w:w="0" w:type="dxa"/>
              <w:right w:w="0" w:type="dxa"/>
            </w:tcMar>
            <w:vAlign w:val="bottom"/>
            <w:hideMark/>
          </w:tcPr>
          <w:p w14:paraId="43D93FE6" w14:textId="77777777" w:rsidR="00000000" w:rsidRDefault="001F1B20">
            <w:pPr>
              <w:pStyle w:val="a3"/>
              <w:spacing w:before="0" w:beforeAutospacing="0" w:after="0" w:afterAutospacing="0"/>
              <w:rPr>
                <w:sz w:val="20"/>
                <w:szCs w:val="20"/>
              </w:rPr>
            </w:pPr>
            <w:r>
              <w:rPr>
                <w:sz w:val="20"/>
                <w:szCs w:val="20"/>
              </w:rPr>
              <w:t>External-related</w:t>
            </w:r>
          </w:p>
        </w:tc>
        <w:tc>
          <w:tcPr>
            <w:tcW w:w="39" w:type="pct"/>
            <w:shd w:val="clear" w:color="auto" w:fill="CCEEFF"/>
            <w:noWrap/>
            <w:tcMar>
              <w:top w:w="0" w:type="dxa"/>
              <w:left w:w="0" w:type="dxa"/>
              <w:bottom w:w="0" w:type="dxa"/>
              <w:right w:w="0" w:type="dxa"/>
            </w:tcMar>
            <w:vAlign w:val="bottom"/>
            <w:hideMark/>
          </w:tcPr>
          <w:p w14:paraId="007530A7"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AD81ED5" w14:textId="77777777" w:rsidR="00000000" w:rsidRDefault="001F1B20">
            <w:pPr>
              <w:pStyle w:val="a3"/>
              <w:spacing w:before="0" w:beforeAutospacing="0" w:after="0" w:afterAutospacing="0"/>
              <w:jc w:val="center"/>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14:paraId="402392A5" w14:textId="77777777" w:rsidR="00000000" w:rsidRDefault="001F1B20">
            <w:pPr>
              <w:pStyle w:val="a3"/>
              <w:spacing w:before="0" w:beforeAutospacing="0" w:after="0" w:afterAutospacing="0"/>
              <w:ind w:right="60"/>
              <w:jc w:val="right"/>
              <w:rPr>
                <w:sz w:val="20"/>
                <w:szCs w:val="20"/>
              </w:rPr>
            </w:pPr>
            <w:r>
              <w:rPr>
                <w:sz w:val="20"/>
                <w:szCs w:val="20"/>
              </w:rPr>
              <w:t>23,69</w:t>
            </w:r>
            <w:r>
              <w:rPr>
                <w:sz w:val="20"/>
                <w:szCs w:val="20"/>
              </w:rPr>
              <w:t>3</w:t>
            </w:r>
          </w:p>
        </w:tc>
        <w:tc>
          <w:tcPr>
            <w:tcW w:w="39" w:type="pct"/>
            <w:shd w:val="clear" w:color="auto" w:fill="CCEEFF"/>
            <w:noWrap/>
            <w:tcMar>
              <w:top w:w="0" w:type="dxa"/>
              <w:left w:w="0" w:type="dxa"/>
              <w:bottom w:w="0" w:type="dxa"/>
              <w:right w:w="0" w:type="dxa"/>
            </w:tcMar>
            <w:vAlign w:val="bottom"/>
            <w:hideMark/>
          </w:tcPr>
          <w:p w14:paraId="2FBD8AF0"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1587E3D2" w14:textId="77777777" w:rsidR="00000000" w:rsidRDefault="001F1B20">
            <w:pPr>
              <w:pStyle w:val="a3"/>
              <w:spacing w:before="0" w:beforeAutospacing="0" w:after="0" w:afterAutospacing="0"/>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14:paraId="193B9F78" w14:textId="77777777" w:rsidR="00000000" w:rsidRDefault="001F1B20">
            <w:pPr>
              <w:pStyle w:val="a3"/>
              <w:spacing w:before="0" w:beforeAutospacing="0" w:after="0" w:afterAutospacing="0"/>
              <w:ind w:right="60"/>
              <w:jc w:val="right"/>
              <w:rPr>
                <w:sz w:val="20"/>
                <w:szCs w:val="20"/>
              </w:rPr>
            </w:pPr>
            <w:r>
              <w:rPr>
                <w:sz w:val="20"/>
                <w:szCs w:val="20"/>
              </w:rPr>
              <w:t>35,75</w:t>
            </w:r>
            <w:r>
              <w:rPr>
                <w:sz w:val="20"/>
                <w:szCs w:val="20"/>
              </w:rPr>
              <w:t>9</w:t>
            </w:r>
          </w:p>
        </w:tc>
        <w:tc>
          <w:tcPr>
            <w:tcW w:w="39" w:type="pct"/>
            <w:shd w:val="clear" w:color="auto" w:fill="CCEEFF"/>
            <w:noWrap/>
            <w:tcMar>
              <w:top w:w="0" w:type="dxa"/>
              <w:left w:w="0" w:type="dxa"/>
              <w:bottom w:w="0" w:type="dxa"/>
              <w:right w:w="0" w:type="dxa"/>
            </w:tcMar>
            <w:vAlign w:val="bottom"/>
            <w:hideMark/>
          </w:tcPr>
          <w:p w14:paraId="1F619091"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CF3D992" w14:textId="77777777" w:rsidR="00000000" w:rsidRDefault="001F1B20">
            <w:pPr>
              <w:pStyle w:val="a3"/>
              <w:spacing w:before="0" w:beforeAutospacing="0" w:after="0" w:afterAutospacing="0"/>
              <w:rPr>
                <w:sz w:val="20"/>
                <w:szCs w:val="20"/>
              </w:rPr>
            </w:pPr>
            <w:r>
              <w:rPr>
                <w:sz w:val="20"/>
                <w:szCs w:val="20"/>
              </w:rPr>
              <w:t> </w:t>
            </w:r>
          </w:p>
        </w:tc>
        <w:tc>
          <w:tcPr>
            <w:tcW w:w="363" w:type="pct"/>
            <w:shd w:val="clear" w:color="auto" w:fill="CCEEFF"/>
            <w:noWrap/>
            <w:tcMar>
              <w:top w:w="0" w:type="dxa"/>
              <w:left w:w="0" w:type="dxa"/>
              <w:bottom w:w="0" w:type="dxa"/>
              <w:right w:w="0" w:type="dxa"/>
            </w:tcMar>
            <w:vAlign w:val="bottom"/>
            <w:hideMark/>
          </w:tcPr>
          <w:p w14:paraId="31EEC082" w14:textId="77777777" w:rsidR="00000000" w:rsidRDefault="001F1B20">
            <w:pPr>
              <w:pStyle w:val="a3"/>
              <w:spacing w:before="0" w:beforeAutospacing="0" w:after="0" w:afterAutospacing="0"/>
              <w:jc w:val="right"/>
              <w:rPr>
                <w:sz w:val="20"/>
                <w:szCs w:val="20"/>
              </w:rPr>
            </w:pPr>
            <w:r>
              <w:rPr>
                <w:sz w:val="20"/>
                <w:szCs w:val="20"/>
              </w:rPr>
              <w:t>(12,066</w:t>
            </w:r>
            <w:r>
              <w:rPr>
                <w:sz w:val="20"/>
                <w:szCs w:val="20"/>
              </w:rPr>
              <w:t>)</w:t>
            </w:r>
          </w:p>
        </w:tc>
        <w:tc>
          <w:tcPr>
            <w:tcW w:w="39" w:type="pct"/>
            <w:shd w:val="clear" w:color="auto" w:fill="CCEEFF"/>
            <w:noWrap/>
            <w:tcMar>
              <w:top w:w="0" w:type="dxa"/>
              <w:left w:w="0" w:type="dxa"/>
              <w:bottom w:w="0" w:type="dxa"/>
              <w:right w:w="0" w:type="dxa"/>
            </w:tcMar>
            <w:vAlign w:val="bottom"/>
            <w:hideMark/>
          </w:tcPr>
          <w:p w14:paraId="2F5C087B" w14:textId="77777777" w:rsidR="00000000" w:rsidRDefault="001F1B20">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14:paraId="78BE1492" w14:textId="77777777" w:rsidR="00000000" w:rsidRDefault="001F1B20">
            <w:pPr>
              <w:pStyle w:val="a3"/>
              <w:spacing w:before="0" w:beforeAutospacing="0" w:after="0" w:afterAutospacing="0"/>
              <w:jc w:val="right"/>
              <w:rPr>
                <w:sz w:val="20"/>
                <w:szCs w:val="20"/>
              </w:rPr>
            </w:pPr>
            <w:r>
              <w:rPr>
                <w:sz w:val="20"/>
                <w:szCs w:val="20"/>
              </w:rPr>
              <w:t>(34</w:t>
            </w:r>
            <w:r>
              <w:rPr>
                <w:sz w:val="20"/>
                <w:szCs w:val="20"/>
              </w:rPr>
              <w:t>)</w:t>
            </w:r>
          </w:p>
        </w:tc>
        <w:tc>
          <w:tcPr>
            <w:tcW w:w="132" w:type="pct"/>
            <w:shd w:val="clear" w:color="auto" w:fill="CCEEFF"/>
            <w:noWrap/>
            <w:tcMar>
              <w:top w:w="0" w:type="dxa"/>
              <w:left w:w="0" w:type="dxa"/>
              <w:bottom w:w="0" w:type="dxa"/>
              <w:right w:w="0" w:type="dxa"/>
            </w:tcMar>
            <w:vAlign w:val="bottom"/>
            <w:hideMark/>
          </w:tcPr>
          <w:p w14:paraId="2F282697" w14:textId="77777777" w:rsidR="00000000" w:rsidRDefault="001F1B20">
            <w:pPr>
              <w:pStyle w:val="a3"/>
              <w:spacing w:before="0" w:beforeAutospacing="0" w:after="0" w:afterAutospacing="0"/>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325D4AF2"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4010E275" w14:textId="77777777" w:rsidR="00000000" w:rsidRDefault="001F1B20">
            <w:pPr>
              <w:pStyle w:val="a3"/>
              <w:spacing w:before="0" w:beforeAutospacing="0" w:after="0" w:afterAutospacing="0"/>
              <w:rPr>
                <w:sz w:val="20"/>
                <w:szCs w:val="20"/>
              </w:rPr>
            </w:pPr>
            <w:r>
              <w:rPr>
                <w:sz w:val="20"/>
                <w:szCs w:val="20"/>
              </w:rPr>
              <w:t> </w:t>
            </w:r>
          </w:p>
        </w:tc>
        <w:tc>
          <w:tcPr>
            <w:tcW w:w="376" w:type="pct"/>
            <w:shd w:val="clear" w:color="auto" w:fill="CCEEFF"/>
            <w:noWrap/>
            <w:tcMar>
              <w:top w:w="0" w:type="dxa"/>
              <w:left w:w="0" w:type="dxa"/>
              <w:bottom w:w="0" w:type="dxa"/>
              <w:right w:w="0" w:type="dxa"/>
            </w:tcMar>
            <w:vAlign w:val="bottom"/>
            <w:hideMark/>
          </w:tcPr>
          <w:p w14:paraId="62CC735A" w14:textId="77777777" w:rsidR="00000000" w:rsidRDefault="001F1B20">
            <w:pPr>
              <w:pStyle w:val="a3"/>
              <w:spacing w:before="0" w:beforeAutospacing="0" w:after="0" w:afterAutospacing="0"/>
              <w:ind w:right="60"/>
              <w:jc w:val="right"/>
              <w:rPr>
                <w:sz w:val="20"/>
                <w:szCs w:val="20"/>
              </w:rPr>
            </w:pPr>
            <w:r>
              <w:rPr>
                <w:sz w:val="20"/>
                <w:szCs w:val="20"/>
              </w:rPr>
              <w:t>78,55</w:t>
            </w:r>
            <w:r>
              <w:rPr>
                <w:sz w:val="20"/>
                <w:szCs w:val="20"/>
              </w:rPr>
              <w:t>1</w:t>
            </w:r>
          </w:p>
        </w:tc>
        <w:tc>
          <w:tcPr>
            <w:tcW w:w="39" w:type="pct"/>
            <w:shd w:val="clear" w:color="auto" w:fill="CCEEFF"/>
            <w:noWrap/>
            <w:tcMar>
              <w:top w:w="0" w:type="dxa"/>
              <w:left w:w="0" w:type="dxa"/>
              <w:bottom w:w="0" w:type="dxa"/>
              <w:right w:w="0" w:type="dxa"/>
            </w:tcMar>
            <w:vAlign w:val="bottom"/>
            <w:hideMark/>
          </w:tcPr>
          <w:p w14:paraId="58721D29"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CD58317" w14:textId="77777777" w:rsidR="00000000" w:rsidRDefault="001F1B20">
            <w:pPr>
              <w:pStyle w:val="a3"/>
              <w:spacing w:before="0" w:beforeAutospacing="0" w:after="0" w:afterAutospacing="0"/>
              <w:rPr>
                <w:sz w:val="20"/>
                <w:szCs w:val="20"/>
              </w:rPr>
            </w:pPr>
            <w:r>
              <w:rPr>
                <w:sz w:val="20"/>
                <w:szCs w:val="20"/>
              </w:rPr>
              <w:t> </w:t>
            </w:r>
          </w:p>
        </w:tc>
        <w:tc>
          <w:tcPr>
            <w:tcW w:w="376" w:type="pct"/>
            <w:shd w:val="clear" w:color="auto" w:fill="CCEEFF"/>
            <w:noWrap/>
            <w:tcMar>
              <w:top w:w="0" w:type="dxa"/>
              <w:left w:w="0" w:type="dxa"/>
              <w:bottom w:w="0" w:type="dxa"/>
              <w:right w:w="0" w:type="dxa"/>
            </w:tcMar>
            <w:vAlign w:val="bottom"/>
            <w:hideMark/>
          </w:tcPr>
          <w:p w14:paraId="1612D0FD" w14:textId="77777777" w:rsidR="00000000" w:rsidRDefault="001F1B20">
            <w:pPr>
              <w:pStyle w:val="a3"/>
              <w:spacing w:before="0" w:beforeAutospacing="0" w:after="0" w:afterAutospacing="0"/>
              <w:ind w:right="60"/>
              <w:jc w:val="right"/>
              <w:rPr>
                <w:sz w:val="20"/>
                <w:szCs w:val="20"/>
              </w:rPr>
            </w:pPr>
            <w:r>
              <w:rPr>
                <w:sz w:val="20"/>
                <w:szCs w:val="20"/>
              </w:rPr>
              <w:t>101,55</w:t>
            </w:r>
            <w:r>
              <w:rPr>
                <w:sz w:val="20"/>
                <w:szCs w:val="20"/>
              </w:rPr>
              <w:t>6</w:t>
            </w:r>
          </w:p>
        </w:tc>
        <w:tc>
          <w:tcPr>
            <w:tcW w:w="39" w:type="pct"/>
            <w:shd w:val="clear" w:color="auto" w:fill="CCEEFF"/>
            <w:noWrap/>
            <w:tcMar>
              <w:top w:w="0" w:type="dxa"/>
              <w:left w:w="0" w:type="dxa"/>
              <w:bottom w:w="0" w:type="dxa"/>
              <w:right w:w="0" w:type="dxa"/>
            </w:tcMar>
            <w:vAlign w:val="bottom"/>
            <w:hideMark/>
          </w:tcPr>
          <w:p w14:paraId="6AE84643"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BDC55B3" w14:textId="77777777" w:rsidR="00000000" w:rsidRDefault="001F1B20">
            <w:pPr>
              <w:pStyle w:val="a3"/>
              <w:spacing w:before="0" w:beforeAutospacing="0" w:after="0" w:afterAutospacing="0"/>
              <w:jc w:val="center"/>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14:paraId="7ED09A73" w14:textId="77777777" w:rsidR="00000000" w:rsidRDefault="001F1B20">
            <w:pPr>
              <w:pStyle w:val="a3"/>
              <w:spacing w:before="0" w:beforeAutospacing="0" w:after="0" w:afterAutospacing="0"/>
              <w:jc w:val="right"/>
              <w:rPr>
                <w:sz w:val="20"/>
                <w:szCs w:val="20"/>
              </w:rPr>
            </w:pPr>
            <w:r>
              <w:rPr>
                <w:sz w:val="20"/>
                <w:szCs w:val="20"/>
              </w:rPr>
              <w:t>(23,005</w:t>
            </w:r>
            <w:r>
              <w:rPr>
                <w:sz w:val="20"/>
                <w:szCs w:val="20"/>
              </w:rPr>
              <w:t>)</w:t>
            </w:r>
          </w:p>
        </w:tc>
        <w:tc>
          <w:tcPr>
            <w:tcW w:w="39" w:type="pct"/>
            <w:shd w:val="clear" w:color="auto" w:fill="CCEEFF"/>
            <w:noWrap/>
            <w:tcMar>
              <w:top w:w="0" w:type="dxa"/>
              <w:left w:w="0" w:type="dxa"/>
              <w:bottom w:w="0" w:type="dxa"/>
              <w:right w:w="0" w:type="dxa"/>
            </w:tcMar>
            <w:vAlign w:val="bottom"/>
            <w:hideMark/>
          </w:tcPr>
          <w:p w14:paraId="23C239AC" w14:textId="77777777" w:rsidR="00000000" w:rsidRDefault="001F1B20">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14:paraId="6D2B33C1" w14:textId="77777777" w:rsidR="00000000" w:rsidRDefault="001F1B20">
            <w:pPr>
              <w:pStyle w:val="a3"/>
              <w:spacing w:before="0" w:beforeAutospacing="0" w:after="0" w:afterAutospacing="0"/>
              <w:jc w:val="right"/>
              <w:rPr>
                <w:sz w:val="20"/>
                <w:szCs w:val="20"/>
              </w:rPr>
            </w:pPr>
            <w:r>
              <w:rPr>
                <w:sz w:val="20"/>
                <w:szCs w:val="20"/>
              </w:rPr>
              <w:t>(23</w:t>
            </w:r>
            <w:r>
              <w:rPr>
                <w:sz w:val="20"/>
                <w:szCs w:val="20"/>
              </w:rPr>
              <w:t>)</w:t>
            </w:r>
          </w:p>
        </w:tc>
        <w:tc>
          <w:tcPr>
            <w:tcW w:w="132" w:type="pct"/>
            <w:shd w:val="clear" w:color="auto" w:fill="CCEEFF"/>
            <w:noWrap/>
            <w:tcMar>
              <w:top w:w="0" w:type="dxa"/>
              <w:left w:w="0" w:type="dxa"/>
              <w:bottom w:w="0" w:type="dxa"/>
              <w:right w:w="0" w:type="dxa"/>
            </w:tcMar>
            <w:vAlign w:val="bottom"/>
            <w:hideMark/>
          </w:tcPr>
          <w:p w14:paraId="2D6D5CC3" w14:textId="77777777" w:rsidR="00000000" w:rsidRDefault="001F1B20">
            <w:pPr>
              <w:pStyle w:val="a3"/>
              <w:spacing w:before="0" w:beforeAutospacing="0" w:after="0" w:afterAutospacing="0"/>
              <w:jc w:val="center"/>
              <w:rPr>
                <w:sz w:val="20"/>
                <w:szCs w:val="20"/>
              </w:rPr>
            </w:pPr>
            <w:r>
              <w:rPr>
                <w:sz w:val="20"/>
                <w:szCs w:val="20"/>
              </w:rPr>
              <w:t>​</w:t>
            </w:r>
          </w:p>
        </w:tc>
      </w:tr>
      <w:tr w:rsidR="00000000" w14:paraId="6CB0BDD6" w14:textId="77777777">
        <w:trPr>
          <w:divId w:val="595986978"/>
        </w:trPr>
        <w:tc>
          <w:tcPr>
            <w:tcW w:w="1603" w:type="pct"/>
            <w:tcMar>
              <w:top w:w="0" w:type="dxa"/>
              <w:left w:w="0" w:type="dxa"/>
              <w:bottom w:w="0" w:type="dxa"/>
              <w:right w:w="0" w:type="dxa"/>
            </w:tcMar>
            <w:vAlign w:val="bottom"/>
            <w:hideMark/>
          </w:tcPr>
          <w:p w14:paraId="44912320" w14:textId="77777777" w:rsidR="00000000" w:rsidRDefault="001F1B20">
            <w:pPr>
              <w:pStyle w:val="a3"/>
              <w:spacing w:before="0" w:beforeAutospacing="0" w:after="0" w:afterAutospacing="0"/>
              <w:ind w:hanging="180"/>
              <w:rPr>
                <w:sz w:val="20"/>
                <w:szCs w:val="20"/>
              </w:rPr>
            </w:pPr>
            <w:r>
              <w:rPr>
                <w:sz w:val="20"/>
                <w:szCs w:val="20"/>
              </w:rPr>
              <w:t>Facilities, depreciation and other allocated expenses</w:t>
            </w:r>
          </w:p>
        </w:tc>
        <w:tc>
          <w:tcPr>
            <w:tcW w:w="39" w:type="pct"/>
            <w:noWrap/>
            <w:tcMar>
              <w:top w:w="0" w:type="dxa"/>
              <w:left w:w="0" w:type="dxa"/>
              <w:bottom w:w="0" w:type="dxa"/>
              <w:right w:w="0" w:type="dxa"/>
            </w:tcMar>
            <w:vAlign w:val="bottom"/>
            <w:hideMark/>
          </w:tcPr>
          <w:p w14:paraId="0EFD4AEF"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2630712B" w14:textId="77777777" w:rsidR="00000000" w:rsidRDefault="001F1B20">
            <w:pPr>
              <w:pStyle w:val="a3"/>
              <w:spacing w:before="0" w:beforeAutospacing="0" w:after="0" w:afterAutospacing="0"/>
              <w:jc w:val="center"/>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14:paraId="2B7236E5" w14:textId="77777777" w:rsidR="00000000" w:rsidRDefault="001F1B20">
            <w:pPr>
              <w:pStyle w:val="a3"/>
              <w:spacing w:before="0" w:beforeAutospacing="0" w:after="0" w:afterAutospacing="0"/>
              <w:ind w:right="60"/>
              <w:jc w:val="right"/>
              <w:rPr>
                <w:sz w:val="20"/>
                <w:szCs w:val="20"/>
              </w:rPr>
            </w:pPr>
            <w:r>
              <w:rPr>
                <w:sz w:val="20"/>
                <w:szCs w:val="20"/>
              </w:rPr>
              <w:t>5,58</w:t>
            </w:r>
            <w:r>
              <w:rPr>
                <w:sz w:val="20"/>
                <w:szCs w:val="20"/>
              </w:rPr>
              <w:t>4</w:t>
            </w:r>
          </w:p>
        </w:tc>
        <w:tc>
          <w:tcPr>
            <w:tcW w:w="39" w:type="pct"/>
            <w:noWrap/>
            <w:tcMar>
              <w:top w:w="0" w:type="dxa"/>
              <w:left w:w="0" w:type="dxa"/>
              <w:bottom w:w="0" w:type="dxa"/>
              <w:right w:w="0" w:type="dxa"/>
            </w:tcMar>
            <w:vAlign w:val="bottom"/>
            <w:hideMark/>
          </w:tcPr>
          <w:p w14:paraId="57B0B27A"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30BBD082" w14:textId="77777777" w:rsidR="00000000" w:rsidRDefault="001F1B20">
            <w:pPr>
              <w:pStyle w:val="a3"/>
              <w:spacing w:before="0" w:beforeAutospacing="0" w:after="0" w:afterAutospacing="0"/>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14:paraId="303ACB11" w14:textId="77777777" w:rsidR="00000000" w:rsidRDefault="001F1B20">
            <w:pPr>
              <w:pStyle w:val="a3"/>
              <w:spacing w:before="0" w:beforeAutospacing="0" w:after="0" w:afterAutospacing="0"/>
              <w:ind w:right="60"/>
              <w:jc w:val="right"/>
              <w:rPr>
                <w:sz w:val="20"/>
                <w:szCs w:val="20"/>
              </w:rPr>
            </w:pPr>
            <w:r>
              <w:rPr>
                <w:sz w:val="20"/>
                <w:szCs w:val="20"/>
              </w:rPr>
              <w:t>7,87</w:t>
            </w:r>
            <w:r>
              <w:rPr>
                <w:sz w:val="20"/>
                <w:szCs w:val="20"/>
              </w:rPr>
              <w:t>2</w:t>
            </w:r>
          </w:p>
        </w:tc>
        <w:tc>
          <w:tcPr>
            <w:tcW w:w="39" w:type="pct"/>
            <w:noWrap/>
            <w:tcMar>
              <w:top w:w="0" w:type="dxa"/>
              <w:left w:w="0" w:type="dxa"/>
              <w:bottom w:w="0" w:type="dxa"/>
              <w:right w:w="0" w:type="dxa"/>
            </w:tcMar>
            <w:vAlign w:val="bottom"/>
            <w:hideMark/>
          </w:tcPr>
          <w:p w14:paraId="5A8D1BB9"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726D6C29" w14:textId="77777777" w:rsidR="00000000" w:rsidRDefault="001F1B20">
            <w:pPr>
              <w:pStyle w:val="a3"/>
              <w:spacing w:before="0" w:beforeAutospacing="0" w:after="0" w:afterAutospacing="0"/>
              <w:rPr>
                <w:sz w:val="20"/>
                <w:szCs w:val="20"/>
              </w:rPr>
            </w:pPr>
            <w:r>
              <w:rPr>
                <w:sz w:val="20"/>
                <w:szCs w:val="20"/>
              </w:rPr>
              <w:t> </w:t>
            </w:r>
          </w:p>
        </w:tc>
        <w:tc>
          <w:tcPr>
            <w:tcW w:w="363" w:type="pct"/>
            <w:tcBorders>
              <w:bottom w:val="single" w:sz="6" w:space="0" w:color="000000"/>
            </w:tcBorders>
            <w:noWrap/>
            <w:tcMar>
              <w:top w:w="0" w:type="dxa"/>
              <w:left w:w="0" w:type="dxa"/>
              <w:bottom w:w="0" w:type="dxa"/>
              <w:right w:w="0" w:type="dxa"/>
            </w:tcMar>
            <w:vAlign w:val="bottom"/>
            <w:hideMark/>
          </w:tcPr>
          <w:p w14:paraId="6ADB4692" w14:textId="77777777" w:rsidR="00000000" w:rsidRDefault="001F1B20">
            <w:pPr>
              <w:pStyle w:val="a3"/>
              <w:spacing w:before="0" w:beforeAutospacing="0" w:after="0" w:afterAutospacing="0"/>
              <w:jc w:val="right"/>
              <w:rPr>
                <w:sz w:val="20"/>
                <w:szCs w:val="20"/>
              </w:rPr>
            </w:pPr>
            <w:r>
              <w:rPr>
                <w:sz w:val="20"/>
                <w:szCs w:val="20"/>
              </w:rPr>
              <w:t>(2,288</w:t>
            </w:r>
            <w:r>
              <w:rPr>
                <w:sz w:val="20"/>
                <w:szCs w:val="20"/>
              </w:rPr>
              <w:t>)</w:t>
            </w:r>
          </w:p>
        </w:tc>
        <w:tc>
          <w:tcPr>
            <w:tcW w:w="39" w:type="pct"/>
            <w:noWrap/>
            <w:tcMar>
              <w:top w:w="0" w:type="dxa"/>
              <w:left w:w="0" w:type="dxa"/>
              <w:bottom w:w="0" w:type="dxa"/>
              <w:right w:w="0" w:type="dxa"/>
            </w:tcMar>
            <w:vAlign w:val="bottom"/>
            <w:hideMark/>
          </w:tcPr>
          <w:p w14:paraId="792F3B9B" w14:textId="77777777" w:rsidR="00000000" w:rsidRDefault="001F1B20">
            <w:pPr>
              <w:pStyle w:val="a3"/>
              <w:spacing w:before="0" w:beforeAutospacing="0" w:after="0" w:afterAutospacing="0"/>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14:paraId="240EB128" w14:textId="77777777" w:rsidR="00000000" w:rsidRDefault="001F1B20">
            <w:pPr>
              <w:pStyle w:val="a3"/>
              <w:spacing w:before="0" w:beforeAutospacing="0" w:after="0" w:afterAutospacing="0"/>
              <w:jc w:val="right"/>
              <w:rPr>
                <w:sz w:val="20"/>
                <w:szCs w:val="20"/>
              </w:rPr>
            </w:pPr>
            <w:r>
              <w:rPr>
                <w:sz w:val="20"/>
                <w:szCs w:val="20"/>
              </w:rPr>
              <w:t>(29</w:t>
            </w:r>
            <w:r>
              <w:rPr>
                <w:sz w:val="20"/>
                <w:szCs w:val="20"/>
              </w:rPr>
              <w:t>)</w:t>
            </w:r>
          </w:p>
        </w:tc>
        <w:tc>
          <w:tcPr>
            <w:tcW w:w="132" w:type="pct"/>
            <w:noWrap/>
            <w:tcMar>
              <w:top w:w="0" w:type="dxa"/>
              <w:left w:w="0" w:type="dxa"/>
              <w:bottom w:w="0" w:type="dxa"/>
              <w:right w:w="0" w:type="dxa"/>
            </w:tcMar>
            <w:vAlign w:val="bottom"/>
            <w:hideMark/>
          </w:tcPr>
          <w:p w14:paraId="62AF0B25" w14:textId="77777777" w:rsidR="00000000" w:rsidRDefault="001F1B20">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14:paraId="704B6C72"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188C41BC" w14:textId="77777777" w:rsidR="00000000" w:rsidRDefault="001F1B20">
            <w:pPr>
              <w:pStyle w:val="a3"/>
              <w:spacing w:before="0" w:beforeAutospacing="0" w:after="0" w:afterAutospacing="0"/>
              <w:rPr>
                <w:sz w:val="20"/>
                <w:szCs w:val="20"/>
              </w:rPr>
            </w:pPr>
            <w:r>
              <w:rPr>
                <w:sz w:val="20"/>
                <w:szCs w:val="20"/>
              </w:rPr>
              <w:t> </w:t>
            </w:r>
          </w:p>
        </w:tc>
        <w:tc>
          <w:tcPr>
            <w:tcW w:w="376" w:type="pct"/>
            <w:tcBorders>
              <w:bottom w:val="single" w:sz="6" w:space="0" w:color="000000"/>
            </w:tcBorders>
            <w:noWrap/>
            <w:tcMar>
              <w:top w:w="0" w:type="dxa"/>
              <w:left w:w="0" w:type="dxa"/>
              <w:bottom w:w="0" w:type="dxa"/>
              <w:right w:w="0" w:type="dxa"/>
            </w:tcMar>
            <w:vAlign w:val="bottom"/>
            <w:hideMark/>
          </w:tcPr>
          <w:p w14:paraId="57C28790" w14:textId="77777777" w:rsidR="00000000" w:rsidRDefault="001F1B20">
            <w:pPr>
              <w:pStyle w:val="a3"/>
              <w:spacing w:before="0" w:beforeAutospacing="0" w:after="0" w:afterAutospacing="0"/>
              <w:ind w:right="60"/>
              <w:jc w:val="right"/>
              <w:rPr>
                <w:sz w:val="20"/>
                <w:szCs w:val="20"/>
              </w:rPr>
            </w:pPr>
            <w:r>
              <w:rPr>
                <w:sz w:val="20"/>
                <w:szCs w:val="20"/>
              </w:rPr>
              <w:t>22,16</w:t>
            </w:r>
            <w:r>
              <w:rPr>
                <w:sz w:val="20"/>
                <w:szCs w:val="20"/>
              </w:rPr>
              <w:t>7</w:t>
            </w:r>
          </w:p>
        </w:tc>
        <w:tc>
          <w:tcPr>
            <w:tcW w:w="39" w:type="pct"/>
            <w:noWrap/>
            <w:tcMar>
              <w:top w:w="0" w:type="dxa"/>
              <w:left w:w="0" w:type="dxa"/>
              <w:bottom w:w="0" w:type="dxa"/>
              <w:right w:w="0" w:type="dxa"/>
            </w:tcMar>
            <w:vAlign w:val="bottom"/>
            <w:hideMark/>
          </w:tcPr>
          <w:p w14:paraId="5CD776FA"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50FC4297" w14:textId="77777777" w:rsidR="00000000" w:rsidRDefault="001F1B20">
            <w:pPr>
              <w:pStyle w:val="a3"/>
              <w:spacing w:before="0" w:beforeAutospacing="0" w:after="0" w:afterAutospacing="0"/>
              <w:rPr>
                <w:sz w:val="20"/>
                <w:szCs w:val="20"/>
              </w:rPr>
            </w:pPr>
            <w:r>
              <w:rPr>
                <w:sz w:val="20"/>
                <w:szCs w:val="20"/>
              </w:rPr>
              <w:t> </w:t>
            </w:r>
          </w:p>
        </w:tc>
        <w:tc>
          <w:tcPr>
            <w:tcW w:w="376" w:type="pct"/>
            <w:tcBorders>
              <w:bottom w:val="single" w:sz="6" w:space="0" w:color="000000"/>
            </w:tcBorders>
            <w:noWrap/>
            <w:tcMar>
              <w:top w:w="0" w:type="dxa"/>
              <w:left w:w="0" w:type="dxa"/>
              <w:bottom w:w="0" w:type="dxa"/>
              <w:right w:w="0" w:type="dxa"/>
            </w:tcMar>
            <w:vAlign w:val="bottom"/>
            <w:hideMark/>
          </w:tcPr>
          <w:p w14:paraId="789378AA" w14:textId="77777777" w:rsidR="00000000" w:rsidRDefault="001F1B20">
            <w:pPr>
              <w:pStyle w:val="a3"/>
              <w:spacing w:before="0" w:beforeAutospacing="0" w:after="0" w:afterAutospacing="0"/>
              <w:ind w:right="60"/>
              <w:jc w:val="right"/>
              <w:rPr>
                <w:sz w:val="20"/>
                <w:szCs w:val="20"/>
              </w:rPr>
            </w:pPr>
            <w:r>
              <w:rPr>
                <w:sz w:val="20"/>
                <w:szCs w:val="20"/>
              </w:rPr>
              <w:t>25,22</w:t>
            </w:r>
            <w:r>
              <w:rPr>
                <w:sz w:val="20"/>
                <w:szCs w:val="20"/>
              </w:rPr>
              <w:t>3</w:t>
            </w:r>
          </w:p>
        </w:tc>
        <w:tc>
          <w:tcPr>
            <w:tcW w:w="39" w:type="pct"/>
            <w:noWrap/>
            <w:tcMar>
              <w:top w:w="0" w:type="dxa"/>
              <w:left w:w="0" w:type="dxa"/>
              <w:bottom w:w="0" w:type="dxa"/>
              <w:right w:w="0" w:type="dxa"/>
            </w:tcMar>
            <w:vAlign w:val="bottom"/>
            <w:hideMark/>
          </w:tcPr>
          <w:p w14:paraId="4C88FB7B"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3E2482EA" w14:textId="77777777" w:rsidR="00000000" w:rsidRDefault="001F1B20">
            <w:pPr>
              <w:pStyle w:val="a3"/>
              <w:spacing w:before="0" w:beforeAutospacing="0" w:after="0" w:afterAutospacing="0"/>
              <w:jc w:val="center"/>
              <w:rPr>
                <w:sz w:val="20"/>
                <w:szCs w:val="20"/>
              </w:rPr>
            </w:pPr>
            <w:r>
              <w:rPr>
                <w:sz w:val="20"/>
                <w:szCs w:val="20"/>
              </w:rPr>
              <w:t>​</w:t>
            </w:r>
          </w:p>
        </w:tc>
        <w:tc>
          <w:tcPr>
            <w:tcW w:w="363" w:type="pct"/>
            <w:tcBorders>
              <w:bottom w:val="single" w:sz="6" w:space="0" w:color="000000"/>
            </w:tcBorders>
            <w:noWrap/>
            <w:tcMar>
              <w:top w:w="0" w:type="dxa"/>
              <w:left w:w="0" w:type="dxa"/>
              <w:bottom w:w="0" w:type="dxa"/>
              <w:right w:w="0" w:type="dxa"/>
            </w:tcMar>
            <w:vAlign w:val="bottom"/>
            <w:hideMark/>
          </w:tcPr>
          <w:p w14:paraId="19BF0DB2" w14:textId="77777777" w:rsidR="00000000" w:rsidRDefault="001F1B20">
            <w:pPr>
              <w:pStyle w:val="a3"/>
              <w:spacing w:before="0" w:beforeAutospacing="0" w:after="0" w:afterAutospacing="0"/>
              <w:jc w:val="right"/>
              <w:rPr>
                <w:sz w:val="20"/>
                <w:szCs w:val="20"/>
              </w:rPr>
            </w:pPr>
            <w:r>
              <w:rPr>
                <w:sz w:val="20"/>
                <w:szCs w:val="20"/>
              </w:rPr>
              <w:t>(3,056</w:t>
            </w:r>
            <w:r>
              <w:rPr>
                <w:sz w:val="20"/>
                <w:szCs w:val="20"/>
              </w:rPr>
              <w:t>)</w:t>
            </w:r>
          </w:p>
        </w:tc>
        <w:tc>
          <w:tcPr>
            <w:tcW w:w="39" w:type="pct"/>
            <w:noWrap/>
            <w:tcMar>
              <w:top w:w="0" w:type="dxa"/>
              <w:left w:w="0" w:type="dxa"/>
              <w:bottom w:w="0" w:type="dxa"/>
              <w:right w:w="0" w:type="dxa"/>
            </w:tcMar>
            <w:vAlign w:val="bottom"/>
            <w:hideMark/>
          </w:tcPr>
          <w:p w14:paraId="517D3277" w14:textId="77777777" w:rsidR="00000000" w:rsidRDefault="001F1B20">
            <w:pPr>
              <w:pStyle w:val="a3"/>
              <w:spacing w:before="0" w:beforeAutospacing="0" w:after="0" w:afterAutospacing="0"/>
              <w:jc w:val="center"/>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14:paraId="4B05E00A" w14:textId="77777777" w:rsidR="00000000" w:rsidRDefault="001F1B20">
            <w:pPr>
              <w:pStyle w:val="a3"/>
              <w:spacing w:before="0" w:beforeAutospacing="0" w:after="0" w:afterAutospacing="0"/>
              <w:jc w:val="right"/>
              <w:rPr>
                <w:sz w:val="20"/>
                <w:szCs w:val="20"/>
              </w:rPr>
            </w:pPr>
            <w:r>
              <w:rPr>
                <w:sz w:val="20"/>
                <w:szCs w:val="20"/>
              </w:rPr>
              <w:t>(12</w:t>
            </w:r>
            <w:r>
              <w:rPr>
                <w:sz w:val="20"/>
                <w:szCs w:val="20"/>
              </w:rPr>
              <w:t>)</w:t>
            </w:r>
          </w:p>
        </w:tc>
        <w:tc>
          <w:tcPr>
            <w:tcW w:w="132" w:type="pct"/>
            <w:noWrap/>
            <w:tcMar>
              <w:top w:w="0" w:type="dxa"/>
              <w:left w:w="0" w:type="dxa"/>
              <w:bottom w:w="0" w:type="dxa"/>
              <w:right w:w="0" w:type="dxa"/>
            </w:tcMar>
            <w:vAlign w:val="bottom"/>
            <w:hideMark/>
          </w:tcPr>
          <w:p w14:paraId="3B70AD2F" w14:textId="77777777" w:rsidR="00000000" w:rsidRDefault="001F1B20">
            <w:pPr>
              <w:pStyle w:val="a3"/>
              <w:spacing w:before="0" w:beforeAutospacing="0" w:after="0" w:afterAutospacing="0"/>
              <w:jc w:val="center"/>
              <w:rPr>
                <w:sz w:val="20"/>
                <w:szCs w:val="20"/>
              </w:rPr>
            </w:pPr>
            <w:r>
              <w:rPr>
                <w:sz w:val="20"/>
                <w:szCs w:val="20"/>
              </w:rPr>
              <w:t>​</w:t>
            </w:r>
          </w:p>
        </w:tc>
      </w:tr>
      <w:tr w:rsidR="00000000" w14:paraId="25D42740" w14:textId="77777777">
        <w:trPr>
          <w:divId w:val="595986978"/>
        </w:trPr>
        <w:tc>
          <w:tcPr>
            <w:tcW w:w="1603" w:type="pct"/>
            <w:shd w:val="clear" w:color="auto" w:fill="CCEEFF"/>
            <w:tcMar>
              <w:top w:w="0" w:type="dxa"/>
              <w:left w:w="0" w:type="dxa"/>
              <w:bottom w:w="0" w:type="dxa"/>
              <w:right w:w="0" w:type="dxa"/>
            </w:tcMar>
            <w:vAlign w:val="bottom"/>
            <w:hideMark/>
          </w:tcPr>
          <w:p w14:paraId="536FABCF" w14:textId="77777777" w:rsidR="00000000" w:rsidRDefault="001F1B20">
            <w:pPr>
              <w:pStyle w:val="a3"/>
              <w:spacing w:before="0" w:beforeAutospacing="0" w:after="0" w:afterAutospacing="0"/>
              <w:ind w:left="120"/>
              <w:rPr>
                <w:sz w:val="20"/>
                <w:szCs w:val="20"/>
              </w:rPr>
            </w:pPr>
            <w:r>
              <w:rPr>
                <w:sz w:val="20"/>
                <w:szCs w:val="20"/>
              </w:rPr>
              <w:t>Total research &amp; development</w:t>
            </w:r>
          </w:p>
        </w:tc>
        <w:tc>
          <w:tcPr>
            <w:tcW w:w="39" w:type="pct"/>
            <w:shd w:val="clear" w:color="auto" w:fill="CCEEFF"/>
            <w:noWrap/>
            <w:tcMar>
              <w:top w:w="0" w:type="dxa"/>
              <w:left w:w="0" w:type="dxa"/>
              <w:bottom w:w="0" w:type="dxa"/>
              <w:right w:w="0" w:type="dxa"/>
            </w:tcMar>
            <w:vAlign w:val="bottom"/>
            <w:hideMark/>
          </w:tcPr>
          <w:p w14:paraId="7E1F01C8"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069450D8" w14:textId="77777777" w:rsidR="00000000" w:rsidRDefault="001F1B20">
            <w:pPr>
              <w:pStyle w:val="a3"/>
              <w:spacing w:before="0" w:beforeAutospacing="0" w:after="0" w:afterAutospacing="0"/>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14:paraId="02EE1343" w14:textId="77777777" w:rsidR="00000000" w:rsidRDefault="001F1B20">
            <w:pPr>
              <w:pStyle w:val="a3"/>
              <w:spacing w:before="0" w:beforeAutospacing="0" w:after="0" w:afterAutospacing="0"/>
              <w:ind w:right="60"/>
              <w:jc w:val="right"/>
              <w:rPr>
                <w:sz w:val="20"/>
                <w:szCs w:val="20"/>
              </w:rPr>
            </w:pPr>
            <w:r>
              <w:rPr>
                <w:sz w:val="20"/>
                <w:szCs w:val="20"/>
              </w:rPr>
              <w:t>43,73</w:t>
            </w:r>
            <w:r>
              <w:rPr>
                <w:sz w:val="20"/>
                <w:szCs w:val="20"/>
              </w:rPr>
              <w:t>9</w:t>
            </w:r>
          </w:p>
        </w:tc>
        <w:tc>
          <w:tcPr>
            <w:tcW w:w="39" w:type="pct"/>
            <w:shd w:val="clear" w:color="auto" w:fill="CCEEFF"/>
            <w:noWrap/>
            <w:tcMar>
              <w:top w:w="0" w:type="dxa"/>
              <w:left w:w="0" w:type="dxa"/>
              <w:bottom w:w="0" w:type="dxa"/>
              <w:right w:w="0" w:type="dxa"/>
            </w:tcMar>
            <w:vAlign w:val="bottom"/>
            <w:hideMark/>
          </w:tcPr>
          <w:p w14:paraId="0265ABF0"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1181CB51" w14:textId="77777777" w:rsidR="00000000" w:rsidRDefault="001F1B20">
            <w:pPr>
              <w:pStyle w:val="a3"/>
              <w:spacing w:before="0" w:beforeAutospacing="0" w:after="0" w:afterAutospacing="0"/>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14:paraId="3B61A495" w14:textId="77777777" w:rsidR="00000000" w:rsidRDefault="001F1B20">
            <w:pPr>
              <w:pStyle w:val="a3"/>
              <w:spacing w:before="0" w:beforeAutospacing="0" w:after="0" w:afterAutospacing="0"/>
              <w:ind w:right="60"/>
              <w:jc w:val="right"/>
              <w:rPr>
                <w:sz w:val="20"/>
                <w:szCs w:val="20"/>
              </w:rPr>
            </w:pPr>
            <w:r>
              <w:rPr>
                <w:sz w:val="20"/>
                <w:szCs w:val="20"/>
              </w:rPr>
              <w:t>67,37</w:t>
            </w:r>
            <w:r>
              <w:rPr>
                <w:sz w:val="20"/>
                <w:szCs w:val="20"/>
              </w:rPr>
              <w:t>1</w:t>
            </w:r>
          </w:p>
        </w:tc>
        <w:tc>
          <w:tcPr>
            <w:tcW w:w="39" w:type="pct"/>
            <w:shd w:val="clear" w:color="auto" w:fill="CCEEFF"/>
            <w:noWrap/>
            <w:tcMar>
              <w:top w:w="0" w:type="dxa"/>
              <w:left w:w="0" w:type="dxa"/>
              <w:bottom w:w="0" w:type="dxa"/>
              <w:right w:w="0" w:type="dxa"/>
            </w:tcMar>
            <w:vAlign w:val="bottom"/>
            <w:hideMark/>
          </w:tcPr>
          <w:p w14:paraId="2BF3C942"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427CA42C" w14:textId="77777777" w:rsidR="00000000" w:rsidRDefault="001F1B20">
            <w:pPr>
              <w:pStyle w:val="a3"/>
              <w:spacing w:before="0" w:beforeAutospacing="0" w:after="0" w:afterAutospacing="0"/>
              <w:rPr>
                <w:sz w:val="20"/>
                <w:szCs w:val="20"/>
              </w:rPr>
            </w:pPr>
            <w:r>
              <w:rPr>
                <w:sz w:val="20"/>
                <w:szCs w:val="20"/>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14:paraId="42B2F27E" w14:textId="77777777" w:rsidR="00000000" w:rsidRDefault="001F1B20">
            <w:pPr>
              <w:pStyle w:val="a3"/>
              <w:spacing w:before="0" w:beforeAutospacing="0" w:after="0" w:afterAutospacing="0"/>
              <w:jc w:val="right"/>
              <w:rPr>
                <w:sz w:val="20"/>
                <w:szCs w:val="20"/>
              </w:rPr>
            </w:pPr>
            <w:r>
              <w:rPr>
                <w:sz w:val="20"/>
                <w:szCs w:val="20"/>
              </w:rPr>
              <w:t>(23,632</w:t>
            </w:r>
            <w:r>
              <w:rPr>
                <w:sz w:val="20"/>
                <w:szCs w:val="20"/>
              </w:rPr>
              <w:t>)</w:t>
            </w:r>
          </w:p>
        </w:tc>
        <w:tc>
          <w:tcPr>
            <w:tcW w:w="39" w:type="pct"/>
            <w:shd w:val="clear" w:color="auto" w:fill="CCEEFF"/>
            <w:noWrap/>
            <w:tcMar>
              <w:top w:w="0" w:type="dxa"/>
              <w:left w:w="0" w:type="dxa"/>
              <w:bottom w:w="0" w:type="dxa"/>
              <w:right w:w="0" w:type="dxa"/>
            </w:tcMar>
            <w:vAlign w:val="bottom"/>
            <w:hideMark/>
          </w:tcPr>
          <w:p w14:paraId="660DA2B0" w14:textId="77777777" w:rsidR="00000000" w:rsidRDefault="001F1B20">
            <w:pPr>
              <w:pStyle w:val="a3"/>
              <w:spacing w:before="0" w:beforeAutospacing="0" w:after="0" w:afterAutospacing="0"/>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14:paraId="34272EC0" w14:textId="77777777" w:rsidR="00000000" w:rsidRDefault="001F1B20">
            <w:pPr>
              <w:pStyle w:val="a3"/>
              <w:spacing w:before="0" w:beforeAutospacing="0" w:after="0" w:afterAutospacing="0"/>
              <w:jc w:val="right"/>
              <w:rPr>
                <w:sz w:val="20"/>
                <w:szCs w:val="20"/>
              </w:rPr>
            </w:pPr>
            <w:r>
              <w:rPr>
                <w:sz w:val="20"/>
                <w:szCs w:val="20"/>
              </w:rPr>
              <w:t>(35</w:t>
            </w:r>
            <w:r>
              <w:rPr>
                <w:sz w:val="20"/>
                <w:szCs w:val="20"/>
              </w:rPr>
              <w:t>)</w:t>
            </w:r>
          </w:p>
        </w:tc>
        <w:tc>
          <w:tcPr>
            <w:tcW w:w="132" w:type="pct"/>
            <w:shd w:val="clear" w:color="auto" w:fill="CCEEFF"/>
            <w:noWrap/>
            <w:tcMar>
              <w:top w:w="0" w:type="dxa"/>
              <w:left w:w="0" w:type="dxa"/>
              <w:bottom w:w="0" w:type="dxa"/>
              <w:right w:w="0" w:type="dxa"/>
            </w:tcMar>
            <w:vAlign w:val="bottom"/>
            <w:hideMark/>
          </w:tcPr>
          <w:p w14:paraId="5E395C68" w14:textId="77777777" w:rsidR="00000000" w:rsidRDefault="001F1B20">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14:paraId="599AE7C2"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26B9DF7C" w14:textId="77777777" w:rsidR="00000000" w:rsidRDefault="001F1B20">
            <w:pPr>
              <w:pStyle w:val="a3"/>
              <w:spacing w:before="0" w:beforeAutospacing="0" w:after="0" w:afterAutospacing="0"/>
              <w:rPr>
                <w:sz w:val="20"/>
                <w:szCs w:val="20"/>
              </w:rPr>
            </w:pPr>
            <w:r>
              <w:rPr>
                <w:sz w:val="20"/>
                <w:szCs w:val="20"/>
              </w:rPr>
              <w:t>$</w:t>
            </w:r>
          </w:p>
        </w:tc>
        <w:tc>
          <w:tcPr>
            <w:tcW w:w="376" w:type="pct"/>
            <w:tcBorders>
              <w:bottom w:val="double" w:sz="6" w:space="0" w:color="000000"/>
            </w:tcBorders>
            <w:shd w:val="clear" w:color="auto" w:fill="CCEEFF"/>
            <w:noWrap/>
            <w:tcMar>
              <w:top w:w="0" w:type="dxa"/>
              <w:left w:w="0" w:type="dxa"/>
              <w:bottom w:w="0" w:type="dxa"/>
              <w:right w:w="0" w:type="dxa"/>
            </w:tcMar>
            <w:vAlign w:val="bottom"/>
            <w:hideMark/>
          </w:tcPr>
          <w:p w14:paraId="43BF6200" w14:textId="77777777" w:rsidR="00000000" w:rsidRDefault="001F1B20">
            <w:pPr>
              <w:pStyle w:val="a3"/>
              <w:spacing w:before="0" w:beforeAutospacing="0" w:after="0" w:afterAutospacing="0"/>
              <w:ind w:right="60"/>
              <w:jc w:val="right"/>
              <w:rPr>
                <w:sz w:val="20"/>
                <w:szCs w:val="20"/>
              </w:rPr>
            </w:pPr>
            <w:r>
              <w:rPr>
                <w:sz w:val="20"/>
                <w:szCs w:val="20"/>
              </w:rPr>
              <w:t>162,43</w:t>
            </w:r>
            <w:r>
              <w:rPr>
                <w:sz w:val="20"/>
                <w:szCs w:val="20"/>
              </w:rPr>
              <w:t>1</w:t>
            </w:r>
          </w:p>
        </w:tc>
        <w:tc>
          <w:tcPr>
            <w:tcW w:w="39" w:type="pct"/>
            <w:shd w:val="clear" w:color="auto" w:fill="CCEEFF"/>
            <w:noWrap/>
            <w:tcMar>
              <w:top w:w="0" w:type="dxa"/>
              <w:left w:w="0" w:type="dxa"/>
              <w:bottom w:w="0" w:type="dxa"/>
              <w:right w:w="0" w:type="dxa"/>
            </w:tcMar>
            <w:vAlign w:val="bottom"/>
            <w:hideMark/>
          </w:tcPr>
          <w:p w14:paraId="201F7E8E"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7346DE48" w14:textId="77777777" w:rsidR="00000000" w:rsidRDefault="001F1B20">
            <w:pPr>
              <w:pStyle w:val="a3"/>
              <w:spacing w:before="0" w:beforeAutospacing="0" w:after="0" w:afterAutospacing="0"/>
              <w:rPr>
                <w:sz w:val="20"/>
                <w:szCs w:val="20"/>
              </w:rPr>
            </w:pPr>
            <w:r>
              <w:rPr>
                <w:sz w:val="20"/>
                <w:szCs w:val="20"/>
              </w:rPr>
              <w:t>$</w:t>
            </w:r>
          </w:p>
        </w:tc>
        <w:tc>
          <w:tcPr>
            <w:tcW w:w="376" w:type="pct"/>
            <w:tcBorders>
              <w:bottom w:val="double" w:sz="6" w:space="0" w:color="000000"/>
            </w:tcBorders>
            <w:shd w:val="clear" w:color="auto" w:fill="CCEEFF"/>
            <w:noWrap/>
            <w:tcMar>
              <w:top w:w="0" w:type="dxa"/>
              <w:left w:w="0" w:type="dxa"/>
              <w:bottom w:w="0" w:type="dxa"/>
              <w:right w:w="0" w:type="dxa"/>
            </w:tcMar>
            <w:vAlign w:val="bottom"/>
            <w:hideMark/>
          </w:tcPr>
          <w:p w14:paraId="00CA620D" w14:textId="77777777" w:rsidR="00000000" w:rsidRDefault="001F1B20">
            <w:pPr>
              <w:pStyle w:val="a3"/>
              <w:spacing w:before="0" w:beforeAutospacing="0" w:after="0" w:afterAutospacing="0"/>
              <w:ind w:right="60"/>
              <w:jc w:val="right"/>
              <w:rPr>
                <w:sz w:val="20"/>
                <w:szCs w:val="20"/>
              </w:rPr>
            </w:pPr>
            <w:r>
              <w:rPr>
                <w:sz w:val="20"/>
                <w:szCs w:val="20"/>
              </w:rPr>
              <w:t>195,78</w:t>
            </w:r>
            <w:r>
              <w:rPr>
                <w:sz w:val="20"/>
                <w:szCs w:val="20"/>
              </w:rPr>
              <w:t>8</w:t>
            </w:r>
          </w:p>
        </w:tc>
        <w:tc>
          <w:tcPr>
            <w:tcW w:w="39" w:type="pct"/>
            <w:shd w:val="clear" w:color="auto" w:fill="CCEEFF"/>
            <w:noWrap/>
            <w:tcMar>
              <w:top w:w="0" w:type="dxa"/>
              <w:left w:w="0" w:type="dxa"/>
              <w:bottom w:w="0" w:type="dxa"/>
              <w:right w:w="0" w:type="dxa"/>
            </w:tcMar>
            <w:vAlign w:val="bottom"/>
            <w:hideMark/>
          </w:tcPr>
          <w:p w14:paraId="6F2043CB"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43D5AFFE" w14:textId="77777777" w:rsidR="00000000" w:rsidRDefault="001F1B20">
            <w:pPr>
              <w:pStyle w:val="a3"/>
              <w:spacing w:before="0" w:beforeAutospacing="0" w:after="0" w:afterAutospacing="0"/>
              <w:rPr>
                <w:sz w:val="20"/>
                <w:szCs w:val="20"/>
              </w:rPr>
            </w:pPr>
            <w:r>
              <w:rPr>
                <w:sz w:val="20"/>
                <w:szCs w:val="20"/>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14:paraId="77CD8234" w14:textId="77777777" w:rsidR="00000000" w:rsidRDefault="001F1B20">
            <w:pPr>
              <w:pStyle w:val="a3"/>
              <w:spacing w:before="0" w:beforeAutospacing="0" w:after="0" w:afterAutospacing="0"/>
              <w:jc w:val="right"/>
              <w:rPr>
                <w:sz w:val="20"/>
                <w:szCs w:val="20"/>
              </w:rPr>
            </w:pPr>
            <w:r>
              <w:rPr>
                <w:sz w:val="20"/>
                <w:szCs w:val="20"/>
              </w:rPr>
              <w:t>(33,357</w:t>
            </w:r>
            <w:r>
              <w:rPr>
                <w:sz w:val="20"/>
                <w:szCs w:val="20"/>
              </w:rPr>
              <w:t>)</w:t>
            </w:r>
          </w:p>
        </w:tc>
        <w:tc>
          <w:tcPr>
            <w:tcW w:w="39" w:type="pct"/>
            <w:shd w:val="clear" w:color="auto" w:fill="CCEEFF"/>
            <w:noWrap/>
            <w:tcMar>
              <w:top w:w="0" w:type="dxa"/>
              <w:left w:w="0" w:type="dxa"/>
              <w:bottom w:w="0" w:type="dxa"/>
              <w:right w:w="0" w:type="dxa"/>
            </w:tcMar>
            <w:vAlign w:val="bottom"/>
            <w:hideMark/>
          </w:tcPr>
          <w:p w14:paraId="22090A6A" w14:textId="77777777" w:rsidR="00000000" w:rsidRDefault="001F1B20">
            <w:pPr>
              <w:pStyle w:val="a3"/>
              <w:spacing w:before="0" w:beforeAutospacing="0" w:after="0" w:afterAutospacing="0"/>
              <w:jc w:val="center"/>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14:paraId="4FE1525C" w14:textId="77777777" w:rsidR="00000000" w:rsidRDefault="001F1B20">
            <w:pPr>
              <w:pStyle w:val="a3"/>
              <w:spacing w:before="0" w:beforeAutospacing="0" w:after="0" w:afterAutospacing="0"/>
              <w:jc w:val="right"/>
              <w:rPr>
                <w:sz w:val="20"/>
                <w:szCs w:val="20"/>
              </w:rPr>
            </w:pPr>
            <w:r>
              <w:rPr>
                <w:sz w:val="20"/>
                <w:szCs w:val="20"/>
              </w:rPr>
              <w:t>(17</w:t>
            </w:r>
            <w:r>
              <w:rPr>
                <w:sz w:val="20"/>
                <w:szCs w:val="20"/>
              </w:rPr>
              <w:t>)</w:t>
            </w:r>
          </w:p>
        </w:tc>
        <w:tc>
          <w:tcPr>
            <w:tcW w:w="132" w:type="pct"/>
            <w:shd w:val="clear" w:color="auto" w:fill="CCEEFF"/>
            <w:noWrap/>
            <w:tcMar>
              <w:top w:w="0" w:type="dxa"/>
              <w:left w:w="0" w:type="dxa"/>
              <w:bottom w:w="0" w:type="dxa"/>
              <w:right w:w="0" w:type="dxa"/>
            </w:tcMar>
            <w:vAlign w:val="bottom"/>
            <w:hideMark/>
          </w:tcPr>
          <w:p w14:paraId="122162B3" w14:textId="77777777" w:rsidR="00000000" w:rsidRDefault="001F1B20">
            <w:pPr>
              <w:pStyle w:val="a3"/>
              <w:spacing w:before="0" w:beforeAutospacing="0" w:after="0" w:afterAutospacing="0"/>
              <w:rPr>
                <w:sz w:val="20"/>
                <w:szCs w:val="20"/>
              </w:rPr>
            </w:pPr>
            <w:r>
              <w:rPr>
                <w:sz w:val="20"/>
                <w:szCs w:val="20"/>
              </w:rPr>
              <w:t>%  </w:t>
            </w:r>
          </w:p>
        </w:tc>
      </w:tr>
    </w:tbl>
    <w:p w14:paraId="56F27AE5" w14:textId="77777777" w:rsidR="00000000" w:rsidRDefault="001F1B20">
      <w:pPr>
        <w:pStyle w:val="a3"/>
        <w:spacing w:before="0" w:beforeAutospacing="0" w:after="0" w:afterAutospacing="0"/>
        <w:divId w:val="595986978"/>
        <w:rPr>
          <w:sz w:val="20"/>
          <w:szCs w:val="20"/>
        </w:rPr>
      </w:pPr>
      <w:r>
        <w:rPr>
          <w:sz w:val="20"/>
          <w:szCs w:val="20"/>
        </w:rPr>
        <w:t>​</w:t>
      </w:r>
    </w:p>
    <w:p w14:paraId="2F618952" w14:textId="77777777" w:rsidR="00000000" w:rsidRDefault="001F1B20">
      <w:pPr>
        <w:pStyle w:val="a3"/>
        <w:spacing w:before="0" w:beforeAutospacing="0" w:after="0" w:afterAutospacing="0"/>
        <w:ind w:firstLine="720"/>
        <w:divId w:val="595986978"/>
        <w:rPr>
          <w:sz w:val="20"/>
          <w:szCs w:val="20"/>
        </w:rPr>
      </w:pPr>
      <w:r>
        <w:rPr>
          <w:sz w:val="20"/>
          <w:szCs w:val="20"/>
        </w:rPr>
        <w:t>R&amp;</w:t>
      </w:r>
      <w:r>
        <w:rPr>
          <w:sz w:val="20"/>
          <w:szCs w:val="20"/>
        </w:rPr>
        <w:t>D expenses decreased by $23.6 million and $33.4 million for the three and nine months ended September 30, 2021, respectively, compared to the same periods in 2020, and the decreases were across all R&amp;D categories. External-related expenses decreased by $12</w:t>
      </w:r>
      <w:r>
        <w:rPr>
          <w:sz w:val="20"/>
          <w:szCs w:val="20"/>
        </w:rPr>
        <w:t>.1 million and $23.0 million for three and nine months ended September 30, 2021, respectively, and was the largest contributor to the total R&amp;D expense decrease. The decreases in external-related expenses were primarily due to the completion, or-near compl</w:t>
      </w:r>
      <w:r>
        <w:rPr>
          <w:sz w:val="20"/>
          <w:szCs w:val="20"/>
        </w:rPr>
        <w:t>etion, of expenses related to our priority programs. The decreases across the remaining R&amp;D categories were primarily due to the Restructuring announced in September 2021 which included a significant reduction in employee-related expenses of $8.5 million a</w:t>
      </w:r>
      <w:r>
        <w:rPr>
          <w:sz w:val="20"/>
          <w:szCs w:val="20"/>
        </w:rPr>
        <w:t xml:space="preserve">nd $5.8 million for the respective three and nine month periods and </w:t>
      </w:r>
    </w:p>
    <w:p w14:paraId="4BDDD85E" w14:textId="77777777" w:rsidR="00000000" w:rsidRDefault="001F1B20">
      <w:pPr>
        <w:pStyle w:val="a3"/>
        <w:spacing w:before="360" w:beforeAutospacing="0" w:after="0" w:afterAutospacing="0"/>
        <w:jc w:val="center"/>
        <w:divId w:val="972292941"/>
        <w:rPr>
          <w:sz w:val="20"/>
          <w:szCs w:val="20"/>
        </w:rPr>
      </w:pPr>
      <w:r>
        <w:rPr>
          <w:sz w:val="20"/>
          <w:szCs w:val="20"/>
        </w:rPr>
        <w:t>29</w:t>
      </w:r>
    </w:p>
    <w:p w14:paraId="18C2763A" w14:textId="77777777" w:rsidR="00000000" w:rsidRDefault="001F1B20">
      <w:pPr>
        <w:pStyle w:val="a3"/>
        <w:spacing w:before="0" w:beforeAutospacing="0" w:after="600" w:afterAutospacing="0"/>
        <w:divId w:val="1677539659"/>
        <w:rPr>
          <w:sz w:val="20"/>
          <w:szCs w:val="20"/>
        </w:rPr>
      </w:pPr>
      <w:hyperlink w:anchor="TOC" w:history="1">
        <w:r>
          <w:rPr>
            <w:rStyle w:val="a4"/>
            <w:sz w:val="20"/>
            <w:szCs w:val="20"/>
          </w:rPr>
          <w:t>Table of Contents</w:t>
        </w:r>
      </w:hyperlink>
    </w:p>
    <w:p w14:paraId="773E4E02" w14:textId="77777777" w:rsidR="00000000" w:rsidRDefault="001F1B20">
      <w:pPr>
        <w:pStyle w:val="a3"/>
        <w:spacing w:before="0" w:beforeAutospacing="0" w:after="0" w:afterAutospacing="0"/>
        <w:divId w:val="2000385400"/>
        <w:rPr>
          <w:sz w:val="20"/>
          <w:szCs w:val="20"/>
        </w:rPr>
      </w:pPr>
      <w:r>
        <w:rPr>
          <w:sz w:val="20"/>
          <w:szCs w:val="20"/>
        </w:rPr>
        <w:t>was primarily related to the reversal of the annual corporate bonus. Severance and other costs that were directly attributed to the Restruct</w:t>
      </w:r>
      <w:r>
        <w:rPr>
          <w:sz w:val="20"/>
          <w:szCs w:val="20"/>
        </w:rPr>
        <w:t xml:space="preserve">uring are included in the </w:t>
      </w:r>
      <w:r>
        <w:rPr>
          <w:i/>
          <w:iCs/>
          <w:sz w:val="20"/>
          <w:szCs w:val="20"/>
        </w:rPr>
        <w:t>Restructuring Expenses</w:t>
      </w:r>
      <w:r>
        <w:rPr>
          <w:sz w:val="20"/>
          <w:szCs w:val="20"/>
        </w:rPr>
        <w:t xml:space="preserve"> section below.</w:t>
      </w:r>
    </w:p>
    <w:p w14:paraId="2C4392BF" w14:textId="77777777" w:rsidR="00000000" w:rsidRDefault="001F1B20">
      <w:pPr>
        <w:pStyle w:val="a3"/>
        <w:spacing w:before="0" w:beforeAutospacing="0" w:after="0" w:afterAutospacing="0"/>
        <w:ind w:firstLine="720"/>
        <w:divId w:val="2000385400"/>
        <w:rPr>
          <w:sz w:val="20"/>
          <w:szCs w:val="20"/>
        </w:rPr>
      </w:pPr>
      <w:r>
        <w:rPr>
          <w:sz w:val="20"/>
          <w:szCs w:val="20"/>
        </w:rPr>
        <w:t>​</w:t>
      </w:r>
    </w:p>
    <w:p w14:paraId="37617225" w14:textId="77777777" w:rsidR="00000000" w:rsidRDefault="001F1B20">
      <w:pPr>
        <w:pStyle w:val="a3"/>
        <w:spacing w:before="0" w:beforeAutospacing="0" w:after="0" w:afterAutospacing="0"/>
        <w:ind w:firstLine="720"/>
        <w:divId w:val="2000385400"/>
        <w:rPr>
          <w:sz w:val="20"/>
          <w:szCs w:val="20"/>
        </w:rPr>
      </w:pPr>
      <w:r>
        <w:rPr>
          <w:sz w:val="20"/>
          <w:szCs w:val="20"/>
        </w:rPr>
        <w:t>Under certain of our collaborative arrangements, we receive partial reimbursement of employee-related costs and external costs, which have been reflected as a reduction of R&amp;D expenses of $3</w:t>
      </w:r>
      <w:r>
        <w:rPr>
          <w:sz w:val="20"/>
          <w:szCs w:val="20"/>
        </w:rPr>
        <w:t>.3 million and $6.0 million for three and nine months ended September 30, 2021, respectively, and $1.4 million and $5.8 million for the three and nine months ended September 30, 2020, respectively.</w:t>
      </w:r>
    </w:p>
    <w:p w14:paraId="3064B73B" w14:textId="77777777" w:rsidR="00000000" w:rsidRDefault="001F1B20">
      <w:pPr>
        <w:pStyle w:val="a3"/>
        <w:spacing w:before="0" w:beforeAutospacing="0" w:after="0" w:afterAutospacing="0"/>
        <w:ind w:firstLine="720"/>
        <w:divId w:val="2000385400"/>
        <w:rPr>
          <w:sz w:val="20"/>
          <w:szCs w:val="20"/>
        </w:rPr>
      </w:pPr>
      <w:r>
        <w:rPr>
          <w:sz w:val="20"/>
          <w:szCs w:val="20"/>
        </w:rPr>
        <w:t>​</w:t>
      </w:r>
    </w:p>
    <w:p w14:paraId="22D61858" w14:textId="77777777" w:rsidR="00000000" w:rsidRDefault="001F1B20">
      <w:pPr>
        <w:pStyle w:val="a3"/>
        <w:spacing w:before="0" w:beforeAutospacing="0" w:after="0" w:afterAutospacing="0"/>
        <w:ind w:firstLine="720"/>
        <w:divId w:val="2000385400"/>
        <w:rPr>
          <w:sz w:val="20"/>
          <w:szCs w:val="20"/>
        </w:rPr>
      </w:pPr>
      <w:r>
        <w:rPr>
          <w:sz w:val="20"/>
          <w:szCs w:val="20"/>
        </w:rPr>
        <w:t>As a result of the Restructuring, we expect our R&amp;D expe</w:t>
      </w:r>
      <w:r>
        <w:rPr>
          <w:sz w:val="20"/>
          <w:szCs w:val="20"/>
        </w:rPr>
        <w:t xml:space="preserve">nses to significantly decrease over the next 12 months. </w:t>
      </w:r>
    </w:p>
    <w:p w14:paraId="0A70AD81" w14:textId="77777777" w:rsidR="00000000" w:rsidRDefault="001F1B20">
      <w:pPr>
        <w:pStyle w:val="a3"/>
        <w:spacing w:before="0" w:beforeAutospacing="0" w:after="0" w:afterAutospacing="0"/>
        <w:divId w:val="2000385400"/>
        <w:rPr>
          <w:sz w:val="20"/>
          <w:szCs w:val="20"/>
        </w:rPr>
      </w:pPr>
      <w:r>
        <w:rPr>
          <w:sz w:val="20"/>
          <w:szCs w:val="20"/>
        </w:rPr>
        <w:t>​</w:t>
      </w:r>
    </w:p>
    <w:p w14:paraId="1FBCF6EC" w14:textId="77777777" w:rsidR="00000000" w:rsidRDefault="001F1B20">
      <w:pPr>
        <w:pStyle w:val="a3"/>
        <w:spacing w:before="0" w:beforeAutospacing="0" w:after="0" w:afterAutospacing="0"/>
        <w:divId w:val="2000385400"/>
        <w:rPr>
          <w:sz w:val="20"/>
          <w:szCs w:val="20"/>
        </w:rPr>
      </w:pPr>
      <w:r>
        <w:rPr>
          <w:b/>
          <w:bCs/>
          <w:i/>
          <w:iCs/>
          <w:sz w:val="20"/>
          <w:szCs w:val="20"/>
        </w:rPr>
        <w:t>Selling, General and Administrative</w:t>
      </w:r>
    </w:p>
    <w:p w14:paraId="2F597308" w14:textId="77777777" w:rsidR="00000000" w:rsidRDefault="001F1B20">
      <w:pPr>
        <w:pStyle w:val="a3"/>
        <w:spacing w:before="0" w:beforeAutospacing="0" w:after="0" w:afterAutospacing="0"/>
        <w:divId w:val="2000385400"/>
        <w:rPr>
          <w:sz w:val="20"/>
          <w:szCs w:val="20"/>
        </w:rPr>
      </w:pPr>
      <w:r>
        <w:rPr>
          <w:sz w:val="20"/>
          <w:szCs w:val="20"/>
        </w:rPr>
        <w:t>​</w:t>
      </w:r>
    </w:p>
    <w:p w14:paraId="159ED5B2" w14:textId="77777777" w:rsidR="00000000" w:rsidRDefault="001F1B20">
      <w:pPr>
        <w:pStyle w:val="a3"/>
        <w:spacing w:before="0" w:beforeAutospacing="0" w:after="0" w:afterAutospacing="0"/>
        <w:ind w:firstLine="720"/>
        <w:divId w:val="2000385400"/>
        <w:rPr>
          <w:sz w:val="20"/>
          <w:szCs w:val="20"/>
        </w:rPr>
      </w:pPr>
      <w:r>
        <w:rPr>
          <w:sz w:val="20"/>
          <w:szCs w:val="20"/>
        </w:rPr>
        <w:t>Selling, general and administrative expenses, as compared to the comparable periods in the prior year, were as follows:</w:t>
      </w:r>
    </w:p>
    <w:p w14:paraId="0978D4B3" w14:textId="77777777" w:rsidR="00000000" w:rsidRDefault="001F1B20">
      <w:pPr>
        <w:pStyle w:val="a3"/>
        <w:spacing w:before="0" w:beforeAutospacing="0" w:after="0" w:afterAutospacing="0"/>
        <w:ind w:firstLine="720"/>
        <w:divId w:val="200038540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506"/>
        <w:gridCol w:w="80"/>
        <w:gridCol w:w="100"/>
        <w:gridCol w:w="610"/>
        <w:gridCol w:w="80"/>
        <w:gridCol w:w="100"/>
        <w:gridCol w:w="610"/>
        <w:gridCol w:w="80"/>
        <w:gridCol w:w="100"/>
        <w:gridCol w:w="584"/>
        <w:gridCol w:w="80"/>
        <w:gridCol w:w="334"/>
        <w:gridCol w:w="267"/>
        <w:gridCol w:w="80"/>
        <w:gridCol w:w="100"/>
        <w:gridCol w:w="610"/>
        <w:gridCol w:w="80"/>
        <w:gridCol w:w="100"/>
        <w:gridCol w:w="610"/>
        <w:gridCol w:w="80"/>
        <w:gridCol w:w="100"/>
        <w:gridCol w:w="434"/>
        <w:gridCol w:w="80"/>
        <w:gridCol w:w="234"/>
        <w:gridCol w:w="267"/>
      </w:tblGrid>
      <w:tr w:rsidR="00000000" w14:paraId="47ABA394" w14:textId="77777777">
        <w:trPr>
          <w:divId w:val="2000385400"/>
          <w:trHeight w:val="20"/>
        </w:trPr>
        <w:tc>
          <w:tcPr>
            <w:tcW w:w="1924" w:type="pct"/>
            <w:tcMar>
              <w:top w:w="0" w:type="dxa"/>
              <w:left w:w="0" w:type="dxa"/>
              <w:bottom w:w="0" w:type="dxa"/>
              <w:right w:w="0" w:type="dxa"/>
            </w:tcMar>
            <w:vAlign w:val="bottom"/>
            <w:hideMark/>
          </w:tcPr>
          <w:p w14:paraId="7B8491FE" w14:textId="77777777" w:rsidR="00000000" w:rsidRDefault="001F1B20">
            <w:pPr>
              <w:pStyle w:val="a3"/>
              <w:spacing w:before="0" w:beforeAutospacing="0" w:after="0" w:afterAutospacing="0"/>
              <w:divId w:val="387263682"/>
              <w:rPr>
                <w:sz w:val="20"/>
                <w:szCs w:val="20"/>
              </w:rPr>
            </w:pPr>
            <w:r>
              <w:rPr>
                <w:sz w:val="2"/>
                <w:szCs w:val="2"/>
              </w:rPr>
              <w:t>​</w:t>
            </w:r>
          </w:p>
        </w:tc>
        <w:tc>
          <w:tcPr>
            <w:tcW w:w="39" w:type="pct"/>
            <w:noWrap/>
            <w:tcMar>
              <w:top w:w="0" w:type="dxa"/>
              <w:left w:w="0" w:type="dxa"/>
              <w:bottom w:w="0" w:type="dxa"/>
              <w:right w:w="0" w:type="dxa"/>
            </w:tcMar>
            <w:vAlign w:val="bottom"/>
            <w:hideMark/>
          </w:tcPr>
          <w:p w14:paraId="27E1BB9B" w14:textId="77777777" w:rsidR="00000000" w:rsidRDefault="001F1B20">
            <w:pPr>
              <w:pStyle w:val="a3"/>
              <w:spacing w:before="0" w:beforeAutospacing="0" w:after="0" w:afterAutospacing="0"/>
              <w:divId w:val="109252853"/>
              <w:rPr>
                <w:sz w:val="20"/>
                <w:szCs w:val="20"/>
              </w:rPr>
            </w:pPr>
            <w:r>
              <w:rPr>
                <w:sz w:val="2"/>
                <w:szCs w:val="2"/>
              </w:rPr>
              <w:t>​</w:t>
            </w:r>
          </w:p>
        </w:tc>
        <w:tc>
          <w:tcPr>
            <w:tcW w:w="49" w:type="pct"/>
            <w:noWrap/>
            <w:tcMar>
              <w:top w:w="0" w:type="dxa"/>
              <w:left w:w="0" w:type="dxa"/>
              <w:bottom w:w="0" w:type="dxa"/>
              <w:right w:w="0" w:type="dxa"/>
            </w:tcMar>
            <w:vAlign w:val="bottom"/>
            <w:hideMark/>
          </w:tcPr>
          <w:p w14:paraId="19E6E661" w14:textId="77777777" w:rsidR="00000000" w:rsidRDefault="001F1B20">
            <w:pPr>
              <w:pStyle w:val="a3"/>
              <w:spacing w:before="0" w:beforeAutospacing="0" w:after="0" w:afterAutospacing="0"/>
              <w:divId w:val="1462920003"/>
              <w:rPr>
                <w:sz w:val="20"/>
                <w:szCs w:val="20"/>
              </w:rPr>
            </w:pPr>
            <w:r>
              <w:rPr>
                <w:sz w:val="2"/>
                <w:szCs w:val="2"/>
              </w:rPr>
              <w:t>​</w:t>
            </w:r>
          </w:p>
        </w:tc>
        <w:tc>
          <w:tcPr>
            <w:tcW w:w="327" w:type="pct"/>
            <w:noWrap/>
            <w:tcMar>
              <w:top w:w="0" w:type="dxa"/>
              <w:left w:w="0" w:type="dxa"/>
              <w:bottom w:w="0" w:type="dxa"/>
              <w:right w:w="0" w:type="dxa"/>
            </w:tcMar>
            <w:vAlign w:val="bottom"/>
            <w:hideMark/>
          </w:tcPr>
          <w:p w14:paraId="4A20CC23" w14:textId="77777777" w:rsidR="00000000" w:rsidRDefault="001F1B20">
            <w:pPr>
              <w:pStyle w:val="a3"/>
              <w:spacing w:before="0" w:beforeAutospacing="0" w:after="0" w:afterAutospacing="0"/>
              <w:divId w:val="1240215150"/>
              <w:rPr>
                <w:sz w:val="20"/>
                <w:szCs w:val="20"/>
              </w:rPr>
            </w:pPr>
            <w:r>
              <w:rPr>
                <w:sz w:val="2"/>
                <w:szCs w:val="2"/>
              </w:rPr>
              <w:t>​</w:t>
            </w:r>
          </w:p>
        </w:tc>
        <w:tc>
          <w:tcPr>
            <w:tcW w:w="39" w:type="pct"/>
            <w:noWrap/>
            <w:tcMar>
              <w:top w:w="0" w:type="dxa"/>
              <w:left w:w="0" w:type="dxa"/>
              <w:bottom w:w="0" w:type="dxa"/>
              <w:right w:w="0" w:type="dxa"/>
            </w:tcMar>
            <w:vAlign w:val="bottom"/>
            <w:hideMark/>
          </w:tcPr>
          <w:p w14:paraId="67443DB1" w14:textId="77777777" w:rsidR="00000000" w:rsidRDefault="001F1B20">
            <w:pPr>
              <w:pStyle w:val="a3"/>
              <w:spacing w:before="0" w:beforeAutospacing="0" w:after="0" w:afterAutospacing="0"/>
              <w:divId w:val="1885673495"/>
              <w:rPr>
                <w:sz w:val="20"/>
                <w:szCs w:val="20"/>
              </w:rPr>
            </w:pPr>
            <w:r>
              <w:rPr>
                <w:sz w:val="2"/>
                <w:szCs w:val="2"/>
              </w:rPr>
              <w:t>​</w:t>
            </w:r>
          </w:p>
        </w:tc>
        <w:tc>
          <w:tcPr>
            <w:tcW w:w="49" w:type="pct"/>
            <w:noWrap/>
            <w:tcMar>
              <w:top w:w="0" w:type="dxa"/>
              <w:left w:w="0" w:type="dxa"/>
              <w:bottom w:w="0" w:type="dxa"/>
              <w:right w:w="0" w:type="dxa"/>
            </w:tcMar>
            <w:vAlign w:val="bottom"/>
            <w:hideMark/>
          </w:tcPr>
          <w:p w14:paraId="3FFFAD7B" w14:textId="77777777" w:rsidR="00000000" w:rsidRDefault="001F1B20">
            <w:pPr>
              <w:pStyle w:val="a3"/>
              <w:spacing w:before="0" w:beforeAutospacing="0" w:after="0" w:afterAutospacing="0"/>
              <w:divId w:val="1959215131"/>
              <w:rPr>
                <w:sz w:val="20"/>
                <w:szCs w:val="20"/>
              </w:rPr>
            </w:pPr>
            <w:r>
              <w:rPr>
                <w:sz w:val="2"/>
                <w:szCs w:val="2"/>
              </w:rPr>
              <w:t>​</w:t>
            </w:r>
          </w:p>
        </w:tc>
        <w:tc>
          <w:tcPr>
            <w:tcW w:w="327" w:type="pct"/>
            <w:noWrap/>
            <w:tcMar>
              <w:top w:w="0" w:type="dxa"/>
              <w:left w:w="0" w:type="dxa"/>
              <w:bottom w:w="0" w:type="dxa"/>
              <w:right w:w="0" w:type="dxa"/>
            </w:tcMar>
            <w:vAlign w:val="bottom"/>
            <w:hideMark/>
          </w:tcPr>
          <w:p w14:paraId="4EAF1D07" w14:textId="77777777" w:rsidR="00000000" w:rsidRDefault="001F1B20">
            <w:pPr>
              <w:pStyle w:val="a3"/>
              <w:spacing w:before="0" w:beforeAutospacing="0" w:after="0" w:afterAutospacing="0"/>
              <w:divId w:val="1542477468"/>
              <w:rPr>
                <w:sz w:val="20"/>
                <w:szCs w:val="20"/>
              </w:rPr>
            </w:pPr>
            <w:r>
              <w:rPr>
                <w:sz w:val="2"/>
                <w:szCs w:val="2"/>
              </w:rPr>
              <w:t>​</w:t>
            </w:r>
          </w:p>
        </w:tc>
        <w:tc>
          <w:tcPr>
            <w:tcW w:w="39" w:type="pct"/>
            <w:noWrap/>
            <w:tcMar>
              <w:top w:w="0" w:type="dxa"/>
              <w:left w:w="0" w:type="dxa"/>
              <w:bottom w:w="0" w:type="dxa"/>
              <w:right w:w="0" w:type="dxa"/>
            </w:tcMar>
            <w:vAlign w:val="bottom"/>
            <w:hideMark/>
          </w:tcPr>
          <w:p w14:paraId="2EF96B1D" w14:textId="77777777" w:rsidR="00000000" w:rsidRDefault="001F1B20">
            <w:pPr>
              <w:pStyle w:val="a3"/>
              <w:spacing w:before="0" w:beforeAutospacing="0" w:after="0" w:afterAutospacing="0"/>
              <w:divId w:val="1314414248"/>
              <w:rPr>
                <w:sz w:val="20"/>
                <w:szCs w:val="20"/>
              </w:rPr>
            </w:pPr>
            <w:r>
              <w:rPr>
                <w:sz w:val="2"/>
                <w:szCs w:val="2"/>
              </w:rPr>
              <w:t>​</w:t>
            </w:r>
          </w:p>
        </w:tc>
        <w:tc>
          <w:tcPr>
            <w:tcW w:w="49" w:type="pct"/>
            <w:noWrap/>
            <w:tcMar>
              <w:top w:w="0" w:type="dxa"/>
              <w:left w:w="0" w:type="dxa"/>
              <w:bottom w:w="0" w:type="dxa"/>
              <w:right w:w="0" w:type="dxa"/>
            </w:tcMar>
            <w:vAlign w:val="bottom"/>
            <w:hideMark/>
          </w:tcPr>
          <w:p w14:paraId="318EFBA5" w14:textId="77777777" w:rsidR="00000000" w:rsidRDefault="001F1B20">
            <w:pPr>
              <w:pStyle w:val="a3"/>
              <w:spacing w:before="0" w:beforeAutospacing="0" w:after="0" w:afterAutospacing="0"/>
              <w:divId w:val="1208570485"/>
              <w:rPr>
                <w:sz w:val="20"/>
                <w:szCs w:val="20"/>
              </w:rPr>
            </w:pPr>
            <w:r>
              <w:rPr>
                <w:sz w:val="2"/>
                <w:szCs w:val="2"/>
              </w:rPr>
              <w:t>​</w:t>
            </w:r>
          </w:p>
        </w:tc>
        <w:tc>
          <w:tcPr>
            <w:tcW w:w="314" w:type="pct"/>
            <w:noWrap/>
            <w:tcMar>
              <w:top w:w="0" w:type="dxa"/>
              <w:left w:w="0" w:type="dxa"/>
              <w:bottom w:w="0" w:type="dxa"/>
              <w:right w:w="0" w:type="dxa"/>
            </w:tcMar>
            <w:vAlign w:val="bottom"/>
            <w:hideMark/>
          </w:tcPr>
          <w:p w14:paraId="5558C70D" w14:textId="77777777" w:rsidR="00000000" w:rsidRDefault="001F1B20">
            <w:pPr>
              <w:pStyle w:val="a3"/>
              <w:spacing w:before="0" w:beforeAutospacing="0" w:after="0" w:afterAutospacing="0"/>
              <w:divId w:val="1652171940"/>
              <w:rPr>
                <w:sz w:val="20"/>
                <w:szCs w:val="20"/>
              </w:rPr>
            </w:pPr>
            <w:r>
              <w:rPr>
                <w:sz w:val="2"/>
                <w:szCs w:val="2"/>
              </w:rPr>
              <w:t>​</w:t>
            </w:r>
          </w:p>
        </w:tc>
        <w:tc>
          <w:tcPr>
            <w:tcW w:w="39" w:type="pct"/>
            <w:noWrap/>
            <w:tcMar>
              <w:top w:w="0" w:type="dxa"/>
              <w:left w:w="0" w:type="dxa"/>
              <w:bottom w:w="0" w:type="dxa"/>
              <w:right w:w="0" w:type="dxa"/>
            </w:tcMar>
            <w:vAlign w:val="bottom"/>
            <w:hideMark/>
          </w:tcPr>
          <w:p w14:paraId="49D91CF5" w14:textId="77777777" w:rsidR="00000000" w:rsidRDefault="001F1B20">
            <w:pPr>
              <w:pStyle w:val="a3"/>
              <w:spacing w:before="0" w:beforeAutospacing="0" w:after="0" w:afterAutospacing="0"/>
              <w:divId w:val="877932087"/>
              <w:rPr>
                <w:sz w:val="20"/>
                <w:szCs w:val="20"/>
              </w:rPr>
            </w:pPr>
            <w:r>
              <w:rPr>
                <w:sz w:val="2"/>
                <w:szCs w:val="2"/>
              </w:rPr>
              <w:t>​</w:t>
            </w:r>
          </w:p>
        </w:tc>
        <w:tc>
          <w:tcPr>
            <w:tcW w:w="190" w:type="pct"/>
            <w:noWrap/>
            <w:tcMar>
              <w:top w:w="0" w:type="dxa"/>
              <w:left w:w="0" w:type="dxa"/>
              <w:bottom w:w="0" w:type="dxa"/>
              <w:right w:w="0" w:type="dxa"/>
            </w:tcMar>
            <w:vAlign w:val="bottom"/>
            <w:hideMark/>
          </w:tcPr>
          <w:p w14:paraId="2938B7AD" w14:textId="77777777" w:rsidR="00000000" w:rsidRDefault="001F1B20">
            <w:pPr>
              <w:pStyle w:val="a3"/>
              <w:spacing w:before="0" w:beforeAutospacing="0" w:after="0" w:afterAutospacing="0"/>
              <w:divId w:val="1422216338"/>
              <w:rPr>
                <w:sz w:val="20"/>
                <w:szCs w:val="20"/>
              </w:rPr>
            </w:pPr>
            <w:r>
              <w:rPr>
                <w:sz w:val="2"/>
                <w:szCs w:val="2"/>
              </w:rPr>
              <w:t>​</w:t>
            </w:r>
          </w:p>
        </w:tc>
        <w:tc>
          <w:tcPr>
            <w:tcW w:w="132" w:type="pct"/>
            <w:noWrap/>
            <w:tcMar>
              <w:top w:w="0" w:type="dxa"/>
              <w:left w:w="0" w:type="dxa"/>
              <w:bottom w:w="0" w:type="dxa"/>
              <w:right w:w="0" w:type="dxa"/>
            </w:tcMar>
            <w:vAlign w:val="bottom"/>
            <w:hideMark/>
          </w:tcPr>
          <w:p w14:paraId="7FEB250F" w14:textId="77777777" w:rsidR="00000000" w:rsidRDefault="001F1B20">
            <w:pPr>
              <w:pStyle w:val="a3"/>
              <w:spacing w:before="0" w:beforeAutospacing="0" w:after="0" w:afterAutospacing="0"/>
              <w:divId w:val="553741528"/>
              <w:rPr>
                <w:sz w:val="20"/>
                <w:szCs w:val="20"/>
              </w:rPr>
            </w:pPr>
            <w:r>
              <w:rPr>
                <w:sz w:val="2"/>
                <w:szCs w:val="2"/>
              </w:rPr>
              <w:t>​</w:t>
            </w:r>
          </w:p>
        </w:tc>
        <w:tc>
          <w:tcPr>
            <w:tcW w:w="39" w:type="pct"/>
            <w:noWrap/>
            <w:tcMar>
              <w:top w:w="0" w:type="dxa"/>
              <w:left w:w="0" w:type="dxa"/>
              <w:bottom w:w="0" w:type="dxa"/>
              <w:right w:w="0" w:type="dxa"/>
            </w:tcMar>
            <w:vAlign w:val="bottom"/>
            <w:hideMark/>
          </w:tcPr>
          <w:p w14:paraId="7AF9C002" w14:textId="77777777" w:rsidR="00000000" w:rsidRDefault="001F1B20">
            <w:pPr>
              <w:pStyle w:val="a3"/>
              <w:spacing w:before="0" w:beforeAutospacing="0" w:after="0" w:afterAutospacing="0"/>
              <w:divId w:val="187840893"/>
              <w:rPr>
                <w:sz w:val="20"/>
                <w:szCs w:val="20"/>
              </w:rPr>
            </w:pPr>
            <w:r>
              <w:rPr>
                <w:sz w:val="2"/>
                <w:szCs w:val="2"/>
              </w:rPr>
              <w:t>​</w:t>
            </w:r>
          </w:p>
        </w:tc>
        <w:tc>
          <w:tcPr>
            <w:tcW w:w="49" w:type="pct"/>
            <w:noWrap/>
            <w:tcMar>
              <w:top w:w="0" w:type="dxa"/>
              <w:left w:w="0" w:type="dxa"/>
              <w:bottom w:w="0" w:type="dxa"/>
              <w:right w:w="0" w:type="dxa"/>
            </w:tcMar>
            <w:vAlign w:val="bottom"/>
            <w:hideMark/>
          </w:tcPr>
          <w:p w14:paraId="5A480DD4" w14:textId="77777777" w:rsidR="00000000" w:rsidRDefault="001F1B20">
            <w:pPr>
              <w:pStyle w:val="a3"/>
              <w:spacing w:before="0" w:beforeAutospacing="0" w:after="0" w:afterAutospacing="0"/>
              <w:divId w:val="1019309232"/>
              <w:rPr>
                <w:sz w:val="20"/>
                <w:szCs w:val="20"/>
              </w:rPr>
            </w:pPr>
            <w:r>
              <w:rPr>
                <w:sz w:val="2"/>
                <w:szCs w:val="2"/>
              </w:rPr>
              <w:t>​</w:t>
            </w:r>
          </w:p>
        </w:tc>
        <w:tc>
          <w:tcPr>
            <w:tcW w:w="327" w:type="pct"/>
            <w:noWrap/>
            <w:tcMar>
              <w:top w:w="0" w:type="dxa"/>
              <w:left w:w="0" w:type="dxa"/>
              <w:bottom w:w="0" w:type="dxa"/>
              <w:right w:w="0" w:type="dxa"/>
            </w:tcMar>
            <w:vAlign w:val="bottom"/>
            <w:hideMark/>
          </w:tcPr>
          <w:p w14:paraId="194756A9" w14:textId="77777777" w:rsidR="00000000" w:rsidRDefault="001F1B20">
            <w:pPr>
              <w:pStyle w:val="a3"/>
              <w:spacing w:before="0" w:beforeAutospacing="0" w:after="0" w:afterAutospacing="0"/>
              <w:divId w:val="1914657921"/>
              <w:rPr>
                <w:sz w:val="20"/>
                <w:szCs w:val="20"/>
              </w:rPr>
            </w:pPr>
            <w:r>
              <w:rPr>
                <w:sz w:val="2"/>
                <w:szCs w:val="2"/>
              </w:rPr>
              <w:t>​</w:t>
            </w:r>
          </w:p>
        </w:tc>
        <w:tc>
          <w:tcPr>
            <w:tcW w:w="39" w:type="pct"/>
            <w:noWrap/>
            <w:tcMar>
              <w:top w:w="0" w:type="dxa"/>
              <w:left w:w="0" w:type="dxa"/>
              <w:bottom w:w="0" w:type="dxa"/>
              <w:right w:w="0" w:type="dxa"/>
            </w:tcMar>
            <w:vAlign w:val="bottom"/>
            <w:hideMark/>
          </w:tcPr>
          <w:p w14:paraId="60D4404C" w14:textId="77777777" w:rsidR="00000000" w:rsidRDefault="001F1B20">
            <w:pPr>
              <w:pStyle w:val="a3"/>
              <w:spacing w:before="0" w:beforeAutospacing="0" w:after="0" w:afterAutospacing="0"/>
              <w:divId w:val="1445617400"/>
              <w:rPr>
                <w:sz w:val="20"/>
                <w:szCs w:val="20"/>
              </w:rPr>
            </w:pPr>
            <w:r>
              <w:rPr>
                <w:sz w:val="2"/>
                <w:szCs w:val="2"/>
              </w:rPr>
              <w:t>​</w:t>
            </w:r>
          </w:p>
        </w:tc>
        <w:tc>
          <w:tcPr>
            <w:tcW w:w="49" w:type="pct"/>
            <w:noWrap/>
            <w:tcMar>
              <w:top w:w="0" w:type="dxa"/>
              <w:left w:w="0" w:type="dxa"/>
              <w:bottom w:w="0" w:type="dxa"/>
              <w:right w:w="0" w:type="dxa"/>
            </w:tcMar>
            <w:vAlign w:val="bottom"/>
            <w:hideMark/>
          </w:tcPr>
          <w:p w14:paraId="49B39892" w14:textId="77777777" w:rsidR="00000000" w:rsidRDefault="001F1B20">
            <w:pPr>
              <w:pStyle w:val="a3"/>
              <w:spacing w:before="0" w:beforeAutospacing="0" w:after="0" w:afterAutospacing="0"/>
              <w:divId w:val="971207515"/>
              <w:rPr>
                <w:sz w:val="20"/>
                <w:szCs w:val="20"/>
              </w:rPr>
            </w:pPr>
            <w:r>
              <w:rPr>
                <w:sz w:val="2"/>
                <w:szCs w:val="2"/>
              </w:rPr>
              <w:t>​</w:t>
            </w:r>
          </w:p>
        </w:tc>
        <w:tc>
          <w:tcPr>
            <w:tcW w:w="327" w:type="pct"/>
            <w:noWrap/>
            <w:tcMar>
              <w:top w:w="0" w:type="dxa"/>
              <w:left w:w="0" w:type="dxa"/>
              <w:bottom w:w="0" w:type="dxa"/>
              <w:right w:w="0" w:type="dxa"/>
            </w:tcMar>
            <w:vAlign w:val="bottom"/>
            <w:hideMark/>
          </w:tcPr>
          <w:p w14:paraId="09F107A3" w14:textId="77777777" w:rsidR="00000000" w:rsidRDefault="001F1B20">
            <w:pPr>
              <w:pStyle w:val="a3"/>
              <w:spacing w:before="0" w:beforeAutospacing="0" w:after="0" w:afterAutospacing="0"/>
              <w:divId w:val="698121052"/>
              <w:rPr>
                <w:sz w:val="20"/>
                <w:szCs w:val="20"/>
              </w:rPr>
            </w:pPr>
            <w:r>
              <w:rPr>
                <w:sz w:val="2"/>
                <w:szCs w:val="2"/>
              </w:rPr>
              <w:t>​</w:t>
            </w:r>
          </w:p>
        </w:tc>
        <w:tc>
          <w:tcPr>
            <w:tcW w:w="39" w:type="pct"/>
            <w:noWrap/>
            <w:tcMar>
              <w:top w:w="0" w:type="dxa"/>
              <w:left w:w="0" w:type="dxa"/>
              <w:bottom w:w="0" w:type="dxa"/>
              <w:right w:w="0" w:type="dxa"/>
            </w:tcMar>
            <w:vAlign w:val="bottom"/>
            <w:hideMark/>
          </w:tcPr>
          <w:p w14:paraId="7EBEAF95" w14:textId="77777777" w:rsidR="00000000" w:rsidRDefault="001F1B20">
            <w:pPr>
              <w:pStyle w:val="a3"/>
              <w:spacing w:before="0" w:beforeAutospacing="0" w:after="0" w:afterAutospacing="0"/>
              <w:divId w:val="527138279"/>
              <w:rPr>
                <w:sz w:val="20"/>
                <w:szCs w:val="20"/>
              </w:rPr>
            </w:pPr>
            <w:r>
              <w:rPr>
                <w:sz w:val="2"/>
                <w:szCs w:val="2"/>
              </w:rPr>
              <w:t>​</w:t>
            </w:r>
          </w:p>
        </w:tc>
        <w:tc>
          <w:tcPr>
            <w:tcW w:w="49" w:type="pct"/>
            <w:noWrap/>
            <w:tcMar>
              <w:top w:w="0" w:type="dxa"/>
              <w:left w:w="0" w:type="dxa"/>
              <w:bottom w:w="0" w:type="dxa"/>
              <w:right w:w="0" w:type="dxa"/>
            </w:tcMar>
            <w:vAlign w:val="bottom"/>
            <w:hideMark/>
          </w:tcPr>
          <w:p w14:paraId="7462F03F" w14:textId="77777777" w:rsidR="00000000" w:rsidRDefault="001F1B20">
            <w:pPr>
              <w:pStyle w:val="a3"/>
              <w:spacing w:before="0" w:beforeAutospacing="0" w:after="0" w:afterAutospacing="0"/>
              <w:divId w:val="2122920733"/>
              <w:rPr>
                <w:sz w:val="20"/>
                <w:szCs w:val="20"/>
              </w:rPr>
            </w:pPr>
            <w:r>
              <w:rPr>
                <w:sz w:val="2"/>
                <w:szCs w:val="2"/>
              </w:rPr>
              <w:t>​</w:t>
            </w:r>
          </w:p>
        </w:tc>
        <w:tc>
          <w:tcPr>
            <w:tcW w:w="240" w:type="pct"/>
            <w:noWrap/>
            <w:tcMar>
              <w:top w:w="0" w:type="dxa"/>
              <w:left w:w="0" w:type="dxa"/>
              <w:bottom w:w="0" w:type="dxa"/>
              <w:right w:w="0" w:type="dxa"/>
            </w:tcMar>
            <w:vAlign w:val="bottom"/>
            <w:hideMark/>
          </w:tcPr>
          <w:p w14:paraId="12A78A50" w14:textId="77777777" w:rsidR="00000000" w:rsidRDefault="001F1B20">
            <w:pPr>
              <w:pStyle w:val="a3"/>
              <w:spacing w:before="0" w:beforeAutospacing="0" w:after="0" w:afterAutospacing="0"/>
              <w:divId w:val="1079861191"/>
              <w:rPr>
                <w:sz w:val="20"/>
                <w:szCs w:val="20"/>
              </w:rPr>
            </w:pPr>
            <w:r>
              <w:rPr>
                <w:sz w:val="2"/>
                <w:szCs w:val="2"/>
              </w:rPr>
              <w:t>​</w:t>
            </w:r>
          </w:p>
        </w:tc>
        <w:tc>
          <w:tcPr>
            <w:tcW w:w="39" w:type="pct"/>
            <w:noWrap/>
            <w:tcMar>
              <w:top w:w="0" w:type="dxa"/>
              <w:left w:w="0" w:type="dxa"/>
              <w:bottom w:w="0" w:type="dxa"/>
              <w:right w:w="0" w:type="dxa"/>
            </w:tcMar>
            <w:vAlign w:val="bottom"/>
            <w:hideMark/>
          </w:tcPr>
          <w:p w14:paraId="4071E86B" w14:textId="77777777" w:rsidR="00000000" w:rsidRDefault="001F1B20">
            <w:pPr>
              <w:pStyle w:val="a3"/>
              <w:spacing w:before="0" w:beforeAutospacing="0" w:after="0" w:afterAutospacing="0"/>
              <w:divId w:val="614868156"/>
              <w:rPr>
                <w:sz w:val="20"/>
                <w:szCs w:val="20"/>
              </w:rPr>
            </w:pPr>
            <w:r>
              <w:rPr>
                <w:sz w:val="2"/>
                <w:szCs w:val="2"/>
              </w:rPr>
              <w:t>​</w:t>
            </w:r>
          </w:p>
        </w:tc>
        <w:tc>
          <w:tcPr>
            <w:tcW w:w="140" w:type="pct"/>
            <w:noWrap/>
            <w:tcMar>
              <w:top w:w="0" w:type="dxa"/>
              <w:left w:w="0" w:type="dxa"/>
              <w:bottom w:w="0" w:type="dxa"/>
              <w:right w:w="0" w:type="dxa"/>
            </w:tcMar>
            <w:vAlign w:val="bottom"/>
            <w:hideMark/>
          </w:tcPr>
          <w:p w14:paraId="6CEE240A" w14:textId="77777777" w:rsidR="00000000" w:rsidRDefault="001F1B20">
            <w:pPr>
              <w:pStyle w:val="a3"/>
              <w:spacing w:before="0" w:beforeAutospacing="0" w:after="0" w:afterAutospacing="0"/>
              <w:divId w:val="1682856065"/>
              <w:rPr>
                <w:sz w:val="20"/>
                <w:szCs w:val="20"/>
              </w:rPr>
            </w:pPr>
            <w:r>
              <w:rPr>
                <w:sz w:val="2"/>
                <w:szCs w:val="2"/>
              </w:rPr>
              <w:t>​</w:t>
            </w:r>
          </w:p>
        </w:tc>
        <w:tc>
          <w:tcPr>
            <w:tcW w:w="132" w:type="pct"/>
            <w:noWrap/>
            <w:tcMar>
              <w:top w:w="0" w:type="dxa"/>
              <w:left w:w="0" w:type="dxa"/>
              <w:bottom w:w="0" w:type="dxa"/>
              <w:right w:w="0" w:type="dxa"/>
            </w:tcMar>
            <w:vAlign w:val="bottom"/>
            <w:hideMark/>
          </w:tcPr>
          <w:p w14:paraId="06E9854E" w14:textId="77777777" w:rsidR="00000000" w:rsidRDefault="001F1B20">
            <w:pPr>
              <w:pStyle w:val="a3"/>
              <w:spacing w:before="0" w:beforeAutospacing="0" w:after="0" w:afterAutospacing="0"/>
              <w:divId w:val="1151561703"/>
              <w:rPr>
                <w:sz w:val="20"/>
                <w:szCs w:val="20"/>
              </w:rPr>
            </w:pPr>
            <w:r>
              <w:rPr>
                <w:sz w:val="2"/>
                <w:szCs w:val="2"/>
              </w:rPr>
              <w:t>​</w:t>
            </w:r>
          </w:p>
        </w:tc>
      </w:tr>
      <w:tr w:rsidR="00000000" w14:paraId="65A36AA6" w14:textId="77777777">
        <w:trPr>
          <w:divId w:val="2000385400"/>
        </w:trPr>
        <w:tc>
          <w:tcPr>
            <w:tcW w:w="1924" w:type="pct"/>
            <w:tcMar>
              <w:top w:w="0" w:type="dxa"/>
              <w:left w:w="0" w:type="dxa"/>
              <w:bottom w:w="0" w:type="dxa"/>
              <w:right w:w="0" w:type="dxa"/>
            </w:tcMar>
            <w:vAlign w:val="bottom"/>
            <w:hideMark/>
          </w:tcPr>
          <w:p w14:paraId="1EAF3EFB"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440FF155" w14:textId="77777777" w:rsidR="00000000" w:rsidRDefault="001F1B20">
            <w:pPr>
              <w:pStyle w:val="a3"/>
              <w:spacing w:before="0" w:beforeAutospacing="0" w:after="0" w:afterAutospacing="0"/>
              <w:rPr>
                <w:sz w:val="20"/>
                <w:szCs w:val="20"/>
              </w:rPr>
            </w:pPr>
            <w:r>
              <w:rPr>
                <w:b/>
                <w:bCs/>
                <w:sz w:val="16"/>
                <w:szCs w:val="16"/>
              </w:rPr>
              <w:t>​</w:t>
            </w:r>
          </w:p>
        </w:tc>
        <w:tc>
          <w:tcPr>
            <w:tcW w:w="793" w:type="pct"/>
            <w:gridSpan w:val="5"/>
            <w:noWrap/>
            <w:tcMar>
              <w:top w:w="0" w:type="dxa"/>
              <w:left w:w="0" w:type="dxa"/>
              <w:bottom w:w="0" w:type="dxa"/>
              <w:right w:w="0" w:type="dxa"/>
            </w:tcMar>
            <w:vAlign w:val="bottom"/>
            <w:hideMark/>
          </w:tcPr>
          <w:p w14:paraId="32AA3507"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39" w:type="pct"/>
            <w:noWrap/>
            <w:tcMar>
              <w:top w:w="0" w:type="dxa"/>
              <w:left w:w="0" w:type="dxa"/>
              <w:bottom w:w="0" w:type="dxa"/>
              <w:right w:w="0" w:type="dxa"/>
            </w:tcMar>
            <w:vAlign w:val="bottom"/>
            <w:hideMark/>
          </w:tcPr>
          <w:p w14:paraId="46C11DA4" w14:textId="77777777" w:rsidR="00000000" w:rsidRDefault="001F1B20">
            <w:pPr>
              <w:pStyle w:val="a3"/>
              <w:spacing w:before="0" w:beforeAutospacing="0" w:after="0" w:afterAutospacing="0"/>
              <w:rPr>
                <w:sz w:val="20"/>
                <w:szCs w:val="20"/>
              </w:rPr>
            </w:pPr>
            <w:r>
              <w:rPr>
                <w:b/>
                <w:bCs/>
                <w:sz w:val="16"/>
                <w:szCs w:val="16"/>
              </w:rPr>
              <w:t>​</w:t>
            </w:r>
          </w:p>
        </w:tc>
        <w:tc>
          <w:tcPr>
            <w:tcW w:w="594" w:type="pct"/>
            <w:gridSpan w:val="4"/>
            <w:noWrap/>
            <w:tcMar>
              <w:top w:w="0" w:type="dxa"/>
              <w:left w:w="0" w:type="dxa"/>
              <w:bottom w:w="0" w:type="dxa"/>
              <w:right w:w="0" w:type="dxa"/>
            </w:tcMar>
            <w:vAlign w:val="bottom"/>
            <w:hideMark/>
          </w:tcPr>
          <w:p w14:paraId="799AFD15"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49EC0D08"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7FBCD63A"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noWrap/>
            <w:tcMar>
              <w:top w:w="0" w:type="dxa"/>
              <w:left w:w="0" w:type="dxa"/>
              <w:bottom w:w="0" w:type="dxa"/>
              <w:right w:w="0" w:type="dxa"/>
            </w:tcMar>
            <w:vAlign w:val="bottom"/>
            <w:hideMark/>
          </w:tcPr>
          <w:p w14:paraId="0A73659C"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c>
          <w:tcPr>
            <w:tcW w:w="39" w:type="pct"/>
            <w:noWrap/>
            <w:tcMar>
              <w:top w:w="0" w:type="dxa"/>
              <w:left w:w="0" w:type="dxa"/>
              <w:bottom w:w="0" w:type="dxa"/>
              <w:right w:w="0" w:type="dxa"/>
            </w:tcMar>
            <w:vAlign w:val="bottom"/>
            <w:hideMark/>
          </w:tcPr>
          <w:p w14:paraId="080DD2F0" w14:textId="77777777" w:rsidR="00000000" w:rsidRDefault="001F1B20">
            <w:pPr>
              <w:pStyle w:val="a3"/>
              <w:spacing w:before="0" w:beforeAutospacing="0" w:after="0" w:afterAutospacing="0"/>
              <w:jc w:val="center"/>
              <w:rPr>
                <w:sz w:val="20"/>
                <w:szCs w:val="20"/>
              </w:rPr>
            </w:pPr>
            <w:r>
              <w:rPr>
                <w:b/>
                <w:bCs/>
                <w:sz w:val="16"/>
                <w:szCs w:val="16"/>
              </w:rPr>
              <w:t>​</w:t>
            </w:r>
          </w:p>
        </w:tc>
        <w:tc>
          <w:tcPr>
            <w:tcW w:w="470" w:type="pct"/>
            <w:gridSpan w:val="4"/>
            <w:noWrap/>
            <w:tcMar>
              <w:top w:w="0" w:type="dxa"/>
              <w:left w:w="0" w:type="dxa"/>
              <w:bottom w:w="0" w:type="dxa"/>
              <w:right w:w="0" w:type="dxa"/>
            </w:tcMar>
            <w:vAlign w:val="bottom"/>
            <w:hideMark/>
          </w:tcPr>
          <w:p w14:paraId="1561FCAF"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6B278197" w14:textId="77777777" w:rsidR="00000000" w:rsidRDefault="001F1B20">
            <w:pPr>
              <w:pStyle w:val="a3"/>
              <w:spacing w:before="0" w:beforeAutospacing="0" w:after="0" w:afterAutospacing="0"/>
              <w:rPr>
                <w:sz w:val="20"/>
                <w:szCs w:val="20"/>
              </w:rPr>
            </w:pPr>
            <w:r>
              <w:rPr>
                <w:b/>
                <w:bCs/>
                <w:sz w:val="16"/>
                <w:szCs w:val="16"/>
              </w:rPr>
              <w:t>​</w:t>
            </w:r>
          </w:p>
        </w:tc>
      </w:tr>
      <w:tr w:rsidR="00000000" w14:paraId="3BF0A843" w14:textId="77777777">
        <w:trPr>
          <w:divId w:val="2000385400"/>
        </w:trPr>
        <w:tc>
          <w:tcPr>
            <w:tcW w:w="1924" w:type="pct"/>
            <w:tcMar>
              <w:top w:w="0" w:type="dxa"/>
              <w:left w:w="0" w:type="dxa"/>
              <w:bottom w:w="0" w:type="dxa"/>
              <w:right w:w="0" w:type="dxa"/>
            </w:tcMar>
            <w:vAlign w:val="bottom"/>
            <w:hideMark/>
          </w:tcPr>
          <w:p w14:paraId="493F589E"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1E3777F9" w14:textId="77777777" w:rsidR="00000000" w:rsidRDefault="001F1B20">
            <w:pPr>
              <w:pStyle w:val="a3"/>
              <w:spacing w:before="0" w:beforeAutospacing="0" w:after="0" w:afterAutospacing="0"/>
              <w:rPr>
                <w:sz w:val="20"/>
                <w:szCs w:val="20"/>
              </w:rPr>
            </w:pPr>
            <w:r>
              <w:rPr>
                <w:b/>
                <w:bCs/>
                <w:sz w:val="16"/>
                <w:szCs w:val="16"/>
              </w:rPr>
              <w:t>​</w:t>
            </w:r>
          </w:p>
        </w:tc>
        <w:tc>
          <w:tcPr>
            <w:tcW w:w="793" w:type="pct"/>
            <w:gridSpan w:val="5"/>
            <w:tcBorders>
              <w:bottom w:val="single" w:sz="6" w:space="0" w:color="000000"/>
            </w:tcBorders>
            <w:noWrap/>
            <w:tcMar>
              <w:top w:w="0" w:type="dxa"/>
              <w:left w:w="0" w:type="dxa"/>
              <w:bottom w:w="0" w:type="dxa"/>
              <w:right w:w="0" w:type="dxa"/>
            </w:tcMar>
            <w:vAlign w:val="bottom"/>
            <w:hideMark/>
          </w:tcPr>
          <w:p w14:paraId="51024560"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5F2C5D5F" w14:textId="77777777" w:rsidR="00000000" w:rsidRDefault="001F1B20">
            <w:pPr>
              <w:pStyle w:val="a3"/>
              <w:spacing w:before="0" w:beforeAutospacing="0" w:after="0" w:afterAutospacing="0"/>
              <w:rPr>
                <w:sz w:val="20"/>
                <w:szCs w:val="20"/>
              </w:rPr>
            </w:pPr>
            <w:r>
              <w:rPr>
                <w:b/>
                <w:bCs/>
                <w:sz w:val="16"/>
                <w:szCs w:val="16"/>
              </w:rPr>
              <w:t>​</w:t>
            </w:r>
          </w:p>
        </w:tc>
        <w:tc>
          <w:tcPr>
            <w:tcW w:w="594" w:type="pct"/>
            <w:gridSpan w:val="4"/>
            <w:tcBorders>
              <w:bottom w:val="single" w:sz="6" w:space="0" w:color="000000"/>
            </w:tcBorders>
            <w:noWrap/>
            <w:tcMar>
              <w:top w:w="0" w:type="dxa"/>
              <w:left w:w="0" w:type="dxa"/>
              <w:bottom w:w="0" w:type="dxa"/>
              <w:right w:w="0" w:type="dxa"/>
            </w:tcMar>
            <w:vAlign w:val="bottom"/>
            <w:hideMark/>
          </w:tcPr>
          <w:p w14:paraId="4406FC20"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5B031FB4"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21E4328E"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tcBorders>
              <w:bottom w:val="single" w:sz="6" w:space="0" w:color="000000"/>
            </w:tcBorders>
            <w:noWrap/>
            <w:tcMar>
              <w:top w:w="0" w:type="dxa"/>
              <w:left w:w="0" w:type="dxa"/>
              <w:bottom w:w="0" w:type="dxa"/>
              <w:right w:w="0" w:type="dxa"/>
            </w:tcMar>
            <w:vAlign w:val="bottom"/>
            <w:hideMark/>
          </w:tcPr>
          <w:p w14:paraId="4A743638"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6750EADE" w14:textId="77777777" w:rsidR="00000000" w:rsidRDefault="001F1B20">
            <w:pPr>
              <w:pStyle w:val="a3"/>
              <w:spacing w:before="0" w:beforeAutospacing="0" w:after="0" w:afterAutospacing="0"/>
              <w:jc w:val="center"/>
              <w:rPr>
                <w:sz w:val="20"/>
                <w:szCs w:val="20"/>
              </w:rPr>
            </w:pPr>
            <w:r>
              <w:rPr>
                <w:b/>
                <w:bCs/>
                <w:sz w:val="16"/>
                <w:szCs w:val="16"/>
              </w:rPr>
              <w:t>​</w:t>
            </w:r>
          </w:p>
        </w:tc>
        <w:tc>
          <w:tcPr>
            <w:tcW w:w="470" w:type="pct"/>
            <w:gridSpan w:val="4"/>
            <w:tcBorders>
              <w:bottom w:val="single" w:sz="6" w:space="0" w:color="000000"/>
            </w:tcBorders>
            <w:noWrap/>
            <w:tcMar>
              <w:top w:w="0" w:type="dxa"/>
              <w:left w:w="0" w:type="dxa"/>
              <w:bottom w:w="0" w:type="dxa"/>
              <w:right w:w="0" w:type="dxa"/>
            </w:tcMar>
            <w:vAlign w:val="bottom"/>
            <w:hideMark/>
          </w:tcPr>
          <w:p w14:paraId="264F2F66"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46DA3359" w14:textId="77777777" w:rsidR="00000000" w:rsidRDefault="001F1B20">
            <w:pPr>
              <w:pStyle w:val="a3"/>
              <w:spacing w:before="0" w:beforeAutospacing="0" w:after="0" w:afterAutospacing="0"/>
              <w:rPr>
                <w:sz w:val="20"/>
                <w:szCs w:val="20"/>
              </w:rPr>
            </w:pPr>
            <w:r>
              <w:rPr>
                <w:b/>
                <w:bCs/>
                <w:sz w:val="16"/>
                <w:szCs w:val="16"/>
              </w:rPr>
              <w:t>​</w:t>
            </w:r>
          </w:p>
        </w:tc>
      </w:tr>
      <w:tr w:rsidR="00000000" w14:paraId="5C46EBEF" w14:textId="77777777">
        <w:trPr>
          <w:divId w:val="2000385400"/>
        </w:trPr>
        <w:tc>
          <w:tcPr>
            <w:tcW w:w="1924" w:type="pct"/>
            <w:tcBorders>
              <w:bottom w:val="single" w:sz="6" w:space="0" w:color="000000"/>
            </w:tcBorders>
            <w:tcMar>
              <w:top w:w="0" w:type="dxa"/>
              <w:left w:w="0" w:type="dxa"/>
              <w:bottom w:w="0" w:type="dxa"/>
              <w:right w:w="0" w:type="dxa"/>
            </w:tcMar>
            <w:vAlign w:val="bottom"/>
            <w:hideMark/>
          </w:tcPr>
          <w:p w14:paraId="1A73DE65" w14:textId="77777777" w:rsidR="00000000" w:rsidRDefault="001F1B20">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14:paraId="6A278A2D" w14:textId="77777777" w:rsidR="00000000" w:rsidRDefault="001F1B20">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09ECD71D" w14:textId="77777777" w:rsidR="00000000" w:rsidRDefault="001F1B20">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14:paraId="5E052330" w14:textId="77777777" w:rsidR="00000000" w:rsidRDefault="001F1B20">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0623D65C"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27E34CCF" w14:textId="77777777" w:rsidR="00000000" w:rsidRDefault="001F1B20">
            <w:pPr>
              <w:pStyle w:val="a3"/>
              <w:spacing w:before="0" w:beforeAutospacing="0" w:after="0" w:afterAutospacing="0"/>
              <w:rPr>
                <w:sz w:val="16"/>
                <w:szCs w:val="16"/>
              </w:rPr>
            </w:pP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14:paraId="56065C51"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4D107554" w14:textId="77777777" w:rsidR="00000000" w:rsidRDefault="001F1B20">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14:paraId="0B71F28F"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2D72FFAA" w14:textId="77777777" w:rsidR="00000000" w:rsidRDefault="001F1B20">
            <w:pPr>
              <w:pStyle w:val="a3"/>
              <w:spacing w:before="0" w:beforeAutospacing="0" w:after="0" w:afterAutospacing="0"/>
              <w:rPr>
                <w:sz w:val="16"/>
                <w:szCs w:val="16"/>
              </w:rPr>
            </w:pPr>
            <w:r>
              <w:rPr>
                <w:b/>
                <w:bCs/>
                <w:sz w:val="16"/>
                <w:szCs w:val="16"/>
              </w:rPr>
              <w:t>    </w:t>
            </w:r>
          </w:p>
        </w:tc>
        <w:tc>
          <w:tcPr>
            <w:tcW w:w="39" w:type="pct"/>
            <w:noWrap/>
            <w:tcMar>
              <w:top w:w="0" w:type="dxa"/>
              <w:left w:w="0" w:type="dxa"/>
              <w:bottom w:w="0" w:type="dxa"/>
              <w:right w:w="0" w:type="dxa"/>
            </w:tcMar>
            <w:vAlign w:val="bottom"/>
            <w:hideMark/>
          </w:tcPr>
          <w:p w14:paraId="2FC6DA93"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7ABC0D9E" w14:textId="77777777" w:rsidR="00000000" w:rsidRDefault="001F1B20">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14:paraId="1B636CE6" w14:textId="77777777" w:rsidR="00000000" w:rsidRDefault="001F1B20">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505568D4"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77A36C79" w14:textId="77777777" w:rsidR="00000000" w:rsidRDefault="001F1B20">
            <w:pPr>
              <w:pStyle w:val="a3"/>
              <w:spacing w:before="0" w:beforeAutospacing="0" w:after="0" w:afterAutospacing="0"/>
              <w:jc w:val="center"/>
              <w:rPr>
                <w:sz w:val="16"/>
                <w:szCs w:val="16"/>
              </w:rPr>
            </w:pPr>
            <w:r>
              <w:rPr>
                <w:b/>
                <w:bCs/>
                <w:sz w:val="16"/>
                <w:szCs w:val="16"/>
              </w:rPr>
              <w:t>  </w:t>
            </w:r>
          </w:p>
        </w:tc>
        <w:tc>
          <w:tcPr>
            <w:tcW w:w="289" w:type="pct"/>
            <w:gridSpan w:val="2"/>
            <w:tcBorders>
              <w:bottom w:val="single" w:sz="6" w:space="0" w:color="000000"/>
            </w:tcBorders>
            <w:noWrap/>
            <w:tcMar>
              <w:top w:w="0" w:type="dxa"/>
              <w:left w:w="0" w:type="dxa"/>
              <w:bottom w:w="0" w:type="dxa"/>
              <w:right w:w="0" w:type="dxa"/>
            </w:tcMar>
            <w:vAlign w:val="bottom"/>
            <w:hideMark/>
          </w:tcPr>
          <w:p w14:paraId="53854788"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3B1603B3" w14:textId="77777777" w:rsidR="00000000" w:rsidRDefault="001F1B20">
            <w:pPr>
              <w:pStyle w:val="a3"/>
              <w:spacing w:before="0" w:beforeAutospacing="0" w:after="0" w:afterAutospacing="0"/>
              <w:rPr>
                <w:sz w:val="16"/>
                <w:szCs w:val="16"/>
              </w:rPr>
            </w:pPr>
            <w:r>
              <w:rPr>
                <w:b/>
                <w:bCs/>
                <w:sz w:val="16"/>
                <w:szCs w:val="16"/>
              </w:rPr>
              <w:t>  </w:t>
            </w:r>
          </w:p>
        </w:tc>
        <w:tc>
          <w:tcPr>
            <w:tcW w:w="140" w:type="pct"/>
            <w:tcBorders>
              <w:bottom w:val="single" w:sz="6" w:space="0" w:color="000000"/>
            </w:tcBorders>
            <w:noWrap/>
            <w:tcMar>
              <w:top w:w="0" w:type="dxa"/>
              <w:left w:w="0" w:type="dxa"/>
              <w:bottom w:w="0" w:type="dxa"/>
              <w:right w:w="0" w:type="dxa"/>
            </w:tcMar>
            <w:vAlign w:val="bottom"/>
            <w:hideMark/>
          </w:tcPr>
          <w:p w14:paraId="5698B4F4"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3B62E70F" w14:textId="77777777" w:rsidR="00000000" w:rsidRDefault="001F1B20">
            <w:pPr>
              <w:pStyle w:val="a3"/>
              <w:spacing w:before="0" w:beforeAutospacing="0" w:after="0" w:afterAutospacing="0"/>
              <w:rPr>
                <w:sz w:val="16"/>
                <w:szCs w:val="16"/>
              </w:rPr>
            </w:pPr>
            <w:r>
              <w:rPr>
                <w:b/>
                <w:bCs/>
                <w:sz w:val="16"/>
                <w:szCs w:val="16"/>
              </w:rPr>
              <w:t>    </w:t>
            </w:r>
          </w:p>
        </w:tc>
      </w:tr>
      <w:tr w:rsidR="00000000" w14:paraId="1A57F93F" w14:textId="77777777">
        <w:trPr>
          <w:divId w:val="2000385400"/>
        </w:trPr>
        <w:tc>
          <w:tcPr>
            <w:tcW w:w="1924" w:type="pct"/>
            <w:shd w:val="clear" w:color="auto" w:fill="CCEEFF"/>
            <w:tcMar>
              <w:top w:w="0" w:type="dxa"/>
              <w:left w:w="0" w:type="dxa"/>
              <w:bottom w:w="0" w:type="dxa"/>
              <w:right w:w="0" w:type="dxa"/>
            </w:tcMar>
            <w:vAlign w:val="bottom"/>
            <w:hideMark/>
          </w:tcPr>
          <w:p w14:paraId="27D62696" w14:textId="77777777" w:rsidR="00000000" w:rsidRDefault="001F1B20">
            <w:pPr>
              <w:pStyle w:val="a3"/>
              <w:spacing w:before="0" w:beforeAutospacing="0" w:after="0" w:afterAutospacing="0"/>
              <w:rPr>
                <w:sz w:val="20"/>
                <w:szCs w:val="20"/>
              </w:rPr>
            </w:pPr>
            <w:r>
              <w:rPr>
                <w:sz w:val="20"/>
                <w:szCs w:val="20"/>
              </w:rPr>
              <w:t>Selling, general and administrative</w:t>
            </w:r>
          </w:p>
        </w:tc>
        <w:tc>
          <w:tcPr>
            <w:tcW w:w="39" w:type="pct"/>
            <w:shd w:val="clear" w:color="auto" w:fill="CCEEFF"/>
            <w:noWrap/>
            <w:tcMar>
              <w:top w:w="0" w:type="dxa"/>
              <w:left w:w="0" w:type="dxa"/>
              <w:bottom w:w="0" w:type="dxa"/>
              <w:right w:w="0" w:type="dxa"/>
            </w:tcMar>
            <w:vAlign w:val="bottom"/>
            <w:hideMark/>
          </w:tcPr>
          <w:p w14:paraId="5D931E82"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0064F25"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3D172A30" w14:textId="77777777" w:rsidR="00000000" w:rsidRDefault="001F1B20">
            <w:pPr>
              <w:pStyle w:val="a3"/>
              <w:spacing w:before="0" w:beforeAutospacing="0" w:after="0" w:afterAutospacing="0"/>
              <w:ind w:right="60"/>
              <w:jc w:val="right"/>
              <w:rPr>
                <w:sz w:val="20"/>
                <w:szCs w:val="20"/>
              </w:rPr>
            </w:pPr>
            <w:r>
              <w:rPr>
                <w:sz w:val="20"/>
                <w:szCs w:val="20"/>
              </w:rPr>
              <w:t>21,29</w:t>
            </w:r>
            <w:r>
              <w:rPr>
                <w:sz w:val="20"/>
                <w:szCs w:val="20"/>
              </w:rPr>
              <w:t>9</w:t>
            </w:r>
          </w:p>
        </w:tc>
        <w:tc>
          <w:tcPr>
            <w:tcW w:w="39" w:type="pct"/>
            <w:shd w:val="clear" w:color="auto" w:fill="CCEEFF"/>
            <w:noWrap/>
            <w:tcMar>
              <w:top w:w="0" w:type="dxa"/>
              <w:left w:w="0" w:type="dxa"/>
              <w:bottom w:w="0" w:type="dxa"/>
              <w:right w:w="0" w:type="dxa"/>
            </w:tcMar>
            <w:vAlign w:val="bottom"/>
            <w:hideMark/>
          </w:tcPr>
          <w:p w14:paraId="3CBA5512"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35E6104"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66BCA93F" w14:textId="77777777" w:rsidR="00000000" w:rsidRDefault="001F1B20">
            <w:pPr>
              <w:pStyle w:val="a3"/>
              <w:spacing w:before="0" w:beforeAutospacing="0" w:after="0" w:afterAutospacing="0"/>
              <w:ind w:right="60"/>
              <w:jc w:val="right"/>
              <w:rPr>
                <w:sz w:val="20"/>
                <w:szCs w:val="20"/>
              </w:rPr>
            </w:pPr>
            <w:r>
              <w:rPr>
                <w:sz w:val="20"/>
                <w:szCs w:val="20"/>
              </w:rPr>
              <w:t>27,50</w:t>
            </w:r>
            <w:r>
              <w:rPr>
                <w:sz w:val="20"/>
                <w:szCs w:val="20"/>
              </w:rPr>
              <w:t>1</w:t>
            </w:r>
          </w:p>
        </w:tc>
        <w:tc>
          <w:tcPr>
            <w:tcW w:w="39" w:type="pct"/>
            <w:shd w:val="clear" w:color="auto" w:fill="CCEEFF"/>
            <w:noWrap/>
            <w:tcMar>
              <w:top w:w="0" w:type="dxa"/>
              <w:left w:w="0" w:type="dxa"/>
              <w:bottom w:w="0" w:type="dxa"/>
              <w:right w:w="0" w:type="dxa"/>
            </w:tcMar>
            <w:vAlign w:val="bottom"/>
            <w:hideMark/>
          </w:tcPr>
          <w:p w14:paraId="6EB5CB12"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4F3C750A" w14:textId="77777777" w:rsidR="00000000" w:rsidRDefault="001F1B20">
            <w:pPr>
              <w:pStyle w:val="a3"/>
              <w:spacing w:before="0" w:beforeAutospacing="0" w:after="0"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5D62D214" w14:textId="77777777" w:rsidR="00000000" w:rsidRDefault="001F1B20">
            <w:pPr>
              <w:pStyle w:val="a3"/>
              <w:spacing w:before="0" w:beforeAutospacing="0" w:after="0" w:afterAutospacing="0"/>
              <w:jc w:val="right"/>
              <w:rPr>
                <w:sz w:val="20"/>
                <w:szCs w:val="20"/>
              </w:rPr>
            </w:pPr>
            <w:r>
              <w:rPr>
                <w:sz w:val="20"/>
                <w:szCs w:val="20"/>
              </w:rPr>
              <w:t>(6,202</w:t>
            </w:r>
            <w:r>
              <w:rPr>
                <w:sz w:val="20"/>
                <w:szCs w:val="20"/>
              </w:rPr>
              <w:t>)</w:t>
            </w:r>
          </w:p>
        </w:tc>
        <w:tc>
          <w:tcPr>
            <w:tcW w:w="39" w:type="pct"/>
            <w:shd w:val="clear" w:color="auto" w:fill="CCEEFF"/>
            <w:noWrap/>
            <w:tcMar>
              <w:top w:w="0" w:type="dxa"/>
              <w:left w:w="0" w:type="dxa"/>
              <w:bottom w:w="0" w:type="dxa"/>
              <w:right w:w="0" w:type="dxa"/>
            </w:tcMar>
            <w:vAlign w:val="bottom"/>
            <w:hideMark/>
          </w:tcPr>
          <w:p w14:paraId="3322341D" w14:textId="77777777" w:rsidR="00000000" w:rsidRDefault="001F1B20">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14:paraId="42361720" w14:textId="77777777" w:rsidR="00000000" w:rsidRDefault="001F1B20">
            <w:pPr>
              <w:pStyle w:val="a3"/>
              <w:spacing w:before="0" w:beforeAutospacing="0" w:after="0" w:afterAutospacing="0"/>
              <w:jc w:val="right"/>
              <w:rPr>
                <w:sz w:val="20"/>
                <w:szCs w:val="20"/>
              </w:rPr>
            </w:pPr>
            <w:r>
              <w:rPr>
                <w:sz w:val="20"/>
                <w:szCs w:val="20"/>
              </w:rPr>
              <w:t>(23</w:t>
            </w:r>
            <w:r>
              <w:rPr>
                <w:sz w:val="20"/>
                <w:szCs w:val="20"/>
              </w:rPr>
              <w:t>)</w:t>
            </w:r>
          </w:p>
        </w:tc>
        <w:tc>
          <w:tcPr>
            <w:tcW w:w="132" w:type="pct"/>
            <w:shd w:val="clear" w:color="auto" w:fill="CCEEFF"/>
            <w:noWrap/>
            <w:tcMar>
              <w:top w:w="0" w:type="dxa"/>
              <w:left w:w="0" w:type="dxa"/>
              <w:bottom w:w="0" w:type="dxa"/>
              <w:right w:w="0" w:type="dxa"/>
            </w:tcMar>
            <w:vAlign w:val="bottom"/>
            <w:hideMark/>
          </w:tcPr>
          <w:p w14:paraId="3021F141" w14:textId="77777777" w:rsidR="00000000" w:rsidRDefault="001F1B20">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14:paraId="21312128"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4D1CD80"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2FC59CC4" w14:textId="77777777" w:rsidR="00000000" w:rsidRDefault="001F1B20">
            <w:pPr>
              <w:pStyle w:val="a3"/>
              <w:spacing w:before="0" w:beforeAutospacing="0" w:after="0" w:afterAutospacing="0"/>
              <w:ind w:right="60"/>
              <w:jc w:val="right"/>
              <w:rPr>
                <w:sz w:val="20"/>
                <w:szCs w:val="20"/>
              </w:rPr>
            </w:pPr>
            <w:r>
              <w:rPr>
                <w:sz w:val="20"/>
                <w:szCs w:val="20"/>
              </w:rPr>
              <w:t>77,78</w:t>
            </w:r>
            <w:r>
              <w:rPr>
                <w:sz w:val="20"/>
                <w:szCs w:val="20"/>
              </w:rPr>
              <w:t>0</w:t>
            </w:r>
          </w:p>
        </w:tc>
        <w:tc>
          <w:tcPr>
            <w:tcW w:w="39" w:type="pct"/>
            <w:shd w:val="clear" w:color="auto" w:fill="CCEEFF"/>
            <w:noWrap/>
            <w:tcMar>
              <w:top w:w="0" w:type="dxa"/>
              <w:left w:w="0" w:type="dxa"/>
              <w:bottom w:w="0" w:type="dxa"/>
              <w:right w:w="0" w:type="dxa"/>
            </w:tcMar>
            <w:vAlign w:val="bottom"/>
            <w:hideMark/>
          </w:tcPr>
          <w:p w14:paraId="4B1BC905"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03FB990A"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662ACE67" w14:textId="77777777" w:rsidR="00000000" w:rsidRDefault="001F1B20">
            <w:pPr>
              <w:pStyle w:val="a3"/>
              <w:spacing w:before="0" w:beforeAutospacing="0" w:after="0" w:afterAutospacing="0"/>
              <w:ind w:right="60"/>
              <w:jc w:val="right"/>
              <w:rPr>
                <w:sz w:val="20"/>
                <w:szCs w:val="20"/>
              </w:rPr>
            </w:pPr>
            <w:r>
              <w:rPr>
                <w:sz w:val="20"/>
                <w:szCs w:val="20"/>
              </w:rPr>
              <w:t>78,60</w:t>
            </w:r>
            <w:r>
              <w:rPr>
                <w:sz w:val="20"/>
                <w:szCs w:val="20"/>
              </w:rPr>
              <w:t>6</w:t>
            </w:r>
          </w:p>
        </w:tc>
        <w:tc>
          <w:tcPr>
            <w:tcW w:w="39" w:type="pct"/>
            <w:shd w:val="clear" w:color="auto" w:fill="CCEEFF"/>
            <w:noWrap/>
            <w:tcMar>
              <w:top w:w="0" w:type="dxa"/>
              <w:left w:w="0" w:type="dxa"/>
              <w:bottom w:w="0" w:type="dxa"/>
              <w:right w:w="0" w:type="dxa"/>
            </w:tcMar>
            <w:vAlign w:val="bottom"/>
            <w:hideMark/>
          </w:tcPr>
          <w:p w14:paraId="133D20FC" w14:textId="77777777" w:rsidR="00000000" w:rsidRDefault="001F1B20">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B2715AD" w14:textId="77777777" w:rsidR="00000000" w:rsidRDefault="001F1B20">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14:paraId="1577552F" w14:textId="77777777" w:rsidR="00000000" w:rsidRDefault="001F1B20">
            <w:pPr>
              <w:pStyle w:val="a3"/>
              <w:spacing w:before="0" w:beforeAutospacing="0" w:after="0" w:afterAutospacing="0"/>
              <w:jc w:val="right"/>
              <w:rPr>
                <w:sz w:val="20"/>
                <w:szCs w:val="20"/>
              </w:rPr>
            </w:pPr>
            <w:r>
              <w:rPr>
                <w:sz w:val="20"/>
                <w:szCs w:val="20"/>
              </w:rPr>
              <w:t>(826</w:t>
            </w:r>
            <w:r>
              <w:rPr>
                <w:sz w:val="20"/>
                <w:szCs w:val="20"/>
              </w:rPr>
              <w:t>)</w:t>
            </w:r>
          </w:p>
        </w:tc>
        <w:tc>
          <w:tcPr>
            <w:tcW w:w="39" w:type="pct"/>
            <w:shd w:val="clear" w:color="auto" w:fill="CCEEFF"/>
            <w:noWrap/>
            <w:tcMar>
              <w:top w:w="0" w:type="dxa"/>
              <w:left w:w="0" w:type="dxa"/>
              <w:bottom w:w="0" w:type="dxa"/>
              <w:right w:w="0" w:type="dxa"/>
            </w:tcMar>
            <w:vAlign w:val="bottom"/>
            <w:hideMark/>
          </w:tcPr>
          <w:p w14:paraId="1E0B9C8E" w14:textId="77777777" w:rsidR="00000000" w:rsidRDefault="001F1B20">
            <w:pPr>
              <w:pStyle w:val="a3"/>
              <w:spacing w:before="0" w:beforeAutospacing="0" w:after="0" w:afterAutospacing="0"/>
              <w:rPr>
                <w:sz w:val="20"/>
                <w:szCs w:val="20"/>
              </w:rPr>
            </w:pPr>
            <w:r>
              <w:rPr>
                <w:sz w:val="20"/>
                <w:szCs w:val="20"/>
              </w:rPr>
              <w:t>​</w:t>
            </w:r>
          </w:p>
        </w:tc>
        <w:tc>
          <w:tcPr>
            <w:tcW w:w="140" w:type="pct"/>
            <w:shd w:val="clear" w:color="auto" w:fill="CCEEFF"/>
            <w:noWrap/>
            <w:tcMar>
              <w:top w:w="0" w:type="dxa"/>
              <w:left w:w="0" w:type="dxa"/>
              <w:bottom w:w="0" w:type="dxa"/>
              <w:right w:w="0" w:type="dxa"/>
            </w:tcMar>
            <w:vAlign w:val="bottom"/>
            <w:hideMark/>
          </w:tcPr>
          <w:p w14:paraId="3E81BB11" w14:textId="77777777" w:rsidR="00000000" w:rsidRDefault="001F1B20">
            <w:pPr>
              <w:pStyle w:val="a3"/>
              <w:spacing w:before="0" w:beforeAutospacing="0" w:after="0" w:afterAutospacing="0"/>
              <w:jc w:val="right"/>
              <w:rPr>
                <w:sz w:val="20"/>
                <w:szCs w:val="20"/>
              </w:rPr>
            </w:pPr>
            <w:r>
              <w:rPr>
                <w:sz w:val="20"/>
                <w:szCs w:val="20"/>
              </w:rPr>
              <w:t>(1</w:t>
            </w:r>
            <w:r>
              <w:rPr>
                <w:sz w:val="20"/>
                <w:szCs w:val="20"/>
              </w:rPr>
              <w:t>)</w:t>
            </w:r>
          </w:p>
        </w:tc>
        <w:tc>
          <w:tcPr>
            <w:tcW w:w="132" w:type="pct"/>
            <w:shd w:val="clear" w:color="auto" w:fill="CCEEFF"/>
            <w:noWrap/>
            <w:tcMar>
              <w:top w:w="0" w:type="dxa"/>
              <w:left w:w="0" w:type="dxa"/>
              <w:bottom w:w="0" w:type="dxa"/>
              <w:right w:w="0" w:type="dxa"/>
            </w:tcMar>
            <w:vAlign w:val="bottom"/>
            <w:hideMark/>
          </w:tcPr>
          <w:p w14:paraId="11F25FF5" w14:textId="77777777" w:rsidR="00000000" w:rsidRDefault="001F1B20">
            <w:pPr>
              <w:pStyle w:val="a3"/>
              <w:spacing w:before="0" w:beforeAutospacing="0" w:after="0" w:afterAutospacing="0"/>
              <w:rPr>
                <w:sz w:val="20"/>
                <w:szCs w:val="20"/>
              </w:rPr>
            </w:pPr>
            <w:r>
              <w:rPr>
                <w:sz w:val="20"/>
                <w:szCs w:val="20"/>
              </w:rPr>
              <w:t>%  </w:t>
            </w:r>
          </w:p>
        </w:tc>
      </w:tr>
    </w:tbl>
    <w:p w14:paraId="3C01A50D" w14:textId="77777777" w:rsidR="00000000" w:rsidRDefault="001F1B20">
      <w:pPr>
        <w:pStyle w:val="a3"/>
        <w:spacing w:before="0" w:beforeAutospacing="0" w:after="0" w:afterAutospacing="0"/>
        <w:ind w:firstLine="720"/>
        <w:divId w:val="2000385400"/>
        <w:rPr>
          <w:sz w:val="20"/>
          <w:szCs w:val="20"/>
        </w:rPr>
      </w:pPr>
      <w:r>
        <w:rPr>
          <w:sz w:val="20"/>
          <w:szCs w:val="20"/>
        </w:rPr>
        <w:t>​</w:t>
      </w:r>
    </w:p>
    <w:p w14:paraId="2625C249" w14:textId="77777777" w:rsidR="00000000" w:rsidRDefault="001F1B20">
      <w:pPr>
        <w:pStyle w:val="a3"/>
        <w:spacing w:before="0" w:beforeAutospacing="0" w:after="0" w:afterAutospacing="0"/>
        <w:ind w:firstLine="720"/>
        <w:divId w:val="2000385400"/>
        <w:rPr>
          <w:sz w:val="20"/>
          <w:szCs w:val="20"/>
        </w:rPr>
      </w:pPr>
      <w:r>
        <w:rPr>
          <w:sz w:val="20"/>
          <w:szCs w:val="20"/>
        </w:rPr>
        <w:t>Selling, general and administrative expenses decreased by $6.2 million and $0.8 million for the three and nine months ended September 30, 2021, respectively, compared to the same periods in 2020. The $6.2 million decrease for the three months ended Septemb</w:t>
      </w:r>
      <w:r>
        <w:rPr>
          <w:sz w:val="20"/>
          <w:szCs w:val="20"/>
        </w:rPr>
        <w:t>er 30, 2021, was primarily attributed to a reduction in employee-related expenses resulting from the reversal of the annual corporate bonus due to the Restructuring and a reduction in external-related services. Although the $0.8 million decrease for the ni</w:t>
      </w:r>
      <w:r>
        <w:rPr>
          <w:sz w:val="20"/>
          <w:szCs w:val="20"/>
        </w:rPr>
        <w:t>ne month period ended September 30, 2021 also included a reduction in employee-related expenses resulting from the annual corporate bonus reversal, the reduction was offset by an increase in external-related expenses primarily due to legal costs related to</w:t>
      </w:r>
      <w:r>
        <w:rPr>
          <w:sz w:val="20"/>
          <w:szCs w:val="20"/>
        </w:rPr>
        <w:t xml:space="preserve"> the TRC arbitration. Severance and other costs that were directly attributed to the Restructuring are included in the </w:t>
      </w:r>
      <w:r>
        <w:rPr>
          <w:i/>
          <w:iCs/>
          <w:sz w:val="20"/>
          <w:szCs w:val="20"/>
        </w:rPr>
        <w:t>Restructuring Expenses</w:t>
      </w:r>
      <w:r>
        <w:rPr>
          <w:sz w:val="20"/>
          <w:szCs w:val="20"/>
        </w:rPr>
        <w:t xml:space="preserve"> section below.</w:t>
      </w:r>
    </w:p>
    <w:p w14:paraId="119B26D7" w14:textId="77777777" w:rsidR="00000000" w:rsidRDefault="001F1B20">
      <w:pPr>
        <w:pStyle w:val="a3"/>
        <w:spacing w:before="0" w:beforeAutospacing="0" w:after="0" w:afterAutospacing="0"/>
        <w:ind w:firstLine="720"/>
        <w:divId w:val="2000385400"/>
        <w:rPr>
          <w:sz w:val="20"/>
          <w:szCs w:val="20"/>
        </w:rPr>
      </w:pPr>
      <w:r>
        <w:rPr>
          <w:sz w:val="20"/>
          <w:szCs w:val="20"/>
        </w:rPr>
        <w:t>​</w:t>
      </w:r>
    </w:p>
    <w:p w14:paraId="082DC20D" w14:textId="77777777" w:rsidR="00000000" w:rsidRDefault="001F1B20">
      <w:pPr>
        <w:pStyle w:val="a3"/>
        <w:spacing w:before="0" w:beforeAutospacing="0" w:after="0" w:afterAutospacing="0"/>
        <w:ind w:firstLine="720"/>
        <w:divId w:val="2000385400"/>
        <w:rPr>
          <w:sz w:val="20"/>
          <w:szCs w:val="20"/>
        </w:rPr>
      </w:pPr>
      <w:r>
        <w:rPr>
          <w:sz w:val="20"/>
          <w:szCs w:val="20"/>
          <w:shd w:val="clear" w:color="auto" w:fill="FFFFFF"/>
        </w:rPr>
        <w:t>Share-based compensation expense related to selling, general and administrative expenses was $7.4</w:t>
      </w:r>
      <w:r>
        <w:rPr>
          <w:sz w:val="20"/>
          <w:szCs w:val="20"/>
          <w:shd w:val="clear" w:color="auto" w:fill="FFFFFF"/>
        </w:rPr>
        <w:t> million and $23.0 million for the three and nine months ended September 30, 2021, respectively, and $7.8 million and $23.7 million for the three and nine months ended September 30, 2020, respectively.</w:t>
      </w:r>
    </w:p>
    <w:p w14:paraId="5E7A2C2F" w14:textId="77777777" w:rsidR="00000000" w:rsidRDefault="001F1B20">
      <w:pPr>
        <w:pStyle w:val="a3"/>
        <w:spacing w:before="0" w:beforeAutospacing="0" w:after="0" w:afterAutospacing="0"/>
        <w:ind w:firstLine="720"/>
        <w:divId w:val="2000385400"/>
        <w:rPr>
          <w:sz w:val="20"/>
          <w:szCs w:val="20"/>
        </w:rPr>
      </w:pPr>
      <w:r>
        <w:rPr>
          <w:sz w:val="20"/>
          <w:szCs w:val="20"/>
          <w:shd w:val="clear" w:color="auto" w:fill="FFFFFF"/>
        </w:rPr>
        <w:t>​</w:t>
      </w:r>
    </w:p>
    <w:p w14:paraId="0FFE0183" w14:textId="77777777" w:rsidR="00000000" w:rsidRDefault="001F1B20">
      <w:pPr>
        <w:pStyle w:val="a3"/>
        <w:spacing w:before="0" w:beforeAutospacing="0" w:after="0" w:afterAutospacing="0"/>
        <w:ind w:firstLine="720"/>
        <w:divId w:val="2000385400"/>
        <w:rPr>
          <w:sz w:val="20"/>
          <w:szCs w:val="20"/>
        </w:rPr>
      </w:pPr>
      <w:r>
        <w:rPr>
          <w:sz w:val="20"/>
          <w:szCs w:val="20"/>
          <w:shd w:val="clear" w:color="auto" w:fill="FFFFFF"/>
        </w:rPr>
        <w:t>We lease approximately 170,000 square feet of office</w:t>
      </w:r>
      <w:r>
        <w:rPr>
          <w:sz w:val="20"/>
          <w:szCs w:val="20"/>
          <w:shd w:val="clear" w:color="auto" w:fill="FFFFFF"/>
        </w:rPr>
        <w:t xml:space="preserve"> and laboratory space in two buildings in South San Francisco, California, under a non-cancelable operating lease that ends in May 2030. In July 2021, we terminated approximately 8,000 square feet of office space in one of the buildings and returned the sp</w:t>
      </w:r>
      <w:r>
        <w:rPr>
          <w:sz w:val="20"/>
          <w:szCs w:val="20"/>
          <w:shd w:val="clear" w:color="auto" w:fill="FFFFFF"/>
        </w:rPr>
        <w:t xml:space="preserve">ace to the building’s landlord for their use. </w:t>
      </w:r>
      <w:r>
        <w:rPr>
          <w:sz w:val="20"/>
          <w:szCs w:val="20"/>
        </w:rPr>
        <w:t>We determined that the termination would be accounted for as a lease modification under the applicable accounting guidance. As a result of the modification, we adjusted the value of our operating lease assets a</w:t>
      </w:r>
      <w:r>
        <w:rPr>
          <w:sz w:val="20"/>
          <w:szCs w:val="20"/>
        </w:rPr>
        <w:t>nd liabilities in our condensed consolidated balance sheets, as of September 30, 2021, resulting in a gain of $1.9 million. The $1.9 million gain was offset against facility expenses during the three and nine months ended September 30, 2021 and included wi</w:t>
      </w:r>
      <w:r>
        <w:rPr>
          <w:sz w:val="20"/>
          <w:szCs w:val="20"/>
        </w:rPr>
        <w:t xml:space="preserve">thin selling, general and administrative expenses and partially allocated to R&amp;D expenses above. </w:t>
      </w:r>
    </w:p>
    <w:p w14:paraId="1E8CAA6D" w14:textId="77777777" w:rsidR="00000000" w:rsidRDefault="001F1B20">
      <w:pPr>
        <w:pStyle w:val="a3"/>
        <w:spacing w:before="0" w:beforeAutospacing="0" w:after="0" w:afterAutospacing="0"/>
        <w:divId w:val="2000385400"/>
        <w:rPr>
          <w:sz w:val="20"/>
          <w:szCs w:val="20"/>
        </w:rPr>
      </w:pPr>
      <w:r>
        <w:rPr>
          <w:color w:val="FF0000"/>
          <w:sz w:val="20"/>
          <w:szCs w:val="20"/>
          <w:shd w:val="clear" w:color="auto" w:fill="FFFFFF"/>
        </w:rPr>
        <w:t>​</w:t>
      </w:r>
    </w:p>
    <w:p w14:paraId="1572D50B" w14:textId="77777777" w:rsidR="00000000" w:rsidRDefault="001F1B20">
      <w:pPr>
        <w:pStyle w:val="a3"/>
        <w:spacing w:before="0" w:beforeAutospacing="0" w:after="0" w:afterAutospacing="0"/>
        <w:ind w:firstLine="720"/>
        <w:divId w:val="2000385400"/>
        <w:rPr>
          <w:sz w:val="20"/>
          <w:szCs w:val="20"/>
        </w:rPr>
      </w:pPr>
      <w:r>
        <w:rPr>
          <w:sz w:val="20"/>
          <w:szCs w:val="20"/>
        </w:rPr>
        <w:t xml:space="preserve">As a result of the Restructuring, we expect our selling, general and administrative expenses to significantly decrease over the next 12 months. </w:t>
      </w:r>
    </w:p>
    <w:p w14:paraId="7163B85F" w14:textId="77777777" w:rsidR="00000000" w:rsidRDefault="001F1B20">
      <w:pPr>
        <w:pStyle w:val="a3"/>
        <w:spacing w:before="0" w:beforeAutospacing="0" w:after="0" w:afterAutospacing="0"/>
        <w:divId w:val="2000385400"/>
        <w:rPr>
          <w:sz w:val="20"/>
          <w:szCs w:val="20"/>
        </w:rPr>
      </w:pPr>
      <w:r>
        <w:rPr>
          <w:sz w:val="20"/>
          <w:szCs w:val="20"/>
        </w:rPr>
        <w:t>​</w:t>
      </w:r>
    </w:p>
    <w:p w14:paraId="19A50941" w14:textId="77777777" w:rsidR="00000000" w:rsidRDefault="001F1B20">
      <w:pPr>
        <w:pStyle w:val="a3"/>
        <w:spacing w:before="360" w:beforeAutospacing="0" w:after="0" w:afterAutospacing="0"/>
        <w:jc w:val="center"/>
        <w:divId w:val="442920199"/>
        <w:rPr>
          <w:sz w:val="20"/>
          <w:szCs w:val="20"/>
        </w:rPr>
      </w:pPr>
      <w:r>
        <w:rPr>
          <w:sz w:val="20"/>
          <w:szCs w:val="20"/>
        </w:rPr>
        <w:t>30</w:t>
      </w:r>
    </w:p>
    <w:p w14:paraId="6B60B616" w14:textId="77777777" w:rsidR="00000000" w:rsidRDefault="001F1B20">
      <w:pPr>
        <w:pStyle w:val="a3"/>
        <w:spacing w:before="0" w:beforeAutospacing="0" w:after="600" w:afterAutospacing="0"/>
        <w:divId w:val="620964456"/>
        <w:rPr>
          <w:sz w:val="20"/>
          <w:szCs w:val="20"/>
        </w:rPr>
      </w:pPr>
      <w:hyperlink w:anchor="TOC" w:history="1">
        <w:r>
          <w:rPr>
            <w:rStyle w:val="a4"/>
            <w:sz w:val="20"/>
            <w:szCs w:val="20"/>
          </w:rPr>
          <w:t>Table of Contents</w:t>
        </w:r>
      </w:hyperlink>
    </w:p>
    <w:p w14:paraId="78366206" w14:textId="77777777" w:rsidR="00000000" w:rsidRDefault="001F1B20">
      <w:pPr>
        <w:pStyle w:val="a3"/>
        <w:spacing w:before="0" w:beforeAutospacing="0" w:after="0" w:afterAutospacing="0"/>
        <w:divId w:val="1095248698"/>
        <w:rPr>
          <w:sz w:val="20"/>
          <w:szCs w:val="20"/>
        </w:rPr>
      </w:pPr>
      <w:r>
        <w:rPr>
          <w:b/>
          <w:bCs/>
          <w:i/>
          <w:iCs/>
          <w:sz w:val="20"/>
          <w:szCs w:val="20"/>
        </w:rPr>
        <w:t>Restructuring and Related Expenses</w:t>
      </w:r>
    </w:p>
    <w:p w14:paraId="595B8015" w14:textId="77777777" w:rsidR="00000000" w:rsidRDefault="001F1B20">
      <w:pPr>
        <w:pStyle w:val="a3"/>
        <w:spacing w:before="0" w:beforeAutospacing="0" w:after="0" w:afterAutospacing="0"/>
        <w:divId w:val="1095248698"/>
        <w:rPr>
          <w:sz w:val="20"/>
          <w:szCs w:val="20"/>
        </w:rPr>
      </w:pPr>
      <w:r>
        <w:rPr>
          <w:sz w:val="20"/>
          <w:szCs w:val="20"/>
        </w:rPr>
        <w:t>​</w:t>
      </w:r>
    </w:p>
    <w:p w14:paraId="264D81DE" w14:textId="77777777" w:rsidR="00000000" w:rsidRDefault="001F1B20">
      <w:pPr>
        <w:pStyle w:val="a3"/>
        <w:spacing w:before="0" w:beforeAutospacing="0" w:after="0" w:afterAutospacing="0"/>
        <w:ind w:firstLine="720"/>
        <w:divId w:val="1095248698"/>
        <w:rPr>
          <w:sz w:val="20"/>
          <w:szCs w:val="20"/>
        </w:rPr>
      </w:pPr>
      <w:r>
        <w:rPr>
          <w:sz w:val="20"/>
          <w:szCs w:val="20"/>
          <w:shd w:val="clear" w:color="auto" w:fill="FFFFFF"/>
        </w:rPr>
        <w:t xml:space="preserve">We incurred the following Restructuring charges consisting of one-time severance payments and other employee- related separation costs which are being </w:t>
      </w:r>
      <w:r>
        <w:rPr>
          <w:sz w:val="20"/>
          <w:szCs w:val="20"/>
        </w:rPr>
        <w:t>recognized ratably over the future service period:</w:t>
      </w:r>
    </w:p>
    <w:p w14:paraId="067BEC22" w14:textId="77777777" w:rsidR="00000000" w:rsidRDefault="001F1B20">
      <w:pPr>
        <w:pStyle w:val="a3"/>
        <w:spacing w:before="0" w:beforeAutospacing="0" w:after="0" w:afterAutospacing="0"/>
        <w:ind w:firstLine="720"/>
        <w:divId w:val="1095248698"/>
        <w:rPr>
          <w:sz w:val="20"/>
          <w:szCs w:val="20"/>
        </w:rPr>
      </w:pPr>
      <w:r>
        <w:rPr>
          <w:b/>
          <w:bCs/>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459"/>
        <w:gridCol w:w="80"/>
        <w:gridCol w:w="101"/>
        <w:gridCol w:w="591"/>
        <w:gridCol w:w="80"/>
        <w:gridCol w:w="100"/>
        <w:gridCol w:w="594"/>
        <w:gridCol w:w="80"/>
        <w:gridCol w:w="100"/>
        <w:gridCol w:w="510"/>
        <w:gridCol w:w="80"/>
        <w:gridCol w:w="383"/>
        <w:gridCol w:w="267"/>
        <w:gridCol w:w="80"/>
        <w:gridCol w:w="101"/>
        <w:gridCol w:w="550"/>
        <w:gridCol w:w="81"/>
        <w:gridCol w:w="100"/>
        <w:gridCol w:w="549"/>
        <w:gridCol w:w="80"/>
        <w:gridCol w:w="100"/>
        <w:gridCol w:w="510"/>
        <w:gridCol w:w="80"/>
        <w:gridCol w:w="383"/>
        <w:gridCol w:w="267"/>
      </w:tblGrid>
      <w:tr w:rsidR="00000000" w14:paraId="0E2AE9F5" w14:textId="77777777">
        <w:trPr>
          <w:divId w:val="1095248698"/>
          <w:trHeight w:val="20"/>
        </w:trPr>
        <w:tc>
          <w:tcPr>
            <w:tcW w:w="1958" w:type="pct"/>
            <w:tcMar>
              <w:top w:w="0" w:type="dxa"/>
              <w:left w:w="0" w:type="dxa"/>
              <w:bottom w:w="0" w:type="dxa"/>
              <w:right w:w="0" w:type="dxa"/>
            </w:tcMar>
            <w:vAlign w:val="bottom"/>
            <w:hideMark/>
          </w:tcPr>
          <w:p w14:paraId="5B1E7698" w14:textId="77777777" w:rsidR="00000000" w:rsidRDefault="001F1B20">
            <w:pPr>
              <w:pStyle w:val="a3"/>
              <w:spacing w:before="0" w:beforeAutospacing="0" w:after="0" w:afterAutospacing="0"/>
              <w:divId w:val="1612861442"/>
              <w:rPr>
                <w:sz w:val="20"/>
                <w:szCs w:val="20"/>
              </w:rPr>
            </w:pPr>
            <w:r>
              <w:rPr>
                <w:sz w:val="2"/>
                <w:szCs w:val="2"/>
              </w:rPr>
              <w:t>​</w:t>
            </w:r>
          </w:p>
        </w:tc>
        <w:tc>
          <w:tcPr>
            <w:tcW w:w="39" w:type="pct"/>
            <w:noWrap/>
            <w:tcMar>
              <w:top w:w="0" w:type="dxa"/>
              <w:left w:w="0" w:type="dxa"/>
              <w:bottom w:w="0" w:type="dxa"/>
              <w:right w:w="0" w:type="dxa"/>
            </w:tcMar>
            <w:vAlign w:val="bottom"/>
            <w:hideMark/>
          </w:tcPr>
          <w:p w14:paraId="3AB87F6F" w14:textId="77777777" w:rsidR="00000000" w:rsidRDefault="001F1B20">
            <w:pPr>
              <w:pStyle w:val="a3"/>
              <w:spacing w:before="0" w:beforeAutospacing="0" w:after="0" w:afterAutospacing="0"/>
              <w:divId w:val="1784029840"/>
              <w:rPr>
                <w:sz w:val="20"/>
                <w:szCs w:val="20"/>
              </w:rPr>
            </w:pPr>
            <w:r>
              <w:rPr>
                <w:sz w:val="2"/>
                <w:szCs w:val="2"/>
              </w:rPr>
              <w:t>​</w:t>
            </w:r>
          </w:p>
        </w:tc>
        <w:tc>
          <w:tcPr>
            <w:tcW w:w="50" w:type="pct"/>
            <w:noWrap/>
            <w:tcMar>
              <w:top w:w="0" w:type="dxa"/>
              <w:left w:w="0" w:type="dxa"/>
              <w:bottom w:w="0" w:type="dxa"/>
              <w:right w:w="0" w:type="dxa"/>
            </w:tcMar>
            <w:vAlign w:val="bottom"/>
            <w:hideMark/>
          </w:tcPr>
          <w:p w14:paraId="52FD9379" w14:textId="77777777" w:rsidR="00000000" w:rsidRDefault="001F1B20">
            <w:pPr>
              <w:pStyle w:val="a3"/>
              <w:spacing w:before="0" w:beforeAutospacing="0" w:after="0" w:afterAutospacing="0"/>
              <w:divId w:val="1434394481"/>
              <w:rPr>
                <w:sz w:val="20"/>
                <w:szCs w:val="20"/>
              </w:rPr>
            </w:pPr>
            <w:r>
              <w:rPr>
                <w:sz w:val="2"/>
                <w:szCs w:val="2"/>
              </w:rPr>
              <w:t>​</w:t>
            </w:r>
          </w:p>
        </w:tc>
        <w:tc>
          <w:tcPr>
            <w:tcW w:w="300" w:type="pct"/>
            <w:noWrap/>
            <w:tcMar>
              <w:top w:w="0" w:type="dxa"/>
              <w:left w:w="0" w:type="dxa"/>
              <w:bottom w:w="0" w:type="dxa"/>
              <w:right w:w="0" w:type="dxa"/>
            </w:tcMar>
            <w:vAlign w:val="bottom"/>
            <w:hideMark/>
          </w:tcPr>
          <w:p w14:paraId="650F741A" w14:textId="77777777" w:rsidR="00000000" w:rsidRDefault="001F1B20">
            <w:pPr>
              <w:pStyle w:val="a3"/>
              <w:spacing w:before="0" w:beforeAutospacing="0" w:after="0" w:afterAutospacing="0"/>
              <w:divId w:val="514685989"/>
              <w:rPr>
                <w:sz w:val="20"/>
                <w:szCs w:val="20"/>
              </w:rPr>
            </w:pPr>
            <w:r>
              <w:rPr>
                <w:sz w:val="2"/>
                <w:szCs w:val="2"/>
              </w:rPr>
              <w:t>​</w:t>
            </w:r>
          </w:p>
        </w:tc>
        <w:tc>
          <w:tcPr>
            <w:tcW w:w="40" w:type="pct"/>
            <w:noWrap/>
            <w:tcMar>
              <w:top w:w="0" w:type="dxa"/>
              <w:left w:w="0" w:type="dxa"/>
              <w:bottom w:w="0" w:type="dxa"/>
              <w:right w:w="0" w:type="dxa"/>
            </w:tcMar>
            <w:vAlign w:val="bottom"/>
            <w:hideMark/>
          </w:tcPr>
          <w:p w14:paraId="1CE5FFE9" w14:textId="77777777" w:rsidR="00000000" w:rsidRDefault="001F1B20">
            <w:pPr>
              <w:pStyle w:val="a3"/>
              <w:spacing w:before="0" w:beforeAutospacing="0" w:after="0" w:afterAutospacing="0"/>
              <w:divId w:val="361975476"/>
              <w:rPr>
                <w:sz w:val="20"/>
                <w:szCs w:val="20"/>
              </w:rPr>
            </w:pPr>
            <w:r>
              <w:rPr>
                <w:sz w:val="2"/>
                <w:szCs w:val="2"/>
              </w:rPr>
              <w:t>​</w:t>
            </w:r>
          </w:p>
        </w:tc>
        <w:tc>
          <w:tcPr>
            <w:tcW w:w="49" w:type="pct"/>
            <w:noWrap/>
            <w:tcMar>
              <w:top w:w="0" w:type="dxa"/>
              <w:left w:w="0" w:type="dxa"/>
              <w:bottom w:w="0" w:type="dxa"/>
              <w:right w:w="0" w:type="dxa"/>
            </w:tcMar>
            <w:vAlign w:val="bottom"/>
            <w:hideMark/>
          </w:tcPr>
          <w:p w14:paraId="3E9747CA" w14:textId="77777777" w:rsidR="00000000" w:rsidRDefault="001F1B20">
            <w:pPr>
              <w:pStyle w:val="a3"/>
              <w:spacing w:before="0" w:beforeAutospacing="0" w:after="0" w:afterAutospacing="0"/>
              <w:divId w:val="825318151"/>
              <w:rPr>
                <w:sz w:val="20"/>
                <w:szCs w:val="20"/>
              </w:rPr>
            </w:pPr>
            <w:r>
              <w:rPr>
                <w:sz w:val="2"/>
                <w:szCs w:val="2"/>
              </w:rPr>
              <w:t>​</w:t>
            </w:r>
          </w:p>
        </w:tc>
        <w:tc>
          <w:tcPr>
            <w:tcW w:w="300" w:type="pct"/>
            <w:noWrap/>
            <w:tcMar>
              <w:top w:w="0" w:type="dxa"/>
              <w:left w:w="0" w:type="dxa"/>
              <w:bottom w:w="0" w:type="dxa"/>
              <w:right w:w="0" w:type="dxa"/>
            </w:tcMar>
            <w:vAlign w:val="bottom"/>
            <w:hideMark/>
          </w:tcPr>
          <w:p w14:paraId="4CA9E86C" w14:textId="77777777" w:rsidR="00000000" w:rsidRDefault="001F1B20">
            <w:pPr>
              <w:pStyle w:val="a3"/>
              <w:spacing w:before="0" w:beforeAutospacing="0" w:after="0" w:afterAutospacing="0"/>
              <w:divId w:val="1148210359"/>
              <w:rPr>
                <w:sz w:val="20"/>
                <w:szCs w:val="20"/>
              </w:rPr>
            </w:pPr>
            <w:r>
              <w:rPr>
                <w:sz w:val="2"/>
                <w:szCs w:val="2"/>
              </w:rPr>
              <w:t>​</w:t>
            </w:r>
          </w:p>
        </w:tc>
        <w:tc>
          <w:tcPr>
            <w:tcW w:w="39" w:type="pct"/>
            <w:noWrap/>
            <w:tcMar>
              <w:top w:w="0" w:type="dxa"/>
              <w:left w:w="0" w:type="dxa"/>
              <w:bottom w:w="0" w:type="dxa"/>
              <w:right w:w="0" w:type="dxa"/>
            </w:tcMar>
            <w:vAlign w:val="bottom"/>
            <w:hideMark/>
          </w:tcPr>
          <w:p w14:paraId="2D46617C" w14:textId="77777777" w:rsidR="00000000" w:rsidRDefault="001F1B20">
            <w:pPr>
              <w:pStyle w:val="a3"/>
              <w:spacing w:before="0" w:beforeAutospacing="0" w:after="0" w:afterAutospacing="0"/>
              <w:divId w:val="1042361570"/>
              <w:rPr>
                <w:sz w:val="20"/>
                <w:szCs w:val="20"/>
              </w:rPr>
            </w:pPr>
            <w:r>
              <w:rPr>
                <w:sz w:val="2"/>
                <w:szCs w:val="2"/>
              </w:rPr>
              <w:t>​</w:t>
            </w:r>
          </w:p>
        </w:tc>
        <w:tc>
          <w:tcPr>
            <w:tcW w:w="49" w:type="pct"/>
            <w:noWrap/>
            <w:tcMar>
              <w:top w:w="0" w:type="dxa"/>
              <w:left w:w="0" w:type="dxa"/>
              <w:bottom w:w="0" w:type="dxa"/>
              <w:right w:w="0" w:type="dxa"/>
            </w:tcMar>
            <w:vAlign w:val="bottom"/>
            <w:hideMark/>
          </w:tcPr>
          <w:p w14:paraId="00169B42" w14:textId="77777777" w:rsidR="00000000" w:rsidRDefault="001F1B20">
            <w:pPr>
              <w:pStyle w:val="a3"/>
              <w:spacing w:before="0" w:beforeAutospacing="0" w:after="0" w:afterAutospacing="0"/>
              <w:divId w:val="925188712"/>
              <w:rPr>
                <w:sz w:val="20"/>
                <w:szCs w:val="20"/>
              </w:rPr>
            </w:pPr>
            <w:r>
              <w:rPr>
                <w:sz w:val="2"/>
                <w:szCs w:val="2"/>
              </w:rPr>
              <w:t>​</w:t>
            </w:r>
          </w:p>
        </w:tc>
        <w:tc>
          <w:tcPr>
            <w:tcW w:w="277" w:type="pct"/>
            <w:noWrap/>
            <w:tcMar>
              <w:top w:w="0" w:type="dxa"/>
              <w:left w:w="0" w:type="dxa"/>
              <w:bottom w:w="0" w:type="dxa"/>
              <w:right w:w="0" w:type="dxa"/>
            </w:tcMar>
            <w:vAlign w:val="bottom"/>
            <w:hideMark/>
          </w:tcPr>
          <w:p w14:paraId="7E4ED1D8" w14:textId="77777777" w:rsidR="00000000" w:rsidRDefault="001F1B20">
            <w:pPr>
              <w:pStyle w:val="a3"/>
              <w:spacing w:before="0" w:beforeAutospacing="0" w:after="0" w:afterAutospacing="0"/>
              <w:divId w:val="266038411"/>
              <w:rPr>
                <w:sz w:val="20"/>
                <w:szCs w:val="20"/>
              </w:rPr>
            </w:pPr>
            <w:r>
              <w:rPr>
                <w:sz w:val="2"/>
                <w:szCs w:val="2"/>
              </w:rPr>
              <w:t>​</w:t>
            </w:r>
          </w:p>
        </w:tc>
        <w:tc>
          <w:tcPr>
            <w:tcW w:w="39" w:type="pct"/>
            <w:noWrap/>
            <w:tcMar>
              <w:top w:w="0" w:type="dxa"/>
              <w:left w:w="0" w:type="dxa"/>
              <w:bottom w:w="0" w:type="dxa"/>
              <w:right w:w="0" w:type="dxa"/>
            </w:tcMar>
            <w:vAlign w:val="bottom"/>
            <w:hideMark/>
          </w:tcPr>
          <w:p w14:paraId="30D54561" w14:textId="77777777" w:rsidR="00000000" w:rsidRDefault="001F1B20">
            <w:pPr>
              <w:pStyle w:val="a3"/>
              <w:spacing w:before="0" w:beforeAutospacing="0" w:after="0" w:afterAutospacing="0"/>
              <w:divId w:val="686256093"/>
              <w:rPr>
                <w:sz w:val="20"/>
                <w:szCs w:val="20"/>
              </w:rPr>
            </w:pPr>
            <w:r>
              <w:rPr>
                <w:sz w:val="2"/>
                <w:szCs w:val="2"/>
              </w:rPr>
              <w:t>​</w:t>
            </w:r>
          </w:p>
        </w:tc>
        <w:tc>
          <w:tcPr>
            <w:tcW w:w="224" w:type="pct"/>
            <w:noWrap/>
            <w:tcMar>
              <w:top w:w="0" w:type="dxa"/>
              <w:left w:w="0" w:type="dxa"/>
              <w:bottom w:w="0" w:type="dxa"/>
              <w:right w:w="0" w:type="dxa"/>
            </w:tcMar>
            <w:vAlign w:val="bottom"/>
            <w:hideMark/>
          </w:tcPr>
          <w:p w14:paraId="00D36FBC" w14:textId="77777777" w:rsidR="00000000" w:rsidRDefault="001F1B20">
            <w:pPr>
              <w:pStyle w:val="a3"/>
              <w:spacing w:before="0" w:beforeAutospacing="0" w:after="0" w:afterAutospacing="0"/>
              <w:divId w:val="49115411"/>
              <w:rPr>
                <w:sz w:val="20"/>
                <w:szCs w:val="20"/>
              </w:rPr>
            </w:pPr>
            <w:r>
              <w:rPr>
                <w:sz w:val="2"/>
                <w:szCs w:val="2"/>
              </w:rPr>
              <w:t>​</w:t>
            </w:r>
          </w:p>
        </w:tc>
        <w:tc>
          <w:tcPr>
            <w:tcW w:w="132" w:type="pct"/>
            <w:noWrap/>
            <w:tcMar>
              <w:top w:w="0" w:type="dxa"/>
              <w:left w:w="0" w:type="dxa"/>
              <w:bottom w:w="0" w:type="dxa"/>
              <w:right w:w="0" w:type="dxa"/>
            </w:tcMar>
            <w:vAlign w:val="bottom"/>
            <w:hideMark/>
          </w:tcPr>
          <w:p w14:paraId="4A723C70" w14:textId="77777777" w:rsidR="00000000" w:rsidRDefault="001F1B20">
            <w:pPr>
              <w:pStyle w:val="a3"/>
              <w:spacing w:before="0" w:beforeAutospacing="0" w:after="0" w:afterAutospacing="0"/>
              <w:divId w:val="2030452496"/>
              <w:rPr>
                <w:sz w:val="20"/>
                <w:szCs w:val="20"/>
              </w:rPr>
            </w:pPr>
            <w:r>
              <w:rPr>
                <w:sz w:val="2"/>
                <w:szCs w:val="2"/>
              </w:rPr>
              <w:t>​</w:t>
            </w:r>
          </w:p>
        </w:tc>
        <w:tc>
          <w:tcPr>
            <w:tcW w:w="39" w:type="pct"/>
            <w:noWrap/>
            <w:tcMar>
              <w:top w:w="0" w:type="dxa"/>
              <w:left w:w="0" w:type="dxa"/>
              <w:bottom w:w="0" w:type="dxa"/>
              <w:right w:w="0" w:type="dxa"/>
            </w:tcMar>
            <w:vAlign w:val="bottom"/>
            <w:hideMark/>
          </w:tcPr>
          <w:p w14:paraId="1B8576EC" w14:textId="77777777" w:rsidR="00000000" w:rsidRDefault="001F1B20">
            <w:pPr>
              <w:pStyle w:val="a3"/>
              <w:spacing w:before="0" w:beforeAutospacing="0" w:after="0" w:afterAutospacing="0"/>
              <w:divId w:val="837159315"/>
              <w:rPr>
                <w:sz w:val="20"/>
                <w:szCs w:val="20"/>
              </w:rPr>
            </w:pPr>
            <w:r>
              <w:rPr>
                <w:sz w:val="2"/>
                <w:szCs w:val="2"/>
              </w:rPr>
              <w:t>​</w:t>
            </w:r>
          </w:p>
        </w:tc>
        <w:tc>
          <w:tcPr>
            <w:tcW w:w="50" w:type="pct"/>
            <w:noWrap/>
            <w:tcMar>
              <w:top w:w="0" w:type="dxa"/>
              <w:left w:w="0" w:type="dxa"/>
              <w:bottom w:w="0" w:type="dxa"/>
              <w:right w:w="0" w:type="dxa"/>
            </w:tcMar>
            <w:vAlign w:val="bottom"/>
            <w:hideMark/>
          </w:tcPr>
          <w:p w14:paraId="6A2FFFB1" w14:textId="77777777" w:rsidR="00000000" w:rsidRDefault="001F1B20">
            <w:pPr>
              <w:pStyle w:val="a3"/>
              <w:spacing w:before="0" w:beforeAutospacing="0" w:after="0" w:afterAutospacing="0"/>
              <w:divId w:val="1241137394"/>
              <w:rPr>
                <w:sz w:val="20"/>
                <w:szCs w:val="20"/>
              </w:rPr>
            </w:pPr>
            <w:r>
              <w:rPr>
                <w:sz w:val="2"/>
                <w:szCs w:val="2"/>
              </w:rPr>
              <w:t>​</w:t>
            </w:r>
          </w:p>
        </w:tc>
        <w:tc>
          <w:tcPr>
            <w:tcW w:w="282" w:type="pct"/>
            <w:noWrap/>
            <w:tcMar>
              <w:top w:w="0" w:type="dxa"/>
              <w:left w:w="0" w:type="dxa"/>
              <w:bottom w:w="0" w:type="dxa"/>
              <w:right w:w="0" w:type="dxa"/>
            </w:tcMar>
            <w:vAlign w:val="bottom"/>
            <w:hideMark/>
          </w:tcPr>
          <w:p w14:paraId="4E711FD6" w14:textId="77777777" w:rsidR="00000000" w:rsidRDefault="001F1B20">
            <w:pPr>
              <w:pStyle w:val="a3"/>
              <w:spacing w:before="0" w:beforeAutospacing="0" w:after="0" w:afterAutospacing="0"/>
              <w:divId w:val="1861551114"/>
              <w:rPr>
                <w:sz w:val="20"/>
                <w:szCs w:val="20"/>
              </w:rPr>
            </w:pPr>
            <w:r>
              <w:rPr>
                <w:sz w:val="2"/>
                <w:szCs w:val="2"/>
              </w:rPr>
              <w:t>​</w:t>
            </w:r>
          </w:p>
        </w:tc>
        <w:tc>
          <w:tcPr>
            <w:tcW w:w="40" w:type="pct"/>
            <w:noWrap/>
            <w:tcMar>
              <w:top w:w="0" w:type="dxa"/>
              <w:left w:w="0" w:type="dxa"/>
              <w:bottom w:w="0" w:type="dxa"/>
              <w:right w:w="0" w:type="dxa"/>
            </w:tcMar>
            <w:vAlign w:val="bottom"/>
            <w:hideMark/>
          </w:tcPr>
          <w:p w14:paraId="64DF3C37" w14:textId="77777777" w:rsidR="00000000" w:rsidRDefault="001F1B20">
            <w:pPr>
              <w:pStyle w:val="a3"/>
              <w:spacing w:before="0" w:beforeAutospacing="0" w:after="0" w:afterAutospacing="0"/>
              <w:divId w:val="49621267"/>
              <w:rPr>
                <w:sz w:val="20"/>
                <w:szCs w:val="20"/>
              </w:rPr>
            </w:pPr>
            <w:r>
              <w:rPr>
                <w:sz w:val="2"/>
                <w:szCs w:val="2"/>
              </w:rPr>
              <w:t>​</w:t>
            </w:r>
          </w:p>
        </w:tc>
        <w:tc>
          <w:tcPr>
            <w:tcW w:w="49" w:type="pct"/>
            <w:noWrap/>
            <w:tcMar>
              <w:top w:w="0" w:type="dxa"/>
              <w:left w:w="0" w:type="dxa"/>
              <w:bottom w:w="0" w:type="dxa"/>
              <w:right w:w="0" w:type="dxa"/>
            </w:tcMar>
            <w:vAlign w:val="bottom"/>
            <w:hideMark/>
          </w:tcPr>
          <w:p w14:paraId="63160443" w14:textId="77777777" w:rsidR="00000000" w:rsidRDefault="001F1B20">
            <w:pPr>
              <w:pStyle w:val="a3"/>
              <w:spacing w:before="0" w:beforeAutospacing="0" w:after="0" w:afterAutospacing="0"/>
              <w:divId w:val="672029347"/>
              <w:rPr>
                <w:sz w:val="20"/>
                <w:szCs w:val="20"/>
              </w:rPr>
            </w:pPr>
            <w:r>
              <w:rPr>
                <w:sz w:val="2"/>
                <w:szCs w:val="2"/>
              </w:rPr>
              <w:t>​</w:t>
            </w:r>
          </w:p>
        </w:tc>
        <w:tc>
          <w:tcPr>
            <w:tcW w:w="281" w:type="pct"/>
            <w:noWrap/>
            <w:tcMar>
              <w:top w:w="0" w:type="dxa"/>
              <w:left w:w="0" w:type="dxa"/>
              <w:bottom w:w="0" w:type="dxa"/>
              <w:right w:w="0" w:type="dxa"/>
            </w:tcMar>
            <w:vAlign w:val="bottom"/>
            <w:hideMark/>
          </w:tcPr>
          <w:p w14:paraId="5EAE68F6" w14:textId="77777777" w:rsidR="00000000" w:rsidRDefault="001F1B20">
            <w:pPr>
              <w:pStyle w:val="a3"/>
              <w:spacing w:before="0" w:beforeAutospacing="0" w:after="0" w:afterAutospacing="0"/>
              <w:divId w:val="1408310590"/>
              <w:rPr>
                <w:sz w:val="20"/>
                <w:szCs w:val="20"/>
              </w:rPr>
            </w:pPr>
            <w:r>
              <w:rPr>
                <w:sz w:val="2"/>
                <w:szCs w:val="2"/>
              </w:rPr>
              <w:t>​</w:t>
            </w:r>
          </w:p>
        </w:tc>
        <w:tc>
          <w:tcPr>
            <w:tcW w:w="39" w:type="pct"/>
            <w:noWrap/>
            <w:tcMar>
              <w:top w:w="0" w:type="dxa"/>
              <w:left w:w="0" w:type="dxa"/>
              <w:bottom w:w="0" w:type="dxa"/>
              <w:right w:w="0" w:type="dxa"/>
            </w:tcMar>
            <w:vAlign w:val="bottom"/>
            <w:hideMark/>
          </w:tcPr>
          <w:p w14:paraId="63FD9169" w14:textId="77777777" w:rsidR="00000000" w:rsidRDefault="001F1B20">
            <w:pPr>
              <w:pStyle w:val="a3"/>
              <w:spacing w:before="0" w:beforeAutospacing="0" w:after="0" w:afterAutospacing="0"/>
              <w:divId w:val="341469662"/>
              <w:rPr>
                <w:sz w:val="20"/>
                <w:szCs w:val="20"/>
              </w:rPr>
            </w:pPr>
            <w:r>
              <w:rPr>
                <w:sz w:val="2"/>
                <w:szCs w:val="2"/>
              </w:rPr>
              <w:t>​</w:t>
            </w:r>
          </w:p>
        </w:tc>
        <w:tc>
          <w:tcPr>
            <w:tcW w:w="49" w:type="pct"/>
            <w:noWrap/>
            <w:tcMar>
              <w:top w:w="0" w:type="dxa"/>
              <w:left w:w="0" w:type="dxa"/>
              <w:bottom w:w="0" w:type="dxa"/>
              <w:right w:w="0" w:type="dxa"/>
            </w:tcMar>
            <w:vAlign w:val="bottom"/>
            <w:hideMark/>
          </w:tcPr>
          <w:p w14:paraId="11C06681" w14:textId="77777777" w:rsidR="00000000" w:rsidRDefault="001F1B20">
            <w:pPr>
              <w:pStyle w:val="a3"/>
              <w:spacing w:before="0" w:beforeAutospacing="0" w:after="0" w:afterAutospacing="0"/>
              <w:divId w:val="638648913"/>
              <w:rPr>
                <w:sz w:val="20"/>
                <w:szCs w:val="20"/>
              </w:rPr>
            </w:pPr>
            <w:r>
              <w:rPr>
                <w:sz w:val="2"/>
                <w:szCs w:val="2"/>
              </w:rPr>
              <w:t>​</w:t>
            </w:r>
          </w:p>
        </w:tc>
        <w:tc>
          <w:tcPr>
            <w:tcW w:w="277" w:type="pct"/>
            <w:noWrap/>
            <w:tcMar>
              <w:top w:w="0" w:type="dxa"/>
              <w:left w:w="0" w:type="dxa"/>
              <w:bottom w:w="0" w:type="dxa"/>
              <w:right w:w="0" w:type="dxa"/>
            </w:tcMar>
            <w:vAlign w:val="bottom"/>
            <w:hideMark/>
          </w:tcPr>
          <w:p w14:paraId="1D2911EC" w14:textId="77777777" w:rsidR="00000000" w:rsidRDefault="001F1B20">
            <w:pPr>
              <w:pStyle w:val="a3"/>
              <w:spacing w:before="0" w:beforeAutospacing="0" w:after="0" w:afterAutospacing="0"/>
              <w:divId w:val="239411122"/>
              <w:rPr>
                <w:sz w:val="20"/>
                <w:szCs w:val="20"/>
              </w:rPr>
            </w:pPr>
            <w:r>
              <w:rPr>
                <w:sz w:val="2"/>
                <w:szCs w:val="2"/>
              </w:rPr>
              <w:t>​</w:t>
            </w:r>
          </w:p>
        </w:tc>
        <w:tc>
          <w:tcPr>
            <w:tcW w:w="39" w:type="pct"/>
            <w:noWrap/>
            <w:tcMar>
              <w:top w:w="0" w:type="dxa"/>
              <w:left w:w="0" w:type="dxa"/>
              <w:bottom w:w="0" w:type="dxa"/>
              <w:right w:w="0" w:type="dxa"/>
            </w:tcMar>
            <w:vAlign w:val="bottom"/>
            <w:hideMark/>
          </w:tcPr>
          <w:p w14:paraId="4BA140E8" w14:textId="77777777" w:rsidR="00000000" w:rsidRDefault="001F1B20">
            <w:pPr>
              <w:pStyle w:val="a3"/>
              <w:spacing w:before="0" w:beforeAutospacing="0" w:after="0" w:afterAutospacing="0"/>
              <w:divId w:val="2127700294"/>
              <w:rPr>
                <w:sz w:val="20"/>
                <w:szCs w:val="20"/>
              </w:rPr>
            </w:pPr>
            <w:r>
              <w:rPr>
                <w:sz w:val="2"/>
                <w:szCs w:val="2"/>
              </w:rPr>
              <w:t>​</w:t>
            </w:r>
          </w:p>
        </w:tc>
        <w:tc>
          <w:tcPr>
            <w:tcW w:w="214" w:type="pct"/>
            <w:noWrap/>
            <w:tcMar>
              <w:top w:w="0" w:type="dxa"/>
              <w:left w:w="0" w:type="dxa"/>
              <w:bottom w:w="0" w:type="dxa"/>
              <w:right w:w="0" w:type="dxa"/>
            </w:tcMar>
            <w:vAlign w:val="bottom"/>
            <w:hideMark/>
          </w:tcPr>
          <w:p w14:paraId="0443EAA3" w14:textId="77777777" w:rsidR="00000000" w:rsidRDefault="001F1B20">
            <w:pPr>
              <w:pStyle w:val="a3"/>
              <w:spacing w:before="0" w:beforeAutospacing="0" w:after="0" w:afterAutospacing="0"/>
              <w:divId w:val="175922504"/>
              <w:rPr>
                <w:sz w:val="20"/>
                <w:szCs w:val="20"/>
              </w:rPr>
            </w:pPr>
            <w:r>
              <w:rPr>
                <w:sz w:val="2"/>
                <w:szCs w:val="2"/>
              </w:rPr>
              <w:t>​</w:t>
            </w:r>
          </w:p>
        </w:tc>
        <w:tc>
          <w:tcPr>
            <w:tcW w:w="132" w:type="pct"/>
            <w:noWrap/>
            <w:tcMar>
              <w:top w:w="0" w:type="dxa"/>
              <w:left w:w="0" w:type="dxa"/>
              <w:bottom w:w="0" w:type="dxa"/>
              <w:right w:w="0" w:type="dxa"/>
            </w:tcMar>
            <w:vAlign w:val="bottom"/>
            <w:hideMark/>
          </w:tcPr>
          <w:p w14:paraId="3C8D2756" w14:textId="77777777" w:rsidR="00000000" w:rsidRDefault="001F1B20">
            <w:pPr>
              <w:pStyle w:val="a3"/>
              <w:spacing w:before="0" w:beforeAutospacing="0" w:after="0" w:afterAutospacing="0"/>
              <w:divId w:val="502011808"/>
              <w:rPr>
                <w:sz w:val="20"/>
                <w:szCs w:val="20"/>
              </w:rPr>
            </w:pPr>
            <w:r>
              <w:rPr>
                <w:sz w:val="2"/>
                <w:szCs w:val="2"/>
              </w:rPr>
              <w:t>​</w:t>
            </w:r>
          </w:p>
        </w:tc>
      </w:tr>
      <w:tr w:rsidR="00000000" w14:paraId="265B2F3C" w14:textId="77777777">
        <w:trPr>
          <w:divId w:val="1095248698"/>
        </w:trPr>
        <w:tc>
          <w:tcPr>
            <w:tcW w:w="1958" w:type="pct"/>
            <w:tcMar>
              <w:top w:w="0" w:type="dxa"/>
              <w:left w:w="0" w:type="dxa"/>
              <w:bottom w:w="0" w:type="dxa"/>
              <w:right w:w="0" w:type="dxa"/>
            </w:tcMar>
            <w:vAlign w:val="bottom"/>
            <w:hideMark/>
          </w:tcPr>
          <w:p w14:paraId="1F5E1C12"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78679DA0" w14:textId="77777777" w:rsidR="00000000" w:rsidRDefault="001F1B20">
            <w:pPr>
              <w:pStyle w:val="a3"/>
              <w:spacing w:before="0" w:beforeAutospacing="0" w:after="0" w:afterAutospacing="0"/>
              <w:rPr>
                <w:sz w:val="20"/>
                <w:szCs w:val="20"/>
              </w:rPr>
            </w:pPr>
            <w:r>
              <w:rPr>
                <w:b/>
                <w:bCs/>
                <w:sz w:val="16"/>
                <w:szCs w:val="16"/>
              </w:rPr>
              <w:t>​</w:t>
            </w:r>
          </w:p>
        </w:tc>
        <w:tc>
          <w:tcPr>
            <w:tcW w:w="741" w:type="pct"/>
            <w:gridSpan w:val="5"/>
            <w:noWrap/>
            <w:tcMar>
              <w:top w:w="0" w:type="dxa"/>
              <w:left w:w="0" w:type="dxa"/>
              <w:bottom w:w="0" w:type="dxa"/>
              <w:right w:w="0" w:type="dxa"/>
            </w:tcMar>
            <w:vAlign w:val="bottom"/>
            <w:hideMark/>
          </w:tcPr>
          <w:p w14:paraId="3A170115"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39" w:type="pct"/>
            <w:noWrap/>
            <w:tcMar>
              <w:top w:w="0" w:type="dxa"/>
              <w:left w:w="0" w:type="dxa"/>
              <w:bottom w:w="0" w:type="dxa"/>
              <w:right w:w="0" w:type="dxa"/>
            </w:tcMar>
            <w:vAlign w:val="bottom"/>
            <w:hideMark/>
          </w:tcPr>
          <w:p w14:paraId="1F914325" w14:textId="77777777" w:rsidR="00000000" w:rsidRDefault="001F1B20">
            <w:pPr>
              <w:pStyle w:val="a3"/>
              <w:spacing w:before="0" w:beforeAutospacing="0" w:after="0" w:afterAutospacing="0"/>
              <w:rPr>
                <w:sz w:val="20"/>
                <w:szCs w:val="20"/>
              </w:rPr>
            </w:pPr>
            <w:r>
              <w:rPr>
                <w:b/>
                <w:bCs/>
                <w:sz w:val="16"/>
                <w:szCs w:val="16"/>
              </w:rPr>
              <w:t>​</w:t>
            </w:r>
          </w:p>
        </w:tc>
        <w:tc>
          <w:tcPr>
            <w:tcW w:w="591" w:type="pct"/>
            <w:gridSpan w:val="4"/>
            <w:noWrap/>
            <w:tcMar>
              <w:top w:w="0" w:type="dxa"/>
              <w:left w:w="0" w:type="dxa"/>
              <w:bottom w:w="0" w:type="dxa"/>
              <w:right w:w="0" w:type="dxa"/>
            </w:tcMar>
            <w:vAlign w:val="bottom"/>
            <w:hideMark/>
          </w:tcPr>
          <w:p w14:paraId="22C9A4FB"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2CCAF00D"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0067E56A" w14:textId="77777777" w:rsidR="00000000" w:rsidRDefault="001F1B20">
            <w:pPr>
              <w:pStyle w:val="a3"/>
              <w:spacing w:before="0" w:beforeAutospacing="0" w:after="0" w:afterAutospacing="0"/>
              <w:jc w:val="center"/>
              <w:rPr>
                <w:sz w:val="20"/>
                <w:szCs w:val="20"/>
              </w:rPr>
            </w:pPr>
            <w:r>
              <w:rPr>
                <w:b/>
                <w:bCs/>
                <w:sz w:val="16"/>
                <w:szCs w:val="16"/>
              </w:rPr>
              <w:t>​</w:t>
            </w:r>
          </w:p>
        </w:tc>
        <w:tc>
          <w:tcPr>
            <w:tcW w:w="703" w:type="pct"/>
            <w:gridSpan w:val="5"/>
            <w:noWrap/>
            <w:tcMar>
              <w:top w:w="0" w:type="dxa"/>
              <w:left w:w="0" w:type="dxa"/>
              <w:bottom w:w="0" w:type="dxa"/>
              <w:right w:w="0" w:type="dxa"/>
            </w:tcMar>
            <w:vAlign w:val="bottom"/>
            <w:hideMark/>
          </w:tcPr>
          <w:p w14:paraId="2CD8B9F3"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c>
          <w:tcPr>
            <w:tcW w:w="39" w:type="pct"/>
            <w:noWrap/>
            <w:tcMar>
              <w:top w:w="0" w:type="dxa"/>
              <w:left w:w="0" w:type="dxa"/>
              <w:bottom w:w="0" w:type="dxa"/>
              <w:right w:w="0" w:type="dxa"/>
            </w:tcMar>
            <w:vAlign w:val="bottom"/>
            <w:hideMark/>
          </w:tcPr>
          <w:p w14:paraId="116259BA" w14:textId="77777777" w:rsidR="00000000" w:rsidRDefault="001F1B20">
            <w:pPr>
              <w:pStyle w:val="a3"/>
              <w:spacing w:before="0" w:beforeAutospacing="0" w:after="0" w:afterAutospacing="0"/>
              <w:jc w:val="center"/>
              <w:rPr>
                <w:sz w:val="20"/>
                <w:szCs w:val="20"/>
              </w:rPr>
            </w:pPr>
            <w:r>
              <w:rPr>
                <w:b/>
                <w:bCs/>
                <w:sz w:val="16"/>
                <w:szCs w:val="16"/>
              </w:rPr>
              <w:t>​</w:t>
            </w:r>
          </w:p>
        </w:tc>
        <w:tc>
          <w:tcPr>
            <w:tcW w:w="581" w:type="pct"/>
            <w:gridSpan w:val="4"/>
            <w:noWrap/>
            <w:tcMar>
              <w:top w:w="0" w:type="dxa"/>
              <w:left w:w="0" w:type="dxa"/>
              <w:bottom w:w="0" w:type="dxa"/>
              <w:right w:w="0" w:type="dxa"/>
            </w:tcMar>
            <w:vAlign w:val="bottom"/>
            <w:hideMark/>
          </w:tcPr>
          <w:p w14:paraId="0518EA26"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27DB6269" w14:textId="77777777" w:rsidR="00000000" w:rsidRDefault="001F1B20">
            <w:pPr>
              <w:pStyle w:val="a3"/>
              <w:spacing w:before="0" w:beforeAutospacing="0" w:after="0" w:afterAutospacing="0"/>
              <w:rPr>
                <w:sz w:val="20"/>
                <w:szCs w:val="20"/>
              </w:rPr>
            </w:pPr>
            <w:r>
              <w:rPr>
                <w:b/>
                <w:bCs/>
                <w:sz w:val="16"/>
                <w:szCs w:val="16"/>
              </w:rPr>
              <w:t>​</w:t>
            </w:r>
          </w:p>
        </w:tc>
      </w:tr>
      <w:tr w:rsidR="00000000" w14:paraId="08C3D0E4" w14:textId="77777777">
        <w:trPr>
          <w:divId w:val="1095248698"/>
        </w:trPr>
        <w:tc>
          <w:tcPr>
            <w:tcW w:w="1958" w:type="pct"/>
            <w:tcMar>
              <w:top w:w="0" w:type="dxa"/>
              <w:left w:w="0" w:type="dxa"/>
              <w:bottom w:w="0" w:type="dxa"/>
              <w:right w:w="0" w:type="dxa"/>
            </w:tcMar>
            <w:vAlign w:val="bottom"/>
            <w:hideMark/>
          </w:tcPr>
          <w:p w14:paraId="132FE984"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301E22D4" w14:textId="77777777" w:rsidR="00000000" w:rsidRDefault="001F1B20">
            <w:pPr>
              <w:pStyle w:val="a3"/>
              <w:spacing w:before="0" w:beforeAutospacing="0" w:after="0" w:afterAutospacing="0"/>
              <w:rPr>
                <w:sz w:val="20"/>
                <w:szCs w:val="20"/>
              </w:rPr>
            </w:pPr>
            <w:r>
              <w:rPr>
                <w:b/>
                <w:bCs/>
                <w:sz w:val="16"/>
                <w:szCs w:val="16"/>
              </w:rPr>
              <w:t>​</w:t>
            </w:r>
          </w:p>
        </w:tc>
        <w:tc>
          <w:tcPr>
            <w:tcW w:w="741" w:type="pct"/>
            <w:gridSpan w:val="5"/>
            <w:tcBorders>
              <w:bottom w:val="single" w:sz="6" w:space="0" w:color="000000"/>
            </w:tcBorders>
            <w:noWrap/>
            <w:tcMar>
              <w:top w:w="0" w:type="dxa"/>
              <w:left w:w="0" w:type="dxa"/>
              <w:bottom w:w="0" w:type="dxa"/>
              <w:right w:w="0" w:type="dxa"/>
            </w:tcMar>
            <w:vAlign w:val="bottom"/>
            <w:hideMark/>
          </w:tcPr>
          <w:p w14:paraId="0F2AE97F"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7C4C75BD" w14:textId="77777777" w:rsidR="00000000" w:rsidRDefault="001F1B20">
            <w:pPr>
              <w:pStyle w:val="a3"/>
              <w:spacing w:before="0" w:beforeAutospacing="0" w:after="0" w:afterAutospacing="0"/>
              <w:rPr>
                <w:sz w:val="20"/>
                <w:szCs w:val="20"/>
              </w:rPr>
            </w:pPr>
            <w:r>
              <w:rPr>
                <w:b/>
                <w:bCs/>
                <w:sz w:val="16"/>
                <w:szCs w:val="16"/>
              </w:rPr>
              <w:t>​</w:t>
            </w:r>
          </w:p>
        </w:tc>
        <w:tc>
          <w:tcPr>
            <w:tcW w:w="591" w:type="pct"/>
            <w:gridSpan w:val="4"/>
            <w:tcBorders>
              <w:bottom w:val="single" w:sz="6" w:space="0" w:color="000000"/>
            </w:tcBorders>
            <w:noWrap/>
            <w:tcMar>
              <w:top w:w="0" w:type="dxa"/>
              <w:left w:w="0" w:type="dxa"/>
              <w:bottom w:w="0" w:type="dxa"/>
              <w:right w:w="0" w:type="dxa"/>
            </w:tcMar>
            <w:vAlign w:val="bottom"/>
            <w:hideMark/>
          </w:tcPr>
          <w:p w14:paraId="1C4DD43D"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70D3F64F"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0E9D1FDA" w14:textId="77777777" w:rsidR="00000000" w:rsidRDefault="001F1B20">
            <w:pPr>
              <w:pStyle w:val="a3"/>
              <w:spacing w:before="0" w:beforeAutospacing="0" w:after="0" w:afterAutospacing="0"/>
              <w:jc w:val="center"/>
              <w:rPr>
                <w:sz w:val="20"/>
                <w:szCs w:val="20"/>
              </w:rPr>
            </w:pPr>
            <w:r>
              <w:rPr>
                <w:b/>
                <w:bCs/>
                <w:sz w:val="16"/>
                <w:szCs w:val="16"/>
              </w:rPr>
              <w:t>​</w:t>
            </w:r>
          </w:p>
        </w:tc>
        <w:tc>
          <w:tcPr>
            <w:tcW w:w="703" w:type="pct"/>
            <w:gridSpan w:val="5"/>
            <w:tcBorders>
              <w:bottom w:val="single" w:sz="6" w:space="0" w:color="000000"/>
            </w:tcBorders>
            <w:noWrap/>
            <w:tcMar>
              <w:top w:w="0" w:type="dxa"/>
              <w:left w:w="0" w:type="dxa"/>
              <w:bottom w:w="0" w:type="dxa"/>
              <w:right w:w="0" w:type="dxa"/>
            </w:tcMar>
            <w:vAlign w:val="bottom"/>
            <w:hideMark/>
          </w:tcPr>
          <w:p w14:paraId="3CDB9815"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4F6625B6" w14:textId="77777777" w:rsidR="00000000" w:rsidRDefault="001F1B20">
            <w:pPr>
              <w:pStyle w:val="a3"/>
              <w:spacing w:before="0" w:beforeAutospacing="0" w:after="0" w:afterAutospacing="0"/>
              <w:jc w:val="center"/>
              <w:rPr>
                <w:sz w:val="20"/>
                <w:szCs w:val="20"/>
              </w:rPr>
            </w:pPr>
            <w:r>
              <w:rPr>
                <w:b/>
                <w:bCs/>
                <w:sz w:val="16"/>
                <w:szCs w:val="16"/>
              </w:rPr>
              <w:t>​</w:t>
            </w:r>
          </w:p>
        </w:tc>
        <w:tc>
          <w:tcPr>
            <w:tcW w:w="581" w:type="pct"/>
            <w:gridSpan w:val="4"/>
            <w:tcBorders>
              <w:bottom w:val="single" w:sz="6" w:space="0" w:color="000000"/>
            </w:tcBorders>
            <w:noWrap/>
            <w:tcMar>
              <w:top w:w="0" w:type="dxa"/>
              <w:left w:w="0" w:type="dxa"/>
              <w:bottom w:w="0" w:type="dxa"/>
              <w:right w:w="0" w:type="dxa"/>
            </w:tcMar>
            <w:vAlign w:val="bottom"/>
            <w:hideMark/>
          </w:tcPr>
          <w:p w14:paraId="1CC186EB"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4761AA01" w14:textId="77777777" w:rsidR="00000000" w:rsidRDefault="001F1B20">
            <w:pPr>
              <w:pStyle w:val="a3"/>
              <w:spacing w:before="0" w:beforeAutospacing="0" w:after="0" w:afterAutospacing="0"/>
              <w:rPr>
                <w:sz w:val="20"/>
                <w:szCs w:val="20"/>
              </w:rPr>
            </w:pPr>
            <w:r>
              <w:rPr>
                <w:b/>
                <w:bCs/>
                <w:sz w:val="16"/>
                <w:szCs w:val="16"/>
              </w:rPr>
              <w:t>​</w:t>
            </w:r>
          </w:p>
        </w:tc>
      </w:tr>
      <w:tr w:rsidR="00000000" w14:paraId="469E1FCB" w14:textId="77777777">
        <w:trPr>
          <w:divId w:val="1095248698"/>
        </w:trPr>
        <w:tc>
          <w:tcPr>
            <w:tcW w:w="1958" w:type="pct"/>
            <w:tcBorders>
              <w:bottom w:val="single" w:sz="6" w:space="0" w:color="000000"/>
            </w:tcBorders>
            <w:tcMar>
              <w:top w:w="0" w:type="dxa"/>
              <w:left w:w="0" w:type="dxa"/>
              <w:bottom w:w="0" w:type="dxa"/>
              <w:right w:w="0" w:type="dxa"/>
            </w:tcMar>
            <w:vAlign w:val="bottom"/>
            <w:hideMark/>
          </w:tcPr>
          <w:p w14:paraId="5B317D37" w14:textId="77777777" w:rsidR="00000000" w:rsidRDefault="001F1B20">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14:paraId="149D7E46" w14:textId="77777777" w:rsidR="00000000" w:rsidRDefault="001F1B20">
            <w:pPr>
              <w:pStyle w:val="a3"/>
              <w:spacing w:before="0" w:beforeAutospacing="0" w:after="0" w:afterAutospacing="0"/>
              <w:rPr>
                <w:sz w:val="16"/>
                <w:szCs w:val="16"/>
              </w:rPr>
            </w:pPr>
            <w:r>
              <w:rPr>
                <w:b/>
                <w:bCs/>
                <w:sz w:val="16"/>
                <w:szCs w:val="16"/>
              </w:rPr>
              <w:t>  </w:t>
            </w:r>
          </w:p>
        </w:tc>
        <w:tc>
          <w:tcPr>
            <w:tcW w:w="350" w:type="pct"/>
            <w:gridSpan w:val="2"/>
            <w:tcBorders>
              <w:bottom w:val="single" w:sz="6" w:space="0" w:color="000000"/>
            </w:tcBorders>
            <w:noWrap/>
            <w:tcMar>
              <w:top w:w="0" w:type="dxa"/>
              <w:left w:w="0" w:type="dxa"/>
              <w:bottom w:w="0" w:type="dxa"/>
              <w:right w:w="0" w:type="dxa"/>
            </w:tcMar>
            <w:vAlign w:val="bottom"/>
            <w:hideMark/>
          </w:tcPr>
          <w:p w14:paraId="79020E5B" w14:textId="77777777" w:rsidR="00000000" w:rsidRDefault="001F1B20">
            <w:pPr>
              <w:pStyle w:val="a3"/>
              <w:spacing w:before="0" w:beforeAutospacing="0" w:after="0" w:afterAutospacing="0"/>
              <w:jc w:val="center"/>
              <w:rPr>
                <w:sz w:val="16"/>
                <w:szCs w:val="16"/>
              </w:rPr>
            </w:pPr>
            <w:r>
              <w:rPr>
                <w:b/>
                <w:bCs/>
                <w:sz w:val="16"/>
                <w:szCs w:val="16"/>
              </w:rPr>
              <w:t>2021</w:t>
            </w:r>
          </w:p>
        </w:tc>
        <w:tc>
          <w:tcPr>
            <w:tcW w:w="40" w:type="pct"/>
            <w:noWrap/>
            <w:tcMar>
              <w:top w:w="0" w:type="dxa"/>
              <w:left w:w="0" w:type="dxa"/>
              <w:bottom w:w="0" w:type="dxa"/>
              <w:right w:w="0" w:type="dxa"/>
            </w:tcMar>
            <w:vAlign w:val="bottom"/>
            <w:hideMark/>
          </w:tcPr>
          <w:p w14:paraId="5EEDAB79" w14:textId="77777777" w:rsidR="00000000" w:rsidRDefault="001F1B20">
            <w:pPr>
              <w:pStyle w:val="a3"/>
              <w:spacing w:before="0" w:beforeAutospacing="0" w:after="0" w:afterAutospacing="0"/>
              <w:rPr>
                <w:sz w:val="16"/>
                <w:szCs w:val="16"/>
              </w:rPr>
            </w:pPr>
            <w:r>
              <w:rPr>
                <w:b/>
                <w:bCs/>
                <w:sz w:val="16"/>
                <w:szCs w:val="16"/>
              </w:rPr>
              <w:t>  </w:t>
            </w:r>
          </w:p>
        </w:tc>
        <w:tc>
          <w:tcPr>
            <w:tcW w:w="349" w:type="pct"/>
            <w:gridSpan w:val="2"/>
            <w:tcBorders>
              <w:bottom w:val="single" w:sz="6" w:space="0" w:color="000000"/>
            </w:tcBorders>
            <w:noWrap/>
            <w:tcMar>
              <w:top w:w="0" w:type="dxa"/>
              <w:left w:w="0" w:type="dxa"/>
              <w:bottom w:w="0" w:type="dxa"/>
              <w:right w:w="0" w:type="dxa"/>
            </w:tcMar>
            <w:vAlign w:val="bottom"/>
            <w:hideMark/>
          </w:tcPr>
          <w:p w14:paraId="5ED828E2"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25A53D78" w14:textId="77777777" w:rsidR="00000000" w:rsidRDefault="001F1B20">
            <w:pPr>
              <w:pStyle w:val="a3"/>
              <w:spacing w:before="0" w:beforeAutospacing="0" w:after="0" w:afterAutospacing="0"/>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14:paraId="4F33F67D"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178407B5" w14:textId="77777777" w:rsidR="00000000" w:rsidRDefault="001F1B20">
            <w:pPr>
              <w:pStyle w:val="a3"/>
              <w:spacing w:before="0" w:beforeAutospacing="0" w:after="0" w:afterAutospacing="0"/>
              <w:rPr>
                <w:sz w:val="16"/>
                <w:szCs w:val="16"/>
              </w:rPr>
            </w:pPr>
            <w:r>
              <w:rPr>
                <w:b/>
                <w:bCs/>
                <w:sz w:val="16"/>
                <w:szCs w:val="16"/>
              </w:rPr>
              <w:t>  </w:t>
            </w:r>
          </w:p>
        </w:tc>
        <w:tc>
          <w:tcPr>
            <w:tcW w:w="224" w:type="pct"/>
            <w:tcBorders>
              <w:bottom w:val="single" w:sz="6" w:space="0" w:color="000000"/>
            </w:tcBorders>
            <w:noWrap/>
            <w:tcMar>
              <w:top w:w="0" w:type="dxa"/>
              <w:left w:w="0" w:type="dxa"/>
              <w:bottom w:w="0" w:type="dxa"/>
              <w:right w:w="0" w:type="dxa"/>
            </w:tcMar>
            <w:vAlign w:val="bottom"/>
            <w:hideMark/>
          </w:tcPr>
          <w:p w14:paraId="3F286C9E"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0CDBB647" w14:textId="77777777" w:rsidR="00000000" w:rsidRDefault="001F1B20">
            <w:pPr>
              <w:pStyle w:val="a3"/>
              <w:spacing w:before="0" w:beforeAutospacing="0" w:after="0" w:afterAutospacing="0"/>
              <w:rPr>
                <w:sz w:val="16"/>
                <w:szCs w:val="16"/>
              </w:rPr>
            </w:pPr>
            <w:r>
              <w:rPr>
                <w:b/>
                <w:bCs/>
                <w:sz w:val="16"/>
                <w:szCs w:val="16"/>
              </w:rPr>
              <w:t>    </w:t>
            </w:r>
          </w:p>
        </w:tc>
        <w:tc>
          <w:tcPr>
            <w:tcW w:w="39" w:type="pct"/>
            <w:noWrap/>
            <w:tcMar>
              <w:top w:w="0" w:type="dxa"/>
              <w:left w:w="0" w:type="dxa"/>
              <w:bottom w:w="0" w:type="dxa"/>
              <w:right w:w="0" w:type="dxa"/>
            </w:tcMar>
            <w:vAlign w:val="bottom"/>
            <w:hideMark/>
          </w:tcPr>
          <w:p w14:paraId="63EC8334" w14:textId="77777777" w:rsidR="00000000" w:rsidRDefault="001F1B20">
            <w:pPr>
              <w:pStyle w:val="a3"/>
              <w:spacing w:before="0" w:beforeAutospacing="0" w:after="0" w:afterAutospacing="0"/>
              <w:jc w:val="center"/>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14:paraId="037251B0" w14:textId="77777777" w:rsidR="00000000" w:rsidRDefault="001F1B20">
            <w:pPr>
              <w:pStyle w:val="a3"/>
              <w:spacing w:before="0" w:beforeAutospacing="0" w:after="0" w:afterAutospacing="0"/>
              <w:jc w:val="center"/>
              <w:rPr>
                <w:sz w:val="16"/>
                <w:szCs w:val="16"/>
              </w:rPr>
            </w:pPr>
            <w:r>
              <w:rPr>
                <w:b/>
                <w:bCs/>
                <w:sz w:val="16"/>
                <w:szCs w:val="16"/>
              </w:rPr>
              <w:t>2021</w:t>
            </w:r>
          </w:p>
        </w:tc>
        <w:tc>
          <w:tcPr>
            <w:tcW w:w="40" w:type="pct"/>
            <w:noWrap/>
            <w:tcMar>
              <w:top w:w="0" w:type="dxa"/>
              <w:left w:w="0" w:type="dxa"/>
              <w:bottom w:w="0" w:type="dxa"/>
              <w:right w:w="0" w:type="dxa"/>
            </w:tcMar>
            <w:vAlign w:val="bottom"/>
            <w:hideMark/>
          </w:tcPr>
          <w:p w14:paraId="53B480B6" w14:textId="77777777" w:rsidR="00000000" w:rsidRDefault="001F1B20">
            <w:pPr>
              <w:pStyle w:val="a3"/>
              <w:spacing w:before="0" w:beforeAutospacing="0" w:after="0" w:afterAutospacing="0"/>
              <w:rPr>
                <w:sz w:val="16"/>
                <w:szCs w:val="16"/>
              </w:rPr>
            </w:pPr>
            <w:r>
              <w:rPr>
                <w:b/>
                <w:bCs/>
                <w:sz w:val="16"/>
                <w:szCs w:val="16"/>
              </w:rPr>
              <w:t>  </w:t>
            </w:r>
          </w:p>
        </w:tc>
        <w:tc>
          <w:tcPr>
            <w:tcW w:w="331" w:type="pct"/>
            <w:gridSpan w:val="2"/>
            <w:tcBorders>
              <w:bottom w:val="single" w:sz="6" w:space="0" w:color="000000"/>
            </w:tcBorders>
            <w:noWrap/>
            <w:tcMar>
              <w:top w:w="0" w:type="dxa"/>
              <w:left w:w="0" w:type="dxa"/>
              <w:bottom w:w="0" w:type="dxa"/>
              <w:right w:w="0" w:type="dxa"/>
            </w:tcMar>
            <w:vAlign w:val="bottom"/>
            <w:hideMark/>
          </w:tcPr>
          <w:p w14:paraId="4EBAB3A9"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6B8B49A9" w14:textId="77777777" w:rsidR="00000000" w:rsidRDefault="001F1B20">
            <w:pPr>
              <w:pStyle w:val="a3"/>
              <w:spacing w:before="0" w:beforeAutospacing="0" w:after="0"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14:paraId="5995CE7B"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631F28B6" w14:textId="77777777" w:rsidR="00000000" w:rsidRDefault="001F1B20">
            <w:pPr>
              <w:pStyle w:val="a3"/>
              <w:spacing w:before="0" w:beforeAutospacing="0" w:after="0" w:afterAutospacing="0"/>
              <w:rPr>
                <w:sz w:val="16"/>
                <w:szCs w:val="16"/>
              </w:rPr>
            </w:pPr>
            <w:r>
              <w:rPr>
                <w:b/>
                <w:bCs/>
                <w:sz w:val="16"/>
                <w:szCs w:val="16"/>
              </w:rPr>
              <w:t>  </w:t>
            </w:r>
          </w:p>
        </w:tc>
        <w:tc>
          <w:tcPr>
            <w:tcW w:w="214" w:type="pct"/>
            <w:tcBorders>
              <w:bottom w:val="single" w:sz="6" w:space="0" w:color="000000"/>
            </w:tcBorders>
            <w:noWrap/>
            <w:tcMar>
              <w:top w:w="0" w:type="dxa"/>
              <w:left w:w="0" w:type="dxa"/>
              <w:bottom w:w="0" w:type="dxa"/>
              <w:right w:w="0" w:type="dxa"/>
            </w:tcMar>
            <w:vAlign w:val="bottom"/>
            <w:hideMark/>
          </w:tcPr>
          <w:p w14:paraId="3D69BAC4"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1C2EB338" w14:textId="77777777" w:rsidR="00000000" w:rsidRDefault="001F1B20">
            <w:pPr>
              <w:pStyle w:val="a3"/>
              <w:spacing w:before="0" w:beforeAutospacing="0" w:after="0" w:afterAutospacing="0"/>
              <w:rPr>
                <w:sz w:val="16"/>
                <w:szCs w:val="16"/>
              </w:rPr>
            </w:pPr>
            <w:r>
              <w:rPr>
                <w:b/>
                <w:bCs/>
                <w:sz w:val="16"/>
                <w:szCs w:val="16"/>
              </w:rPr>
              <w:t>    </w:t>
            </w:r>
          </w:p>
        </w:tc>
      </w:tr>
      <w:tr w:rsidR="00000000" w14:paraId="22245A08" w14:textId="77777777">
        <w:trPr>
          <w:divId w:val="1095248698"/>
        </w:trPr>
        <w:tc>
          <w:tcPr>
            <w:tcW w:w="1958" w:type="pct"/>
            <w:shd w:val="clear" w:color="auto" w:fill="CCEEFF"/>
            <w:tcMar>
              <w:top w:w="0" w:type="dxa"/>
              <w:left w:w="0" w:type="dxa"/>
              <w:bottom w:w="0" w:type="dxa"/>
              <w:right w:w="0" w:type="dxa"/>
            </w:tcMar>
            <w:vAlign w:val="bottom"/>
            <w:hideMark/>
          </w:tcPr>
          <w:p w14:paraId="3B368E48" w14:textId="77777777" w:rsidR="00000000" w:rsidRDefault="001F1B20">
            <w:pPr>
              <w:pStyle w:val="a3"/>
              <w:spacing w:before="0" w:beforeAutospacing="0" w:after="0" w:afterAutospacing="0"/>
              <w:rPr>
                <w:sz w:val="20"/>
                <w:szCs w:val="20"/>
              </w:rPr>
            </w:pPr>
            <w:r>
              <w:rPr>
                <w:sz w:val="20"/>
                <w:szCs w:val="20"/>
              </w:rPr>
              <w:t>Restructuring and related expenses</w:t>
            </w:r>
          </w:p>
        </w:tc>
        <w:tc>
          <w:tcPr>
            <w:tcW w:w="39" w:type="pct"/>
            <w:shd w:val="clear" w:color="auto" w:fill="CCEEFF"/>
            <w:noWrap/>
            <w:tcMar>
              <w:top w:w="0" w:type="dxa"/>
              <w:left w:w="0" w:type="dxa"/>
              <w:bottom w:w="0" w:type="dxa"/>
              <w:right w:w="0" w:type="dxa"/>
            </w:tcMar>
            <w:vAlign w:val="bottom"/>
            <w:hideMark/>
          </w:tcPr>
          <w:p w14:paraId="36FD2A56" w14:textId="77777777" w:rsidR="00000000" w:rsidRDefault="001F1B20">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294DF857" w14:textId="77777777" w:rsidR="00000000" w:rsidRDefault="001F1B20">
            <w:pPr>
              <w:pStyle w:val="a3"/>
              <w:spacing w:before="0" w:beforeAutospacing="0" w:after="0" w:afterAutospacing="0"/>
              <w:rPr>
                <w:sz w:val="20"/>
                <w:szCs w:val="20"/>
              </w:rPr>
            </w:pPr>
            <w:r>
              <w:rPr>
                <w:sz w:val="20"/>
                <w:szCs w:val="20"/>
              </w:rPr>
              <w:t>$</w:t>
            </w:r>
          </w:p>
        </w:tc>
        <w:tc>
          <w:tcPr>
            <w:tcW w:w="300" w:type="pct"/>
            <w:shd w:val="clear" w:color="auto" w:fill="CCEEFF"/>
            <w:noWrap/>
            <w:tcMar>
              <w:top w:w="0" w:type="dxa"/>
              <w:left w:w="0" w:type="dxa"/>
              <w:bottom w:w="0" w:type="dxa"/>
              <w:right w:w="0" w:type="dxa"/>
            </w:tcMar>
            <w:vAlign w:val="bottom"/>
            <w:hideMark/>
          </w:tcPr>
          <w:p w14:paraId="2F3CE5F1" w14:textId="77777777" w:rsidR="00000000" w:rsidRDefault="001F1B20">
            <w:pPr>
              <w:pStyle w:val="a3"/>
              <w:spacing w:before="0" w:beforeAutospacing="0" w:after="0" w:afterAutospacing="0"/>
              <w:ind w:right="60"/>
              <w:jc w:val="right"/>
              <w:rPr>
                <w:sz w:val="20"/>
                <w:szCs w:val="20"/>
              </w:rPr>
            </w:pPr>
            <w:r>
              <w:rPr>
                <w:sz w:val="20"/>
                <w:szCs w:val="20"/>
              </w:rPr>
              <w:t>1,77</w:t>
            </w:r>
            <w:r>
              <w:rPr>
                <w:sz w:val="20"/>
                <w:szCs w:val="20"/>
              </w:rPr>
              <w:t>1</w:t>
            </w:r>
          </w:p>
        </w:tc>
        <w:tc>
          <w:tcPr>
            <w:tcW w:w="40" w:type="pct"/>
            <w:shd w:val="clear" w:color="auto" w:fill="CCEEFF"/>
            <w:noWrap/>
            <w:tcMar>
              <w:top w:w="0" w:type="dxa"/>
              <w:left w:w="0" w:type="dxa"/>
              <w:bottom w:w="0" w:type="dxa"/>
              <w:right w:w="0" w:type="dxa"/>
            </w:tcMar>
            <w:vAlign w:val="bottom"/>
            <w:hideMark/>
          </w:tcPr>
          <w:p w14:paraId="4E4E1B34"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5766CC3" w14:textId="77777777" w:rsidR="00000000" w:rsidRDefault="001F1B20">
            <w:pPr>
              <w:pStyle w:val="a3"/>
              <w:spacing w:before="0" w:beforeAutospacing="0" w:after="0" w:afterAutospacing="0"/>
              <w:rPr>
                <w:sz w:val="20"/>
                <w:szCs w:val="20"/>
              </w:rPr>
            </w:pPr>
            <w:r>
              <w:rPr>
                <w:sz w:val="20"/>
                <w:szCs w:val="20"/>
              </w:rPr>
              <w:t>$</w:t>
            </w:r>
          </w:p>
        </w:tc>
        <w:tc>
          <w:tcPr>
            <w:tcW w:w="300" w:type="pct"/>
            <w:shd w:val="clear" w:color="auto" w:fill="CCEEFF"/>
            <w:noWrap/>
            <w:tcMar>
              <w:top w:w="0" w:type="dxa"/>
              <w:left w:w="0" w:type="dxa"/>
              <w:bottom w:w="0" w:type="dxa"/>
              <w:right w:w="0" w:type="dxa"/>
            </w:tcMar>
            <w:vAlign w:val="bottom"/>
            <w:hideMark/>
          </w:tcPr>
          <w:p w14:paraId="4B374AA2"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233701DE"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104F7366" w14:textId="77777777" w:rsidR="00000000" w:rsidRDefault="001F1B20">
            <w:pPr>
              <w:pStyle w:val="a3"/>
              <w:spacing w:before="0" w:beforeAutospacing="0" w:after="0" w:afterAutospacing="0"/>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530ACA0C" w14:textId="77777777" w:rsidR="00000000" w:rsidRDefault="001F1B20">
            <w:pPr>
              <w:pStyle w:val="a3"/>
              <w:spacing w:before="0" w:beforeAutospacing="0" w:after="0" w:afterAutospacing="0"/>
              <w:ind w:right="60"/>
              <w:jc w:val="right"/>
              <w:rPr>
                <w:sz w:val="20"/>
                <w:szCs w:val="20"/>
              </w:rPr>
            </w:pPr>
            <w:r>
              <w:rPr>
                <w:sz w:val="20"/>
                <w:szCs w:val="20"/>
              </w:rPr>
              <w:t>1,77</w:t>
            </w:r>
            <w:r>
              <w:rPr>
                <w:sz w:val="20"/>
                <w:szCs w:val="20"/>
              </w:rPr>
              <w:t>1</w:t>
            </w:r>
          </w:p>
        </w:tc>
        <w:tc>
          <w:tcPr>
            <w:tcW w:w="39" w:type="pct"/>
            <w:shd w:val="clear" w:color="auto" w:fill="CCEEFF"/>
            <w:noWrap/>
            <w:tcMar>
              <w:top w:w="0" w:type="dxa"/>
              <w:left w:w="0" w:type="dxa"/>
              <w:bottom w:w="0" w:type="dxa"/>
              <w:right w:w="0" w:type="dxa"/>
            </w:tcMar>
            <w:vAlign w:val="bottom"/>
            <w:hideMark/>
          </w:tcPr>
          <w:p w14:paraId="5FF61ED3" w14:textId="77777777" w:rsidR="00000000" w:rsidRDefault="001F1B20">
            <w:pPr>
              <w:pStyle w:val="a3"/>
              <w:spacing w:before="0" w:beforeAutospacing="0" w:after="0" w:afterAutospacing="0"/>
              <w:rPr>
                <w:sz w:val="20"/>
                <w:szCs w:val="20"/>
              </w:rPr>
            </w:pPr>
            <w:r>
              <w:rPr>
                <w:sz w:val="20"/>
                <w:szCs w:val="20"/>
              </w:rPr>
              <w:t>​</w:t>
            </w:r>
          </w:p>
        </w:tc>
        <w:tc>
          <w:tcPr>
            <w:tcW w:w="224" w:type="pct"/>
            <w:shd w:val="clear" w:color="auto" w:fill="CCEEFF"/>
            <w:noWrap/>
            <w:tcMar>
              <w:top w:w="0" w:type="dxa"/>
              <w:left w:w="0" w:type="dxa"/>
              <w:bottom w:w="0" w:type="dxa"/>
              <w:right w:w="0" w:type="dxa"/>
            </w:tcMar>
            <w:vAlign w:val="bottom"/>
            <w:hideMark/>
          </w:tcPr>
          <w:p w14:paraId="00097726" w14:textId="77777777" w:rsidR="00000000" w:rsidRDefault="001F1B20">
            <w:pPr>
              <w:pStyle w:val="a3"/>
              <w:spacing w:before="0" w:beforeAutospacing="0" w:after="0" w:afterAutospacing="0"/>
              <w:ind w:right="60"/>
              <w:jc w:val="right"/>
              <w:rPr>
                <w:sz w:val="20"/>
                <w:szCs w:val="20"/>
              </w:rPr>
            </w:pPr>
            <w:r>
              <w:rPr>
                <w:sz w:val="20"/>
                <w:szCs w:val="20"/>
              </w:rPr>
              <w:t>NM</w:t>
            </w:r>
          </w:p>
        </w:tc>
        <w:tc>
          <w:tcPr>
            <w:tcW w:w="132" w:type="pct"/>
            <w:shd w:val="clear" w:color="auto" w:fill="CCEEFF"/>
            <w:noWrap/>
            <w:tcMar>
              <w:top w:w="0" w:type="dxa"/>
              <w:left w:w="0" w:type="dxa"/>
              <w:bottom w:w="0" w:type="dxa"/>
              <w:right w:w="0" w:type="dxa"/>
            </w:tcMar>
            <w:vAlign w:val="bottom"/>
            <w:hideMark/>
          </w:tcPr>
          <w:p w14:paraId="062C8EE7" w14:textId="77777777" w:rsidR="00000000" w:rsidRDefault="001F1B20">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14:paraId="7672D9D5" w14:textId="77777777" w:rsidR="00000000" w:rsidRDefault="001F1B20">
            <w:pPr>
              <w:pStyle w:val="a3"/>
              <w:spacing w:before="0" w:beforeAutospacing="0" w:after="0"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2F1BA46E" w14:textId="77777777" w:rsidR="00000000" w:rsidRDefault="001F1B20">
            <w:pPr>
              <w:pStyle w:val="a3"/>
              <w:spacing w:before="0" w:beforeAutospacing="0" w:after="0" w:afterAutospacing="0"/>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14:paraId="527FCE86" w14:textId="77777777" w:rsidR="00000000" w:rsidRDefault="001F1B20">
            <w:pPr>
              <w:pStyle w:val="a3"/>
              <w:spacing w:before="0" w:beforeAutospacing="0" w:after="0" w:afterAutospacing="0"/>
              <w:ind w:right="60"/>
              <w:jc w:val="right"/>
              <w:rPr>
                <w:sz w:val="20"/>
                <w:szCs w:val="20"/>
              </w:rPr>
            </w:pPr>
            <w:r>
              <w:rPr>
                <w:sz w:val="20"/>
                <w:szCs w:val="20"/>
              </w:rPr>
              <w:t>1,77</w:t>
            </w:r>
            <w:r>
              <w:rPr>
                <w:sz w:val="20"/>
                <w:szCs w:val="20"/>
              </w:rPr>
              <w:t>1</w:t>
            </w:r>
          </w:p>
        </w:tc>
        <w:tc>
          <w:tcPr>
            <w:tcW w:w="40" w:type="pct"/>
            <w:shd w:val="clear" w:color="auto" w:fill="CCEEFF"/>
            <w:noWrap/>
            <w:tcMar>
              <w:top w:w="0" w:type="dxa"/>
              <w:left w:w="0" w:type="dxa"/>
              <w:bottom w:w="0" w:type="dxa"/>
              <w:right w:w="0" w:type="dxa"/>
            </w:tcMar>
            <w:vAlign w:val="bottom"/>
            <w:hideMark/>
          </w:tcPr>
          <w:p w14:paraId="0C22DE39"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0B3E7A1" w14:textId="77777777" w:rsidR="00000000" w:rsidRDefault="001F1B20">
            <w:pPr>
              <w:pStyle w:val="a3"/>
              <w:spacing w:before="0" w:beforeAutospacing="0" w:after="0" w:afterAutospacing="0"/>
              <w:rPr>
                <w:sz w:val="20"/>
                <w:szCs w:val="20"/>
              </w:rPr>
            </w:pPr>
            <w:r>
              <w:rPr>
                <w:sz w:val="20"/>
                <w:szCs w:val="20"/>
              </w:rPr>
              <w:t>$</w:t>
            </w:r>
          </w:p>
        </w:tc>
        <w:tc>
          <w:tcPr>
            <w:tcW w:w="281" w:type="pct"/>
            <w:shd w:val="clear" w:color="auto" w:fill="CCEEFF"/>
            <w:noWrap/>
            <w:tcMar>
              <w:top w:w="0" w:type="dxa"/>
              <w:left w:w="0" w:type="dxa"/>
              <w:bottom w:w="0" w:type="dxa"/>
              <w:right w:w="0" w:type="dxa"/>
            </w:tcMar>
            <w:vAlign w:val="bottom"/>
            <w:hideMark/>
          </w:tcPr>
          <w:p w14:paraId="00C9EACD"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5D416FBF" w14:textId="77777777" w:rsidR="00000000" w:rsidRDefault="001F1B20">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268D1D9" w14:textId="77777777" w:rsidR="00000000" w:rsidRDefault="001F1B20">
            <w:pPr>
              <w:pStyle w:val="a3"/>
              <w:spacing w:before="0" w:beforeAutospacing="0" w:after="0" w:afterAutospacing="0"/>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14:paraId="7A474081" w14:textId="77777777" w:rsidR="00000000" w:rsidRDefault="001F1B20">
            <w:pPr>
              <w:pStyle w:val="a3"/>
              <w:spacing w:before="0" w:beforeAutospacing="0" w:after="0" w:afterAutospacing="0"/>
              <w:ind w:right="60"/>
              <w:jc w:val="right"/>
              <w:rPr>
                <w:sz w:val="20"/>
                <w:szCs w:val="20"/>
              </w:rPr>
            </w:pPr>
            <w:r>
              <w:rPr>
                <w:sz w:val="20"/>
                <w:szCs w:val="20"/>
              </w:rPr>
              <w:t>1,77</w:t>
            </w:r>
            <w:r>
              <w:rPr>
                <w:sz w:val="20"/>
                <w:szCs w:val="20"/>
              </w:rPr>
              <w:t>1</w:t>
            </w:r>
          </w:p>
        </w:tc>
        <w:tc>
          <w:tcPr>
            <w:tcW w:w="39" w:type="pct"/>
            <w:shd w:val="clear" w:color="auto" w:fill="CCEEFF"/>
            <w:noWrap/>
            <w:tcMar>
              <w:top w:w="0" w:type="dxa"/>
              <w:left w:w="0" w:type="dxa"/>
              <w:bottom w:w="0" w:type="dxa"/>
              <w:right w:w="0" w:type="dxa"/>
            </w:tcMar>
            <w:vAlign w:val="bottom"/>
            <w:hideMark/>
          </w:tcPr>
          <w:p w14:paraId="1A828A6E" w14:textId="77777777" w:rsidR="00000000" w:rsidRDefault="001F1B20">
            <w:pPr>
              <w:pStyle w:val="a3"/>
              <w:spacing w:before="0" w:beforeAutospacing="0" w:after="0" w:afterAutospacing="0"/>
              <w:rPr>
                <w:sz w:val="20"/>
                <w:szCs w:val="20"/>
              </w:rPr>
            </w:pPr>
            <w:r>
              <w:rPr>
                <w:sz w:val="20"/>
                <w:szCs w:val="20"/>
              </w:rPr>
              <w:t>​</w:t>
            </w:r>
          </w:p>
        </w:tc>
        <w:tc>
          <w:tcPr>
            <w:tcW w:w="214" w:type="pct"/>
            <w:shd w:val="clear" w:color="auto" w:fill="CCEEFF"/>
            <w:noWrap/>
            <w:tcMar>
              <w:top w:w="0" w:type="dxa"/>
              <w:left w:w="0" w:type="dxa"/>
              <w:bottom w:w="0" w:type="dxa"/>
              <w:right w:w="0" w:type="dxa"/>
            </w:tcMar>
            <w:vAlign w:val="bottom"/>
            <w:hideMark/>
          </w:tcPr>
          <w:p w14:paraId="1D05514A" w14:textId="77777777" w:rsidR="00000000" w:rsidRDefault="001F1B20">
            <w:pPr>
              <w:pStyle w:val="a3"/>
              <w:spacing w:before="0" w:beforeAutospacing="0" w:after="0" w:afterAutospacing="0"/>
              <w:ind w:right="60"/>
              <w:jc w:val="right"/>
              <w:rPr>
                <w:sz w:val="20"/>
                <w:szCs w:val="20"/>
              </w:rPr>
            </w:pPr>
            <w:r>
              <w:rPr>
                <w:sz w:val="20"/>
                <w:szCs w:val="20"/>
              </w:rPr>
              <w:t>NM</w:t>
            </w:r>
          </w:p>
        </w:tc>
        <w:tc>
          <w:tcPr>
            <w:tcW w:w="132" w:type="pct"/>
            <w:shd w:val="clear" w:color="auto" w:fill="CCEEFF"/>
            <w:noWrap/>
            <w:tcMar>
              <w:top w:w="0" w:type="dxa"/>
              <w:left w:w="0" w:type="dxa"/>
              <w:bottom w:w="0" w:type="dxa"/>
              <w:right w:w="0" w:type="dxa"/>
            </w:tcMar>
            <w:vAlign w:val="bottom"/>
            <w:hideMark/>
          </w:tcPr>
          <w:p w14:paraId="700C479E" w14:textId="77777777" w:rsidR="00000000" w:rsidRDefault="001F1B20">
            <w:pPr>
              <w:pStyle w:val="a3"/>
              <w:spacing w:before="0" w:beforeAutospacing="0" w:after="0" w:afterAutospacing="0"/>
              <w:rPr>
                <w:sz w:val="20"/>
                <w:szCs w:val="20"/>
              </w:rPr>
            </w:pPr>
            <w:r>
              <w:rPr>
                <w:sz w:val="20"/>
                <w:szCs w:val="20"/>
              </w:rPr>
              <w:t>%  </w:t>
            </w:r>
          </w:p>
        </w:tc>
      </w:tr>
    </w:tbl>
    <w:p w14:paraId="679EB274" w14:textId="77777777" w:rsidR="00000000" w:rsidRDefault="001F1B20">
      <w:pPr>
        <w:pStyle w:val="a3"/>
        <w:spacing w:before="0" w:beforeAutospacing="0" w:after="0" w:afterAutospacing="0"/>
        <w:ind w:firstLine="720"/>
        <w:divId w:val="1095248698"/>
        <w:rPr>
          <w:sz w:val="20"/>
          <w:szCs w:val="20"/>
        </w:rPr>
      </w:pPr>
      <w:r>
        <w:rPr>
          <w:color w:val="FF0000"/>
          <w:sz w:val="20"/>
          <w:szCs w:val="20"/>
        </w:rPr>
        <w:t>​</w:t>
      </w:r>
    </w:p>
    <w:p w14:paraId="4E310C44" w14:textId="77777777" w:rsidR="00000000" w:rsidRDefault="001F1B20">
      <w:pPr>
        <w:pStyle w:val="a3"/>
        <w:spacing w:before="0" w:beforeAutospacing="0" w:after="0" w:afterAutospacing="0"/>
        <w:ind w:firstLine="720"/>
        <w:divId w:val="1095248698"/>
        <w:rPr>
          <w:sz w:val="20"/>
          <w:szCs w:val="20"/>
        </w:rPr>
      </w:pPr>
      <w:r>
        <w:rPr>
          <w:sz w:val="20"/>
          <w:szCs w:val="20"/>
        </w:rPr>
        <w:t>We estimate that we will incur total cash expenses of approximately $18.0 million to $20.0 million related to the Restructuring</w:t>
      </w:r>
      <w:r>
        <w:rPr>
          <w:sz w:val="20"/>
          <w:szCs w:val="20"/>
          <w:shd w:val="clear" w:color="auto" w:fill="FFFFFF"/>
        </w:rPr>
        <w:t>. These expenses are primarily comprised of employee-related severance and other related costs, and the majority of these expense</w:t>
      </w:r>
      <w:r>
        <w:rPr>
          <w:sz w:val="20"/>
          <w:szCs w:val="20"/>
          <w:shd w:val="clear" w:color="auto" w:fill="FFFFFF"/>
        </w:rPr>
        <w:t>s are expected</w:t>
      </w:r>
      <w:r>
        <w:rPr>
          <w:sz w:val="20"/>
          <w:szCs w:val="20"/>
        </w:rPr>
        <w:t xml:space="preserve"> to be incurred and paid through the first quarter of 2022. We will also incur non-cash charges relating to the acceleration of equity-awards during the fourth quarter of 2021 and the first quarter of 2022 for employees affected by the Restru</w:t>
      </w:r>
      <w:r>
        <w:rPr>
          <w:sz w:val="20"/>
          <w:szCs w:val="20"/>
        </w:rPr>
        <w:t xml:space="preserve">cturing. </w:t>
      </w:r>
    </w:p>
    <w:p w14:paraId="4AB07DC5" w14:textId="77777777" w:rsidR="00000000" w:rsidRDefault="001F1B20">
      <w:pPr>
        <w:pStyle w:val="a3"/>
        <w:spacing w:before="0" w:beforeAutospacing="0" w:after="0" w:afterAutospacing="0"/>
        <w:ind w:firstLine="720"/>
        <w:divId w:val="1095248698"/>
        <w:rPr>
          <w:sz w:val="20"/>
          <w:szCs w:val="20"/>
        </w:rPr>
      </w:pPr>
      <w:r>
        <w:rPr>
          <w:sz w:val="20"/>
          <w:szCs w:val="20"/>
        </w:rPr>
        <w:t>​</w:t>
      </w:r>
    </w:p>
    <w:p w14:paraId="6FD5CC13" w14:textId="77777777" w:rsidR="00000000" w:rsidRDefault="001F1B20">
      <w:pPr>
        <w:pStyle w:val="a3"/>
        <w:spacing w:before="0" w:beforeAutospacing="0" w:after="0" w:afterAutospacing="0"/>
        <w:ind w:firstLine="720"/>
        <w:divId w:val="1095248698"/>
        <w:rPr>
          <w:sz w:val="20"/>
          <w:szCs w:val="20"/>
        </w:rPr>
      </w:pPr>
      <w:r>
        <w:rPr>
          <w:sz w:val="20"/>
          <w:szCs w:val="20"/>
        </w:rPr>
        <w:t xml:space="preserve">We are also in the process of evaluating the impact of the Restructuring on the carrying value of our long-lived assets, such as property and equipment and operating lease assets. This process includes evaluating the estimated remaining lives, </w:t>
      </w:r>
      <w:r>
        <w:rPr>
          <w:sz w:val="20"/>
          <w:szCs w:val="20"/>
        </w:rPr>
        <w:t xml:space="preserve">significant changes in the use, and potential impairment charges related to our long-lived assets which will be impacted by decisions to be finalized late in the fourth quarter of 2021. As of September 30, 2021, we did not recognize any impairment charges </w:t>
      </w:r>
      <w:r>
        <w:rPr>
          <w:sz w:val="20"/>
          <w:szCs w:val="20"/>
        </w:rPr>
        <w:t xml:space="preserve">related to its long-lived assets as those amounts were deemed immaterial. We may also incur additional costs not currently contemplated due to events that may occur because of, or that are associated with, the Restructuring. </w:t>
      </w:r>
    </w:p>
    <w:p w14:paraId="7802E91D" w14:textId="77777777" w:rsidR="00000000" w:rsidRDefault="001F1B20">
      <w:pPr>
        <w:pStyle w:val="a3"/>
        <w:spacing w:before="0" w:beforeAutospacing="0" w:after="0" w:afterAutospacing="0"/>
        <w:divId w:val="1095248698"/>
        <w:rPr>
          <w:sz w:val="20"/>
          <w:szCs w:val="20"/>
        </w:rPr>
      </w:pPr>
      <w:r>
        <w:rPr>
          <w:sz w:val="20"/>
          <w:szCs w:val="20"/>
        </w:rPr>
        <w:t>​</w:t>
      </w:r>
    </w:p>
    <w:p w14:paraId="22B5F340" w14:textId="77777777" w:rsidR="00000000" w:rsidRDefault="001F1B20">
      <w:pPr>
        <w:pStyle w:val="a3"/>
        <w:spacing w:before="0" w:beforeAutospacing="0" w:after="0" w:afterAutospacing="0"/>
        <w:divId w:val="1095248698"/>
        <w:rPr>
          <w:sz w:val="20"/>
          <w:szCs w:val="20"/>
        </w:rPr>
      </w:pPr>
      <w:r>
        <w:rPr>
          <w:b/>
          <w:bCs/>
          <w:i/>
          <w:iCs/>
          <w:sz w:val="20"/>
          <w:szCs w:val="20"/>
        </w:rPr>
        <w:t>Income from Investment in TR</w:t>
      </w:r>
      <w:r>
        <w:rPr>
          <w:b/>
          <w:bCs/>
          <w:i/>
          <w:iCs/>
          <w:sz w:val="20"/>
          <w:szCs w:val="20"/>
        </w:rPr>
        <w:t>C, LLC</w:t>
      </w:r>
    </w:p>
    <w:p w14:paraId="39419F83" w14:textId="77777777" w:rsidR="00000000" w:rsidRDefault="001F1B20">
      <w:pPr>
        <w:pStyle w:val="a3"/>
        <w:spacing w:before="0" w:beforeAutospacing="0" w:after="0" w:afterAutospacing="0"/>
        <w:divId w:val="1095248698"/>
        <w:rPr>
          <w:sz w:val="20"/>
          <w:szCs w:val="20"/>
        </w:rPr>
      </w:pPr>
      <w:r>
        <w:rPr>
          <w:sz w:val="20"/>
          <w:szCs w:val="20"/>
        </w:rPr>
        <w:t>​</w:t>
      </w:r>
    </w:p>
    <w:p w14:paraId="25914673" w14:textId="77777777" w:rsidR="00000000" w:rsidRDefault="001F1B20">
      <w:pPr>
        <w:pStyle w:val="a3"/>
        <w:spacing w:before="0" w:beforeAutospacing="0" w:after="0" w:afterAutospacing="0"/>
        <w:ind w:firstLine="720"/>
        <w:divId w:val="1095248698"/>
        <w:rPr>
          <w:sz w:val="20"/>
          <w:szCs w:val="20"/>
        </w:rPr>
      </w:pPr>
      <w:r>
        <w:rPr>
          <w:sz w:val="20"/>
          <w:szCs w:val="20"/>
        </w:rPr>
        <w:t>Income from investment in TRC, as compared to the comparable periods in the prior year, was as follows:</w:t>
      </w:r>
    </w:p>
    <w:p w14:paraId="514865CB" w14:textId="77777777" w:rsidR="00000000" w:rsidRDefault="001F1B20">
      <w:pPr>
        <w:pStyle w:val="a3"/>
        <w:spacing w:before="0" w:beforeAutospacing="0" w:after="0" w:afterAutospacing="0"/>
        <w:ind w:firstLine="720"/>
        <w:divId w:val="109524869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352"/>
        <w:gridCol w:w="80"/>
        <w:gridCol w:w="100"/>
        <w:gridCol w:w="610"/>
        <w:gridCol w:w="80"/>
        <w:gridCol w:w="100"/>
        <w:gridCol w:w="610"/>
        <w:gridCol w:w="80"/>
        <w:gridCol w:w="100"/>
        <w:gridCol w:w="610"/>
        <w:gridCol w:w="80"/>
        <w:gridCol w:w="300"/>
        <w:gridCol w:w="227"/>
        <w:gridCol w:w="80"/>
        <w:gridCol w:w="100"/>
        <w:gridCol w:w="610"/>
        <w:gridCol w:w="80"/>
        <w:gridCol w:w="100"/>
        <w:gridCol w:w="610"/>
        <w:gridCol w:w="80"/>
        <w:gridCol w:w="100"/>
        <w:gridCol w:w="610"/>
        <w:gridCol w:w="80"/>
        <w:gridCol w:w="260"/>
        <w:gridCol w:w="267"/>
      </w:tblGrid>
      <w:tr w:rsidR="00000000" w14:paraId="4F85B2CC" w14:textId="77777777">
        <w:trPr>
          <w:divId w:val="1095248698"/>
          <w:trHeight w:val="20"/>
        </w:trPr>
        <w:tc>
          <w:tcPr>
            <w:tcW w:w="1848" w:type="pct"/>
            <w:tcMar>
              <w:top w:w="0" w:type="dxa"/>
              <w:left w:w="0" w:type="dxa"/>
              <w:bottom w:w="0" w:type="dxa"/>
              <w:right w:w="0" w:type="dxa"/>
            </w:tcMar>
            <w:vAlign w:val="bottom"/>
            <w:hideMark/>
          </w:tcPr>
          <w:p w14:paraId="6176098A" w14:textId="77777777" w:rsidR="00000000" w:rsidRDefault="001F1B20">
            <w:pPr>
              <w:pStyle w:val="a3"/>
              <w:spacing w:before="0" w:beforeAutospacing="0" w:after="0" w:afterAutospacing="0"/>
              <w:divId w:val="1334794603"/>
              <w:rPr>
                <w:sz w:val="20"/>
                <w:szCs w:val="20"/>
              </w:rPr>
            </w:pPr>
            <w:r>
              <w:rPr>
                <w:sz w:val="2"/>
                <w:szCs w:val="2"/>
              </w:rPr>
              <w:t>​</w:t>
            </w:r>
          </w:p>
        </w:tc>
        <w:tc>
          <w:tcPr>
            <w:tcW w:w="39" w:type="pct"/>
            <w:noWrap/>
            <w:tcMar>
              <w:top w:w="0" w:type="dxa"/>
              <w:left w:w="0" w:type="dxa"/>
              <w:bottom w:w="0" w:type="dxa"/>
              <w:right w:w="0" w:type="dxa"/>
            </w:tcMar>
            <w:vAlign w:val="bottom"/>
            <w:hideMark/>
          </w:tcPr>
          <w:p w14:paraId="0858E973" w14:textId="77777777" w:rsidR="00000000" w:rsidRDefault="001F1B20">
            <w:pPr>
              <w:pStyle w:val="a3"/>
              <w:spacing w:before="0" w:beforeAutospacing="0" w:after="0" w:afterAutospacing="0"/>
              <w:divId w:val="418327886"/>
              <w:rPr>
                <w:sz w:val="20"/>
                <w:szCs w:val="20"/>
              </w:rPr>
            </w:pPr>
            <w:r>
              <w:rPr>
                <w:sz w:val="2"/>
                <w:szCs w:val="2"/>
              </w:rPr>
              <w:t>​</w:t>
            </w:r>
          </w:p>
        </w:tc>
        <w:tc>
          <w:tcPr>
            <w:tcW w:w="49" w:type="pct"/>
            <w:noWrap/>
            <w:tcMar>
              <w:top w:w="0" w:type="dxa"/>
              <w:left w:w="0" w:type="dxa"/>
              <w:bottom w:w="0" w:type="dxa"/>
              <w:right w:w="0" w:type="dxa"/>
            </w:tcMar>
            <w:vAlign w:val="bottom"/>
            <w:hideMark/>
          </w:tcPr>
          <w:p w14:paraId="56008CFC" w14:textId="77777777" w:rsidR="00000000" w:rsidRDefault="001F1B20">
            <w:pPr>
              <w:pStyle w:val="a3"/>
              <w:spacing w:before="0" w:beforeAutospacing="0" w:after="0" w:afterAutospacing="0"/>
              <w:divId w:val="895704728"/>
              <w:rPr>
                <w:sz w:val="20"/>
                <w:szCs w:val="20"/>
              </w:rPr>
            </w:pPr>
            <w:r>
              <w:rPr>
                <w:sz w:val="2"/>
                <w:szCs w:val="2"/>
              </w:rPr>
              <w:t>​</w:t>
            </w:r>
          </w:p>
        </w:tc>
        <w:tc>
          <w:tcPr>
            <w:tcW w:w="327" w:type="pct"/>
            <w:noWrap/>
            <w:tcMar>
              <w:top w:w="0" w:type="dxa"/>
              <w:left w:w="0" w:type="dxa"/>
              <w:bottom w:w="0" w:type="dxa"/>
              <w:right w:w="0" w:type="dxa"/>
            </w:tcMar>
            <w:vAlign w:val="bottom"/>
            <w:hideMark/>
          </w:tcPr>
          <w:p w14:paraId="6E2D7FD4" w14:textId="77777777" w:rsidR="00000000" w:rsidRDefault="001F1B20">
            <w:pPr>
              <w:pStyle w:val="a3"/>
              <w:spacing w:before="0" w:beforeAutospacing="0" w:after="0" w:afterAutospacing="0"/>
              <w:divId w:val="672606196"/>
              <w:rPr>
                <w:sz w:val="20"/>
                <w:szCs w:val="20"/>
              </w:rPr>
            </w:pPr>
            <w:r>
              <w:rPr>
                <w:sz w:val="2"/>
                <w:szCs w:val="2"/>
              </w:rPr>
              <w:t>​</w:t>
            </w:r>
          </w:p>
        </w:tc>
        <w:tc>
          <w:tcPr>
            <w:tcW w:w="39" w:type="pct"/>
            <w:noWrap/>
            <w:tcMar>
              <w:top w:w="0" w:type="dxa"/>
              <w:left w:w="0" w:type="dxa"/>
              <w:bottom w:w="0" w:type="dxa"/>
              <w:right w:w="0" w:type="dxa"/>
            </w:tcMar>
            <w:vAlign w:val="bottom"/>
            <w:hideMark/>
          </w:tcPr>
          <w:p w14:paraId="628DD183" w14:textId="77777777" w:rsidR="00000000" w:rsidRDefault="001F1B20">
            <w:pPr>
              <w:pStyle w:val="a3"/>
              <w:spacing w:before="0" w:beforeAutospacing="0" w:after="0" w:afterAutospacing="0"/>
              <w:divId w:val="1332560275"/>
              <w:rPr>
                <w:sz w:val="20"/>
                <w:szCs w:val="20"/>
              </w:rPr>
            </w:pPr>
            <w:r>
              <w:rPr>
                <w:sz w:val="2"/>
                <w:szCs w:val="2"/>
              </w:rPr>
              <w:t>​</w:t>
            </w:r>
          </w:p>
        </w:tc>
        <w:tc>
          <w:tcPr>
            <w:tcW w:w="49" w:type="pct"/>
            <w:noWrap/>
            <w:tcMar>
              <w:top w:w="0" w:type="dxa"/>
              <w:left w:w="0" w:type="dxa"/>
              <w:bottom w:w="0" w:type="dxa"/>
              <w:right w:w="0" w:type="dxa"/>
            </w:tcMar>
            <w:vAlign w:val="bottom"/>
            <w:hideMark/>
          </w:tcPr>
          <w:p w14:paraId="75AB8533" w14:textId="77777777" w:rsidR="00000000" w:rsidRDefault="001F1B20">
            <w:pPr>
              <w:pStyle w:val="a3"/>
              <w:spacing w:before="0" w:beforeAutospacing="0" w:after="0" w:afterAutospacing="0"/>
              <w:divId w:val="1417019589"/>
              <w:rPr>
                <w:sz w:val="20"/>
                <w:szCs w:val="20"/>
              </w:rPr>
            </w:pPr>
            <w:r>
              <w:rPr>
                <w:sz w:val="2"/>
                <w:szCs w:val="2"/>
              </w:rPr>
              <w:t>​</w:t>
            </w:r>
          </w:p>
        </w:tc>
        <w:tc>
          <w:tcPr>
            <w:tcW w:w="327" w:type="pct"/>
            <w:noWrap/>
            <w:tcMar>
              <w:top w:w="0" w:type="dxa"/>
              <w:left w:w="0" w:type="dxa"/>
              <w:bottom w:w="0" w:type="dxa"/>
              <w:right w:w="0" w:type="dxa"/>
            </w:tcMar>
            <w:vAlign w:val="bottom"/>
            <w:hideMark/>
          </w:tcPr>
          <w:p w14:paraId="5021E3F9" w14:textId="77777777" w:rsidR="00000000" w:rsidRDefault="001F1B20">
            <w:pPr>
              <w:pStyle w:val="a3"/>
              <w:spacing w:before="0" w:beforeAutospacing="0" w:after="0" w:afterAutospacing="0"/>
              <w:divId w:val="2146042766"/>
              <w:rPr>
                <w:sz w:val="20"/>
                <w:szCs w:val="20"/>
              </w:rPr>
            </w:pPr>
            <w:r>
              <w:rPr>
                <w:sz w:val="2"/>
                <w:szCs w:val="2"/>
              </w:rPr>
              <w:t>​</w:t>
            </w:r>
          </w:p>
        </w:tc>
        <w:tc>
          <w:tcPr>
            <w:tcW w:w="39" w:type="pct"/>
            <w:noWrap/>
            <w:tcMar>
              <w:top w:w="0" w:type="dxa"/>
              <w:left w:w="0" w:type="dxa"/>
              <w:bottom w:w="0" w:type="dxa"/>
              <w:right w:w="0" w:type="dxa"/>
            </w:tcMar>
            <w:vAlign w:val="bottom"/>
            <w:hideMark/>
          </w:tcPr>
          <w:p w14:paraId="3F339768" w14:textId="77777777" w:rsidR="00000000" w:rsidRDefault="001F1B20">
            <w:pPr>
              <w:pStyle w:val="a3"/>
              <w:spacing w:before="0" w:beforeAutospacing="0" w:after="0" w:afterAutospacing="0"/>
              <w:divId w:val="474101191"/>
              <w:rPr>
                <w:sz w:val="20"/>
                <w:szCs w:val="20"/>
              </w:rPr>
            </w:pPr>
            <w:r>
              <w:rPr>
                <w:sz w:val="2"/>
                <w:szCs w:val="2"/>
              </w:rPr>
              <w:t>​</w:t>
            </w:r>
          </w:p>
        </w:tc>
        <w:tc>
          <w:tcPr>
            <w:tcW w:w="49" w:type="pct"/>
            <w:noWrap/>
            <w:tcMar>
              <w:top w:w="0" w:type="dxa"/>
              <w:left w:w="0" w:type="dxa"/>
              <w:bottom w:w="0" w:type="dxa"/>
              <w:right w:w="0" w:type="dxa"/>
            </w:tcMar>
            <w:vAlign w:val="bottom"/>
            <w:hideMark/>
          </w:tcPr>
          <w:p w14:paraId="3944435A" w14:textId="77777777" w:rsidR="00000000" w:rsidRDefault="001F1B20">
            <w:pPr>
              <w:pStyle w:val="a3"/>
              <w:spacing w:before="0" w:beforeAutospacing="0" w:after="0" w:afterAutospacing="0"/>
              <w:divId w:val="1924294802"/>
              <w:rPr>
                <w:sz w:val="20"/>
                <w:szCs w:val="20"/>
              </w:rPr>
            </w:pPr>
            <w:r>
              <w:rPr>
                <w:sz w:val="2"/>
                <w:szCs w:val="2"/>
              </w:rPr>
              <w:t>​</w:t>
            </w:r>
          </w:p>
        </w:tc>
        <w:tc>
          <w:tcPr>
            <w:tcW w:w="327" w:type="pct"/>
            <w:noWrap/>
            <w:tcMar>
              <w:top w:w="0" w:type="dxa"/>
              <w:left w:w="0" w:type="dxa"/>
              <w:bottom w:w="0" w:type="dxa"/>
              <w:right w:w="0" w:type="dxa"/>
            </w:tcMar>
            <w:vAlign w:val="bottom"/>
            <w:hideMark/>
          </w:tcPr>
          <w:p w14:paraId="0AD8B3FB" w14:textId="77777777" w:rsidR="00000000" w:rsidRDefault="001F1B20">
            <w:pPr>
              <w:pStyle w:val="a3"/>
              <w:spacing w:before="0" w:beforeAutospacing="0" w:after="0" w:afterAutospacing="0"/>
              <w:divId w:val="43066388"/>
              <w:rPr>
                <w:sz w:val="20"/>
                <w:szCs w:val="20"/>
              </w:rPr>
            </w:pPr>
            <w:r>
              <w:rPr>
                <w:sz w:val="2"/>
                <w:szCs w:val="2"/>
              </w:rPr>
              <w:t>​</w:t>
            </w:r>
          </w:p>
        </w:tc>
        <w:tc>
          <w:tcPr>
            <w:tcW w:w="39" w:type="pct"/>
            <w:noWrap/>
            <w:tcMar>
              <w:top w:w="0" w:type="dxa"/>
              <w:left w:w="0" w:type="dxa"/>
              <w:bottom w:w="0" w:type="dxa"/>
              <w:right w:w="0" w:type="dxa"/>
            </w:tcMar>
            <w:vAlign w:val="bottom"/>
            <w:hideMark/>
          </w:tcPr>
          <w:p w14:paraId="367D6752" w14:textId="77777777" w:rsidR="00000000" w:rsidRDefault="001F1B20">
            <w:pPr>
              <w:pStyle w:val="a3"/>
              <w:spacing w:before="0" w:beforeAutospacing="0" w:after="0" w:afterAutospacing="0"/>
              <w:divId w:val="1683509829"/>
              <w:rPr>
                <w:sz w:val="20"/>
                <w:szCs w:val="20"/>
              </w:rPr>
            </w:pPr>
            <w:r>
              <w:rPr>
                <w:sz w:val="2"/>
                <w:szCs w:val="2"/>
              </w:rPr>
              <w:t>​</w:t>
            </w:r>
          </w:p>
        </w:tc>
        <w:tc>
          <w:tcPr>
            <w:tcW w:w="173" w:type="pct"/>
            <w:noWrap/>
            <w:tcMar>
              <w:top w:w="0" w:type="dxa"/>
              <w:left w:w="0" w:type="dxa"/>
              <w:bottom w:w="0" w:type="dxa"/>
              <w:right w:w="0" w:type="dxa"/>
            </w:tcMar>
            <w:vAlign w:val="bottom"/>
            <w:hideMark/>
          </w:tcPr>
          <w:p w14:paraId="03F1850B" w14:textId="77777777" w:rsidR="00000000" w:rsidRDefault="001F1B20">
            <w:pPr>
              <w:pStyle w:val="a3"/>
              <w:spacing w:before="0" w:beforeAutospacing="0" w:after="0" w:afterAutospacing="0"/>
              <w:divId w:val="356319760"/>
              <w:rPr>
                <w:sz w:val="20"/>
                <w:szCs w:val="20"/>
              </w:rPr>
            </w:pPr>
            <w:r>
              <w:rPr>
                <w:sz w:val="2"/>
                <w:szCs w:val="2"/>
              </w:rPr>
              <w:t>​</w:t>
            </w:r>
          </w:p>
        </w:tc>
        <w:tc>
          <w:tcPr>
            <w:tcW w:w="112" w:type="pct"/>
            <w:noWrap/>
            <w:tcMar>
              <w:top w:w="0" w:type="dxa"/>
              <w:left w:w="0" w:type="dxa"/>
              <w:bottom w:w="0" w:type="dxa"/>
              <w:right w:w="0" w:type="dxa"/>
            </w:tcMar>
            <w:vAlign w:val="bottom"/>
            <w:hideMark/>
          </w:tcPr>
          <w:p w14:paraId="638998B6" w14:textId="77777777" w:rsidR="00000000" w:rsidRDefault="001F1B20">
            <w:pPr>
              <w:pStyle w:val="a3"/>
              <w:spacing w:before="0" w:beforeAutospacing="0" w:after="0" w:afterAutospacing="0"/>
              <w:divId w:val="1606688214"/>
              <w:rPr>
                <w:sz w:val="20"/>
                <w:szCs w:val="20"/>
              </w:rPr>
            </w:pPr>
            <w:r>
              <w:rPr>
                <w:sz w:val="2"/>
                <w:szCs w:val="2"/>
              </w:rPr>
              <w:t>​</w:t>
            </w:r>
          </w:p>
        </w:tc>
        <w:tc>
          <w:tcPr>
            <w:tcW w:w="39" w:type="pct"/>
            <w:noWrap/>
            <w:tcMar>
              <w:top w:w="0" w:type="dxa"/>
              <w:left w:w="0" w:type="dxa"/>
              <w:bottom w:w="0" w:type="dxa"/>
              <w:right w:w="0" w:type="dxa"/>
            </w:tcMar>
            <w:vAlign w:val="bottom"/>
            <w:hideMark/>
          </w:tcPr>
          <w:p w14:paraId="30B47448" w14:textId="77777777" w:rsidR="00000000" w:rsidRDefault="001F1B20">
            <w:pPr>
              <w:pStyle w:val="a3"/>
              <w:spacing w:before="0" w:beforeAutospacing="0" w:after="0" w:afterAutospacing="0"/>
              <w:divId w:val="1829320472"/>
              <w:rPr>
                <w:sz w:val="20"/>
                <w:szCs w:val="20"/>
              </w:rPr>
            </w:pPr>
            <w:r>
              <w:rPr>
                <w:sz w:val="2"/>
                <w:szCs w:val="2"/>
              </w:rPr>
              <w:t>​</w:t>
            </w:r>
          </w:p>
        </w:tc>
        <w:tc>
          <w:tcPr>
            <w:tcW w:w="49" w:type="pct"/>
            <w:noWrap/>
            <w:tcMar>
              <w:top w:w="0" w:type="dxa"/>
              <w:left w:w="0" w:type="dxa"/>
              <w:bottom w:w="0" w:type="dxa"/>
              <w:right w:w="0" w:type="dxa"/>
            </w:tcMar>
            <w:vAlign w:val="bottom"/>
            <w:hideMark/>
          </w:tcPr>
          <w:p w14:paraId="15DDB2CB" w14:textId="77777777" w:rsidR="00000000" w:rsidRDefault="001F1B20">
            <w:pPr>
              <w:pStyle w:val="a3"/>
              <w:spacing w:before="0" w:beforeAutospacing="0" w:after="0" w:afterAutospacing="0"/>
              <w:divId w:val="923879159"/>
              <w:rPr>
                <w:sz w:val="20"/>
                <w:szCs w:val="20"/>
              </w:rPr>
            </w:pPr>
            <w:r>
              <w:rPr>
                <w:sz w:val="2"/>
                <w:szCs w:val="2"/>
              </w:rPr>
              <w:t>​</w:t>
            </w:r>
          </w:p>
        </w:tc>
        <w:tc>
          <w:tcPr>
            <w:tcW w:w="327" w:type="pct"/>
            <w:noWrap/>
            <w:tcMar>
              <w:top w:w="0" w:type="dxa"/>
              <w:left w:w="0" w:type="dxa"/>
              <w:bottom w:w="0" w:type="dxa"/>
              <w:right w:w="0" w:type="dxa"/>
            </w:tcMar>
            <w:vAlign w:val="bottom"/>
            <w:hideMark/>
          </w:tcPr>
          <w:p w14:paraId="7520D7E8" w14:textId="77777777" w:rsidR="00000000" w:rsidRDefault="001F1B20">
            <w:pPr>
              <w:pStyle w:val="a3"/>
              <w:spacing w:before="0" w:beforeAutospacing="0" w:after="0" w:afterAutospacing="0"/>
              <w:divId w:val="2138062306"/>
              <w:rPr>
                <w:sz w:val="20"/>
                <w:szCs w:val="20"/>
              </w:rPr>
            </w:pPr>
            <w:r>
              <w:rPr>
                <w:sz w:val="2"/>
                <w:szCs w:val="2"/>
              </w:rPr>
              <w:t>​</w:t>
            </w:r>
          </w:p>
        </w:tc>
        <w:tc>
          <w:tcPr>
            <w:tcW w:w="39" w:type="pct"/>
            <w:noWrap/>
            <w:tcMar>
              <w:top w:w="0" w:type="dxa"/>
              <w:left w:w="0" w:type="dxa"/>
              <w:bottom w:w="0" w:type="dxa"/>
              <w:right w:w="0" w:type="dxa"/>
            </w:tcMar>
            <w:vAlign w:val="bottom"/>
            <w:hideMark/>
          </w:tcPr>
          <w:p w14:paraId="0807C809" w14:textId="77777777" w:rsidR="00000000" w:rsidRDefault="001F1B20">
            <w:pPr>
              <w:pStyle w:val="a3"/>
              <w:spacing w:before="0" w:beforeAutospacing="0" w:after="0" w:afterAutospacing="0"/>
              <w:divId w:val="1436630868"/>
              <w:rPr>
                <w:sz w:val="20"/>
                <w:szCs w:val="20"/>
              </w:rPr>
            </w:pPr>
            <w:r>
              <w:rPr>
                <w:sz w:val="2"/>
                <w:szCs w:val="2"/>
              </w:rPr>
              <w:t>​</w:t>
            </w:r>
          </w:p>
        </w:tc>
        <w:tc>
          <w:tcPr>
            <w:tcW w:w="49" w:type="pct"/>
            <w:noWrap/>
            <w:tcMar>
              <w:top w:w="0" w:type="dxa"/>
              <w:left w:w="0" w:type="dxa"/>
              <w:bottom w:w="0" w:type="dxa"/>
              <w:right w:w="0" w:type="dxa"/>
            </w:tcMar>
            <w:vAlign w:val="bottom"/>
            <w:hideMark/>
          </w:tcPr>
          <w:p w14:paraId="2D91B259" w14:textId="77777777" w:rsidR="00000000" w:rsidRDefault="001F1B20">
            <w:pPr>
              <w:pStyle w:val="a3"/>
              <w:spacing w:before="0" w:beforeAutospacing="0" w:after="0" w:afterAutospacing="0"/>
              <w:divId w:val="1941140150"/>
              <w:rPr>
                <w:sz w:val="20"/>
                <w:szCs w:val="20"/>
              </w:rPr>
            </w:pPr>
            <w:r>
              <w:rPr>
                <w:sz w:val="2"/>
                <w:szCs w:val="2"/>
              </w:rPr>
              <w:t>​</w:t>
            </w:r>
          </w:p>
        </w:tc>
        <w:tc>
          <w:tcPr>
            <w:tcW w:w="327" w:type="pct"/>
            <w:noWrap/>
            <w:tcMar>
              <w:top w:w="0" w:type="dxa"/>
              <w:left w:w="0" w:type="dxa"/>
              <w:bottom w:w="0" w:type="dxa"/>
              <w:right w:w="0" w:type="dxa"/>
            </w:tcMar>
            <w:vAlign w:val="bottom"/>
            <w:hideMark/>
          </w:tcPr>
          <w:p w14:paraId="4973D932" w14:textId="77777777" w:rsidR="00000000" w:rsidRDefault="001F1B20">
            <w:pPr>
              <w:pStyle w:val="a3"/>
              <w:spacing w:before="0" w:beforeAutospacing="0" w:after="0" w:afterAutospacing="0"/>
              <w:divId w:val="1129200013"/>
              <w:rPr>
                <w:sz w:val="20"/>
                <w:szCs w:val="20"/>
              </w:rPr>
            </w:pPr>
            <w:r>
              <w:rPr>
                <w:sz w:val="2"/>
                <w:szCs w:val="2"/>
              </w:rPr>
              <w:t>​</w:t>
            </w:r>
          </w:p>
        </w:tc>
        <w:tc>
          <w:tcPr>
            <w:tcW w:w="39" w:type="pct"/>
            <w:noWrap/>
            <w:tcMar>
              <w:top w:w="0" w:type="dxa"/>
              <w:left w:w="0" w:type="dxa"/>
              <w:bottom w:w="0" w:type="dxa"/>
              <w:right w:w="0" w:type="dxa"/>
            </w:tcMar>
            <w:vAlign w:val="bottom"/>
            <w:hideMark/>
          </w:tcPr>
          <w:p w14:paraId="7C603D56" w14:textId="77777777" w:rsidR="00000000" w:rsidRDefault="001F1B20">
            <w:pPr>
              <w:pStyle w:val="a3"/>
              <w:spacing w:before="0" w:beforeAutospacing="0" w:after="0" w:afterAutospacing="0"/>
              <w:divId w:val="1879662583"/>
              <w:rPr>
                <w:sz w:val="20"/>
                <w:szCs w:val="20"/>
              </w:rPr>
            </w:pPr>
            <w:r>
              <w:rPr>
                <w:sz w:val="2"/>
                <w:szCs w:val="2"/>
              </w:rPr>
              <w:t>​</w:t>
            </w:r>
          </w:p>
        </w:tc>
        <w:tc>
          <w:tcPr>
            <w:tcW w:w="49" w:type="pct"/>
            <w:noWrap/>
            <w:tcMar>
              <w:top w:w="0" w:type="dxa"/>
              <w:left w:w="0" w:type="dxa"/>
              <w:bottom w:w="0" w:type="dxa"/>
              <w:right w:w="0" w:type="dxa"/>
            </w:tcMar>
            <w:vAlign w:val="bottom"/>
            <w:hideMark/>
          </w:tcPr>
          <w:p w14:paraId="131DF4D8" w14:textId="77777777" w:rsidR="00000000" w:rsidRDefault="001F1B20">
            <w:pPr>
              <w:pStyle w:val="a3"/>
              <w:spacing w:before="0" w:beforeAutospacing="0" w:after="0" w:afterAutospacing="0"/>
              <w:divId w:val="295916554"/>
              <w:rPr>
                <w:sz w:val="20"/>
                <w:szCs w:val="20"/>
              </w:rPr>
            </w:pPr>
            <w:r>
              <w:rPr>
                <w:sz w:val="2"/>
                <w:szCs w:val="2"/>
              </w:rPr>
              <w:t>​</w:t>
            </w:r>
          </w:p>
        </w:tc>
        <w:tc>
          <w:tcPr>
            <w:tcW w:w="327" w:type="pct"/>
            <w:noWrap/>
            <w:tcMar>
              <w:top w:w="0" w:type="dxa"/>
              <w:left w:w="0" w:type="dxa"/>
              <w:bottom w:w="0" w:type="dxa"/>
              <w:right w:w="0" w:type="dxa"/>
            </w:tcMar>
            <w:vAlign w:val="bottom"/>
            <w:hideMark/>
          </w:tcPr>
          <w:p w14:paraId="7F46CBD2" w14:textId="77777777" w:rsidR="00000000" w:rsidRDefault="001F1B20">
            <w:pPr>
              <w:pStyle w:val="a3"/>
              <w:spacing w:before="0" w:beforeAutospacing="0" w:after="0" w:afterAutospacing="0"/>
              <w:divId w:val="2103645244"/>
              <w:rPr>
                <w:sz w:val="20"/>
                <w:szCs w:val="20"/>
              </w:rPr>
            </w:pPr>
            <w:r>
              <w:rPr>
                <w:sz w:val="2"/>
                <w:szCs w:val="2"/>
              </w:rPr>
              <w:t>​</w:t>
            </w:r>
          </w:p>
        </w:tc>
        <w:tc>
          <w:tcPr>
            <w:tcW w:w="39" w:type="pct"/>
            <w:noWrap/>
            <w:tcMar>
              <w:top w:w="0" w:type="dxa"/>
              <w:left w:w="0" w:type="dxa"/>
              <w:bottom w:w="0" w:type="dxa"/>
              <w:right w:w="0" w:type="dxa"/>
            </w:tcMar>
            <w:vAlign w:val="bottom"/>
            <w:hideMark/>
          </w:tcPr>
          <w:p w14:paraId="5A0630D2" w14:textId="77777777" w:rsidR="00000000" w:rsidRDefault="001F1B20">
            <w:pPr>
              <w:pStyle w:val="a3"/>
              <w:spacing w:before="0" w:beforeAutospacing="0" w:after="0" w:afterAutospacing="0"/>
              <w:divId w:val="60057873"/>
              <w:rPr>
                <w:sz w:val="20"/>
                <w:szCs w:val="20"/>
              </w:rPr>
            </w:pPr>
            <w:r>
              <w:rPr>
                <w:sz w:val="2"/>
                <w:szCs w:val="2"/>
              </w:rPr>
              <w:t>​</w:t>
            </w:r>
          </w:p>
        </w:tc>
        <w:tc>
          <w:tcPr>
            <w:tcW w:w="153" w:type="pct"/>
            <w:noWrap/>
            <w:tcMar>
              <w:top w:w="0" w:type="dxa"/>
              <w:left w:w="0" w:type="dxa"/>
              <w:bottom w:w="0" w:type="dxa"/>
              <w:right w:w="0" w:type="dxa"/>
            </w:tcMar>
            <w:vAlign w:val="bottom"/>
            <w:hideMark/>
          </w:tcPr>
          <w:p w14:paraId="3A8BDA1B" w14:textId="77777777" w:rsidR="00000000" w:rsidRDefault="001F1B20">
            <w:pPr>
              <w:pStyle w:val="a3"/>
              <w:spacing w:before="0" w:beforeAutospacing="0" w:after="0" w:afterAutospacing="0"/>
              <w:divId w:val="709912763"/>
              <w:rPr>
                <w:sz w:val="20"/>
                <w:szCs w:val="20"/>
              </w:rPr>
            </w:pPr>
            <w:r>
              <w:rPr>
                <w:sz w:val="2"/>
                <w:szCs w:val="2"/>
              </w:rPr>
              <w:t>​</w:t>
            </w:r>
          </w:p>
        </w:tc>
        <w:tc>
          <w:tcPr>
            <w:tcW w:w="132" w:type="pct"/>
            <w:noWrap/>
            <w:tcMar>
              <w:top w:w="0" w:type="dxa"/>
              <w:left w:w="0" w:type="dxa"/>
              <w:bottom w:w="0" w:type="dxa"/>
              <w:right w:w="0" w:type="dxa"/>
            </w:tcMar>
            <w:vAlign w:val="bottom"/>
            <w:hideMark/>
          </w:tcPr>
          <w:p w14:paraId="223B1447" w14:textId="77777777" w:rsidR="00000000" w:rsidRDefault="001F1B20">
            <w:pPr>
              <w:pStyle w:val="a3"/>
              <w:spacing w:before="0" w:beforeAutospacing="0" w:after="0" w:afterAutospacing="0"/>
              <w:divId w:val="14963230"/>
              <w:rPr>
                <w:sz w:val="20"/>
                <w:szCs w:val="20"/>
              </w:rPr>
            </w:pPr>
            <w:r>
              <w:rPr>
                <w:sz w:val="2"/>
                <w:szCs w:val="2"/>
              </w:rPr>
              <w:t>​</w:t>
            </w:r>
          </w:p>
        </w:tc>
      </w:tr>
      <w:tr w:rsidR="00000000" w14:paraId="6E467381" w14:textId="77777777">
        <w:trPr>
          <w:divId w:val="1095248698"/>
        </w:trPr>
        <w:tc>
          <w:tcPr>
            <w:tcW w:w="1848" w:type="pct"/>
            <w:tcMar>
              <w:top w:w="0" w:type="dxa"/>
              <w:left w:w="0" w:type="dxa"/>
              <w:bottom w:w="0" w:type="dxa"/>
              <w:right w:w="0" w:type="dxa"/>
            </w:tcMar>
            <w:vAlign w:val="bottom"/>
            <w:hideMark/>
          </w:tcPr>
          <w:p w14:paraId="57290F21"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5D3648B7"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noWrap/>
            <w:tcMar>
              <w:top w:w="0" w:type="dxa"/>
              <w:left w:w="0" w:type="dxa"/>
              <w:bottom w:w="0" w:type="dxa"/>
              <w:right w:w="0" w:type="dxa"/>
            </w:tcMar>
            <w:vAlign w:val="bottom"/>
            <w:hideMark/>
          </w:tcPr>
          <w:p w14:paraId="06908B9F"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39" w:type="pct"/>
            <w:noWrap/>
            <w:tcMar>
              <w:top w:w="0" w:type="dxa"/>
              <w:left w:w="0" w:type="dxa"/>
              <w:bottom w:w="0" w:type="dxa"/>
              <w:right w:w="0" w:type="dxa"/>
            </w:tcMar>
            <w:vAlign w:val="bottom"/>
            <w:hideMark/>
          </w:tcPr>
          <w:p w14:paraId="7248FEE4" w14:textId="77777777" w:rsidR="00000000" w:rsidRDefault="001F1B20">
            <w:pPr>
              <w:pStyle w:val="a3"/>
              <w:spacing w:before="0" w:beforeAutospacing="0" w:after="0" w:afterAutospacing="0"/>
              <w:jc w:val="center"/>
              <w:rPr>
                <w:sz w:val="20"/>
                <w:szCs w:val="20"/>
              </w:rPr>
            </w:pPr>
            <w:r>
              <w:rPr>
                <w:b/>
                <w:bCs/>
                <w:sz w:val="16"/>
                <w:szCs w:val="16"/>
              </w:rPr>
              <w:t>​</w:t>
            </w:r>
          </w:p>
        </w:tc>
        <w:tc>
          <w:tcPr>
            <w:tcW w:w="590" w:type="pct"/>
            <w:gridSpan w:val="4"/>
            <w:noWrap/>
            <w:tcMar>
              <w:top w:w="0" w:type="dxa"/>
              <w:left w:w="0" w:type="dxa"/>
              <w:bottom w:w="0" w:type="dxa"/>
              <w:right w:w="0" w:type="dxa"/>
            </w:tcMar>
            <w:vAlign w:val="bottom"/>
            <w:hideMark/>
          </w:tcPr>
          <w:p w14:paraId="75677081" w14:textId="77777777" w:rsidR="00000000" w:rsidRDefault="001F1B20">
            <w:pPr>
              <w:pStyle w:val="a3"/>
              <w:spacing w:before="0" w:beforeAutospacing="0" w:after="0" w:afterAutospacing="0"/>
              <w:jc w:val="center"/>
              <w:rPr>
                <w:sz w:val="20"/>
                <w:szCs w:val="20"/>
              </w:rPr>
            </w:pPr>
            <w:r>
              <w:rPr>
                <w:b/>
                <w:bCs/>
                <w:sz w:val="16"/>
                <w:szCs w:val="16"/>
              </w:rPr>
              <w:t>​</w:t>
            </w:r>
          </w:p>
        </w:tc>
        <w:tc>
          <w:tcPr>
            <w:tcW w:w="112" w:type="pct"/>
            <w:noWrap/>
            <w:tcMar>
              <w:top w:w="0" w:type="dxa"/>
              <w:left w:w="0" w:type="dxa"/>
              <w:bottom w:w="0" w:type="dxa"/>
              <w:right w:w="0" w:type="dxa"/>
            </w:tcMar>
            <w:vAlign w:val="bottom"/>
            <w:hideMark/>
          </w:tcPr>
          <w:p w14:paraId="1C53F27C"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5B8A4EFE"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noWrap/>
            <w:tcMar>
              <w:top w:w="0" w:type="dxa"/>
              <w:left w:w="0" w:type="dxa"/>
              <w:bottom w:w="0" w:type="dxa"/>
              <w:right w:w="0" w:type="dxa"/>
            </w:tcMar>
            <w:vAlign w:val="bottom"/>
            <w:hideMark/>
          </w:tcPr>
          <w:p w14:paraId="64055F35"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c>
          <w:tcPr>
            <w:tcW w:w="39" w:type="pct"/>
            <w:noWrap/>
            <w:tcMar>
              <w:top w:w="0" w:type="dxa"/>
              <w:left w:w="0" w:type="dxa"/>
              <w:bottom w:w="0" w:type="dxa"/>
              <w:right w:w="0" w:type="dxa"/>
            </w:tcMar>
            <w:vAlign w:val="bottom"/>
            <w:hideMark/>
          </w:tcPr>
          <w:p w14:paraId="3D22548A" w14:textId="77777777" w:rsidR="00000000" w:rsidRDefault="001F1B20">
            <w:pPr>
              <w:pStyle w:val="a3"/>
              <w:spacing w:before="0" w:beforeAutospacing="0" w:after="0" w:afterAutospacing="0"/>
              <w:jc w:val="center"/>
              <w:rPr>
                <w:sz w:val="20"/>
                <w:szCs w:val="20"/>
              </w:rPr>
            </w:pPr>
            <w:r>
              <w:rPr>
                <w:b/>
                <w:bCs/>
                <w:sz w:val="16"/>
                <w:szCs w:val="16"/>
              </w:rPr>
              <w:t>​</w:t>
            </w:r>
          </w:p>
        </w:tc>
        <w:tc>
          <w:tcPr>
            <w:tcW w:w="570" w:type="pct"/>
            <w:gridSpan w:val="4"/>
            <w:noWrap/>
            <w:tcMar>
              <w:top w:w="0" w:type="dxa"/>
              <w:left w:w="0" w:type="dxa"/>
              <w:bottom w:w="0" w:type="dxa"/>
              <w:right w:w="0" w:type="dxa"/>
            </w:tcMar>
            <w:vAlign w:val="bottom"/>
            <w:hideMark/>
          </w:tcPr>
          <w:p w14:paraId="6911F544"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70FB2850" w14:textId="77777777" w:rsidR="00000000" w:rsidRDefault="001F1B20">
            <w:pPr>
              <w:pStyle w:val="a3"/>
              <w:spacing w:before="0" w:beforeAutospacing="0" w:after="0" w:afterAutospacing="0"/>
              <w:rPr>
                <w:sz w:val="20"/>
                <w:szCs w:val="20"/>
              </w:rPr>
            </w:pPr>
            <w:r>
              <w:rPr>
                <w:b/>
                <w:bCs/>
                <w:sz w:val="16"/>
                <w:szCs w:val="16"/>
              </w:rPr>
              <w:t>​</w:t>
            </w:r>
          </w:p>
        </w:tc>
      </w:tr>
      <w:tr w:rsidR="00000000" w14:paraId="4FDB2CDB" w14:textId="77777777">
        <w:trPr>
          <w:divId w:val="1095248698"/>
        </w:trPr>
        <w:tc>
          <w:tcPr>
            <w:tcW w:w="1848" w:type="pct"/>
            <w:tcMar>
              <w:top w:w="0" w:type="dxa"/>
              <w:left w:w="0" w:type="dxa"/>
              <w:bottom w:w="0" w:type="dxa"/>
              <w:right w:w="0" w:type="dxa"/>
            </w:tcMar>
            <w:vAlign w:val="bottom"/>
            <w:hideMark/>
          </w:tcPr>
          <w:p w14:paraId="1FCA122D"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26281AFF"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tcBorders>
              <w:bottom w:val="single" w:sz="6" w:space="0" w:color="000000"/>
            </w:tcBorders>
            <w:noWrap/>
            <w:tcMar>
              <w:top w:w="0" w:type="dxa"/>
              <w:left w:w="0" w:type="dxa"/>
              <w:bottom w:w="0" w:type="dxa"/>
              <w:right w:w="0" w:type="dxa"/>
            </w:tcMar>
            <w:vAlign w:val="bottom"/>
            <w:hideMark/>
          </w:tcPr>
          <w:p w14:paraId="6BA06986"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03FD1F10" w14:textId="77777777" w:rsidR="00000000" w:rsidRDefault="001F1B20">
            <w:pPr>
              <w:pStyle w:val="a3"/>
              <w:spacing w:before="0" w:beforeAutospacing="0" w:after="0" w:afterAutospacing="0"/>
              <w:jc w:val="center"/>
              <w:rPr>
                <w:sz w:val="20"/>
                <w:szCs w:val="20"/>
              </w:rPr>
            </w:pPr>
            <w:r>
              <w:rPr>
                <w:b/>
                <w:bCs/>
                <w:sz w:val="16"/>
                <w:szCs w:val="16"/>
              </w:rPr>
              <w:t>​</w:t>
            </w:r>
          </w:p>
        </w:tc>
        <w:tc>
          <w:tcPr>
            <w:tcW w:w="590" w:type="pct"/>
            <w:gridSpan w:val="4"/>
            <w:tcBorders>
              <w:bottom w:val="single" w:sz="6" w:space="0" w:color="000000"/>
            </w:tcBorders>
            <w:noWrap/>
            <w:tcMar>
              <w:top w:w="0" w:type="dxa"/>
              <w:left w:w="0" w:type="dxa"/>
              <w:bottom w:w="0" w:type="dxa"/>
              <w:right w:w="0" w:type="dxa"/>
            </w:tcMar>
            <w:vAlign w:val="bottom"/>
            <w:hideMark/>
          </w:tcPr>
          <w:p w14:paraId="209D5326" w14:textId="77777777" w:rsidR="00000000" w:rsidRDefault="001F1B20">
            <w:pPr>
              <w:pStyle w:val="a3"/>
              <w:spacing w:before="0" w:beforeAutospacing="0" w:after="0" w:afterAutospacing="0"/>
              <w:jc w:val="center"/>
              <w:rPr>
                <w:sz w:val="16"/>
                <w:szCs w:val="16"/>
              </w:rPr>
            </w:pPr>
            <w:r>
              <w:rPr>
                <w:b/>
                <w:bCs/>
                <w:sz w:val="16"/>
                <w:szCs w:val="16"/>
              </w:rPr>
              <w:t>Change</w:t>
            </w:r>
          </w:p>
        </w:tc>
        <w:tc>
          <w:tcPr>
            <w:tcW w:w="112" w:type="pct"/>
            <w:noWrap/>
            <w:tcMar>
              <w:top w:w="0" w:type="dxa"/>
              <w:left w:w="0" w:type="dxa"/>
              <w:bottom w:w="0" w:type="dxa"/>
              <w:right w:w="0" w:type="dxa"/>
            </w:tcMar>
            <w:vAlign w:val="bottom"/>
            <w:hideMark/>
          </w:tcPr>
          <w:p w14:paraId="4E8BA455"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5E2C2E50" w14:textId="77777777" w:rsidR="00000000" w:rsidRDefault="001F1B20">
            <w:pPr>
              <w:pStyle w:val="a3"/>
              <w:spacing w:before="0" w:beforeAutospacing="0" w:after="0" w:afterAutospacing="0"/>
              <w:jc w:val="center"/>
              <w:rPr>
                <w:sz w:val="20"/>
                <w:szCs w:val="20"/>
              </w:rPr>
            </w:pPr>
            <w:r>
              <w:rPr>
                <w:b/>
                <w:bCs/>
                <w:sz w:val="16"/>
                <w:szCs w:val="16"/>
              </w:rPr>
              <w:t>​</w:t>
            </w:r>
          </w:p>
        </w:tc>
        <w:tc>
          <w:tcPr>
            <w:tcW w:w="793" w:type="pct"/>
            <w:gridSpan w:val="5"/>
            <w:tcBorders>
              <w:bottom w:val="single" w:sz="6" w:space="0" w:color="000000"/>
            </w:tcBorders>
            <w:noWrap/>
            <w:tcMar>
              <w:top w:w="0" w:type="dxa"/>
              <w:left w:w="0" w:type="dxa"/>
              <w:bottom w:w="0" w:type="dxa"/>
              <w:right w:w="0" w:type="dxa"/>
            </w:tcMar>
            <w:vAlign w:val="bottom"/>
            <w:hideMark/>
          </w:tcPr>
          <w:p w14:paraId="5FF9A04E"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0687CA19" w14:textId="77777777" w:rsidR="00000000" w:rsidRDefault="001F1B20">
            <w:pPr>
              <w:pStyle w:val="a3"/>
              <w:spacing w:before="0" w:beforeAutospacing="0" w:after="0" w:afterAutospacing="0"/>
              <w:jc w:val="center"/>
              <w:rPr>
                <w:sz w:val="20"/>
                <w:szCs w:val="20"/>
              </w:rPr>
            </w:pPr>
            <w:r>
              <w:rPr>
                <w:b/>
                <w:bCs/>
                <w:sz w:val="16"/>
                <w:szCs w:val="16"/>
              </w:rPr>
              <w:t>​</w:t>
            </w:r>
          </w:p>
        </w:tc>
        <w:tc>
          <w:tcPr>
            <w:tcW w:w="570" w:type="pct"/>
            <w:gridSpan w:val="4"/>
            <w:tcBorders>
              <w:bottom w:val="single" w:sz="6" w:space="0" w:color="000000"/>
            </w:tcBorders>
            <w:noWrap/>
            <w:tcMar>
              <w:top w:w="0" w:type="dxa"/>
              <w:left w:w="0" w:type="dxa"/>
              <w:bottom w:w="0" w:type="dxa"/>
              <w:right w:w="0" w:type="dxa"/>
            </w:tcMar>
            <w:vAlign w:val="bottom"/>
            <w:hideMark/>
          </w:tcPr>
          <w:p w14:paraId="2260DAEE"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78BB98A0" w14:textId="77777777" w:rsidR="00000000" w:rsidRDefault="001F1B20">
            <w:pPr>
              <w:pStyle w:val="a3"/>
              <w:spacing w:before="0" w:beforeAutospacing="0" w:after="0" w:afterAutospacing="0"/>
              <w:rPr>
                <w:sz w:val="20"/>
                <w:szCs w:val="20"/>
              </w:rPr>
            </w:pPr>
            <w:r>
              <w:rPr>
                <w:b/>
                <w:bCs/>
                <w:sz w:val="16"/>
                <w:szCs w:val="16"/>
              </w:rPr>
              <w:t>​</w:t>
            </w:r>
          </w:p>
        </w:tc>
      </w:tr>
      <w:tr w:rsidR="00000000" w14:paraId="592110D9" w14:textId="77777777">
        <w:trPr>
          <w:divId w:val="1095248698"/>
        </w:trPr>
        <w:tc>
          <w:tcPr>
            <w:tcW w:w="1848" w:type="pct"/>
            <w:tcBorders>
              <w:bottom w:val="single" w:sz="6" w:space="0" w:color="000000"/>
            </w:tcBorders>
            <w:tcMar>
              <w:top w:w="0" w:type="dxa"/>
              <w:left w:w="0" w:type="dxa"/>
              <w:bottom w:w="0" w:type="dxa"/>
              <w:right w:w="0" w:type="dxa"/>
            </w:tcMar>
            <w:vAlign w:val="bottom"/>
            <w:hideMark/>
          </w:tcPr>
          <w:p w14:paraId="2654BBC8" w14:textId="77777777" w:rsidR="00000000" w:rsidRDefault="001F1B20">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14:paraId="1BB4A28D"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7BCCCC38" w14:textId="77777777" w:rsidR="00000000" w:rsidRDefault="001F1B20">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14:paraId="7AC367BE"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356FD757"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1EA4ED10"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38274B17"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567887BF" w14:textId="77777777" w:rsidR="00000000" w:rsidRDefault="001F1B20">
            <w:pPr>
              <w:pStyle w:val="a3"/>
              <w:spacing w:before="0" w:beforeAutospacing="0" w:after="0" w:afterAutospacing="0"/>
              <w:jc w:val="center"/>
              <w:rPr>
                <w:sz w:val="16"/>
                <w:szCs w:val="16"/>
              </w:rPr>
            </w:pPr>
            <w:r>
              <w:rPr>
                <w:b/>
                <w:bCs/>
                <w:sz w:val="16"/>
                <w:szCs w:val="16"/>
              </w:rPr>
              <w:t>  </w:t>
            </w:r>
          </w:p>
        </w:tc>
        <w:tc>
          <w:tcPr>
            <w:tcW w:w="173" w:type="pct"/>
            <w:tcBorders>
              <w:bottom w:val="single" w:sz="6" w:space="0" w:color="000000"/>
            </w:tcBorders>
            <w:noWrap/>
            <w:tcMar>
              <w:top w:w="0" w:type="dxa"/>
              <w:left w:w="0" w:type="dxa"/>
              <w:bottom w:w="0" w:type="dxa"/>
              <w:right w:w="0" w:type="dxa"/>
            </w:tcMar>
            <w:vAlign w:val="bottom"/>
            <w:hideMark/>
          </w:tcPr>
          <w:p w14:paraId="68FC94C8" w14:textId="77777777" w:rsidR="00000000" w:rsidRDefault="001F1B20">
            <w:pPr>
              <w:pStyle w:val="a3"/>
              <w:spacing w:before="0" w:beforeAutospacing="0" w:after="0" w:afterAutospacing="0"/>
              <w:jc w:val="center"/>
              <w:rPr>
                <w:sz w:val="16"/>
                <w:szCs w:val="16"/>
              </w:rPr>
            </w:pPr>
            <w:r>
              <w:rPr>
                <w:b/>
                <w:bCs/>
                <w:sz w:val="16"/>
                <w:szCs w:val="16"/>
              </w:rPr>
              <w:t>%</w:t>
            </w:r>
          </w:p>
        </w:tc>
        <w:tc>
          <w:tcPr>
            <w:tcW w:w="112" w:type="pct"/>
            <w:noWrap/>
            <w:tcMar>
              <w:top w:w="0" w:type="dxa"/>
              <w:left w:w="0" w:type="dxa"/>
              <w:bottom w:w="0" w:type="dxa"/>
              <w:right w:w="0" w:type="dxa"/>
            </w:tcMar>
            <w:vAlign w:val="bottom"/>
            <w:hideMark/>
          </w:tcPr>
          <w:p w14:paraId="3CE4BA29"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2DC69A40"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37185D8C" w14:textId="77777777" w:rsidR="00000000" w:rsidRDefault="001F1B20">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14:paraId="3CC98499" w14:textId="77777777" w:rsidR="00000000" w:rsidRDefault="001F1B20">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19F0B907"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42F6F40B"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16FD342C"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0AC73E39" w14:textId="77777777" w:rsidR="00000000" w:rsidRDefault="001F1B20">
            <w:pPr>
              <w:pStyle w:val="a3"/>
              <w:spacing w:before="0" w:beforeAutospacing="0" w:after="0" w:afterAutospacing="0"/>
              <w:rPr>
                <w:sz w:val="16"/>
                <w:szCs w:val="16"/>
              </w:rPr>
            </w:pPr>
            <w:r>
              <w:rPr>
                <w:b/>
                <w:bCs/>
                <w:sz w:val="16"/>
                <w:szCs w:val="16"/>
              </w:rPr>
              <w:t>  </w:t>
            </w:r>
          </w:p>
        </w:tc>
        <w:tc>
          <w:tcPr>
            <w:tcW w:w="153" w:type="pct"/>
            <w:tcBorders>
              <w:bottom w:val="single" w:sz="6" w:space="0" w:color="000000"/>
            </w:tcBorders>
            <w:noWrap/>
            <w:tcMar>
              <w:top w:w="0" w:type="dxa"/>
              <w:left w:w="0" w:type="dxa"/>
              <w:bottom w:w="0" w:type="dxa"/>
              <w:right w:w="0" w:type="dxa"/>
            </w:tcMar>
            <w:vAlign w:val="bottom"/>
            <w:hideMark/>
          </w:tcPr>
          <w:p w14:paraId="18AADA11"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6D7C6AFB" w14:textId="77777777" w:rsidR="00000000" w:rsidRDefault="001F1B20">
            <w:pPr>
              <w:pStyle w:val="a3"/>
              <w:spacing w:before="0" w:beforeAutospacing="0" w:after="0" w:afterAutospacing="0"/>
              <w:rPr>
                <w:sz w:val="16"/>
                <w:szCs w:val="16"/>
              </w:rPr>
            </w:pPr>
            <w:r>
              <w:rPr>
                <w:b/>
                <w:bCs/>
                <w:sz w:val="16"/>
                <w:szCs w:val="16"/>
              </w:rPr>
              <w:t>    </w:t>
            </w:r>
          </w:p>
        </w:tc>
      </w:tr>
      <w:tr w:rsidR="00000000" w14:paraId="25F516FA" w14:textId="77777777">
        <w:trPr>
          <w:divId w:val="1095248698"/>
        </w:trPr>
        <w:tc>
          <w:tcPr>
            <w:tcW w:w="1848" w:type="pct"/>
            <w:shd w:val="clear" w:color="auto" w:fill="CCEEFF"/>
            <w:tcMar>
              <w:top w:w="0" w:type="dxa"/>
              <w:left w:w="0" w:type="dxa"/>
              <w:bottom w:w="0" w:type="dxa"/>
              <w:right w:w="0" w:type="dxa"/>
            </w:tcMar>
            <w:vAlign w:val="bottom"/>
            <w:hideMark/>
          </w:tcPr>
          <w:p w14:paraId="649043CD" w14:textId="77777777" w:rsidR="00000000" w:rsidRDefault="001F1B20">
            <w:pPr>
              <w:pStyle w:val="a3"/>
              <w:spacing w:before="0" w:beforeAutospacing="0" w:after="0" w:afterAutospacing="0"/>
              <w:rPr>
                <w:sz w:val="20"/>
                <w:szCs w:val="20"/>
              </w:rPr>
            </w:pPr>
            <w:r>
              <w:rPr>
                <w:sz w:val="20"/>
                <w:szCs w:val="20"/>
              </w:rPr>
              <w:t>Income from investment in TRC, LLC</w:t>
            </w:r>
          </w:p>
        </w:tc>
        <w:tc>
          <w:tcPr>
            <w:tcW w:w="39" w:type="pct"/>
            <w:shd w:val="clear" w:color="auto" w:fill="CCEEFF"/>
            <w:noWrap/>
            <w:tcMar>
              <w:top w:w="0" w:type="dxa"/>
              <w:left w:w="0" w:type="dxa"/>
              <w:bottom w:w="0" w:type="dxa"/>
              <w:right w:w="0" w:type="dxa"/>
            </w:tcMar>
            <w:vAlign w:val="bottom"/>
            <w:hideMark/>
          </w:tcPr>
          <w:p w14:paraId="0D85E9B1"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562D316"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1B48DE24" w14:textId="77777777" w:rsidR="00000000" w:rsidRDefault="001F1B20">
            <w:pPr>
              <w:pStyle w:val="a3"/>
              <w:spacing w:before="0" w:beforeAutospacing="0" w:after="0" w:afterAutospacing="0"/>
              <w:ind w:right="60"/>
              <w:jc w:val="right"/>
              <w:rPr>
                <w:sz w:val="20"/>
                <w:szCs w:val="20"/>
              </w:rPr>
            </w:pPr>
            <w:r>
              <w:rPr>
                <w:sz w:val="20"/>
                <w:szCs w:val="20"/>
              </w:rPr>
              <w:t>30,20</w:t>
            </w:r>
            <w:r>
              <w:rPr>
                <w:sz w:val="20"/>
                <w:szCs w:val="20"/>
              </w:rPr>
              <w:t>8</w:t>
            </w:r>
          </w:p>
        </w:tc>
        <w:tc>
          <w:tcPr>
            <w:tcW w:w="39" w:type="pct"/>
            <w:shd w:val="clear" w:color="auto" w:fill="CCEEFF"/>
            <w:noWrap/>
            <w:tcMar>
              <w:top w:w="0" w:type="dxa"/>
              <w:left w:w="0" w:type="dxa"/>
              <w:bottom w:w="0" w:type="dxa"/>
              <w:right w:w="0" w:type="dxa"/>
            </w:tcMar>
            <w:vAlign w:val="bottom"/>
            <w:hideMark/>
          </w:tcPr>
          <w:p w14:paraId="557EDB2D"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EAB2DDA"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080B029A" w14:textId="77777777" w:rsidR="00000000" w:rsidRDefault="001F1B20">
            <w:pPr>
              <w:pStyle w:val="a3"/>
              <w:spacing w:before="0" w:beforeAutospacing="0" w:after="0" w:afterAutospacing="0"/>
              <w:ind w:right="60"/>
              <w:jc w:val="right"/>
              <w:rPr>
                <w:sz w:val="20"/>
                <w:szCs w:val="20"/>
              </w:rPr>
            </w:pPr>
            <w:r>
              <w:rPr>
                <w:sz w:val="20"/>
                <w:szCs w:val="20"/>
              </w:rPr>
              <w:t>13,40</w:t>
            </w:r>
            <w:r>
              <w:rPr>
                <w:sz w:val="20"/>
                <w:szCs w:val="20"/>
              </w:rPr>
              <w:t>3</w:t>
            </w:r>
          </w:p>
        </w:tc>
        <w:tc>
          <w:tcPr>
            <w:tcW w:w="39" w:type="pct"/>
            <w:shd w:val="clear" w:color="auto" w:fill="CCEEFF"/>
            <w:noWrap/>
            <w:tcMar>
              <w:top w:w="0" w:type="dxa"/>
              <w:left w:w="0" w:type="dxa"/>
              <w:bottom w:w="0" w:type="dxa"/>
              <w:right w:w="0" w:type="dxa"/>
            </w:tcMar>
            <w:vAlign w:val="bottom"/>
            <w:hideMark/>
          </w:tcPr>
          <w:p w14:paraId="296F91E8"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83D4175"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2104E69E" w14:textId="77777777" w:rsidR="00000000" w:rsidRDefault="001F1B20">
            <w:pPr>
              <w:pStyle w:val="a3"/>
              <w:spacing w:before="0" w:beforeAutospacing="0" w:after="0" w:afterAutospacing="0"/>
              <w:ind w:right="60"/>
              <w:jc w:val="right"/>
              <w:rPr>
                <w:sz w:val="20"/>
                <w:szCs w:val="20"/>
              </w:rPr>
            </w:pPr>
            <w:r>
              <w:rPr>
                <w:sz w:val="20"/>
                <w:szCs w:val="20"/>
              </w:rPr>
              <w:t>16,80</w:t>
            </w:r>
            <w:r>
              <w:rPr>
                <w:sz w:val="20"/>
                <w:szCs w:val="20"/>
              </w:rPr>
              <w:t>5</w:t>
            </w:r>
          </w:p>
        </w:tc>
        <w:tc>
          <w:tcPr>
            <w:tcW w:w="39" w:type="pct"/>
            <w:shd w:val="clear" w:color="auto" w:fill="CCEEFF"/>
            <w:noWrap/>
            <w:tcMar>
              <w:top w:w="0" w:type="dxa"/>
              <w:left w:w="0" w:type="dxa"/>
              <w:bottom w:w="0" w:type="dxa"/>
              <w:right w:w="0" w:type="dxa"/>
            </w:tcMar>
            <w:vAlign w:val="bottom"/>
            <w:hideMark/>
          </w:tcPr>
          <w:p w14:paraId="54100F51" w14:textId="77777777" w:rsidR="00000000" w:rsidRDefault="001F1B20">
            <w:pPr>
              <w:pStyle w:val="a3"/>
              <w:spacing w:before="0" w:beforeAutospacing="0" w:after="0" w:afterAutospacing="0"/>
              <w:rPr>
                <w:sz w:val="20"/>
                <w:szCs w:val="20"/>
              </w:rPr>
            </w:pPr>
            <w:r>
              <w:rPr>
                <w:sz w:val="20"/>
                <w:szCs w:val="20"/>
              </w:rPr>
              <w:t>​</w:t>
            </w:r>
          </w:p>
        </w:tc>
        <w:tc>
          <w:tcPr>
            <w:tcW w:w="173" w:type="pct"/>
            <w:shd w:val="clear" w:color="auto" w:fill="CCEEFF"/>
            <w:noWrap/>
            <w:tcMar>
              <w:top w:w="0" w:type="dxa"/>
              <w:left w:w="0" w:type="dxa"/>
              <w:bottom w:w="0" w:type="dxa"/>
              <w:right w:w="0" w:type="dxa"/>
            </w:tcMar>
            <w:vAlign w:val="bottom"/>
            <w:hideMark/>
          </w:tcPr>
          <w:p w14:paraId="0728810D" w14:textId="77777777" w:rsidR="00000000" w:rsidRDefault="001F1B20">
            <w:pPr>
              <w:pStyle w:val="a3"/>
              <w:spacing w:before="0" w:beforeAutospacing="0" w:after="0" w:afterAutospacing="0"/>
              <w:jc w:val="center"/>
              <w:rPr>
                <w:sz w:val="20"/>
                <w:szCs w:val="20"/>
              </w:rPr>
            </w:pPr>
            <w:r>
              <w:rPr>
                <w:sz w:val="20"/>
                <w:szCs w:val="20"/>
              </w:rPr>
              <w:t>12</w:t>
            </w:r>
            <w:r>
              <w:rPr>
                <w:sz w:val="20"/>
                <w:szCs w:val="20"/>
              </w:rPr>
              <w:t>5</w:t>
            </w:r>
          </w:p>
        </w:tc>
        <w:tc>
          <w:tcPr>
            <w:tcW w:w="112" w:type="pct"/>
            <w:shd w:val="clear" w:color="auto" w:fill="CCEEFF"/>
            <w:noWrap/>
            <w:tcMar>
              <w:top w:w="0" w:type="dxa"/>
              <w:left w:w="0" w:type="dxa"/>
              <w:bottom w:w="0" w:type="dxa"/>
              <w:right w:w="0" w:type="dxa"/>
            </w:tcMar>
            <w:vAlign w:val="bottom"/>
            <w:hideMark/>
          </w:tcPr>
          <w:p w14:paraId="37EB9568"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63CF8DC5"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C7EBA59"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14BFC4DF" w14:textId="77777777" w:rsidR="00000000" w:rsidRDefault="001F1B20">
            <w:pPr>
              <w:pStyle w:val="a3"/>
              <w:spacing w:before="0" w:beforeAutospacing="0" w:after="0" w:afterAutospacing="0"/>
              <w:ind w:right="60"/>
              <w:jc w:val="right"/>
              <w:rPr>
                <w:sz w:val="20"/>
                <w:szCs w:val="20"/>
              </w:rPr>
            </w:pPr>
            <w:r>
              <w:rPr>
                <w:sz w:val="20"/>
                <w:szCs w:val="20"/>
              </w:rPr>
              <w:t>68,68</w:t>
            </w:r>
            <w:r>
              <w:rPr>
                <w:sz w:val="20"/>
                <w:szCs w:val="20"/>
              </w:rPr>
              <w:t>1</w:t>
            </w:r>
          </w:p>
        </w:tc>
        <w:tc>
          <w:tcPr>
            <w:tcW w:w="39" w:type="pct"/>
            <w:shd w:val="clear" w:color="auto" w:fill="CCEEFF"/>
            <w:noWrap/>
            <w:tcMar>
              <w:top w:w="0" w:type="dxa"/>
              <w:left w:w="0" w:type="dxa"/>
              <w:bottom w:w="0" w:type="dxa"/>
              <w:right w:w="0" w:type="dxa"/>
            </w:tcMar>
            <w:vAlign w:val="bottom"/>
            <w:hideMark/>
          </w:tcPr>
          <w:p w14:paraId="1BF05F01"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F79617B"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1E9DADC3" w14:textId="77777777" w:rsidR="00000000" w:rsidRDefault="001F1B20">
            <w:pPr>
              <w:pStyle w:val="a3"/>
              <w:spacing w:before="0" w:beforeAutospacing="0" w:after="0" w:afterAutospacing="0"/>
              <w:ind w:right="60"/>
              <w:jc w:val="right"/>
              <w:rPr>
                <w:sz w:val="20"/>
                <w:szCs w:val="20"/>
              </w:rPr>
            </w:pPr>
            <w:r>
              <w:rPr>
                <w:sz w:val="20"/>
                <w:szCs w:val="20"/>
              </w:rPr>
              <w:t>48,29</w:t>
            </w:r>
            <w:r>
              <w:rPr>
                <w:sz w:val="20"/>
                <w:szCs w:val="20"/>
              </w:rPr>
              <w:t>9</w:t>
            </w:r>
          </w:p>
        </w:tc>
        <w:tc>
          <w:tcPr>
            <w:tcW w:w="39" w:type="pct"/>
            <w:shd w:val="clear" w:color="auto" w:fill="CCEEFF"/>
            <w:noWrap/>
            <w:tcMar>
              <w:top w:w="0" w:type="dxa"/>
              <w:left w:w="0" w:type="dxa"/>
              <w:bottom w:w="0" w:type="dxa"/>
              <w:right w:w="0" w:type="dxa"/>
            </w:tcMar>
            <w:vAlign w:val="bottom"/>
            <w:hideMark/>
          </w:tcPr>
          <w:p w14:paraId="221FD1E8" w14:textId="77777777" w:rsidR="00000000" w:rsidRDefault="001F1B20">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9C4705F"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4017C41A" w14:textId="77777777" w:rsidR="00000000" w:rsidRDefault="001F1B20">
            <w:pPr>
              <w:pStyle w:val="a3"/>
              <w:spacing w:before="0" w:beforeAutospacing="0" w:after="0" w:afterAutospacing="0"/>
              <w:ind w:right="60"/>
              <w:jc w:val="right"/>
              <w:rPr>
                <w:sz w:val="20"/>
                <w:szCs w:val="20"/>
              </w:rPr>
            </w:pPr>
            <w:r>
              <w:rPr>
                <w:sz w:val="20"/>
                <w:szCs w:val="20"/>
              </w:rPr>
              <w:t>20,38</w:t>
            </w:r>
            <w:r>
              <w:rPr>
                <w:sz w:val="20"/>
                <w:szCs w:val="20"/>
              </w:rPr>
              <w:t>2</w:t>
            </w:r>
          </w:p>
        </w:tc>
        <w:tc>
          <w:tcPr>
            <w:tcW w:w="39" w:type="pct"/>
            <w:shd w:val="clear" w:color="auto" w:fill="CCEEFF"/>
            <w:noWrap/>
            <w:tcMar>
              <w:top w:w="0" w:type="dxa"/>
              <w:left w:w="0" w:type="dxa"/>
              <w:bottom w:w="0" w:type="dxa"/>
              <w:right w:w="0" w:type="dxa"/>
            </w:tcMar>
            <w:vAlign w:val="bottom"/>
            <w:hideMark/>
          </w:tcPr>
          <w:p w14:paraId="6ACB003F" w14:textId="77777777" w:rsidR="00000000" w:rsidRDefault="001F1B20">
            <w:pPr>
              <w:pStyle w:val="a3"/>
              <w:spacing w:before="0" w:beforeAutospacing="0" w:after="0" w:afterAutospacing="0"/>
              <w:rPr>
                <w:sz w:val="20"/>
                <w:szCs w:val="20"/>
              </w:rPr>
            </w:pPr>
            <w:r>
              <w:rPr>
                <w:sz w:val="20"/>
                <w:szCs w:val="20"/>
              </w:rPr>
              <w:t>​</w:t>
            </w:r>
          </w:p>
        </w:tc>
        <w:tc>
          <w:tcPr>
            <w:tcW w:w="153" w:type="pct"/>
            <w:shd w:val="clear" w:color="auto" w:fill="CCEEFF"/>
            <w:noWrap/>
            <w:tcMar>
              <w:top w:w="0" w:type="dxa"/>
              <w:left w:w="0" w:type="dxa"/>
              <w:bottom w:w="0" w:type="dxa"/>
              <w:right w:w="0" w:type="dxa"/>
            </w:tcMar>
            <w:vAlign w:val="bottom"/>
            <w:hideMark/>
          </w:tcPr>
          <w:p w14:paraId="08D552D2" w14:textId="77777777" w:rsidR="00000000" w:rsidRDefault="001F1B20">
            <w:pPr>
              <w:pStyle w:val="a3"/>
              <w:spacing w:before="0" w:beforeAutospacing="0" w:after="0" w:afterAutospacing="0"/>
              <w:ind w:right="60"/>
              <w:jc w:val="right"/>
              <w:rPr>
                <w:sz w:val="20"/>
                <w:szCs w:val="20"/>
              </w:rPr>
            </w:pPr>
            <w:r>
              <w:rPr>
                <w:sz w:val="20"/>
                <w:szCs w:val="20"/>
              </w:rPr>
              <w:t>4</w:t>
            </w:r>
            <w:r>
              <w:rPr>
                <w:sz w:val="20"/>
                <w:szCs w:val="20"/>
              </w:rPr>
              <w:t>2</w:t>
            </w:r>
          </w:p>
        </w:tc>
        <w:tc>
          <w:tcPr>
            <w:tcW w:w="132" w:type="pct"/>
            <w:shd w:val="clear" w:color="auto" w:fill="CCEEFF"/>
            <w:noWrap/>
            <w:tcMar>
              <w:top w:w="0" w:type="dxa"/>
              <w:left w:w="0" w:type="dxa"/>
              <w:bottom w:w="0" w:type="dxa"/>
              <w:right w:w="0" w:type="dxa"/>
            </w:tcMar>
            <w:vAlign w:val="bottom"/>
            <w:hideMark/>
          </w:tcPr>
          <w:p w14:paraId="7AD70559" w14:textId="77777777" w:rsidR="00000000" w:rsidRDefault="001F1B20">
            <w:pPr>
              <w:pStyle w:val="a3"/>
              <w:spacing w:before="0" w:beforeAutospacing="0" w:after="0" w:afterAutospacing="0"/>
              <w:rPr>
                <w:sz w:val="20"/>
                <w:szCs w:val="20"/>
              </w:rPr>
            </w:pPr>
            <w:r>
              <w:rPr>
                <w:sz w:val="20"/>
                <w:szCs w:val="20"/>
              </w:rPr>
              <w:t>%  </w:t>
            </w:r>
          </w:p>
        </w:tc>
      </w:tr>
    </w:tbl>
    <w:p w14:paraId="467F412C" w14:textId="77777777" w:rsidR="00000000" w:rsidRDefault="001F1B20">
      <w:pPr>
        <w:pStyle w:val="a3"/>
        <w:spacing w:before="0" w:beforeAutospacing="0" w:after="0" w:afterAutospacing="0"/>
        <w:ind w:firstLine="720"/>
        <w:divId w:val="1095248698"/>
        <w:rPr>
          <w:sz w:val="20"/>
          <w:szCs w:val="20"/>
        </w:rPr>
      </w:pPr>
      <w:r>
        <w:rPr>
          <w:sz w:val="20"/>
          <w:szCs w:val="20"/>
        </w:rPr>
        <w:t>​</w:t>
      </w:r>
    </w:p>
    <w:p w14:paraId="1AF41259" w14:textId="77777777" w:rsidR="00000000" w:rsidRDefault="001F1B20">
      <w:pPr>
        <w:pStyle w:val="a3"/>
        <w:spacing w:before="0" w:beforeAutospacing="0" w:after="0" w:afterAutospacing="0"/>
        <w:ind w:firstLine="720"/>
        <w:divId w:val="1095248698"/>
        <w:rPr>
          <w:sz w:val="20"/>
          <w:szCs w:val="20"/>
        </w:rPr>
      </w:pPr>
      <w:r>
        <w:rPr>
          <w:sz w:val="20"/>
          <w:szCs w:val="20"/>
        </w:rPr>
        <w:t>The income from investment in TRC, LLC represented our share of the royalty payments from GSK to TRC on the net sales of TRELEGY (net of our share of TRC expenses paid and the amount of cash, if any, expected to be used by TRC pursuant to the TRC LLC Agree</w:t>
      </w:r>
      <w:r>
        <w:rPr>
          <w:sz w:val="20"/>
          <w:szCs w:val="20"/>
        </w:rPr>
        <w:t>ment over the next four fiscal quarters).</w:t>
      </w:r>
      <w:r>
        <w:rPr>
          <w:color w:val="212529"/>
          <w:sz w:val="20"/>
          <w:szCs w:val="20"/>
        </w:rPr>
        <w:t xml:space="preserve"> </w:t>
      </w:r>
    </w:p>
    <w:p w14:paraId="2070A040" w14:textId="77777777" w:rsidR="00000000" w:rsidRDefault="001F1B20">
      <w:pPr>
        <w:pStyle w:val="a3"/>
        <w:spacing w:before="0" w:beforeAutospacing="0" w:after="0" w:afterAutospacing="0"/>
        <w:ind w:firstLine="720"/>
        <w:divId w:val="1095248698"/>
        <w:rPr>
          <w:sz w:val="20"/>
          <w:szCs w:val="20"/>
        </w:rPr>
      </w:pPr>
      <w:r>
        <w:rPr>
          <w:color w:val="212529"/>
          <w:sz w:val="20"/>
          <w:szCs w:val="20"/>
        </w:rPr>
        <w:t>​</w:t>
      </w:r>
    </w:p>
    <w:p w14:paraId="1BC06868" w14:textId="77777777" w:rsidR="00000000" w:rsidRDefault="001F1B20">
      <w:pPr>
        <w:pStyle w:val="a3"/>
        <w:spacing w:before="0" w:beforeAutospacing="0" w:after="0" w:afterAutospacing="0"/>
        <w:ind w:firstLine="720"/>
        <w:divId w:val="1095248698"/>
        <w:rPr>
          <w:sz w:val="20"/>
          <w:szCs w:val="20"/>
        </w:rPr>
      </w:pPr>
      <w:r>
        <w:rPr>
          <w:sz w:val="20"/>
          <w:szCs w:val="20"/>
        </w:rPr>
        <w:t xml:space="preserve">Income from investment in TRC, LLC increased by $16.8 million and $20.4 million for the three and nine months ended September 30, 2021, respectively, compared to the same periods in 2020 which included </w:t>
      </w:r>
      <w:r>
        <w:rPr>
          <w:sz w:val="20"/>
          <w:szCs w:val="20"/>
          <w:shd w:val="clear" w:color="auto" w:fill="FFFFFF"/>
        </w:rPr>
        <w:t>$8.5 mill</w:t>
      </w:r>
      <w:r>
        <w:rPr>
          <w:sz w:val="20"/>
          <w:szCs w:val="20"/>
          <w:shd w:val="clear" w:color="auto" w:fill="FFFFFF"/>
        </w:rPr>
        <w:t>ion representing our share of the one-time fee that GSK paid to TRC upon termination of the MABA program in June 2020.</w:t>
      </w:r>
      <w:r>
        <w:rPr>
          <w:sz w:val="20"/>
          <w:szCs w:val="20"/>
        </w:rPr>
        <w:t xml:space="preserve"> </w:t>
      </w:r>
    </w:p>
    <w:p w14:paraId="3F721740" w14:textId="77777777" w:rsidR="00000000" w:rsidRDefault="001F1B20">
      <w:pPr>
        <w:pStyle w:val="a3"/>
        <w:spacing w:before="0" w:beforeAutospacing="0" w:after="0" w:afterAutospacing="0"/>
        <w:ind w:firstLine="720"/>
        <w:divId w:val="1095248698"/>
        <w:rPr>
          <w:sz w:val="20"/>
          <w:szCs w:val="20"/>
        </w:rPr>
      </w:pPr>
      <w:r>
        <w:rPr>
          <w:sz w:val="20"/>
          <w:szCs w:val="20"/>
        </w:rPr>
        <w:t>​</w:t>
      </w:r>
    </w:p>
    <w:p w14:paraId="16F2D84E" w14:textId="77777777" w:rsidR="00000000" w:rsidRDefault="001F1B20">
      <w:pPr>
        <w:pStyle w:val="a3"/>
        <w:spacing w:before="0" w:beforeAutospacing="0" w:after="0" w:afterAutospacing="0"/>
        <w:ind w:firstLine="720"/>
        <w:divId w:val="1095248698"/>
        <w:rPr>
          <w:sz w:val="20"/>
          <w:szCs w:val="20"/>
        </w:rPr>
      </w:pPr>
      <w:r>
        <w:rPr>
          <w:sz w:val="20"/>
          <w:szCs w:val="20"/>
        </w:rPr>
        <w:t xml:space="preserve">The $30.2 million and $68.7 million of TRC income for the three and nine months ended September 30, 2021, respectively, were recorded net of our share of TRC expenses of $0.2 million and $3.2 million, respectively. </w:t>
      </w:r>
      <w:r>
        <w:rPr>
          <w:sz w:val="20"/>
          <w:szCs w:val="20"/>
          <w:shd w:val="clear" w:color="auto" w:fill="FFFFFF"/>
        </w:rPr>
        <w:t>Our share of TRC expenses for the nine mo</w:t>
      </w:r>
      <w:r>
        <w:rPr>
          <w:sz w:val="20"/>
          <w:szCs w:val="20"/>
          <w:shd w:val="clear" w:color="auto" w:fill="FFFFFF"/>
        </w:rPr>
        <w:t xml:space="preserve">nths ended September 30, 2021 was primarily comprised of TRC’s legal and related expenses associated with the arbitration between Innoviva and TRC and us. </w:t>
      </w:r>
      <w:r>
        <w:rPr>
          <w:sz w:val="20"/>
          <w:szCs w:val="20"/>
        </w:rPr>
        <w:t>Our share of TRC expenses was $0.5</w:t>
      </w:r>
      <w:r>
        <w:rPr>
          <w:b/>
          <w:bCs/>
          <w:sz w:val="20"/>
          <w:szCs w:val="20"/>
        </w:rPr>
        <w:t xml:space="preserve"> </w:t>
      </w:r>
      <w:r>
        <w:rPr>
          <w:sz w:val="20"/>
          <w:szCs w:val="20"/>
        </w:rPr>
        <w:t>million and $1.2 million for the three and nine months ended Septe</w:t>
      </w:r>
      <w:r>
        <w:rPr>
          <w:sz w:val="20"/>
          <w:szCs w:val="20"/>
        </w:rPr>
        <w:t>mber 30, 2020, respectively.</w:t>
      </w:r>
    </w:p>
    <w:p w14:paraId="7D60EAF2" w14:textId="77777777" w:rsidR="00000000" w:rsidRDefault="001F1B20">
      <w:pPr>
        <w:pStyle w:val="a3"/>
        <w:spacing w:before="0" w:beforeAutospacing="0" w:after="0" w:afterAutospacing="0"/>
        <w:divId w:val="1095248698"/>
        <w:rPr>
          <w:sz w:val="20"/>
          <w:szCs w:val="20"/>
        </w:rPr>
      </w:pPr>
      <w:r>
        <w:rPr>
          <w:color w:val="FF0000"/>
          <w:sz w:val="20"/>
          <w:szCs w:val="20"/>
        </w:rPr>
        <w:t>​</w:t>
      </w:r>
    </w:p>
    <w:p w14:paraId="0A22321D" w14:textId="77777777" w:rsidR="00000000" w:rsidRDefault="001F1B20">
      <w:pPr>
        <w:pStyle w:val="a3"/>
        <w:spacing w:before="0" w:beforeAutospacing="0" w:after="0" w:afterAutospacing="0"/>
        <w:ind w:firstLine="720"/>
        <w:divId w:val="1095248698"/>
        <w:rPr>
          <w:sz w:val="20"/>
          <w:szCs w:val="20"/>
        </w:rPr>
      </w:pPr>
      <w:r>
        <w:rPr>
          <w:sz w:val="20"/>
          <w:szCs w:val="20"/>
        </w:rPr>
        <w:t>In connection with the issuance of our $380.0 million net principal amount Non-Recourse 2035 Notes in February 2020, 75% of the income from our investment in TRC is available only for payment of the Non-Recourse 2035 Notes an</w:t>
      </w:r>
      <w:r>
        <w:rPr>
          <w:sz w:val="20"/>
          <w:szCs w:val="20"/>
        </w:rPr>
        <w:t xml:space="preserve">d is not available to pay other creditor obligations or claims. </w:t>
      </w:r>
    </w:p>
    <w:p w14:paraId="5CE94119" w14:textId="77777777" w:rsidR="00000000" w:rsidRDefault="001F1B20">
      <w:pPr>
        <w:pStyle w:val="a3"/>
        <w:spacing w:before="0" w:beforeAutospacing="0" w:after="0" w:afterAutospacing="0"/>
        <w:ind w:firstLine="720"/>
        <w:divId w:val="1095248698"/>
        <w:rPr>
          <w:sz w:val="20"/>
          <w:szCs w:val="20"/>
        </w:rPr>
      </w:pPr>
      <w:r>
        <w:rPr>
          <w:sz w:val="20"/>
          <w:szCs w:val="20"/>
        </w:rPr>
        <w:t>​</w:t>
      </w:r>
    </w:p>
    <w:p w14:paraId="7B734F9E" w14:textId="77777777" w:rsidR="00000000" w:rsidRDefault="001F1B20">
      <w:pPr>
        <w:pStyle w:val="a3"/>
        <w:spacing w:before="0" w:beforeAutospacing="0" w:after="0" w:afterAutospacing="0"/>
        <w:ind w:firstLine="720"/>
        <w:divId w:val="1095248698"/>
        <w:rPr>
          <w:sz w:val="20"/>
          <w:szCs w:val="20"/>
        </w:rPr>
      </w:pPr>
      <w:r>
        <w:rPr>
          <w:sz w:val="20"/>
          <w:szCs w:val="20"/>
        </w:rPr>
        <w:t xml:space="preserve">See </w:t>
      </w:r>
      <w:r>
        <w:rPr>
          <w:i/>
          <w:iCs/>
          <w:sz w:val="20"/>
          <w:szCs w:val="20"/>
        </w:rPr>
        <w:t>“Risk Factors—We do not control the commercialization of TRELEGY and we do not control TRC; accordingly the amount of royalties we receive will depend on, among other factors, GSK’s abi</w:t>
      </w:r>
      <w:r>
        <w:rPr>
          <w:i/>
          <w:iCs/>
          <w:sz w:val="20"/>
          <w:szCs w:val="20"/>
        </w:rPr>
        <w:t xml:space="preserve">lity to further commercialize TRELEGY and TRC’s decisions concerning use of cash in accordance with the TRC LLC Agreement” </w:t>
      </w:r>
      <w:r>
        <w:rPr>
          <w:sz w:val="20"/>
          <w:szCs w:val="20"/>
        </w:rPr>
        <w:t>for additional information regarding our economic interest in TRC, LLC.</w:t>
      </w:r>
    </w:p>
    <w:p w14:paraId="11C2640D" w14:textId="77777777" w:rsidR="00000000" w:rsidRDefault="001F1B20">
      <w:pPr>
        <w:pStyle w:val="a3"/>
        <w:spacing w:before="0" w:beforeAutospacing="0" w:after="0" w:afterAutospacing="0"/>
        <w:divId w:val="1095248698"/>
        <w:rPr>
          <w:sz w:val="20"/>
          <w:szCs w:val="20"/>
        </w:rPr>
      </w:pPr>
      <w:r>
        <w:rPr>
          <w:color w:val="FF0000"/>
          <w:sz w:val="20"/>
          <w:szCs w:val="20"/>
        </w:rPr>
        <w:t>​</w:t>
      </w:r>
    </w:p>
    <w:p w14:paraId="6984FFBE" w14:textId="77777777" w:rsidR="00000000" w:rsidRDefault="001F1B20">
      <w:pPr>
        <w:pStyle w:val="a3"/>
        <w:spacing w:before="360" w:beforeAutospacing="0" w:after="0" w:afterAutospacing="0"/>
        <w:jc w:val="center"/>
        <w:divId w:val="1782718881"/>
        <w:rPr>
          <w:sz w:val="20"/>
          <w:szCs w:val="20"/>
        </w:rPr>
      </w:pPr>
      <w:r>
        <w:rPr>
          <w:sz w:val="20"/>
          <w:szCs w:val="20"/>
        </w:rPr>
        <w:t>31</w:t>
      </w:r>
    </w:p>
    <w:p w14:paraId="2E53FEA1" w14:textId="77777777" w:rsidR="00000000" w:rsidRDefault="001F1B20">
      <w:pPr>
        <w:pStyle w:val="a3"/>
        <w:spacing w:before="0" w:beforeAutospacing="0" w:after="600" w:afterAutospacing="0"/>
        <w:divId w:val="493107384"/>
        <w:rPr>
          <w:sz w:val="20"/>
          <w:szCs w:val="20"/>
        </w:rPr>
      </w:pPr>
      <w:hyperlink w:anchor="TOC" w:history="1">
        <w:r>
          <w:rPr>
            <w:rStyle w:val="a4"/>
            <w:sz w:val="20"/>
            <w:szCs w:val="20"/>
          </w:rPr>
          <w:t>Table of Contents</w:t>
        </w:r>
      </w:hyperlink>
    </w:p>
    <w:p w14:paraId="675C41D3" w14:textId="77777777" w:rsidR="00000000" w:rsidRDefault="001F1B20">
      <w:pPr>
        <w:pStyle w:val="a3"/>
        <w:spacing w:before="0" w:beforeAutospacing="0" w:after="0" w:afterAutospacing="0"/>
        <w:divId w:val="1561095023"/>
        <w:rPr>
          <w:sz w:val="20"/>
          <w:szCs w:val="20"/>
        </w:rPr>
      </w:pPr>
      <w:r>
        <w:rPr>
          <w:b/>
          <w:bCs/>
          <w:i/>
          <w:iCs/>
          <w:sz w:val="20"/>
          <w:szCs w:val="20"/>
        </w:rPr>
        <w:t>Interest Exp</w:t>
      </w:r>
      <w:r>
        <w:rPr>
          <w:b/>
          <w:bCs/>
          <w:i/>
          <w:iCs/>
          <w:sz w:val="20"/>
          <w:szCs w:val="20"/>
        </w:rPr>
        <w:t>ense</w:t>
      </w:r>
    </w:p>
    <w:p w14:paraId="5956259A" w14:textId="77777777" w:rsidR="00000000" w:rsidRDefault="001F1B20">
      <w:pPr>
        <w:pStyle w:val="a3"/>
        <w:spacing w:before="0" w:beforeAutospacing="0" w:after="0" w:afterAutospacing="0"/>
        <w:divId w:val="1561095023"/>
        <w:rPr>
          <w:sz w:val="20"/>
          <w:szCs w:val="20"/>
        </w:rPr>
      </w:pPr>
      <w:r>
        <w:rPr>
          <w:sz w:val="20"/>
          <w:szCs w:val="20"/>
        </w:rPr>
        <w:t>​</w:t>
      </w:r>
    </w:p>
    <w:p w14:paraId="58ED58A4" w14:textId="77777777" w:rsidR="00000000" w:rsidRDefault="001F1B20">
      <w:pPr>
        <w:pStyle w:val="a3"/>
        <w:spacing w:before="0" w:beforeAutospacing="0" w:after="0" w:afterAutospacing="0"/>
        <w:ind w:firstLine="720"/>
        <w:divId w:val="1561095023"/>
        <w:rPr>
          <w:sz w:val="20"/>
          <w:szCs w:val="20"/>
        </w:rPr>
      </w:pPr>
      <w:r>
        <w:rPr>
          <w:sz w:val="20"/>
          <w:szCs w:val="20"/>
        </w:rPr>
        <w:t>Interest expense primarily consisted of interest payments due on the Convertible Senior 2023 Notes and the Non-Recourse 2035 Notes, as well as, the amortization of the associated debt issuance costs. Interest expense, as compared to the comparable p</w:t>
      </w:r>
      <w:r>
        <w:rPr>
          <w:sz w:val="20"/>
          <w:szCs w:val="20"/>
        </w:rPr>
        <w:t>eriods in the prior year, was as follows:</w:t>
      </w:r>
    </w:p>
    <w:p w14:paraId="246E614C" w14:textId="77777777" w:rsidR="00000000" w:rsidRDefault="001F1B20">
      <w:pPr>
        <w:pStyle w:val="a3"/>
        <w:spacing w:before="0" w:beforeAutospacing="0" w:after="0" w:afterAutospacing="0"/>
        <w:divId w:val="156109502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38"/>
        <w:gridCol w:w="80"/>
        <w:gridCol w:w="100"/>
        <w:gridCol w:w="684"/>
        <w:gridCol w:w="80"/>
        <w:gridCol w:w="100"/>
        <w:gridCol w:w="684"/>
        <w:gridCol w:w="80"/>
        <w:gridCol w:w="100"/>
        <w:gridCol w:w="434"/>
        <w:gridCol w:w="80"/>
        <w:gridCol w:w="270"/>
        <w:gridCol w:w="267"/>
        <w:gridCol w:w="80"/>
        <w:gridCol w:w="100"/>
        <w:gridCol w:w="684"/>
        <w:gridCol w:w="80"/>
        <w:gridCol w:w="100"/>
        <w:gridCol w:w="684"/>
        <w:gridCol w:w="80"/>
        <w:gridCol w:w="100"/>
        <w:gridCol w:w="584"/>
        <w:gridCol w:w="80"/>
        <w:gridCol w:w="270"/>
        <w:gridCol w:w="267"/>
      </w:tblGrid>
      <w:tr w:rsidR="00000000" w14:paraId="2FFC5B56" w14:textId="77777777">
        <w:trPr>
          <w:divId w:val="1561095023"/>
          <w:trHeight w:val="20"/>
        </w:trPr>
        <w:tc>
          <w:tcPr>
            <w:tcW w:w="1791" w:type="pct"/>
            <w:tcMar>
              <w:top w:w="0" w:type="dxa"/>
              <w:left w:w="0" w:type="dxa"/>
              <w:bottom w:w="0" w:type="dxa"/>
              <w:right w:w="0" w:type="dxa"/>
            </w:tcMar>
            <w:vAlign w:val="bottom"/>
            <w:hideMark/>
          </w:tcPr>
          <w:p w14:paraId="399772A8" w14:textId="77777777" w:rsidR="00000000" w:rsidRDefault="001F1B20">
            <w:pPr>
              <w:pStyle w:val="a3"/>
              <w:spacing w:before="0" w:beforeAutospacing="0" w:after="0" w:afterAutospacing="0"/>
              <w:divId w:val="2089185230"/>
              <w:rPr>
                <w:sz w:val="20"/>
                <w:szCs w:val="20"/>
              </w:rPr>
            </w:pPr>
            <w:r>
              <w:rPr>
                <w:sz w:val="2"/>
                <w:szCs w:val="2"/>
              </w:rPr>
              <w:t>​</w:t>
            </w:r>
          </w:p>
        </w:tc>
        <w:tc>
          <w:tcPr>
            <w:tcW w:w="39" w:type="pct"/>
            <w:noWrap/>
            <w:tcMar>
              <w:top w:w="0" w:type="dxa"/>
              <w:left w:w="0" w:type="dxa"/>
              <w:bottom w:w="0" w:type="dxa"/>
              <w:right w:w="0" w:type="dxa"/>
            </w:tcMar>
            <w:vAlign w:val="bottom"/>
            <w:hideMark/>
          </w:tcPr>
          <w:p w14:paraId="02166CE7" w14:textId="77777777" w:rsidR="00000000" w:rsidRDefault="001F1B20">
            <w:pPr>
              <w:pStyle w:val="a3"/>
              <w:spacing w:before="0" w:beforeAutospacing="0" w:after="0" w:afterAutospacing="0"/>
              <w:divId w:val="1335380073"/>
              <w:rPr>
                <w:sz w:val="20"/>
                <w:szCs w:val="20"/>
              </w:rPr>
            </w:pPr>
            <w:r>
              <w:rPr>
                <w:sz w:val="2"/>
                <w:szCs w:val="2"/>
              </w:rPr>
              <w:t>​</w:t>
            </w:r>
          </w:p>
        </w:tc>
        <w:tc>
          <w:tcPr>
            <w:tcW w:w="49" w:type="pct"/>
            <w:noWrap/>
            <w:tcMar>
              <w:top w:w="0" w:type="dxa"/>
              <w:left w:w="0" w:type="dxa"/>
              <w:bottom w:w="0" w:type="dxa"/>
              <w:right w:w="0" w:type="dxa"/>
            </w:tcMar>
            <w:vAlign w:val="bottom"/>
            <w:hideMark/>
          </w:tcPr>
          <w:p w14:paraId="315C938A" w14:textId="77777777" w:rsidR="00000000" w:rsidRDefault="001F1B20">
            <w:pPr>
              <w:pStyle w:val="a3"/>
              <w:spacing w:before="0" w:beforeAutospacing="0" w:after="0" w:afterAutospacing="0"/>
              <w:divId w:val="1554006315"/>
              <w:rPr>
                <w:sz w:val="20"/>
                <w:szCs w:val="20"/>
              </w:rPr>
            </w:pPr>
            <w:r>
              <w:rPr>
                <w:sz w:val="2"/>
                <w:szCs w:val="2"/>
              </w:rPr>
              <w:t>​</w:t>
            </w:r>
          </w:p>
        </w:tc>
        <w:tc>
          <w:tcPr>
            <w:tcW w:w="364" w:type="pct"/>
            <w:noWrap/>
            <w:tcMar>
              <w:top w:w="0" w:type="dxa"/>
              <w:left w:w="0" w:type="dxa"/>
              <w:bottom w:w="0" w:type="dxa"/>
              <w:right w:w="0" w:type="dxa"/>
            </w:tcMar>
            <w:vAlign w:val="bottom"/>
            <w:hideMark/>
          </w:tcPr>
          <w:p w14:paraId="4794E2C3" w14:textId="77777777" w:rsidR="00000000" w:rsidRDefault="001F1B20">
            <w:pPr>
              <w:pStyle w:val="a3"/>
              <w:spacing w:before="0" w:beforeAutospacing="0" w:after="0" w:afterAutospacing="0"/>
              <w:divId w:val="1916087030"/>
              <w:rPr>
                <w:sz w:val="20"/>
                <w:szCs w:val="20"/>
              </w:rPr>
            </w:pPr>
            <w:r>
              <w:rPr>
                <w:sz w:val="2"/>
                <w:szCs w:val="2"/>
              </w:rPr>
              <w:t>​</w:t>
            </w:r>
          </w:p>
        </w:tc>
        <w:tc>
          <w:tcPr>
            <w:tcW w:w="39" w:type="pct"/>
            <w:noWrap/>
            <w:tcMar>
              <w:top w:w="0" w:type="dxa"/>
              <w:left w:w="0" w:type="dxa"/>
              <w:bottom w:w="0" w:type="dxa"/>
              <w:right w:w="0" w:type="dxa"/>
            </w:tcMar>
            <w:vAlign w:val="bottom"/>
            <w:hideMark/>
          </w:tcPr>
          <w:p w14:paraId="35CC2437" w14:textId="77777777" w:rsidR="00000000" w:rsidRDefault="001F1B20">
            <w:pPr>
              <w:pStyle w:val="a3"/>
              <w:spacing w:before="0" w:beforeAutospacing="0" w:after="0" w:afterAutospacing="0"/>
              <w:divId w:val="940063381"/>
              <w:rPr>
                <w:sz w:val="20"/>
                <w:szCs w:val="20"/>
              </w:rPr>
            </w:pPr>
            <w:r>
              <w:rPr>
                <w:sz w:val="2"/>
                <w:szCs w:val="2"/>
              </w:rPr>
              <w:t>​</w:t>
            </w:r>
          </w:p>
        </w:tc>
        <w:tc>
          <w:tcPr>
            <w:tcW w:w="49" w:type="pct"/>
            <w:noWrap/>
            <w:tcMar>
              <w:top w:w="0" w:type="dxa"/>
              <w:left w:w="0" w:type="dxa"/>
              <w:bottom w:w="0" w:type="dxa"/>
              <w:right w:w="0" w:type="dxa"/>
            </w:tcMar>
            <w:vAlign w:val="bottom"/>
            <w:hideMark/>
          </w:tcPr>
          <w:p w14:paraId="73960F7E" w14:textId="77777777" w:rsidR="00000000" w:rsidRDefault="001F1B20">
            <w:pPr>
              <w:pStyle w:val="a3"/>
              <w:spacing w:before="0" w:beforeAutospacing="0" w:after="0" w:afterAutospacing="0"/>
              <w:divId w:val="1480613295"/>
              <w:rPr>
                <w:sz w:val="20"/>
                <w:szCs w:val="20"/>
              </w:rPr>
            </w:pPr>
            <w:r>
              <w:rPr>
                <w:sz w:val="2"/>
                <w:szCs w:val="2"/>
              </w:rPr>
              <w:t>​</w:t>
            </w:r>
          </w:p>
        </w:tc>
        <w:tc>
          <w:tcPr>
            <w:tcW w:w="364" w:type="pct"/>
            <w:noWrap/>
            <w:tcMar>
              <w:top w:w="0" w:type="dxa"/>
              <w:left w:w="0" w:type="dxa"/>
              <w:bottom w:w="0" w:type="dxa"/>
              <w:right w:w="0" w:type="dxa"/>
            </w:tcMar>
            <w:vAlign w:val="bottom"/>
            <w:hideMark/>
          </w:tcPr>
          <w:p w14:paraId="5EDD59D8" w14:textId="77777777" w:rsidR="00000000" w:rsidRDefault="001F1B20">
            <w:pPr>
              <w:pStyle w:val="a3"/>
              <w:spacing w:before="0" w:beforeAutospacing="0" w:after="0" w:afterAutospacing="0"/>
              <w:divId w:val="114255307"/>
              <w:rPr>
                <w:sz w:val="20"/>
                <w:szCs w:val="20"/>
              </w:rPr>
            </w:pPr>
            <w:r>
              <w:rPr>
                <w:sz w:val="2"/>
                <w:szCs w:val="2"/>
              </w:rPr>
              <w:t>​</w:t>
            </w:r>
          </w:p>
        </w:tc>
        <w:tc>
          <w:tcPr>
            <w:tcW w:w="39" w:type="pct"/>
            <w:noWrap/>
            <w:tcMar>
              <w:top w:w="0" w:type="dxa"/>
              <w:left w:w="0" w:type="dxa"/>
              <w:bottom w:w="0" w:type="dxa"/>
              <w:right w:w="0" w:type="dxa"/>
            </w:tcMar>
            <w:vAlign w:val="bottom"/>
            <w:hideMark/>
          </w:tcPr>
          <w:p w14:paraId="6CCCA415" w14:textId="77777777" w:rsidR="00000000" w:rsidRDefault="001F1B20">
            <w:pPr>
              <w:pStyle w:val="a3"/>
              <w:spacing w:before="0" w:beforeAutospacing="0" w:after="0" w:afterAutospacing="0"/>
              <w:divId w:val="437023075"/>
              <w:rPr>
                <w:sz w:val="20"/>
                <w:szCs w:val="20"/>
              </w:rPr>
            </w:pPr>
            <w:r>
              <w:rPr>
                <w:sz w:val="2"/>
                <w:szCs w:val="2"/>
              </w:rPr>
              <w:t>​</w:t>
            </w:r>
          </w:p>
        </w:tc>
        <w:tc>
          <w:tcPr>
            <w:tcW w:w="49" w:type="pct"/>
            <w:noWrap/>
            <w:tcMar>
              <w:top w:w="0" w:type="dxa"/>
              <w:left w:w="0" w:type="dxa"/>
              <w:bottom w:w="0" w:type="dxa"/>
              <w:right w:w="0" w:type="dxa"/>
            </w:tcMar>
            <w:vAlign w:val="bottom"/>
            <w:hideMark/>
          </w:tcPr>
          <w:p w14:paraId="01BFBA0F" w14:textId="77777777" w:rsidR="00000000" w:rsidRDefault="001F1B20">
            <w:pPr>
              <w:pStyle w:val="a3"/>
              <w:spacing w:before="0" w:beforeAutospacing="0" w:after="0" w:afterAutospacing="0"/>
              <w:divId w:val="1611544813"/>
              <w:rPr>
                <w:sz w:val="20"/>
                <w:szCs w:val="20"/>
              </w:rPr>
            </w:pPr>
            <w:r>
              <w:rPr>
                <w:sz w:val="2"/>
                <w:szCs w:val="2"/>
              </w:rPr>
              <w:t>​</w:t>
            </w:r>
          </w:p>
        </w:tc>
        <w:tc>
          <w:tcPr>
            <w:tcW w:w="240" w:type="pct"/>
            <w:noWrap/>
            <w:tcMar>
              <w:top w:w="0" w:type="dxa"/>
              <w:left w:w="0" w:type="dxa"/>
              <w:bottom w:w="0" w:type="dxa"/>
              <w:right w:w="0" w:type="dxa"/>
            </w:tcMar>
            <w:vAlign w:val="bottom"/>
            <w:hideMark/>
          </w:tcPr>
          <w:p w14:paraId="335191D0" w14:textId="77777777" w:rsidR="00000000" w:rsidRDefault="001F1B20">
            <w:pPr>
              <w:pStyle w:val="a3"/>
              <w:spacing w:before="0" w:beforeAutospacing="0" w:after="0" w:afterAutospacing="0"/>
              <w:divId w:val="174734282"/>
              <w:rPr>
                <w:sz w:val="20"/>
                <w:szCs w:val="20"/>
              </w:rPr>
            </w:pPr>
            <w:r>
              <w:rPr>
                <w:sz w:val="2"/>
                <w:szCs w:val="2"/>
              </w:rPr>
              <w:t>​</w:t>
            </w:r>
          </w:p>
        </w:tc>
        <w:tc>
          <w:tcPr>
            <w:tcW w:w="39" w:type="pct"/>
            <w:noWrap/>
            <w:tcMar>
              <w:top w:w="0" w:type="dxa"/>
              <w:left w:w="0" w:type="dxa"/>
              <w:bottom w:w="0" w:type="dxa"/>
              <w:right w:w="0" w:type="dxa"/>
            </w:tcMar>
            <w:vAlign w:val="bottom"/>
            <w:hideMark/>
          </w:tcPr>
          <w:p w14:paraId="5B53B387" w14:textId="77777777" w:rsidR="00000000" w:rsidRDefault="001F1B20">
            <w:pPr>
              <w:pStyle w:val="a3"/>
              <w:spacing w:before="0" w:beforeAutospacing="0" w:after="0" w:afterAutospacing="0"/>
              <w:divId w:val="822427091"/>
              <w:rPr>
                <w:sz w:val="20"/>
                <w:szCs w:val="20"/>
              </w:rPr>
            </w:pPr>
            <w:r>
              <w:rPr>
                <w:sz w:val="2"/>
                <w:szCs w:val="2"/>
              </w:rPr>
              <w:t>​</w:t>
            </w:r>
          </w:p>
        </w:tc>
        <w:tc>
          <w:tcPr>
            <w:tcW w:w="158" w:type="pct"/>
            <w:noWrap/>
            <w:tcMar>
              <w:top w:w="0" w:type="dxa"/>
              <w:left w:w="0" w:type="dxa"/>
              <w:bottom w:w="0" w:type="dxa"/>
              <w:right w:w="0" w:type="dxa"/>
            </w:tcMar>
            <w:vAlign w:val="bottom"/>
            <w:hideMark/>
          </w:tcPr>
          <w:p w14:paraId="351B2027" w14:textId="77777777" w:rsidR="00000000" w:rsidRDefault="001F1B20">
            <w:pPr>
              <w:pStyle w:val="a3"/>
              <w:spacing w:before="0" w:beforeAutospacing="0" w:after="0" w:afterAutospacing="0"/>
              <w:divId w:val="544832483"/>
              <w:rPr>
                <w:sz w:val="20"/>
                <w:szCs w:val="20"/>
              </w:rPr>
            </w:pPr>
            <w:r>
              <w:rPr>
                <w:sz w:val="2"/>
                <w:szCs w:val="2"/>
              </w:rPr>
              <w:t>​</w:t>
            </w:r>
          </w:p>
        </w:tc>
        <w:tc>
          <w:tcPr>
            <w:tcW w:w="132" w:type="pct"/>
            <w:noWrap/>
            <w:tcMar>
              <w:top w:w="0" w:type="dxa"/>
              <w:left w:w="0" w:type="dxa"/>
              <w:bottom w:w="0" w:type="dxa"/>
              <w:right w:w="0" w:type="dxa"/>
            </w:tcMar>
            <w:vAlign w:val="bottom"/>
            <w:hideMark/>
          </w:tcPr>
          <w:p w14:paraId="6CAD5766" w14:textId="77777777" w:rsidR="00000000" w:rsidRDefault="001F1B20">
            <w:pPr>
              <w:pStyle w:val="a3"/>
              <w:spacing w:before="0" w:beforeAutospacing="0" w:after="0" w:afterAutospacing="0"/>
              <w:divId w:val="1886258502"/>
              <w:rPr>
                <w:sz w:val="20"/>
                <w:szCs w:val="20"/>
              </w:rPr>
            </w:pPr>
            <w:r>
              <w:rPr>
                <w:sz w:val="2"/>
                <w:szCs w:val="2"/>
              </w:rPr>
              <w:t>​</w:t>
            </w:r>
          </w:p>
        </w:tc>
        <w:tc>
          <w:tcPr>
            <w:tcW w:w="39" w:type="pct"/>
            <w:noWrap/>
            <w:tcMar>
              <w:top w:w="0" w:type="dxa"/>
              <w:left w:w="0" w:type="dxa"/>
              <w:bottom w:w="0" w:type="dxa"/>
              <w:right w:w="0" w:type="dxa"/>
            </w:tcMar>
            <w:vAlign w:val="bottom"/>
            <w:hideMark/>
          </w:tcPr>
          <w:p w14:paraId="50FEDF16" w14:textId="77777777" w:rsidR="00000000" w:rsidRDefault="001F1B20">
            <w:pPr>
              <w:pStyle w:val="a3"/>
              <w:spacing w:before="0" w:beforeAutospacing="0" w:after="0" w:afterAutospacing="0"/>
              <w:divId w:val="1864900739"/>
              <w:rPr>
                <w:sz w:val="20"/>
                <w:szCs w:val="20"/>
              </w:rPr>
            </w:pPr>
            <w:r>
              <w:rPr>
                <w:sz w:val="2"/>
                <w:szCs w:val="2"/>
              </w:rPr>
              <w:t>​</w:t>
            </w:r>
          </w:p>
        </w:tc>
        <w:tc>
          <w:tcPr>
            <w:tcW w:w="49" w:type="pct"/>
            <w:noWrap/>
            <w:tcMar>
              <w:top w:w="0" w:type="dxa"/>
              <w:left w:w="0" w:type="dxa"/>
              <w:bottom w:w="0" w:type="dxa"/>
              <w:right w:w="0" w:type="dxa"/>
            </w:tcMar>
            <w:vAlign w:val="bottom"/>
            <w:hideMark/>
          </w:tcPr>
          <w:p w14:paraId="5CC132B8" w14:textId="77777777" w:rsidR="00000000" w:rsidRDefault="001F1B20">
            <w:pPr>
              <w:pStyle w:val="a3"/>
              <w:spacing w:before="0" w:beforeAutospacing="0" w:after="0" w:afterAutospacing="0"/>
              <w:divId w:val="679434888"/>
              <w:rPr>
                <w:sz w:val="20"/>
                <w:szCs w:val="20"/>
              </w:rPr>
            </w:pPr>
            <w:r>
              <w:rPr>
                <w:sz w:val="2"/>
                <w:szCs w:val="2"/>
              </w:rPr>
              <w:t>​</w:t>
            </w:r>
          </w:p>
        </w:tc>
        <w:tc>
          <w:tcPr>
            <w:tcW w:w="364" w:type="pct"/>
            <w:noWrap/>
            <w:tcMar>
              <w:top w:w="0" w:type="dxa"/>
              <w:left w:w="0" w:type="dxa"/>
              <w:bottom w:w="0" w:type="dxa"/>
              <w:right w:w="0" w:type="dxa"/>
            </w:tcMar>
            <w:vAlign w:val="bottom"/>
            <w:hideMark/>
          </w:tcPr>
          <w:p w14:paraId="7AC3B3FA" w14:textId="77777777" w:rsidR="00000000" w:rsidRDefault="001F1B20">
            <w:pPr>
              <w:pStyle w:val="a3"/>
              <w:spacing w:before="0" w:beforeAutospacing="0" w:after="0" w:afterAutospacing="0"/>
              <w:divId w:val="403723268"/>
              <w:rPr>
                <w:sz w:val="20"/>
                <w:szCs w:val="20"/>
              </w:rPr>
            </w:pPr>
            <w:r>
              <w:rPr>
                <w:sz w:val="2"/>
                <w:szCs w:val="2"/>
              </w:rPr>
              <w:t>​</w:t>
            </w:r>
          </w:p>
        </w:tc>
        <w:tc>
          <w:tcPr>
            <w:tcW w:w="39" w:type="pct"/>
            <w:noWrap/>
            <w:tcMar>
              <w:top w:w="0" w:type="dxa"/>
              <w:left w:w="0" w:type="dxa"/>
              <w:bottom w:w="0" w:type="dxa"/>
              <w:right w:w="0" w:type="dxa"/>
            </w:tcMar>
            <w:vAlign w:val="bottom"/>
            <w:hideMark/>
          </w:tcPr>
          <w:p w14:paraId="40DC76AE" w14:textId="77777777" w:rsidR="00000000" w:rsidRDefault="001F1B20">
            <w:pPr>
              <w:pStyle w:val="a3"/>
              <w:spacing w:before="0" w:beforeAutospacing="0" w:after="0" w:afterAutospacing="0"/>
              <w:divId w:val="1431504917"/>
              <w:rPr>
                <w:sz w:val="20"/>
                <w:szCs w:val="20"/>
              </w:rPr>
            </w:pPr>
            <w:r>
              <w:rPr>
                <w:sz w:val="2"/>
                <w:szCs w:val="2"/>
              </w:rPr>
              <w:t>​</w:t>
            </w:r>
          </w:p>
        </w:tc>
        <w:tc>
          <w:tcPr>
            <w:tcW w:w="49" w:type="pct"/>
            <w:noWrap/>
            <w:tcMar>
              <w:top w:w="0" w:type="dxa"/>
              <w:left w:w="0" w:type="dxa"/>
              <w:bottom w:w="0" w:type="dxa"/>
              <w:right w:w="0" w:type="dxa"/>
            </w:tcMar>
            <w:vAlign w:val="bottom"/>
            <w:hideMark/>
          </w:tcPr>
          <w:p w14:paraId="64C1CA99" w14:textId="77777777" w:rsidR="00000000" w:rsidRDefault="001F1B20">
            <w:pPr>
              <w:pStyle w:val="a3"/>
              <w:spacing w:before="0" w:beforeAutospacing="0" w:after="0" w:afterAutospacing="0"/>
              <w:divId w:val="2018993949"/>
              <w:rPr>
                <w:sz w:val="20"/>
                <w:szCs w:val="20"/>
              </w:rPr>
            </w:pPr>
            <w:r>
              <w:rPr>
                <w:sz w:val="2"/>
                <w:szCs w:val="2"/>
              </w:rPr>
              <w:t>​</w:t>
            </w:r>
          </w:p>
        </w:tc>
        <w:tc>
          <w:tcPr>
            <w:tcW w:w="364" w:type="pct"/>
            <w:noWrap/>
            <w:tcMar>
              <w:top w:w="0" w:type="dxa"/>
              <w:left w:w="0" w:type="dxa"/>
              <w:bottom w:w="0" w:type="dxa"/>
              <w:right w:w="0" w:type="dxa"/>
            </w:tcMar>
            <w:vAlign w:val="bottom"/>
            <w:hideMark/>
          </w:tcPr>
          <w:p w14:paraId="7986442B" w14:textId="77777777" w:rsidR="00000000" w:rsidRDefault="001F1B20">
            <w:pPr>
              <w:pStyle w:val="a3"/>
              <w:spacing w:before="0" w:beforeAutospacing="0" w:after="0" w:afterAutospacing="0"/>
              <w:divId w:val="326985312"/>
              <w:rPr>
                <w:sz w:val="20"/>
                <w:szCs w:val="20"/>
              </w:rPr>
            </w:pPr>
            <w:r>
              <w:rPr>
                <w:sz w:val="2"/>
                <w:szCs w:val="2"/>
              </w:rPr>
              <w:t>​</w:t>
            </w:r>
          </w:p>
        </w:tc>
        <w:tc>
          <w:tcPr>
            <w:tcW w:w="39" w:type="pct"/>
            <w:noWrap/>
            <w:tcMar>
              <w:top w:w="0" w:type="dxa"/>
              <w:left w:w="0" w:type="dxa"/>
              <w:bottom w:w="0" w:type="dxa"/>
              <w:right w:w="0" w:type="dxa"/>
            </w:tcMar>
            <w:vAlign w:val="bottom"/>
            <w:hideMark/>
          </w:tcPr>
          <w:p w14:paraId="2EF217BD" w14:textId="77777777" w:rsidR="00000000" w:rsidRDefault="001F1B20">
            <w:pPr>
              <w:pStyle w:val="a3"/>
              <w:spacing w:before="0" w:beforeAutospacing="0" w:after="0" w:afterAutospacing="0"/>
              <w:divId w:val="1243101177"/>
              <w:rPr>
                <w:sz w:val="20"/>
                <w:szCs w:val="20"/>
              </w:rPr>
            </w:pPr>
            <w:r>
              <w:rPr>
                <w:sz w:val="2"/>
                <w:szCs w:val="2"/>
              </w:rPr>
              <w:t>​</w:t>
            </w:r>
          </w:p>
        </w:tc>
        <w:tc>
          <w:tcPr>
            <w:tcW w:w="49" w:type="pct"/>
            <w:noWrap/>
            <w:tcMar>
              <w:top w:w="0" w:type="dxa"/>
              <w:left w:w="0" w:type="dxa"/>
              <w:bottom w:w="0" w:type="dxa"/>
              <w:right w:w="0" w:type="dxa"/>
            </w:tcMar>
            <w:vAlign w:val="bottom"/>
            <w:hideMark/>
          </w:tcPr>
          <w:p w14:paraId="188579B7" w14:textId="77777777" w:rsidR="00000000" w:rsidRDefault="001F1B20">
            <w:pPr>
              <w:pStyle w:val="a3"/>
              <w:spacing w:before="0" w:beforeAutospacing="0" w:after="0" w:afterAutospacing="0"/>
              <w:divId w:val="365953886"/>
              <w:rPr>
                <w:sz w:val="20"/>
                <w:szCs w:val="20"/>
              </w:rPr>
            </w:pPr>
            <w:r>
              <w:rPr>
                <w:sz w:val="2"/>
                <w:szCs w:val="2"/>
              </w:rPr>
              <w:t>​</w:t>
            </w:r>
          </w:p>
        </w:tc>
        <w:tc>
          <w:tcPr>
            <w:tcW w:w="314" w:type="pct"/>
            <w:noWrap/>
            <w:tcMar>
              <w:top w:w="0" w:type="dxa"/>
              <w:left w:w="0" w:type="dxa"/>
              <w:bottom w:w="0" w:type="dxa"/>
              <w:right w:w="0" w:type="dxa"/>
            </w:tcMar>
            <w:vAlign w:val="bottom"/>
            <w:hideMark/>
          </w:tcPr>
          <w:p w14:paraId="539B22F8" w14:textId="77777777" w:rsidR="00000000" w:rsidRDefault="001F1B20">
            <w:pPr>
              <w:pStyle w:val="a3"/>
              <w:spacing w:before="0" w:beforeAutospacing="0" w:after="0" w:afterAutospacing="0"/>
              <w:divId w:val="62799166"/>
              <w:rPr>
                <w:sz w:val="20"/>
                <w:szCs w:val="20"/>
              </w:rPr>
            </w:pPr>
            <w:r>
              <w:rPr>
                <w:sz w:val="2"/>
                <w:szCs w:val="2"/>
              </w:rPr>
              <w:t>​</w:t>
            </w:r>
          </w:p>
        </w:tc>
        <w:tc>
          <w:tcPr>
            <w:tcW w:w="39" w:type="pct"/>
            <w:noWrap/>
            <w:tcMar>
              <w:top w:w="0" w:type="dxa"/>
              <w:left w:w="0" w:type="dxa"/>
              <w:bottom w:w="0" w:type="dxa"/>
              <w:right w:w="0" w:type="dxa"/>
            </w:tcMar>
            <w:vAlign w:val="bottom"/>
            <w:hideMark/>
          </w:tcPr>
          <w:p w14:paraId="0199547F" w14:textId="77777777" w:rsidR="00000000" w:rsidRDefault="001F1B20">
            <w:pPr>
              <w:pStyle w:val="a3"/>
              <w:spacing w:before="0" w:beforeAutospacing="0" w:after="0" w:afterAutospacing="0"/>
              <w:divId w:val="324748853"/>
              <w:rPr>
                <w:sz w:val="20"/>
                <w:szCs w:val="20"/>
              </w:rPr>
            </w:pPr>
            <w:r>
              <w:rPr>
                <w:sz w:val="2"/>
                <w:szCs w:val="2"/>
              </w:rPr>
              <w:t>​</w:t>
            </w:r>
          </w:p>
        </w:tc>
        <w:tc>
          <w:tcPr>
            <w:tcW w:w="158" w:type="pct"/>
            <w:noWrap/>
            <w:tcMar>
              <w:top w:w="0" w:type="dxa"/>
              <w:left w:w="0" w:type="dxa"/>
              <w:bottom w:w="0" w:type="dxa"/>
              <w:right w:w="0" w:type="dxa"/>
            </w:tcMar>
            <w:vAlign w:val="bottom"/>
            <w:hideMark/>
          </w:tcPr>
          <w:p w14:paraId="724B3BCA" w14:textId="77777777" w:rsidR="00000000" w:rsidRDefault="001F1B20">
            <w:pPr>
              <w:pStyle w:val="a3"/>
              <w:spacing w:before="0" w:beforeAutospacing="0" w:after="0" w:afterAutospacing="0"/>
              <w:divId w:val="209805917"/>
              <w:rPr>
                <w:sz w:val="20"/>
                <w:szCs w:val="20"/>
              </w:rPr>
            </w:pPr>
            <w:r>
              <w:rPr>
                <w:sz w:val="2"/>
                <w:szCs w:val="2"/>
              </w:rPr>
              <w:t>​</w:t>
            </w:r>
          </w:p>
        </w:tc>
        <w:tc>
          <w:tcPr>
            <w:tcW w:w="132" w:type="pct"/>
            <w:noWrap/>
            <w:tcMar>
              <w:top w:w="0" w:type="dxa"/>
              <w:left w:w="0" w:type="dxa"/>
              <w:bottom w:w="0" w:type="dxa"/>
              <w:right w:w="0" w:type="dxa"/>
            </w:tcMar>
            <w:vAlign w:val="bottom"/>
            <w:hideMark/>
          </w:tcPr>
          <w:p w14:paraId="4B41A24E" w14:textId="77777777" w:rsidR="00000000" w:rsidRDefault="001F1B20">
            <w:pPr>
              <w:pStyle w:val="a3"/>
              <w:spacing w:before="0" w:beforeAutospacing="0" w:after="0" w:afterAutospacing="0"/>
              <w:divId w:val="1141774632"/>
              <w:rPr>
                <w:sz w:val="20"/>
                <w:szCs w:val="20"/>
              </w:rPr>
            </w:pPr>
            <w:r>
              <w:rPr>
                <w:sz w:val="2"/>
                <w:szCs w:val="2"/>
              </w:rPr>
              <w:t>​</w:t>
            </w:r>
          </w:p>
        </w:tc>
      </w:tr>
      <w:tr w:rsidR="00000000" w14:paraId="155F79EC" w14:textId="77777777">
        <w:trPr>
          <w:divId w:val="1561095023"/>
        </w:trPr>
        <w:tc>
          <w:tcPr>
            <w:tcW w:w="1791" w:type="pct"/>
            <w:tcMar>
              <w:top w:w="0" w:type="dxa"/>
              <w:left w:w="0" w:type="dxa"/>
              <w:bottom w:w="0" w:type="dxa"/>
              <w:right w:w="0" w:type="dxa"/>
            </w:tcMar>
            <w:vAlign w:val="bottom"/>
            <w:hideMark/>
          </w:tcPr>
          <w:p w14:paraId="7F48B347"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23129E1C" w14:textId="77777777" w:rsidR="00000000" w:rsidRDefault="001F1B20">
            <w:pPr>
              <w:pStyle w:val="a3"/>
              <w:spacing w:before="0" w:beforeAutospacing="0" w:after="0" w:afterAutospacing="0"/>
              <w:jc w:val="center"/>
              <w:rPr>
                <w:sz w:val="20"/>
                <w:szCs w:val="20"/>
              </w:rPr>
            </w:pPr>
            <w:r>
              <w:rPr>
                <w:b/>
                <w:bCs/>
                <w:sz w:val="16"/>
                <w:szCs w:val="16"/>
              </w:rPr>
              <w:t>​</w:t>
            </w:r>
          </w:p>
        </w:tc>
        <w:tc>
          <w:tcPr>
            <w:tcW w:w="867" w:type="pct"/>
            <w:gridSpan w:val="5"/>
            <w:noWrap/>
            <w:tcMar>
              <w:top w:w="0" w:type="dxa"/>
              <w:left w:w="0" w:type="dxa"/>
              <w:bottom w:w="0" w:type="dxa"/>
              <w:right w:w="0" w:type="dxa"/>
            </w:tcMar>
            <w:vAlign w:val="bottom"/>
            <w:hideMark/>
          </w:tcPr>
          <w:p w14:paraId="1C4860A1"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39" w:type="pct"/>
            <w:noWrap/>
            <w:tcMar>
              <w:top w:w="0" w:type="dxa"/>
              <w:left w:w="0" w:type="dxa"/>
              <w:bottom w:w="0" w:type="dxa"/>
              <w:right w:w="0" w:type="dxa"/>
            </w:tcMar>
            <w:vAlign w:val="bottom"/>
            <w:hideMark/>
          </w:tcPr>
          <w:p w14:paraId="1FAFCCC5" w14:textId="77777777" w:rsidR="00000000" w:rsidRDefault="001F1B20">
            <w:pPr>
              <w:pStyle w:val="a3"/>
              <w:spacing w:before="0" w:beforeAutospacing="0" w:after="0" w:afterAutospacing="0"/>
              <w:jc w:val="center"/>
              <w:rPr>
                <w:sz w:val="20"/>
                <w:szCs w:val="20"/>
              </w:rPr>
            </w:pPr>
            <w:r>
              <w:rPr>
                <w:b/>
                <w:bCs/>
                <w:sz w:val="16"/>
                <w:szCs w:val="16"/>
              </w:rPr>
              <w:t>​</w:t>
            </w:r>
          </w:p>
        </w:tc>
        <w:tc>
          <w:tcPr>
            <w:tcW w:w="488" w:type="pct"/>
            <w:gridSpan w:val="4"/>
            <w:noWrap/>
            <w:tcMar>
              <w:top w:w="0" w:type="dxa"/>
              <w:left w:w="0" w:type="dxa"/>
              <w:bottom w:w="0" w:type="dxa"/>
              <w:right w:w="0" w:type="dxa"/>
            </w:tcMar>
            <w:vAlign w:val="bottom"/>
            <w:hideMark/>
          </w:tcPr>
          <w:p w14:paraId="364F5199"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1BFA1E9F"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65756A8A" w14:textId="77777777" w:rsidR="00000000" w:rsidRDefault="001F1B20">
            <w:pPr>
              <w:pStyle w:val="a3"/>
              <w:spacing w:before="0" w:beforeAutospacing="0" w:after="0" w:afterAutospacing="0"/>
              <w:jc w:val="center"/>
              <w:rPr>
                <w:sz w:val="20"/>
                <w:szCs w:val="20"/>
              </w:rPr>
            </w:pPr>
            <w:r>
              <w:rPr>
                <w:b/>
                <w:bCs/>
                <w:sz w:val="16"/>
                <w:szCs w:val="16"/>
              </w:rPr>
              <w:t>​</w:t>
            </w:r>
          </w:p>
        </w:tc>
        <w:tc>
          <w:tcPr>
            <w:tcW w:w="867" w:type="pct"/>
            <w:gridSpan w:val="5"/>
            <w:noWrap/>
            <w:tcMar>
              <w:top w:w="0" w:type="dxa"/>
              <w:left w:w="0" w:type="dxa"/>
              <w:bottom w:w="0" w:type="dxa"/>
              <w:right w:w="0" w:type="dxa"/>
            </w:tcMar>
            <w:vAlign w:val="bottom"/>
            <w:hideMark/>
          </w:tcPr>
          <w:p w14:paraId="6485137C"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c>
          <w:tcPr>
            <w:tcW w:w="39" w:type="pct"/>
            <w:noWrap/>
            <w:tcMar>
              <w:top w:w="0" w:type="dxa"/>
              <w:left w:w="0" w:type="dxa"/>
              <w:bottom w:w="0" w:type="dxa"/>
              <w:right w:w="0" w:type="dxa"/>
            </w:tcMar>
            <w:vAlign w:val="bottom"/>
            <w:hideMark/>
          </w:tcPr>
          <w:p w14:paraId="604976B4" w14:textId="77777777" w:rsidR="00000000" w:rsidRDefault="001F1B20">
            <w:pPr>
              <w:pStyle w:val="a3"/>
              <w:spacing w:before="0" w:beforeAutospacing="0" w:after="0" w:afterAutospacing="0"/>
              <w:jc w:val="center"/>
              <w:rPr>
                <w:sz w:val="20"/>
                <w:szCs w:val="20"/>
              </w:rPr>
            </w:pPr>
            <w:r>
              <w:rPr>
                <w:b/>
                <w:bCs/>
                <w:sz w:val="16"/>
                <w:szCs w:val="16"/>
              </w:rPr>
              <w:t>​</w:t>
            </w:r>
          </w:p>
        </w:tc>
        <w:tc>
          <w:tcPr>
            <w:tcW w:w="562" w:type="pct"/>
            <w:gridSpan w:val="4"/>
            <w:noWrap/>
            <w:tcMar>
              <w:top w:w="0" w:type="dxa"/>
              <w:left w:w="0" w:type="dxa"/>
              <w:bottom w:w="0" w:type="dxa"/>
              <w:right w:w="0" w:type="dxa"/>
            </w:tcMar>
            <w:vAlign w:val="bottom"/>
            <w:hideMark/>
          </w:tcPr>
          <w:p w14:paraId="7D5BBE7D"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43A7BF37" w14:textId="77777777" w:rsidR="00000000" w:rsidRDefault="001F1B20">
            <w:pPr>
              <w:pStyle w:val="a3"/>
              <w:spacing w:before="0" w:beforeAutospacing="0" w:after="0" w:afterAutospacing="0"/>
              <w:rPr>
                <w:sz w:val="20"/>
                <w:szCs w:val="20"/>
              </w:rPr>
            </w:pPr>
            <w:r>
              <w:rPr>
                <w:b/>
                <w:bCs/>
                <w:sz w:val="16"/>
                <w:szCs w:val="16"/>
              </w:rPr>
              <w:t>​</w:t>
            </w:r>
          </w:p>
        </w:tc>
      </w:tr>
      <w:tr w:rsidR="00000000" w14:paraId="129BB8C3" w14:textId="77777777">
        <w:trPr>
          <w:divId w:val="1561095023"/>
        </w:trPr>
        <w:tc>
          <w:tcPr>
            <w:tcW w:w="1791" w:type="pct"/>
            <w:tcMar>
              <w:top w:w="0" w:type="dxa"/>
              <w:left w:w="0" w:type="dxa"/>
              <w:bottom w:w="0" w:type="dxa"/>
              <w:right w:w="0" w:type="dxa"/>
            </w:tcMar>
            <w:vAlign w:val="bottom"/>
            <w:hideMark/>
          </w:tcPr>
          <w:p w14:paraId="0AD51D84"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2CDA0F12" w14:textId="77777777" w:rsidR="00000000" w:rsidRDefault="001F1B20">
            <w:pPr>
              <w:pStyle w:val="a3"/>
              <w:spacing w:before="0" w:beforeAutospacing="0" w:after="0" w:afterAutospacing="0"/>
              <w:jc w:val="center"/>
              <w:rPr>
                <w:sz w:val="20"/>
                <w:szCs w:val="20"/>
              </w:rPr>
            </w:pPr>
            <w:r>
              <w:rPr>
                <w:b/>
                <w:bCs/>
                <w:sz w:val="16"/>
                <w:szCs w:val="16"/>
              </w:rPr>
              <w:t>​</w:t>
            </w:r>
          </w:p>
        </w:tc>
        <w:tc>
          <w:tcPr>
            <w:tcW w:w="867" w:type="pct"/>
            <w:gridSpan w:val="5"/>
            <w:tcBorders>
              <w:bottom w:val="single" w:sz="6" w:space="0" w:color="000000"/>
            </w:tcBorders>
            <w:noWrap/>
            <w:tcMar>
              <w:top w:w="0" w:type="dxa"/>
              <w:left w:w="0" w:type="dxa"/>
              <w:bottom w:w="0" w:type="dxa"/>
              <w:right w:w="0" w:type="dxa"/>
            </w:tcMar>
            <w:vAlign w:val="bottom"/>
            <w:hideMark/>
          </w:tcPr>
          <w:p w14:paraId="4480EF45"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2167F9B8" w14:textId="77777777" w:rsidR="00000000" w:rsidRDefault="001F1B20">
            <w:pPr>
              <w:pStyle w:val="a3"/>
              <w:spacing w:before="0" w:beforeAutospacing="0" w:after="0" w:afterAutospacing="0"/>
              <w:jc w:val="center"/>
              <w:rPr>
                <w:sz w:val="20"/>
                <w:szCs w:val="20"/>
              </w:rPr>
            </w:pPr>
            <w:r>
              <w:rPr>
                <w:b/>
                <w:bCs/>
                <w:sz w:val="16"/>
                <w:szCs w:val="16"/>
              </w:rPr>
              <w:t>​</w:t>
            </w:r>
          </w:p>
        </w:tc>
        <w:tc>
          <w:tcPr>
            <w:tcW w:w="488" w:type="pct"/>
            <w:gridSpan w:val="4"/>
            <w:tcBorders>
              <w:bottom w:val="single" w:sz="6" w:space="0" w:color="000000"/>
            </w:tcBorders>
            <w:noWrap/>
            <w:tcMar>
              <w:top w:w="0" w:type="dxa"/>
              <w:left w:w="0" w:type="dxa"/>
              <w:bottom w:w="0" w:type="dxa"/>
              <w:right w:w="0" w:type="dxa"/>
            </w:tcMar>
            <w:vAlign w:val="bottom"/>
            <w:hideMark/>
          </w:tcPr>
          <w:p w14:paraId="2CE3BE8B"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3811A4E7"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17EFF38F" w14:textId="77777777" w:rsidR="00000000" w:rsidRDefault="001F1B20">
            <w:pPr>
              <w:pStyle w:val="a3"/>
              <w:spacing w:before="0" w:beforeAutospacing="0" w:after="0" w:afterAutospacing="0"/>
              <w:jc w:val="center"/>
              <w:rPr>
                <w:sz w:val="20"/>
                <w:szCs w:val="20"/>
              </w:rPr>
            </w:pPr>
            <w:r>
              <w:rPr>
                <w:b/>
                <w:bCs/>
                <w:sz w:val="16"/>
                <w:szCs w:val="16"/>
              </w:rPr>
              <w:t>​</w:t>
            </w:r>
          </w:p>
        </w:tc>
        <w:tc>
          <w:tcPr>
            <w:tcW w:w="867" w:type="pct"/>
            <w:gridSpan w:val="5"/>
            <w:tcBorders>
              <w:bottom w:val="single" w:sz="6" w:space="0" w:color="000000"/>
            </w:tcBorders>
            <w:noWrap/>
            <w:tcMar>
              <w:top w:w="0" w:type="dxa"/>
              <w:left w:w="0" w:type="dxa"/>
              <w:bottom w:w="0" w:type="dxa"/>
              <w:right w:w="0" w:type="dxa"/>
            </w:tcMar>
            <w:vAlign w:val="bottom"/>
            <w:hideMark/>
          </w:tcPr>
          <w:p w14:paraId="6B5F6CEB"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46E26783" w14:textId="77777777" w:rsidR="00000000" w:rsidRDefault="001F1B20">
            <w:pPr>
              <w:pStyle w:val="a3"/>
              <w:spacing w:before="0" w:beforeAutospacing="0" w:after="0" w:afterAutospacing="0"/>
              <w:jc w:val="center"/>
              <w:rPr>
                <w:sz w:val="20"/>
                <w:szCs w:val="20"/>
              </w:rPr>
            </w:pPr>
            <w:r>
              <w:rPr>
                <w:b/>
                <w:bCs/>
                <w:sz w:val="16"/>
                <w:szCs w:val="16"/>
              </w:rPr>
              <w:t>​</w:t>
            </w:r>
          </w:p>
        </w:tc>
        <w:tc>
          <w:tcPr>
            <w:tcW w:w="562" w:type="pct"/>
            <w:gridSpan w:val="4"/>
            <w:tcBorders>
              <w:bottom w:val="single" w:sz="6" w:space="0" w:color="000000"/>
            </w:tcBorders>
            <w:noWrap/>
            <w:tcMar>
              <w:top w:w="0" w:type="dxa"/>
              <w:left w:w="0" w:type="dxa"/>
              <w:bottom w:w="0" w:type="dxa"/>
              <w:right w:w="0" w:type="dxa"/>
            </w:tcMar>
            <w:vAlign w:val="bottom"/>
            <w:hideMark/>
          </w:tcPr>
          <w:p w14:paraId="76A9D50B"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6C5EF9A2" w14:textId="77777777" w:rsidR="00000000" w:rsidRDefault="001F1B20">
            <w:pPr>
              <w:pStyle w:val="a3"/>
              <w:spacing w:before="0" w:beforeAutospacing="0" w:after="0" w:afterAutospacing="0"/>
              <w:rPr>
                <w:sz w:val="20"/>
                <w:szCs w:val="20"/>
              </w:rPr>
            </w:pPr>
            <w:r>
              <w:rPr>
                <w:b/>
                <w:bCs/>
                <w:sz w:val="16"/>
                <w:szCs w:val="16"/>
              </w:rPr>
              <w:t>​</w:t>
            </w:r>
          </w:p>
        </w:tc>
      </w:tr>
      <w:tr w:rsidR="00000000" w14:paraId="63EB024D" w14:textId="77777777">
        <w:trPr>
          <w:divId w:val="1561095023"/>
        </w:trPr>
        <w:tc>
          <w:tcPr>
            <w:tcW w:w="1791" w:type="pct"/>
            <w:tcBorders>
              <w:bottom w:val="single" w:sz="6" w:space="0" w:color="000000"/>
            </w:tcBorders>
            <w:tcMar>
              <w:top w:w="0" w:type="dxa"/>
              <w:left w:w="0" w:type="dxa"/>
              <w:bottom w:w="0" w:type="dxa"/>
              <w:right w:w="0" w:type="dxa"/>
            </w:tcMar>
            <w:vAlign w:val="bottom"/>
            <w:hideMark/>
          </w:tcPr>
          <w:p w14:paraId="7B0BBC85" w14:textId="77777777" w:rsidR="00000000" w:rsidRDefault="001F1B20">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14:paraId="0C4C368D" w14:textId="77777777" w:rsidR="00000000" w:rsidRDefault="001F1B20">
            <w:pPr>
              <w:pStyle w:val="a3"/>
              <w:spacing w:before="0" w:beforeAutospacing="0" w:after="0" w:afterAutospacing="0"/>
              <w:jc w:val="center"/>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14:paraId="62D578FE" w14:textId="77777777" w:rsidR="00000000" w:rsidRDefault="001F1B20">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14:paraId="328F83D6" w14:textId="77777777" w:rsidR="00000000" w:rsidRDefault="001F1B20">
            <w:pPr>
              <w:pStyle w:val="a3"/>
              <w:spacing w:before="0" w:beforeAutospacing="0" w:after="0" w:afterAutospacing="0"/>
              <w:jc w:val="center"/>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14:paraId="46C1813B"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0887A222" w14:textId="77777777" w:rsidR="00000000" w:rsidRDefault="001F1B20">
            <w:pPr>
              <w:pStyle w:val="a3"/>
              <w:spacing w:before="0" w:beforeAutospacing="0" w:after="0" w:afterAutospacing="0"/>
              <w:jc w:val="center"/>
              <w:rPr>
                <w:sz w:val="16"/>
                <w:szCs w:val="16"/>
              </w:rPr>
            </w:pPr>
            <w:r>
              <w:rPr>
                <w:b/>
                <w:bCs/>
                <w:sz w:val="16"/>
                <w:szCs w:val="16"/>
              </w:rPr>
              <w:t>  </w:t>
            </w:r>
          </w:p>
        </w:tc>
        <w:tc>
          <w:tcPr>
            <w:tcW w:w="289" w:type="pct"/>
            <w:gridSpan w:val="2"/>
            <w:tcBorders>
              <w:bottom w:val="single" w:sz="6" w:space="0" w:color="000000"/>
            </w:tcBorders>
            <w:noWrap/>
            <w:tcMar>
              <w:top w:w="0" w:type="dxa"/>
              <w:left w:w="0" w:type="dxa"/>
              <w:bottom w:w="0" w:type="dxa"/>
              <w:right w:w="0" w:type="dxa"/>
            </w:tcMar>
            <w:vAlign w:val="bottom"/>
            <w:hideMark/>
          </w:tcPr>
          <w:p w14:paraId="5663A2D4"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476A8CDC" w14:textId="77777777" w:rsidR="00000000" w:rsidRDefault="001F1B20">
            <w:pPr>
              <w:pStyle w:val="a3"/>
              <w:spacing w:before="0" w:beforeAutospacing="0" w:after="0" w:afterAutospacing="0"/>
              <w:jc w:val="center"/>
              <w:rPr>
                <w:sz w:val="16"/>
                <w:szCs w:val="16"/>
              </w:rPr>
            </w:pPr>
            <w:r>
              <w:rPr>
                <w:b/>
                <w:bCs/>
                <w:sz w:val="16"/>
                <w:szCs w:val="16"/>
              </w:rPr>
              <w:t>  </w:t>
            </w:r>
          </w:p>
        </w:tc>
        <w:tc>
          <w:tcPr>
            <w:tcW w:w="158" w:type="pct"/>
            <w:tcBorders>
              <w:bottom w:val="single" w:sz="6" w:space="0" w:color="000000"/>
            </w:tcBorders>
            <w:noWrap/>
            <w:tcMar>
              <w:top w:w="0" w:type="dxa"/>
              <w:left w:w="0" w:type="dxa"/>
              <w:bottom w:w="0" w:type="dxa"/>
              <w:right w:w="0" w:type="dxa"/>
            </w:tcMar>
            <w:vAlign w:val="bottom"/>
            <w:hideMark/>
          </w:tcPr>
          <w:p w14:paraId="5DAAB8B3"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797C90A0"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3AC55604" w14:textId="77777777" w:rsidR="00000000" w:rsidRDefault="001F1B20">
            <w:pPr>
              <w:pStyle w:val="a3"/>
              <w:spacing w:before="0" w:beforeAutospacing="0" w:after="0" w:afterAutospacing="0"/>
              <w:jc w:val="center"/>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14:paraId="3F81B617" w14:textId="77777777" w:rsidR="00000000" w:rsidRDefault="001F1B20">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14:paraId="6E3353A3" w14:textId="77777777" w:rsidR="00000000" w:rsidRDefault="001F1B20">
            <w:pPr>
              <w:pStyle w:val="a3"/>
              <w:spacing w:before="0" w:beforeAutospacing="0" w:after="0" w:afterAutospacing="0"/>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14:paraId="421C98C3"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5E1D571E" w14:textId="77777777" w:rsidR="00000000" w:rsidRDefault="001F1B20">
            <w:pPr>
              <w:pStyle w:val="a3"/>
              <w:spacing w:before="0" w:beforeAutospacing="0" w:after="0" w:afterAutospacing="0"/>
              <w:jc w:val="center"/>
              <w:rPr>
                <w:sz w:val="16"/>
                <w:szCs w:val="16"/>
              </w:rPr>
            </w:pP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14:paraId="26A3F16B"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7A714F56" w14:textId="77777777" w:rsidR="00000000" w:rsidRDefault="001F1B20">
            <w:pPr>
              <w:pStyle w:val="a3"/>
              <w:spacing w:before="0" w:beforeAutospacing="0" w:after="0" w:afterAutospacing="0"/>
              <w:jc w:val="center"/>
              <w:rPr>
                <w:sz w:val="16"/>
                <w:szCs w:val="16"/>
              </w:rPr>
            </w:pPr>
            <w:r>
              <w:rPr>
                <w:sz w:val="16"/>
                <w:szCs w:val="16"/>
              </w:rPr>
              <w:t>  </w:t>
            </w:r>
          </w:p>
        </w:tc>
        <w:tc>
          <w:tcPr>
            <w:tcW w:w="158" w:type="pct"/>
            <w:tcBorders>
              <w:bottom w:val="single" w:sz="6" w:space="0" w:color="000000"/>
            </w:tcBorders>
            <w:noWrap/>
            <w:tcMar>
              <w:top w:w="0" w:type="dxa"/>
              <w:left w:w="0" w:type="dxa"/>
              <w:bottom w:w="0" w:type="dxa"/>
              <w:right w:w="0" w:type="dxa"/>
            </w:tcMar>
            <w:vAlign w:val="bottom"/>
            <w:hideMark/>
          </w:tcPr>
          <w:p w14:paraId="67FDA2A8"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0855F029" w14:textId="77777777" w:rsidR="00000000" w:rsidRDefault="001F1B20">
            <w:pPr>
              <w:pStyle w:val="a3"/>
              <w:spacing w:before="0" w:beforeAutospacing="0" w:after="0" w:afterAutospacing="0"/>
              <w:rPr>
                <w:sz w:val="16"/>
                <w:szCs w:val="16"/>
              </w:rPr>
            </w:pPr>
            <w:r>
              <w:rPr>
                <w:b/>
                <w:bCs/>
                <w:sz w:val="16"/>
                <w:szCs w:val="16"/>
              </w:rPr>
              <w:t>    </w:t>
            </w:r>
          </w:p>
        </w:tc>
      </w:tr>
      <w:tr w:rsidR="00000000" w14:paraId="5A5A9083" w14:textId="77777777">
        <w:trPr>
          <w:divId w:val="1561095023"/>
        </w:trPr>
        <w:tc>
          <w:tcPr>
            <w:tcW w:w="1791" w:type="pct"/>
            <w:shd w:val="clear" w:color="auto" w:fill="CCEEFF"/>
            <w:tcMar>
              <w:top w:w="0" w:type="dxa"/>
              <w:left w:w="0" w:type="dxa"/>
              <w:bottom w:w="0" w:type="dxa"/>
              <w:right w:w="0" w:type="dxa"/>
            </w:tcMar>
            <w:vAlign w:val="bottom"/>
            <w:hideMark/>
          </w:tcPr>
          <w:p w14:paraId="49C420A9" w14:textId="77777777" w:rsidR="00000000" w:rsidRDefault="001F1B20">
            <w:pPr>
              <w:pStyle w:val="a3"/>
              <w:spacing w:before="0" w:beforeAutospacing="0" w:after="0" w:afterAutospacing="0"/>
              <w:rPr>
                <w:sz w:val="20"/>
                <w:szCs w:val="20"/>
              </w:rPr>
            </w:pPr>
            <w:r>
              <w:rPr>
                <w:sz w:val="20"/>
                <w:szCs w:val="20"/>
              </w:rPr>
              <w:t>9.5% Non-recourse notes due 2035</w:t>
            </w:r>
          </w:p>
        </w:tc>
        <w:tc>
          <w:tcPr>
            <w:tcW w:w="39" w:type="pct"/>
            <w:shd w:val="clear" w:color="auto" w:fill="CCEEFF"/>
            <w:noWrap/>
            <w:tcMar>
              <w:top w:w="0" w:type="dxa"/>
              <w:left w:w="0" w:type="dxa"/>
              <w:bottom w:w="0" w:type="dxa"/>
              <w:right w:w="0" w:type="dxa"/>
            </w:tcMar>
            <w:vAlign w:val="bottom"/>
            <w:hideMark/>
          </w:tcPr>
          <w:p w14:paraId="0425C153"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7763D08" w14:textId="77777777" w:rsidR="00000000" w:rsidRDefault="001F1B20">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14:paraId="4E10385E" w14:textId="77777777" w:rsidR="00000000" w:rsidRDefault="001F1B20">
            <w:pPr>
              <w:pStyle w:val="a3"/>
              <w:spacing w:before="0" w:beforeAutospacing="0" w:after="0" w:afterAutospacing="0"/>
              <w:jc w:val="right"/>
              <w:rPr>
                <w:sz w:val="20"/>
                <w:szCs w:val="20"/>
              </w:rPr>
            </w:pPr>
            <w:r>
              <w:rPr>
                <w:sz w:val="20"/>
                <w:szCs w:val="20"/>
              </w:rPr>
              <w:t>(9,606</w:t>
            </w:r>
            <w:r>
              <w:rPr>
                <w:sz w:val="20"/>
                <w:szCs w:val="20"/>
              </w:rPr>
              <w:t>)</w:t>
            </w:r>
          </w:p>
        </w:tc>
        <w:tc>
          <w:tcPr>
            <w:tcW w:w="39" w:type="pct"/>
            <w:shd w:val="clear" w:color="auto" w:fill="CCEEFF"/>
            <w:noWrap/>
            <w:tcMar>
              <w:top w:w="0" w:type="dxa"/>
              <w:left w:w="0" w:type="dxa"/>
              <w:bottom w:w="0" w:type="dxa"/>
              <w:right w:w="0" w:type="dxa"/>
            </w:tcMar>
            <w:vAlign w:val="bottom"/>
            <w:hideMark/>
          </w:tcPr>
          <w:p w14:paraId="5F4F4D88"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005E3D04" w14:textId="77777777" w:rsidR="00000000" w:rsidRDefault="001F1B20">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14:paraId="3A57776E" w14:textId="77777777" w:rsidR="00000000" w:rsidRDefault="001F1B20">
            <w:pPr>
              <w:pStyle w:val="a3"/>
              <w:spacing w:before="0" w:beforeAutospacing="0" w:after="0" w:afterAutospacing="0"/>
              <w:jc w:val="right"/>
              <w:rPr>
                <w:sz w:val="20"/>
                <w:szCs w:val="20"/>
              </w:rPr>
            </w:pPr>
            <w:r>
              <w:rPr>
                <w:sz w:val="20"/>
                <w:szCs w:val="20"/>
              </w:rPr>
              <w:t>(9,437</w:t>
            </w:r>
            <w:r>
              <w:rPr>
                <w:sz w:val="20"/>
                <w:szCs w:val="20"/>
              </w:rPr>
              <w:t>)</w:t>
            </w:r>
          </w:p>
        </w:tc>
        <w:tc>
          <w:tcPr>
            <w:tcW w:w="39" w:type="pct"/>
            <w:shd w:val="clear" w:color="auto" w:fill="CCEEFF"/>
            <w:noWrap/>
            <w:tcMar>
              <w:top w:w="0" w:type="dxa"/>
              <w:left w:w="0" w:type="dxa"/>
              <w:bottom w:w="0" w:type="dxa"/>
              <w:right w:w="0" w:type="dxa"/>
            </w:tcMar>
            <w:vAlign w:val="bottom"/>
            <w:hideMark/>
          </w:tcPr>
          <w:p w14:paraId="488D7A8C"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6A32EF0" w14:textId="77777777" w:rsidR="00000000" w:rsidRDefault="001F1B20">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14:paraId="6D4CA479" w14:textId="77777777" w:rsidR="00000000" w:rsidRDefault="001F1B20">
            <w:pPr>
              <w:pStyle w:val="a3"/>
              <w:spacing w:before="0" w:beforeAutospacing="0" w:after="0" w:afterAutospacing="0"/>
              <w:jc w:val="right"/>
              <w:rPr>
                <w:sz w:val="20"/>
                <w:szCs w:val="20"/>
              </w:rPr>
            </w:pPr>
            <w:r>
              <w:rPr>
                <w:sz w:val="20"/>
                <w:szCs w:val="20"/>
              </w:rPr>
              <w:t>(169</w:t>
            </w:r>
            <w:r>
              <w:rPr>
                <w:sz w:val="20"/>
                <w:szCs w:val="20"/>
              </w:rPr>
              <w:t>)</w:t>
            </w:r>
          </w:p>
        </w:tc>
        <w:tc>
          <w:tcPr>
            <w:tcW w:w="39" w:type="pct"/>
            <w:shd w:val="clear" w:color="auto" w:fill="CCEEFF"/>
            <w:noWrap/>
            <w:tcMar>
              <w:top w:w="0" w:type="dxa"/>
              <w:left w:w="0" w:type="dxa"/>
              <w:bottom w:w="0" w:type="dxa"/>
              <w:right w:w="0" w:type="dxa"/>
            </w:tcMar>
            <w:vAlign w:val="bottom"/>
            <w:hideMark/>
          </w:tcPr>
          <w:p w14:paraId="304E9664" w14:textId="77777777" w:rsidR="00000000" w:rsidRDefault="001F1B20">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14:paraId="51EC4B7A" w14:textId="77777777" w:rsidR="00000000" w:rsidRDefault="001F1B20">
            <w:pPr>
              <w:pStyle w:val="a3"/>
              <w:spacing w:before="0" w:beforeAutospacing="0" w:after="0" w:afterAutospacing="0"/>
              <w:ind w:right="70"/>
              <w:jc w:val="right"/>
              <w:rPr>
                <w:sz w:val="20"/>
                <w:szCs w:val="20"/>
              </w:rPr>
            </w:pPr>
            <w:r>
              <w:rPr>
                <w:sz w:val="20"/>
                <w:szCs w:val="20"/>
              </w:rPr>
              <w:t>2</w:t>
            </w:r>
          </w:p>
        </w:tc>
        <w:tc>
          <w:tcPr>
            <w:tcW w:w="132" w:type="pct"/>
            <w:shd w:val="clear" w:color="auto" w:fill="CCEEFF"/>
            <w:noWrap/>
            <w:tcMar>
              <w:top w:w="0" w:type="dxa"/>
              <w:left w:w="0" w:type="dxa"/>
              <w:bottom w:w="0" w:type="dxa"/>
              <w:right w:w="0" w:type="dxa"/>
            </w:tcMar>
            <w:vAlign w:val="bottom"/>
            <w:hideMark/>
          </w:tcPr>
          <w:p w14:paraId="7118564B" w14:textId="77777777" w:rsidR="00000000" w:rsidRDefault="001F1B20">
            <w:pPr>
              <w:pStyle w:val="a3"/>
              <w:spacing w:before="0" w:beforeAutospacing="0" w:after="0" w:afterAutospacing="0"/>
              <w:ind w:right="7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4DB36651"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66920FE" w14:textId="77777777" w:rsidR="00000000" w:rsidRDefault="001F1B20">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14:paraId="3A239BDF" w14:textId="77777777" w:rsidR="00000000" w:rsidRDefault="001F1B20">
            <w:pPr>
              <w:pStyle w:val="a3"/>
              <w:spacing w:before="0" w:beforeAutospacing="0" w:after="0" w:afterAutospacing="0"/>
              <w:jc w:val="right"/>
              <w:rPr>
                <w:sz w:val="20"/>
                <w:szCs w:val="20"/>
              </w:rPr>
            </w:pPr>
            <w:r>
              <w:rPr>
                <w:sz w:val="20"/>
                <w:szCs w:val="20"/>
              </w:rPr>
              <w:t>(28,817</w:t>
            </w:r>
            <w:r>
              <w:rPr>
                <w:sz w:val="20"/>
                <w:szCs w:val="20"/>
              </w:rPr>
              <w:t>)</w:t>
            </w:r>
          </w:p>
        </w:tc>
        <w:tc>
          <w:tcPr>
            <w:tcW w:w="39" w:type="pct"/>
            <w:shd w:val="clear" w:color="auto" w:fill="CCEEFF"/>
            <w:noWrap/>
            <w:tcMar>
              <w:top w:w="0" w:type="dxa"/>
              <w:left w:w="0" w:type="dxa"/>
              <w:bottom w:w="0" w:type="dxa"/>
              <w:right w:w="0" w:type="dxa"/>
            </w:tcMar>
            <w:vAlign w:val="bottom"/>
            <w:hideMark/>
          </w:tcPr>
          <w:p w14:paraId="031F8D90"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C866EBA" w14:textId="77777777" w:rsidR="00000000" w:rsidRDefault="001F1B20">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14:paraId="7C52D639" w14:textId="77777777" w:rsidR="00000000" w:rsidRDefault="001F1B20">
            <w:pPr>
              <w:pStyle w:val="a3"/>
              <w:spacing w:before="0" w:beforeAutospacing="0" w:after="0" w:afterAutospacing="0"/>
              <w:jc w:val="right"/>
              <w:rPr>
                <w:sz w:val="20"/>
                <w:szCs w:val="20"/>
              </w:rPr>
            </w:pPr>
            <w:r>
              <w:rPr>
                <w:sz w:val="20"/>
                <w:szCs w:val="20"/>
              </w:rPr>
              <w:t>(26,495</w:t>
            </w:r>
            <w:r>
              <w:rPr>
                <w:sz w:val="20"/>
                <w:szCs w:val="20"/>
              </w:rPr>
              <w:t>)</w:t>
            </w:r>
          </w:p>
        </w:tc>
        <w:tc>
          <w:tcPr>
            <w:tcW w:w="39" w:type="pct"/>
            <w:shd w:val="clear" w:color="auto" w:fill="CCEEFF"/>
            <w:noWrap/>
            <w:tcMar>
              <w:top w:w="0" w:type="dxa"/>
              <w:left w:w="0" w:type="dxa"/>
              <w:bottom w:w="0" w:type="dxa"/>
              <w:right w:w="0" w:type="dxa"/>
            </w:tcMar>
            <w:vAlign w:val="bottom"/>
            <w:hideMark/>
          </w:tcPr>
          <w:p w14:paraId="10F134D5" w14:textId="77777777" w:rsidR="00000000" w:rsidRDefault="001F1B20">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1084870E" w14:textId="77777777" w:rsidR="00000000" w:rsidRDefault="001F1B20">
            <w:pPr>
              <w:pStyle w:val="a3"/>
              <w:spacing w:before="0" w:beforeAutospacing="0" w:after="0"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473DD5FD" w14:textId="77777777" w:rsidR="00000000" w:rsidRDefault="001F1B20">
            <w:pPr>
              <w:pStyle w:val="a3"/>
              <w:spacing w:before="0" w:beforeAutospacing="0" w:after="0" w:afterAutospacing="0"/>
              <w:jc w:val="right"/>
              <w:rPr>
                <w:sz w:val="20"/>
                <w:szCs w:val="20"/>
              </w:rPr>
            </w:pPr>
            <w:r>
              <w:rPr>
                <w:sz w:val="20"/>
                <w:szCs w:val="20"/>
              </w:rPr>
              <w:t>(2,322</w:t>
            </w:r>
            <w:r>
              <w:rPr>
                <w:sz w:val="20"/>
                <w:szCs w:val="20"/>
              </w:rPr>
              <w:t>)</w:t>
            </w:r>
          </w:p>
        </w:tc>
        <w:tc>
          <w:tcPr>
            <w:tcW w:w="39" w:type="pct"/>
            <w:shd w:val="clear" w:color="auto" w:fill="CCEEFF"/>
            <w:noWrap/>
            <w:tcMar>
              <w:top w:w="0" w:type="dxa"/>
              <w:left w:w="0" w:type="dxa"/>
              <w:bottom w:w="0" w:type="dxa"/>
              <w:right w:w="0" w:type="dxa"/>
            </w:tcMar>
            <w:vAlign w:val="bottom"/>
            <w:hideMark/>
          </w:tcPr>
          <w:p w14:paraId="2A4723B4" w14:textId="77777777" w:rsidR="00000000" w:rsidRDefault="001F1B20">
            <w:pPr>
              <w:pStyle w:val="a3"/>
              <w:spacing w:before="0" w:beforeAutospacing="0" w:after="0" w:afterAutospacing="0"/>
              <w:jc w:val="center"/>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14:paraId="06316D3C" w14:textId="77777777" w:rsidR="00000000" w:rsidRDefault="001F1B20">
            <w:pPr>
              <w:pStyle w:val="a3"/>
              <w:spacing w:before="0" w:beforeAutospacing="0" w:after="0" w:afterAutospacing="0"/>
              <w:ind w:right="70"/>
              <w:jc w:val="right"/>
              <w:rPr>
                <w:sz w:val="20"/>
                <w:szCs w:val="20"/>
              </w:rPr>
            </w:pPr>
            <w:r>
              <w:rPr>
                <w:sz w:val="20"/>
                <w:szCs w:val="20"/>
              </w:rPr>
              <w:t>9</w:t>
            </w:r>
          </w:p>
        </w:tc>
        <w:tc>
          <w:tcPr>
            <w:tcW w:w="132" w:type="pct"/>
            <w:shd w:val="clear" w:color="auto" w:fill="CCEEFF"/>
            <w:noWrap/>
            <w:tcMar>
              <w:top w:w="0" w:type="dxa"/>
              <w:left w:w="0" w:type="dxa"/>
              <w:bottom w:w="0" w:type="dxa"/>
              <w:right w:w="0" w:type="dxa"/>
            </w:tcMar>
            <w:vAlign w:val="bottom"/>
            <w:hideMark/>
          </w:tcPr>
          <w:p w14:paraId="31385D28" w14:textId="77777777" w:rsidR="00000000" w:rsidRDefault="001F1B20">
            <w:pPr>
              <w:pStyle w:val="a3"/>
              <w:spacing w:before="0" w:beforeAutospacing="0" w:after="0" w:afterAutospacing="0"/>
              <w:rPr>
                <w:sz w:val="20"/>
                <w:szCs w:val="20"/>
              </w:rPr>
            </w:pPr>
            <w:r>
              <w:rPr>
                <w:sz w:val="20"/>
                <w:szCs w:val="20"/>
              </w:rPr>
              <w:t>%  </w:t>
            </w:r>
          </w:p>
        </w:tc>
      </w:tr>
      <w:tr w:rsidR="00000000" w14:paraId="29A80DB8" w14:textId="77777777">
        <w:trPr>
          <w:divId w:val="1561095023"/>
        </w:trPr>
        <w:tc>
          <w:tcPr>
            <w:tcW w:w="1791" w:type="pct"/>
            <w:tcMar>
              <w:top w:w="0" w:type="dxa"/>
              <w:left w:w="0" w:type="dxa"/>
              <w:bottom w:w="0" w:type="dxa"/>
              <w:right w:w="0" w:type="dxa"/>
            </w:tcMar>
            <w:vAlign w:val="bottom"/>
            <w:hideMark/>
          </w:tcPr>
          <w:p w14:paraId="5F66C848" w14:textId="77777777" w:rsidR="00000000" w:rsidRDefault="001F1B20">
            <w:pPr>
              <w:pStyle w:val="a3"/>
              <w:spacing w:before="0" w:beforeAutospacing="0" w:after="0" w:afterAutospacing="0"/>
              <w:rPr>
                <w:sz w:val="20"/>
                <w:szCs w:val="20"/>
              </w:rPr>
            </w:pPr>
            <w:r>
              <w:rPr>
                <w:sz w:val="20"/>
                <w:szCs w:val="20"/>
              </w:rPr>
              <w:t>3.25% Convertible senior notes due 2023</w:t>
            </w:r>
          </w:p>
        </w:tc>
        <w:tc>
          <w:tcPr>
            <w:tcW w:w="39" w:type="pct"/>
            <w:noWrap/>
            <w:tcMar>
              <w:top w:w="0" w:type="dxa"/>
              <w:left w:w="0" w:type="dxa"/>
              <w:bottom w:w="0" w:type="dxa"/>
              <w:right w:w="0" w:type="dxa"/>
            </w:tcMar>
            <w:vAlign w:val="bottom"/>
            <w:hideMark/>
          </w:tcPr>
          <w:p w14:paraId="051E5212"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773F1CD5" w14:textId="77777777" w:rsidR="00000000" w:rsidRDefault="001F1B20">
            <w:pPr>
              <w:pStyle w:val="a3"/>
              <w:spacing w:before="0" w:beforeAutospacing="0" w:after="0" w:afterAutospacing="0"/>
              <w:jc w:val="center"/>
              <w:rPr>
                <w:sz w:val="20"/>
                <w:szCs w:val="20"/>
              </w:rPr>
            </w:pPr>
            <w:r>
              <w:rPr>
                <w:sz w:val="20"/>
                <w:szCs w:val="20"/>
              </w:rPr>
              <w:t>​</w:t>
            </w:r>
          </w:p>
        </w:tc>
        <w:tc>
          <w:tcPr>
            <w:tcW w:w="364" w:type="pct"/>
            <w:tcBorders>
              <w:bottom w:val="single" w:sz="6" w:space="0" w:color="000000"/>
            </w:tcBorders>
            <w:noWrap/>
            <w:tcMar>
              <w:top w:w="0" w:type="dxa"/>
              <w:left w:w="0" w:type="dxa"/>
              <w:bottom w:w="0" w:type="dxa"/>
              <w:right w:w="0" w:type="dxa"/>
            </w:tcMar>
            <w:vAlign w:val="bottom"/>
            <w:hideMark/>
          </w:tcPr>
          <w:p w14:paraId="4B41FC3B" w14:textId="77777777" w:rsidR="00000000" w:rsidRDefault="001F1B20">
            <w:pPr>
              <w:pStyle w:val="a3"/>
              <w:spacing w:before="0" w:beforeAutospacing="0" w:after="0" w:afterAutospacing="0"/>
              <w:jc w:val="right"/>
              <w:rPr>
                <w:sz w:val="20"/>
                <w:szCs w:val="20"/>
              </w:rPr>
            </w:pPr>
            <w:r>
              <w:rPr>
                <w:sz w:val="20"/>
                <w:szCs w:val="20"/>
              </w:rPr>
              <w:t>(2,136</w:t>
            </w:r>
            <w:r>
              <w:rPr>
                <w:sz w:val="20"/>
                <w:szCs w:val="20"/>
              </w:rPr>
              <w:t>)</w:t>
            </w:r>
          </w:p>
        </w:tc>
        <w:tc>
          <w:tcPr>
            <w:tcW w:w="39" w:type="pct"/>
            <w:noWrap/>
            <w:tcMar>
              <w:top w:w="0" w:type="dxa"/>
              <w:left w:w="0" w:type="dxa"/>
              <w:bottom w:w="0" w:type="dxa"/>
              <w:right w:w="0" w:type="dxa"/>
            </w:tcMar>
            <w:vAlign w:val="bottom"/>
            <w:hideMark/>
          </w:tcPr>
          <w:p w14:paraId="3D765028"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7EEDD782" w14:textId="77777777" w:rsidR="00000000" w:rsidRDefault="001F1B20">
            <w:pPr>
              <w:pStyle w:val="a3"/>
              <w:spacing w:before="0" w:beforeAutospacing="0" w:after="0" w:afterAutospacing="0"/>
              <w:rPr>
                <w:sz w:val="20"/>
                <w:szCs w:val="20"/>
              </w:rPr>
            </w:pPr>
            <w:r>
              <w:rPr>
                <w:sz w:val="20"/>
                <w:szCs w:val="20"/>
              </w:rPr>
              <w:t>​</w:t>
            </w:r>
          </w:p>
        </w:tc>
        <w:tc>
          <w:tcPr>
            <w:tcW w:w="364" w:type="pct"/>
            <w:tcBorders>
              <w:bottom w:val="single" w:sz="6" w:space="0" w:color="000000"/>
            </w:tcBorders>
            <w:noWrap/>
            <w:tcMar>
              <w:top w:w="0" w:type="dxa"/>
              <w:left w:w="0" w:type="dxa"/>
              <w:bottom w:w="0" w:type="dxa"/>
              <w:right w:w="0" w:type="dxa"/>
            </w:tcMar>
            <w:vAlign w:val="bottom"/>
            <w:hideMark/>
          </w:tcPr>
          <w:p w14:paraId="05719349" w14:textId="77777777" w:rsidR="00000000" w:rsidRDefault="001F1B20">
            <w:pPr>
              <w:pStyle w:val="a3"/>
              <w:spacing w:before="0" w:beforeAutospacing="0" w:after="0" w:afterAutospacing="0"/>
              <w:jc w:val="right"/>
              <w:rPr>
                <w:sz w:val="20"/>
                <w:szCs w:val="20"/>
              </w:rPr>
            </w:pPr>
            <w:r>
              <w:rPr>
                <w:sz w:val="20"/>
                <w:szCs w:val="20"/>
              </w:rPr>
              <w:t>(2,136</w:t>
            </w:r>
            <w:r>
              <w:rPr>
                <w:sz w:val="20"/>
                <w:szCs w:val="20"/>
              </w:rPr>
              <w:t>)</w:t>
            </w:r>
          </w:p>
        </w:tc>
        <w:tc>
          <w:tcPr>
            <w:tcW w:w="39" w:type="pct"/>
            <w:noWrap/>
            <w:tcMar>
              <w:top w:w="0" w:type="dxa"/>
              <w:left w:w="0" w:type="dxa"/>
              <w:bottom w:w="0" w:type="dxa"/>
              <w:right w:w="0" w:type="dxa"/>
            </w:tcMar>
            <w:vAlign w:val="bottom"/>
            <w:hideMark/>
          </w:tcPr>
          <w:p w14:paraId="712C1123"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429A5FB4" w14:textId="77777777" w:rsidR="00000000" w:rsidRDefault="001F1B20">
            <w:pPr>
              <w:pStyle w:val="a3"/>
              <w:spacing w:before="0" w:beforeAutospacing="0" w:after="0" w:afterAutospacing="0"/>
              <w:rPr>
                <w:sz w:val="20"/>
                <w:szCs w:val="20"/>
              </w:rPr>
            </w:pPr>
            <w:r>
              <w:rPr>
                <w:sz w:val="20"/>
                <w:szCs w:val="20"/>
              </w:rPr>
              <w:t>​</w:t>
            </w:r>
          </w:p>
        </w:tc>
        <w:tc>
          <w:tcPr>
            <w:tcW w:w="240" w:type="pct"/>
            <w:tcBorders>
              <w:bottom w:val="single" w:sz="6" w:space="0" w:color="000000"/>
            </w:tcBorders>
            <w:noWrap/>
            <w:tcMar>
              <w:top w:w="0" w:type="dxa"/>
              <w:left w:w="0" w:type="dxa"/>
              <w:bottom w:w="0" w:type="dxa"/>
              <w:right w:w="0" w:type="dxa"/>
            </w:tcMar>
            <w:vAlign w:val="bottom"/>
            <w:hideMark/>
          </w:tcPr>
          <w:p w14:paraId="37565D20" w14:textId="77777777" w:rsidR="00000000" w:rsidRDefault="001F1B20">
            <w:pPr>
              <w:pStyle w:val="a3"/>
              <w:spacing w:before="0" w:beforeAutospacing="0" w:after="0" w:afterAutospacing="0"/>
              <w:ind w:right="70"/>
              <w:jc w:val="right"/>
              <w:rPr>
                <w:sz w:val="20"/>
                <w:szCs w:val="20"/>
              </w:rPr>
            </w:pPr>
            <w:r>
              <w:rPr>
                <w:sz w:val="20"/>
                <w:szCs w:val="20"/>
              </w:rPr>
              <w:t>—</w:t>
            </w:r>
          </w:p>
        </w:tc>
        <w:tc>
          <w:tcPr>
            <w:tcW w:w="39" w:type="pct"/>
            <w:noWrap/>
            <w:tcMar>
              <w:top w:w="0" w:type="dxa"/>
              <w:left w:w="0" w:type="dxa"/>
              <w:bottom w:w="0" w:type="dxa"/>
              <w:right w:w="0" w:type="dxa"/>
            </w:tcMar>
            <w:vAlign w:val="bottom"/>
            <w:hideMark/>
          </w:tcPr>
          <w:p w14:paraId="073F5B36" w14:textId="77777777" w:rsidR="00000000" w:rsidRDefault="001F1B20">
            <w:pPr>
              <w:pStyle w:val="a3"/>
              <w:spacing w:before="0" w:beforeAutospacing="0" w:after="0" w:afterAutospacing="0"/>
              <w:rPr>
                <w:sz w:val="20"/>
                <w:szCs w:val="20"/>
              </w:rPr>
            </w:pPr>
            <w:r>
              <w:rPr>
                <w:sz w:val="20"/>
                <w:szCs w:val="20"/>
              </w:rPr>
              <w:t>​</w:t>
            </w:r>
          </w:p>
        </w:tc>
        <w:tc>
          <w:tcPr>
            <w:tcW w:w="158" w:type="pct"/>
            <w:tcBorders>
              <w:bottom w:val="single" w:sz="6" w:space="0" w:color="000000"/>
            </w:tcBorders>
            <w:noWrap/>
            <w:tcMar>
              <w:top w:w="0" w:type="dxa"/>
              <w:left w:w="0" w:type="dxa"/>
              <w:bottom w:w="0" w:type="dxa"/>
              <w:right w:w="0" w:type="dxa"/>
            </w:tcMar>
            <w:vAlign w:val="bottom"/>
            <w:hideMark/>
          </w:tcPr>
          <w:p w14:paraId="249ADE24" w14:textId="77777777" w:rsidR="00000000" w:rsidRDefault="001F1B20">
            <w:pPr>
              <w:pStyle w:val="a3"/>
              <w:spacing w:before="0" w:beforeAutospacing="0" w:after="0" w:afterAutospacing="0"/>
              <w:ind w:right="70"/>
              <w:jc w:val="right"/>
              <w:rPr>
                <w:sz w:val="20"/>
                <w:szCs w:val="20"/>
              </w:rPr>
            </w:pPr>
            <w:r>
              <w:rPr>
                <w:sz w:val="20"/>
                <w:szCs w:val="20"/>
              </w:rPr>
              <w:t>—</w:t>
            </w:r>
          </w:p>
        </w:tc>
        <w:tc>
          <w:tcPr>
            <w:tcW w:w="132" w:type="pct"/>
            <w:noWrap/>
            <w:tcMar>
              <w:top w:w="0" w:type="dxa"/>
              <w:left w:w="0" w:type="dxa"/>
              <w:bottom w:w="0" w:type="dxa"/>
              <w:right w:w="0" w:type="dxa"/>
            </w:tcMar>
            <w:vAlign w:val="bottom"/>
            <w:hideMark/>
          </w:tcPr>
          <w:p w14:paraId="6448D568" w14:textId="77777777" w:rsidR="00000000" w:rsidRDefault="001F1B20">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14:paraId="592FD7D0"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1B772905" w14:textId="77777777" w:rsidR="00000000" w:rsidRDefault="001F1B20">
            <w:pPr>
              <w:pStyle w:val="a3"/>
              <w:spacing w:before="0" w:beforeAutospacing="0" w:after="0" w:afterAutospacing="0"/>
              <w:rPr>
                <w:sz w:val="20"/>
                <w:szCs w:val="20"/>
              </w:rPr>
            </w:pPr>
            <w:r>
              <w:rPr>
                <w:sz w:val="20"/>
                <w:szCs w:val="20"/>
              </w:rPr>
              <w:t>​</w:t>
            </w:r>
          </w:p>
        </w:tc>
        <w:tc>
          <w:tcPr>
            <w:tcW w:w="364" w:type="pct"/>
            <w:tcBorders>
              <w:bottom w:val="single" w:sz="6" w:space="0" w:color="000000"/>
            </w:tcBorders>
            <w:noWrap/>
            <w:tcMar>
              <w:top w:w="0" w:type="dxa"/>
              <w:left w:w="0" w:type="dxa"/>
              <w:bottom w:w="0" w:type="dxa"/>
              <w:right w:w="0" w:type="dxa"/>
            </w:tcMar>
            <w:vAlign w:val="bottom"/>
            <w:hideMark/>
          </w:tcPr>
          <w:p w14:paraId="456D7238" w14:textId="77777777" w:rsidR="00000000" w:rsidRDefault="001F1B20">
            <w:pPr>
              <w:pStyle w:val="a3"/>
              <w:spacing w:before="0" w:beforeAutospacing="0" w:after="0" w:afterAutospacing="0"/>
              <w:jc w:val="right"/>
              <w:rPr>
                <w:sz w:val="20"/>
                <w:szCs w:val="20"/>
              </w:rPr>
            </w:pPr>
            <w:r>
              <w:rPr>
                <w:sz w:val="20"/>
                <w:szCs w:val="20"/>
              </w:rPr>
              <w:t>(6,410</w:t>
            </w:r>
            <w:r>
              <w:rPr>
                <w:sz w:val="20"/>
                <w:szCs w:val="20"/>
              </w:rPr>
              <w:t>)</w:t>
            </w:r>
          </w:p>
        </w:tc>
        <w:tc>
          <w:tcPr>
            <w:tcW w:w="39" w:type="pct"/>
            <w:noWrap/>
            <w:tcMar>
              <w:top w:w="0" w:type="dxa"/>
              <w:left w:w="0" w:type="dxa"/>
              <w:bottom w:w="0" w:type="dxa"/>
              <w:right w:w="0" w:type="dxa"/>
            </w:tcMar>
            <w:vAlign w:val="bottom"/>
            <w:hideMark/>
          </w:tcPr>
          <w:p w14:paraId="12C39A2D"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74FE5CED" w14:textId="77777777" w:rsidR="00000000" w:rsidRDefault="001F1B20">
            <w:pPr>
              <w:pStyle w:val="a3"/>
              <w:spacing w:before="0" w:beforeAutospacing="0" w:after="0" w:afterAutospacing="0"/>
              <w:rPr>
                <w:sz w:val="20"/>
                <w:szCs w:val="20"/>
              </w:rPr>
            </w:pPr>
            <w:r>
              <w:rPr>
                <w:sz w:val="20"/>
                <w:szCs w:val="20"/>
              </w:rPr>
              <w:t>​</w:t>
            </w:r>
          </w:p>
        </w:tc>
        <w:tc>
          <w:tcPr>
            <w:tcW w:w="364" w:type="pct"/>
            <w:tcBorders>
              <w:bottom w:val="single" w:sz="6" w:space="0" w:color="000000"/>
            </w:tcBorders>
            <w:noWrap/>
            <w:tcMar>
              <w:top w:w="0" w:type="dxa"/>
              <w:left w:w="0" w:type="dxa"/>
              <w:bottom w:w="0" w:type="dxa"/>
              <w:right w:w="0" w:type="dxa"/>
            </w:tcMar>
            <w:vAlign w:val="bottom"/>
            <w:hideMark/>
          </w:tcPr>
          <w:p w14:paraId="5D3FF339" w14:textId="77777777" w:rsidR="00000000" w:rsidRDefault="001F1B20">
            <w:pPr>
              <w:pStyle w:val="a3"/>
              <w:spacing w:before="0" w:beforeAutospacing="0" w:after="0" w:afterAutospacing="0"/>
              <w:jc w:val="right"/>
              <w:rPr>
                <w:sz w:val="20"/>
                <w:szCs w:val="20"/>
              </w:rPr>
            </w:pPr>
            <w:r>
              <w:rPr>
                <w:sz w:val="20"/>
                <w:szCs w:val="20"/>
              </w:rPr>
              <w:t>(6,410</w:t>
            </w:r>
            <w:r>
              <w:rPr>
                <w:sz w:val="20"/>
                <w:szCs w:val="20"/>
              </w:rPr>
              <w:t>)</w:t>
            </w:r>
          </w:p>
        </w:tc>
        <w:tc>
          <w:tcPr>
            <w:tcW w:w="39" w:type="pct"/>
            <w:noWrap/>
            <w:tcMar>
              <w:top w:w="0" w:type="dxa"/>
              <w:left w:w="0" w:type="dxa"/>
              <w:bottom w:w="0" w:type="dxa"/>
              <w:right w:w="0" w:type="dxa"/>
            </w:tcMar>
            <w:vAlign w:val="bottom"/>
            <w:hideMark/>
          </w:tcPr>
          <w:p w14:paraId="7962A6BF"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58A3F3CF" w14:textId="77777777" w:rsidR="00000000" w:rsidRDefault="001F1B20">
            <w:pPr>
              <w:pStyle w:val="a3"/>
              <w:spacing w:before="0" w:beforeAutospacing="0" w:after="0" w:afterAutospacing="0"/>
              <w:rPr>
                <w:sz w:val="20"/>
                <w:szCs w:val="20"/>
              </w:rPr>
            </w:pPr>
            <w:r>
              <w:rPr>
                <w:sz w:val="20"/>
                <w:szCs w:val="20"/>
              </w:rPr>
              <w:t>​</w:t>
            </w:r>
          </w:p>
        </w:tc>
        <w:tc>
          <w:tcPr>
            <w:tcW w:w="314" w:type="pct"/>
            <w:tcBorders>
              <w:bottom w:val="single" w:sz="6" w:space="0" w:color="000000"/>
            </w:tcBorders>
            <w:noWrap/>
            <w:tcMar>
              <w:top w:w="0" w:type="dxa"/>
              <w:left w:w="0" w:type="dxa"/>
              <w:bottom w:w="0" w:type="dxa"/>
              <w:right w:w="0" w:type="dxa"/>
            </w:tcMar>
            <w:vAlign w:val="bottom"/>
            <w:hideMark/>
          </w:tcPr>
          <w:p w14:paraId="24CD20F2" w14:textId="77777777" w:rsidR="00000000" w:rsidRDefault="001F1B20">
            <w:pPr>
              <w:pStyle w:val="a3"/>
              <w:spacing w:before="0" w:beforeAutospacing="0" w:after="0" w:afterAutospacing="0"/>
              <w:ind w:right="70"/>
              <w:jc w:val="right"/>
              <w:rPr>
                <w:sz w:val="20"/>
                <w:szCs w:val="20"/>
              </w:rPr>
            </w:pPr>
            <w:r>
              <w:rPr>
                <w:sz w:val="20"/>
                <w:szCs w:val="20"/>
              </w:rPr>
              <w:t>—</w:t>
            </w:r>
          </w:p>
        </w:tc>
        <w:tc>
          <w:tcPr>
            <w:tcW w:w="39" w:type="pct"/>
            <w:noWrap/>
            <w:tcMar>
              <w:top w:w="0" w:type="dxa"/>
              <w:left w:w="0" w:type="dxa"/>
              <w:bottom w:w="0" w:type="dxa"/>
              <w:right w:w="0" w:type="dxa"/>
            </w:tcMar>
            <w:vAlign w:val="bottom"/>
            <w:hideMark/>
          </w:tcPr>
          <w:p w14:paraId="6C75A819" w14:textId="77777777" w:rsidR="00000000" w:rsidRDefault="001F1B20">
            <w:pPr>
              <w:pStyle w:val="a3"/>
              <w:spacing w:before="0" w:beforeAutospacing="0" w:after="0" w:afterAutospacing="0"/>
              <w:rPr>
                <w:sz w:val="20"/>
                <w:szCs w:val="20"/>
              </w:rPr>
            </w:pPr>
            <w:r>
              <w:rPr>
                <w:sz w:val="20"/>
                <w:szCs w:val="20"/>
              </w:rPr>
              <w:t>​</w:t>
            </w:r>
          </w:p>
        </w:tc>
        <w:tc>
          <w:tcPr>
            <w:tcW w:w="158" w:type="pct"/>
            <w:tcBorders>
              <w:bottom w:val="single" w:sz="6" w:space="0" w:color="000000"/>
            </w:tcBorders>
            <w:noWrap/>
            <w:tcMar>
              <w:top w:w="0" w:type="dxa"/>
              <w:left w:w="0" w:type="dxa"/>
              <w:bottom w:w="0" w:type="dxa"/>
              <w:right w:w="0" w:type="dxa"/>
            </w:tcMar>
            <w:vAlign w:val="bottom"/>
            <w:hideMark/>
          </w:tcPr>
          <w:p w14:paraId="78BEAC28" w14:textId="77777777" w:rsidR="00000000" w:rsidRDefault="001F1B20">
            <w:pPr>
              <w:pStyle w:val="a3"/>
              <w:spacing w:before="0" w:beforeAutospacing="0" w:after="0" w:afterAutospacing="0"/>
              <w:ind w:right="70"/>
              <w:jc w:val="right"/>
              <w:rPr>
                <w:sz w:val="20"/>
                <w:szCs w:val="20"/>
              </w:rPr>
            </w:pPr>
            <w:r>
              <w:rPr>
                <w:sz w:val="20"/>
                <w:szCs w:val="20"/>
              </w:rPr>
              <w:t>—</w:t>
            </w:r>
          </w:p>
        </w:tc>
        <w:tc>
          <w:tcPr>
            <w:tcW w:w="132" w:type="pct"/>
            <w:noWrap/>
            <w:tcMar>
              <w:top w:w="0" w:type="dxa"/>
              <w:left w:w="0" w:type="dxa"/>
              <w:bottom w:w="0" w:type="dxa"/>
              <w:right w:w="0" w:type="dxa"/>
            </w:tcMar>
            <w:vAlign w:val="bottom"/>
            <w:hideMark/>
          </w:tcPr>
          <w:p w14:paraId="45DF7C15" w14:textId="77777777" w:rsidR="00000000" w:rsidRDefault="001F1B20">
            <w:pPr>
              <w:pStyle w:val="a3"/>
              <w:spacing w:before="0" w:beforeAutospacing="0" w:after="0" w:afterAutospacing="0"/>
              <w:rPr>
                <w:sz w:val="20"/>
                <w:szCs w:val="20"/>
              </w:rPr>
            </w:pPr>
            <w:r>
              <w:rPr>
                <w:sz w:val="20"/>
                <w:szCs w:val="20"/>
              </w:rPr>
              <w:t>​</w:t>
            </w:r>
          </w:p>
        </w:tc>
      </w:tr>
      <w:tr w:rsidR="00000000" w14:paraId="46083101" w14:textId="77777777">
        <w:trPr>
          <w:divId w:val="1561095023"/>
        </w:trPr>
        <w:tc>
          <w:tcPr>
            <w:tcW w:w="1791" w:type="pct"/>
            <w:shd w:val="clear" w:color="auto" w:fill="CCEEFF"/>
            <w:tcMar>
              <w:top w:w="0" w:type="dxa"/>
              <w:left w:w="0" w:type="dxa"/>
              <w:bottom w:w="0" w:type="dxa"/>
              <w:right w:w="0" w:type="dxa"/>
            </w:tcMar>
            <w:vAlign w:val="bottom"/>
            <w:hideMark/>
          </w:tcPr>
          <w:p w14:paraId="2F230863" w14:textId="77777777" w:rsidR="00000000" w:rsidRDefault="001F1B20">
            <w:pPr>
              <w:pStyle w:val="a3"/>
              <w:spacing w:before="0" w:beforeAutospacing="0" w:after="0" w:afterAutospacing="0"/>
              <w:ind w:left="120"/>
              <w:rPr>
                <w:sz w:val="20"/>
                <w:szCs w:val="20"/>
              </w:rPr>
            </w:pPr>
            <w:r>
              <w:rPr>
                <w:sz w:val="20"/>
                <w:szCs w:val="20"/>
              </w:rPr>
              <w:t>Total interest expense</w:t>
            </w:r>
          </w:p>
        </w:tc>
        <w:tc>
          <w:tcPr>
            <w:tcW w:w="39" w:type="pct"/>
            <w:shd w:val="clear" w:color="auto" w:fill="CCEEFF"/>
            <w:noWrap/>
            <w:tcMar>
              <w:top w:w="0" w:type="dxa"/>
              <w:left w:w="0" w:type="dxa"/>
              <w:bottom w:w="0" w:type="dxa"/>
              <w:right w:w="0" w:type="dxa"/>
            </w:tcMar>
            <w:vAlign w:val="bottom"/>
            <w:hideMark/>
          </w:tcPr>
          <w:p w14:paraId="6E058ECF"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66449B06" w14:textId="77777777" w:rsidR="00000000" w:rsidRDefault="001F1B20">
            <w:pPr>
              <w:pStyle w:val="a3"/>
              <w:spacing w:before="0" w:beforeAutospacing="0" w:after="0" w:afterAutospacing="0"/>
              <w:rPr>
                <w:sz w:val="20"/>
                <w:szCs w:val="20"/>
              </w:rPr>
            </w:pPr>
            <w:r>
              <w:rPr>
                <w:sz w:val="20"/>
                <w:szCs w:val="20"/>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14:paraId="70FC30E2" w14:textId="77777777" w:rsidR="00000000" w:rsidRDefault="001F1B20">
            <w:pPr>
              <w:pStyle w:val="a3"/>
              <w:spacing w:before="0" w:beforeAutospacing="0" w:after="0" w:afterAutospacing="0"/>
              <w:jc w:val="right"/>
              <w:rPr>
                <w:sz w:val="20"/>
                <w:szCs w:val="20"/>
              </w:rPr>
            </w:pPr>
            <w:r>
              <w:rPr>
                <w:sz w:val="20"/>
                <w:szCs w:val="20"/>
              </w:rPr>
              <w:t>(11,742</w:t>
            </w:r>
            <w:r>
              <w:rPr>
                <w:sz w:val="20"/>
                <w:szCs w:val="20"/>
              </w:rPr>
              <w:t>)</w:t>
            </w:r>
          </w:p>
        </w:tc>
        <w:tc>
          <w:tcPr>
            <w:tcW w:w="39" w:type="pct"/>
            <w:shd w:val="clear" w:color="auto" w:fill="CCEEFF"/>
            <w:noWrap/>
            <w:tcMar>
              <w:top w:w="0" w:type="dxa"/>
              <w:left w:w="0" w:type="dxa"/>
              <w:bottom w:w="0" w:type="dxa"/>
              <w:right w:w="0" w:type="dxa"/>
            </w:tcMar>
            <w:vAlign w:val="bottom"/>
            <w:hideMark/>
          </w:tcPr>
          <w:p w14:paraId="15EC4A09"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24E0FF88" w14:textId="77777777" w:rsidR="00000000" w:rsidRDefault="001F1B20">
            <w:pPr>
              <w:pStyle w:val="a3"/>
              <w:spacing w:before="0" w:beforeAutospacing="0" w:after="0" w:afterAutospacing="0"/>
              <w:rPr>
                <w:sz w:val="20"/>
                <w:szCs w:val="20"/>
              </w:rPr>
            </w:pPr>
            <w:r>
              <w:rPr>
                <w:sz w:val="20"/>
                <w:szCs w:val="20"/>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14:paraId="66B7CA16" w14:textId="77777777" w:rsidR="00000000" w:rsidRDefault="001F1B20">
            <w:pPr>
              <w:pStyle w:val="a3"/>
              <w:spacing w:before="0" w:beforeAutospacing="0" w:after="0" w:afterAutospacing="0"/>
              <w:jc w:val="right"/>
              <w:rPr>
                <w:sz w:val="20"/>
                <w:szCs w:val="20"/>
              </w:rPr>
            </w:pPr>
            <w:r>
              <w:rPr>
                <w:sz w:val="20"/>
                <w:szCs w:val="20"/>
              </w:rPr>
              <w:t>(11,573</w:t>
            </w:r>
            <w:r>
              <w:rPr>
                <w:sz w:val="20"/>
                <w:szCs w:val="20"/>
              </w:rPr>
              <w:t>)</w:t>
            </w:r>
          </w:p>
        </w:tc>
        <w:tc>
          <w:tcPr>
            <w:tcW w:w="39" w:type="pct"/>
            <w:shd w:val="clear" w:color="auto" w:fill="CCEEFF"/>
            <w:noWrap/>
            <w:tcMar>
              <w:top w:w="0" w:type="dxa"/>
              <w:left w:w="0" w:type="dxa"/>
              <w:bottom w:w="0" w:type="dxa"/>
              <w:right w:w="0" w:type="dxa"/>
            </w:tcMar>
            <w:vAlign w:val="bottom"/>
            <w:hideMark/>
          </w:tcPr>
          <w:p w14:paraId="33D0AB59"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674A4AC0" w14:textId="77777777" w:rsidR="00000000" w:rsidRDefault="001F1B20">
            <w:pPr>
              <w:pStyle w:val="a3"/>
              <w:spacing w:before="0" w:beforeAutospacing="0" w:after="0" w:afterAutospacing="0"/>
              <w:rPr>
                <w:sz w:val="20"/>
                <w:szCs w:val="20"/>
              </w:rPr>
            </w:pPr>
            <w:r>
              <w:rPr>
                <w:sz w:val="20"/>
                <w:szCs w:val="20"/>
              </w:rPr>
              <w:t>$</w:t>
            </w:r>
          </w:p>
        </w:tc>
        <w:tc>
          <w:tcPr>
            <w:tcW w:w="240" w:type="pct"/>
            <w:tcBorders>
              <w:bottom w:val="double" w:sz="6" w:space="0" w:color="000000"/>
            </w:tcBorders>
            <w:shd w:val="clear" w:color="auto" w:fill="CCEEFF"/>
            <w:noWrap/>
            <w:tcMar>
              <w:top w:w="0" w:type="dxa"/>
              <w:left w:w="0" w:type="dxa"/>
              <w:bottom w:w="0" w:type="dxa"/>
              <w:right w:w="0" w:type="dxa"/>
            </w:tcMar>
            <w:vAlign w:val="bottom"/>
            <w:hideMark/>
          </w:tcPr>
          <w:p w14:paraId="2822844A" w14:textId="77777777" w:rsidR="00000000" w:rsidRDefault="001F1B20">
            <w:pPr>
              <w:pStyle w:val="a3"/>
              <w:spacing w:before="0" w:beforeAutospacing="0" w:after="0" w:afterAutospacing="0"/>
              <w:jc w:val="right"/>
              <w:rPr>
                <w:sz w:val="20"/>
                <w:szCs w:val="20"/>
              </w:rPr>
            </w:pPr>
            <w:r>
              <w:rPr>
                <w:sz w:val="20"/>
                <w:szCs w:val="20"/>
              </w:rPr>
              <w:t>(169</w:t>
            </w:r>
            <w:r>
              <w:rPr>
                <w:sz w:val="20"/>
                <w:szCs w:val="20"/>
              </w:rPr>
              <w:t>)</w:t>
            </w:r>
          </w:p>
        </w:tc>
        <w:tc>
          <w:tcPr>
            <w:tcW w:w="39" w:type="pct"/>
            <w:shd w:val="clear" w:color="auto" w:fill="CCEEFF"/>
            <w:noWrap/>
            <w:tcMar>
              <w:top w:w="0" w:type="dxa"/>
              <w:left w:w="0" w:type="dxa"/>
              <w:bottom w:w="0" w:type="dxa"/>
              <w:right w:w="0" w:type="dxa"/>
            </w:tcMar>
            <w:vAlign w:val="bottom"/>
            <w:hideMark/>
          </w:tcPr>
          <w:p w14:paraId="4F39CADF" w14:textId="77777777" w:rsidR="00000000" w:rsidRDefault="001F1B20">
            <w:pPr>
              <w:pStyle w:val="a3"/>
              <w:spacing w:before="0" w:beforeAutospacing="0" w:after="0" w:afterAutospacing="0"/>
              <w:rPr>
                <w:sz w:val="20"/>
                <w:szCs w:val="20"/>
              </w:rPr>
            </w:pPr>
            <w:r>
              <w:rPr>
                <w:sz w:val="20"/>
                <w:szCs w:val="20"/>
              </w:rPr>
              <w:t>​</w:t>
            </w:r>
          </w:p>
        </w:tc>
        <w:tc>
          <w:tcPr>
            <w:tcW w:w="158" w:type="pct"/>
            <w:tcBorders>
              <w:bottom w:val="double" w:sz="6" w:space="0" w:color="000000"/>
            </w:tcBorders>
            <w:shd w:val="clear" w:color="auto" w:fill="CCEEFF"/>
            <w:noWrap/>
            <w:tcMar>
              <w:top w:w="0" w:type="dxa"/>
              <w:left w:w="0" w:type="dxa"/>
              <w:bottom w:w="0" w:type="dxa"/>
              <w:right w:w="0" w:type="dxa"/>
            </w:tcMar>
            <w:vAlign w:val="bottom"/>
            <w:hideMark/>
          </w:tcPr>
          <w:p w14:paraId="7728AB7E" w14:textId="77777777" w:rsidR="00000000" w:rsidRDefault="001F1B20">
            <w:pPr>
              <w:pStyle w:val="a3"/>
              <w:spacing w:before="0" w:beforeAutospacing="0" w:after="0" w:afterAutospacing="0"/>
              <w:ind w:right="70"/>
              <w:jc w:val="right"/>
              <w:rPr>
                <w:sz w:val="20"/>
                <w:szCs w:val="20"/>
              </w:rPr>
            </w:pPr>
            <w:r>
              <w:rPr>
                <w:sz w:val="20"/>
                <w:szCs w:val="20"/>
              </w:rPr>
              <w:t>1</w:t>
            </w:r>
          </w:p>
        </w:tc>
        <w:tc>
          <w:tcPr>
            <w:tcW w:w="132" w:type="pct"/>
            <w:shd w:val="clear" w:color="auto" w:fill="CCEEFF"/>
            <w:noWrap/>
            <w:tcMar>
              <w:top w:w="0" w:type="dxa"/>
              <w:left w:w="0" w:type="dxa"/>
              <w:bottom w:w="0" w:type="dxa"/>
              <w:right w:w="0" w:type="dxa"/>
            </w:tcMar>
            <w:vAlign w:val="bottom"/>
            <w:hideMark/>
          </w:tcPr>
          <w:p w14:paraId="6E4802D9" w14:textId="77777777" w:rsidR="00000000" w:rsidRDefault="001F1B20">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14:paraId="5BA22542"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767C3A80" w14:textId="77777777" w:rsidR="00000000" w:rsidRDefault="001F1B20">
            <w:pPr>
              <w:pStyle w:val="a3"/>
              <w:spacing w:before="0" w:beforeAutospacing="0" w:after="0" w:afterAutospacing="0"/>
              <w:rPr>
                <w:sz w:val="20"/>
                <w:szCs w:val="20"/>
              </w:rPr>
            </w:pPr>
            <w:r>
              <w:rPr>
                <w:sz w:val="20"/>
                <w:szCs w:val="20"/>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14:paraId="16DD456D" w14:textId="77777777" w:rsidR="00000000" w:rsidRDefault="001F1B20">
            <w:pPr>
              <w:pStyle w:val="a3"/>
              <w:spacing w:before="0" w:beforeAutospacing="0" w:after="0" w:afterAutospacing="0"/>
              <w:jc w:val="right"/>
              <w:rPr>
                <w:sz w:val="20"/>
                <w:szCs w:val="20"/>
              </w:rPr>
            </w:pPr>
            <w:r>
              <w:rPr>
                <w:sz w:val="20"/>
                <w:szCs w:val="20"/>
              </w:rPr>
              <w:t>(35,227</w:t>
            </w:r>
            <w:r>
              <w:rPr>
                <w:sz w:val="20"/>
                <w:szCs w:val="20"/>
              </w:rPr>
              <w:t>)</w:t>
            </w:r>
          </w:p>
        </w:tc>
        <w:tc>
          <w:tcPr>
            <w:tcW w:w="39" w:type="pct"/>
            <w:shd w:val="clear" w:color="auto" w:fill="CCEEFF"/>
            <w:noWrap/>
            <w:tcMar>
              <w:top w:w="0" w:type="dxa"/>
              <w:left w:w="0" w:type="dxa"/>
              <w:bottom w:w="0" w:type="dxa"/>
              <w:right w:w="0" w:type="dxa"/>
            </w:tcMar>
            <w:vAlign w:val="bottom"/>
            <w:hideMark/>
          </w:tcPr>
          <w:p w14:paraId="41BD2311"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0FF70D0F" w14:textId="77777777" w:rsidR="00000000" w:rsidRDefault="001F1B20">
            <w:pPr>
              <w:pStyle w:val="a3"/>
              <w:spacing w:before="0" w:beforeAutospacing="0" w:after="0" w:afterAutospacing="0"/>
              <w:rPr>
                <w:sz w:val="20"/>
                <w:szCs w:val="20"/>
              </w:rPr>
            </w:pPr>
            <w:r>
              <w:rPr>
                <w:sz w:val="20"/>
                <w:szCs w:val="20"/>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14:paraId="13BCAFAD" w14:textId="77777777" w:rsidR="00000000" w:rsidRDefault="001F1B20">
            <w:pPr>
              <w:pStyle w:val="a3"/>
              <w:spacing w:before="0" w:beforeAutospacing="0" w:after="0" w:afterAutospacing="0"/>
              <w:jc w:val="right"/>
              <w:rPr>
                <w:sz w:val="20"/>
                <w:szCs w:val="20"/>
              </w:rPr>
            </w:pPr>
            <w:r>
              <w:rPr>
                <w:sz w:val="20"/>
                <w:szCs w:val="20"/>
              </w:rPr>
              <w:t>(32,905</w:t>
            </w:r>
            <w:r>
              <w:rPr>
                <w:sz w:val="20"/>
                <w:szCs w:val="20"/>
              </w:rPr>
              <w:t>)</w:t>
            </w:r>
          </w:p>
        </w:tc>
        <w:tc>
          <w:tcPr>
            <w:tcW w:w="39" w:type="pct"/>
            <w:shd w:val="clear" w:color="auto" w:fill="CCEEFF"/>
            <w:noWrap/>
            <w:tcMar>
              <w:top w:w="0" w:type="dxa"/>
              <w:left w:w="0" w:type="dxa"/>
              <w:bottom w:w="0" w:type="dxa"/>
              <w:right w:w="0" w:type="dxa"/>
            </w:tcMar>
            <w:vAlign w:val="bottom"/>
            <w:hideMark/>
          </w:tcPr>
          <w:p w14:paraId="48AC2E4E"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1079317E" w14:textId="77777777" w:rsidR="00000000" w:rsidRDefault="001F1B20">
            <w:pPr>
              <w:pStyle w:val="a3"/>
              <w:spacing w:before="0" w:beforeAutospacing="0" w:after="0" w:afterAutospacing="0"/>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14:paraId="146C695F" w14:textId="77777777" w:rsidR="00000000" w:rsidRDefault="001F1B20">
            <w:pPr>
              <w:pStyle w:val="a3"/>
              <w:spacing w:before="0" w:beforeAutospacing="0" w:after="0" w:afterAutospacing="0"/>
              <w:jc w:val="right"/>
              <w:rPr>
                <w:sz w:val="20"/>
                <w:szCs w:val="20"/>
              </w:rPr>
            </w:pPr>
            <w:r>
              <w:rPr>
                <w:sz w:val="20"/>
                <w:szCs w:val="20"/>
              </w:rPr>
              <w:t>(2,322</w:t>
            </w:r>
            <w:r>
              <w:rPr>
                <w:sz w:val="20"/>
                <w:szCs w:val="20"/>
              </w:rPr>
              <w:t>)</w:t>
            </w:r>
          </w:p>
        </w:tc>
        <w:tc>
          <w:tcPr>
            <w:tcW w:w="39" w:type="pct"/>
            <w:shd w:val="clear" w:color="auto" w:fill="CCEEFF"/>
            <w:noWrap/>
            <w:tcMar>
              <w:top w:w="0" w:type="dxa"/>
              <w:left w:w="0" w:type="dxa"/>
              <w:bottom w:w="0" w:type="dxa"/>
              <w:right w:w="0" w:type="dxa"/>
            </w:tcMar>
            <w:vAlign w:val="bottom"/>
            <w:hideMark/>
          </w:tcPr>
          <w:p w14:paraId="1E1316A3" w14:textId="77777777" w:rsidR="00000000" w:rsidRDefault="001F1B20">
            <w:pPr>
              <w:pStyle w:val="a3"/>
              <w:spacing w:before="0" w:beforeAutospacing="0" w:after="0" w:afterAutospacing="0"/>
              <w:jc w:val="center"/>
              <w:rPr>
                <w:sz w:val="20"/>
                <w:szCs w:val="20"/>
              </w:rPr>
            </w:pPr>
            <w:r>
              <w:rPr>
                <w:sz w:val="20"/>
                <w:szCs w:val="20"/>
              </w:rPr>
              <w:t>​</w:t>
            </w:r>
          </w:p>
        </w:tc>
        <w:tc>
          <w:tcPr>
            <w:tcW w:w="158" w:type="pct"/>
            <w:tcBorders>
              <w:bottom w:val="double" w:sz="6" w:space="0" w:color="000000"/>
            </w:tcBorders>
            <w:shd w:val="clear" w:color="auto" w:fill="CCEEFF"/>
            <w:noWrap/>
            <w:tcMar>
              <w:top w:w="0" w:type="dxa"/>
              <w:left w:w="0" w:type="dxa"/>
              <w:bottom w:w="0" w:type="dxa"/>
              <w:right w:w="0" w:type="dxa"/>
            </w:tcMar>
            <w:vAlign w:val="bottom"/>
            <w:hideMark/>
          </w:tcPr>
          <w:p w14:paraId="5D583CBC" w14:textId="77777777" w:rsidR="00000000" w:rsidRDefault="001F1B20">
            <w:pPr>
              <w:pStyle w:val="a3"/>
              <w:spacing w:before="0" w:beforeAutospacing="0" w:after="0" w:afterAutospacing="0"/>
              <w:ind w:right="70"/>
              <w:jc w:val="right"/>
              <w:rPr>
                <w:sz w:val="20"/>
                <w:szCs w:val="20"/>
              </w:rPr>
            </w:pPr>
            <w:r>
              <w:rPr>
                <w:sz w:val="20"/>
                <w:szCs w:val="20"/>
              </w:rPr>
              <w:t>7</w:t>
            </w:r>
          </w:p>
        </w:tc>
        <w:tc>
          <w:tcPr>
            <w:tcW w:w="132" w:type="pct"/>
            <w:shd w:val="clear" w:color="auto" w:fill="CCEEFF"/>
            <w:noWrap/>
            <w:tcMar>
              <w:top w:w="0" w:type="dxa"/>
              <w:left w:w="0" w:type="dxa"/>
              <w:bottom w:w="0" w:type="dxa"/>
              <w:right w:w="0" w:type="dxa"/>
            </w:tcMar>
            <w:vAlign w:val="bottom"/>
            <w:hideMark/>
          </w:tcPr>
          <w:p w14:paraId="1D1EEA1E" w14:textId="77777777" w:rsidR="00000000" w:rsidRDefault="001F1B20">
            <w:pPr>
              <w:pStyle w:val="a3"/>
              <w:spacing w:before="0" w:beforeAutospacing="0" w:after="0" w:afterAutospacing="0"/>
              <w:rPr>
                <w:sz w:val="20"/>
                <w:szCs w:val="20"/>
              </w:rPr>
            </w:pPr>
            <w:r>
              <w:rPr>
                <w:sz w:val="20"/>
                <w:szCs w:val="20"/>
              </w:rPr>
              <w:t>%  </w:t>
            </w:r>
          </w:p>
        </w:tc>
      </w:tr>
    </w:tbl>
    <w:p w14:paraId="434CBE5E" w14:textId="77777777" w:rsidR="00000000" w:rsidRDefault="001F1B20">
      <w:pPr>
        <w:pStyle w:val="a3"/>
        <w:spacing w:before="0" w:beforeAutospacing="0" w:after="0" w:afterAutospacing="0"/>
        <w:divId w:val="1561095023"/>
        <w:rPr>
          <w:sz w:val="20"/>
          <w:szCs w:val="20"/>
        </w:rPr>
      </w:pPr>
      <w:r>
        <w:rPr>
          <w:color w:val="FF0000"/>
          <w:sz w:val="20"/>
          <w:szCs w:val="20"/>
        </w:rPr>
        <w:t>​</w:t>
      </w:r>
    </w:p>
    <w:p w14:paraId="722FEF2B" w14:textId="77777777" w:rsidR="00000000" w:rsidRDefault="001F1B20">
      <w:pPr>
        <w:pStyle w:val="a3"/>
        <w:spacing w:before="0" w:beforeAutospacing="0" w:after="0" w:afterAutospacing="0"/>
        <w:ind w:firstLine="720"/>
        <w:divId w:val="1561095023"/>
        <w:rPr>
          <w:sz w:val="20"/>
          <w:szCs w:val="20"/>
        </w:rPr>
      </w:pPr>
      <w:r>
        <w:rPr>
          <w:sz w:val="20"/>
          <w:szCs w:val="20"/>
        </w:rPr>
        <w:t>Interest expense increased by $2.3 million for the nine months ended September 30, 2021 and was relatively unchanged for the three months ended September 30, 2021, compared to the same periods in 2020. The $2.3 million increase</w:t>
      </w:r>
      <w:r>
        <w:rPr>
          <w:color w:val="FF0000"/>
          <w:sz w:val="20"/>
          <w:szCs w:val="20"/>
        </w:rPr>
        <w:t xml:space="preserve"> </w:t>
      </w:r>
      <w:r>
        <w:rPr>
          <w:sz w:val="20"/>
          <w:szCs w:val="20"/>
        </w:rPr>
        <w:t xml:space="preserve">was primarily attributed to </w:t>
      </w:r>
      <w:r>
        <w:rPr>
          <w:sz w:val="20"/>
          <w:szCs w:val="20"/>
        </w:rPr>
        <w:t xml:space="preserve">additional interest expense incurred in the current year related to an increase in principal balance of the Non-Recourse 2035 Notes. The increase in principal balance resulted from the February 2020 re-financing of the Non-Recourse 2033 Notes and interest </w:t>
      </w:r>
      <w:r>
        <w:rPr>
          <w:sz w:val="20"/>
          <w:szCs w:val="20"/>
        </w:rPr>
        <w:t xml:space="preserve">payment shortfalls added to the principal balance as of the applicable interest payment dates. </w:t>
      </w:r>
    </w:p>
    <w:p w14:paraId="33F7285A" w14:textId="77777777" w:rsidR="00000000" w:rsidRDefault="001F1B20">
      <w:pPr>
        <w:pStyle w:val="a3"/>
        <w:spacing w:before="0" w:beforeAutospacing="0" w:after="0" w:afterAutospacing="0"/>
        <w:ind w:firstLine="720"/>
        <w:divId w:val="1561095023"/>
        <w:rPr>
          <w:sz w:val="20"/>
          <w:szCs w:val="20"/>
        </w:rPr>
      </w:pPr>
      <w:r>
        <w:rPr>
          <w:sz w:val="20"/>
          <w:szCs w:val="20"/>
        </w:rPr>
        <w:t>​</w:t>
      </w:r>
    </w:p>
    <w:p w14:paraId="2BD3D58B" w14:textId="77777777" w:rsidR="00000000" w:rsidRDefault="001F1B20">
      <w:pPr>
        <w:pStyle w:val="a3"/>
        <w:spacing w:before="0" w:beforeAutospacing="0" w:after="0" w:afterAutospacing="0"/>
        <w:divId w:val="1561095023"/>
        <w:rPr>
          <w:sz w:val="20"/>
          <w:szCs w:val="20"/>
        </w:rPr>
      </w:pPr>
      <w:r>
        <w:rPr>
          <w:b/>
          <w:bCs/>
          <w:i/>
          <w:iCs/>
          <w:sz w:val="20"/>
          <w:szCs w:val="20"/>
        </w:rPr>
        <w:t>Loss on Extinguishment of Debt</w:t>
      </w:r>
    </w:p>
    <w:p w14:paraId="78B40EF5" w14:textId="77777777" w:rsidR="00000000" w:rsidRDefault="001F1B20">
      <w:pPr>
        <w:pStyle w:val="a3"/>
        <w:spacing w:before="0" w:beforeAutospacing="0" w:after="0" w:afterAutospacing="0"/>
        <w:divId w:val="1561095023"/>
        <w:rPr>
          <w:sz w:val="20"/>
          <w:szCs w:val="20"/>
        </w:rPr>
      </w:pPr>
      <w:r>
        <w:rPr>
          <w:sz w:val="20"/>
          <w:szCs w:val="20"/>
        </w:rPr>
        <w:t>​</w:t>
      </w:r>
    </w:p>
    <w:p w14:paraId="2EAEC890" w14:textId="77777777" w:rsidR="00000000" w:rsidRDefault="001F1B20">
      <w:pPr>
        <w:pStyle w:val="a3"/>
        <w:spacing w:before="0" w:beforeAutospacing="0" w:after="0" w:afterAutospacing="0"/>
        <w:ind w:firstLine="720"/>
        <w:divId w:val="1561095023"/>
        <w:rPr>
          <w:sz w:val="20"/>
          <w:szCs w:val="20"/>
        </w:rPr>
      </w:pPr>
      <w:r>
        <w:rPr>
          <w:sz w:val="20"/>
          <w:szCs w:val="20"/>
        </w:rPr>
        <w:t>Loss on extinguishment of debt as compared to the comparable periods in the prior year, was as follows:</w:t>
      </w:r>
    </w:p>
    <w:p w14:paraId="02510406" w14:textId="77777777" w:rsidR="00000000" w:rsidRDefault="001F1B20">
      <w:pPr>
        <w:pStyle w:val="a3"/>
        <w:spacing w:before="0" w:beforeAutospacing="0" w:after="0" w:afterAutospacing="0"/>
        <w:ind w:firstLine="720"/>
        <w:divId w:val="156109502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696"/>
        <w:gridCol w:w="80"/>
        <w:gridCol w:w="101"/>
        <w:gridCol w:w="591"/>
        <w:gridCol w:w="80"/>
        <w:gridCol w:w="100"/>
        <w:gridCol w:w="594"/>
        <w:gridCol w:w="80"/>
        <w:gridCol w:w="100"/>
        <w:gridCol w:w="260"/>
        <w:gridCol w:w="80"/>
        <w:gridCol w:w="260"/>
        <w:gridCol w:w="227"/>
        <w:gridCol w:w="80"/>
        <w:gridCol w:w="101"/>
        <w:gridCol w:w="492"/>
        <w:gridCol w:w="80"/>
        <w:gridCol w:w="100"/>
        <w:gridCol w:w="684"/>
        <w:gridCol w:w="80"/>
        <w:gridCol w:w="100"/>
        <w:gridCol w:w="610"/>
        <w:gridCol w:w="80"/>
        <w:gridCol w:w="383"/>
        <w:gridCol w:w="267"/>
      </w:tblGrid>
      <w:tr w:rsidR="00000000" w14:paraId="6C6B8A95" w14:textId="77777777">
        <w:trPr>
          <w:divId w:val="1561095023"/>
          <w:trHeight w:val="20"/>
        </w:trPr>
        <w:tc>
          <w:tcPr>
            <w:tcW w:w="1939" w:type="pct"/>
            <w:noWrap/>
            <w:tcMar>
              <w:top w:w="0" w:type="dxa"/>
              <w:left w:w="0" w:type="dxa"/>
              <w:bottom w:w="0" w:type="dxa"/>
              <w:right w:w="0" w:type="dxa"/>
            </w:tcMar>
            <w:vAlign w:val="bottom"/>
            <w:hideMark/>
          </w:tcPr>
          <w:p w14:paraId="79140722" w14:textId="77777777" w:rsidR="00000000" w:rsidRDefault="001F1B20">
            <w:pPr>
              <w:pStyle w:val="a3"/>
              <w:spacing w:before="0" w:beforeAutospacing="0" w:after="0" w:afterAutospacing="0"/>
              <w:divId w:val="1989819372"/>
              <w:rPr>
                <w:sz w:val="20"/>
                <w:szCs w:val="20"/>
              </w:rPr>
            </w:pPr>
            <w:r>
              <w:rPr>
                <w:sz w:val="2"/>
                <w:szCs w:val="2"/>
              </w:rPr>
              <w:t>​</w:t>
            </w:r>
          </w:p>
        </w:tc>
        <w:tc>
          <w:tcPr>
            <w:tcW w:w="39" w:type="pct"/>
            <w:noWrap/>
            <w:tcMar>
              <w:top w:w="0" w:type="dxa"/>
              <w:left w:w="0" w:type="dxa"/>
              <w:bottom w:w="0" w:type="dxa"/>
              <w:right w:w="0" w:type="dxa"/>
            </w:tcMar>
            <w:vAlign w:val="bottom"/>
            <w:hideMark/>
          </w:tcPr>
          <w:p w14:paraId="1062A2F6" w14:textId="77777777" w:rsidR="00000000" w:rsidRDefault="001F1B20">
            <w:pPr>
              <w:pStyle w:val="a3"/>
              <w:spacing w:before="0" w:beforeAutospacing="0" w:after="0" w:afterAutospacing="0"/>
              <w:divId w:val="2078479772"/>
              <w:rPr>
                <w:sz w:val="20"/>
                <w:szCs w:val="20"/>
              </w:rPr>
            </w:pPr>
            <w:r>
              <w:rPr>
                <w:sz w:val="2"/>
                <w:szCs w:val="2"/>
              </w:rPr>
              <w:t>​</w:t>
            </w:r>
          </w:p>
        </w:tc>
        <w:tc>
          <w:tcPr>
            <w:tcW w:w="50" w:type="pct"/>
            <w:noWrap/>
            <w:tcMar>
              <w:top w:w="0" w:type="dxa"/>
              <w:left w:w="0" w:type="dxa"/>
              <w:bottom w:w="0" w:type="dxa"/>
              <w:right w:w="0" w:type="dxa"/>
            </w:tcMar>
            <w:vAlign w:val="bottom"/>
            <w:hideMark/>
          </w:tcPr>
          <w:p w14:paraId="3312684C" w14:textId="77777777" w:rsidR="00000000" w:rsidRDefault="001F1B20">
            <w:pPr>
              <w:pStyle w:val="a3"/>
              <w:spacing w:before="0" w:beforeAutospacing="0" w:after="0" w:afterAutospacing="0"/>
              <w:divId w:val="1210414759"/>
              <w:rPr>
                <w:sz w:val="20"/>
                <w:szCs w:val="20"/>
              </w:rPr>
            </w:pPr>
            <w:r>
              <w:rPr>
                <w:sz w:val="2"/>
                <w:szCs w:val="2"/>
              </w:rPr>
              <w:t>​</w:t>
            </w:r>
          </w:p>
        </w:tc>
        <w:tc>
          <w:tcPr>
            <w:tcW w:w="300" w:type="pct"/>
            <w:noWrap/>
            <w:tcMar>
              <w:top w:w="0" w:type="dxa"/>
              <w:left w:w="0" w:type="dxa"/>
              <w:bottom w:w="0" w:type="dxa"/>
              <w:right w:w="0" w:type="dxa"/>
            </w:tcMar>
            <w:vAlign w:val="bottom"/>
            <w:hideMark/>
          </w:tcPr>
          <w:p w14:paraId="6437F689" w14:textId="77777777" w:rsidR="00000000" w:rsidRDefault="001F1B20">
            <w:pPr>
              <w:pStyle w:val="a3"/>
              <w:spacing w:before="0" w:beforeAutospacing="0" w:after="0" w:afterAutospacing="0"/>
              <w:divId w:val="583563479"/>
              <w:rPr>
                <w:sz w:val="20"/>
                <w:szCs w:val="20"/>
              </w:rPr>
            </w:pPr>
            <w:r>
              <w:rPr>
                <w:sz w:val="2"/>
                <w:szCs w:val="2"/>
              </w:rPr>
              <w:t>​</w:t>
            </w:r>
          </w:p>
        </w:tc>
        <w:tc>
          <w:tcPr>
            <w:tcW w:w="40" w:type="pct"/>
            <w:noWrap/>
            <w:tcMar>
              <w:top w:w="0" w:type="dxa"/>
              <w:left w:w="0" w:type="dxa"/>
              <w:bottom w:w="0" w:type="dxa"/>
              <w:right w:w="0" w:type="dxa"/>
            </w:tcMar>
            <w:vAlign w:val="bottom"/>
            <w:hideMark/>
          </w:tcPr>
          <w:p w14:paraId="51F9D82F" w14:textId="77777777" w:rsidR="00000000" w:rsidRDefault="001F1B20">
            <w:pPr>
              <w:pStyle w:val="a3"/>
              <w:spacing w:before="0" w:beforeAutospacing="0" w:after="0" w:afterAutospacing="0"/>
              <w:divId w:val="372772480"/>
              <w:rPr>
                <w:sz w:val="20"/>
                <w:szCs w:val="20"/>
              </w:rPr>
            </w:pPr>
            <w:r>
              <w:rPr>
                <w:sz w:val="2"/>
                <w:szCs w:val="2"/>
              </w:rPr>
              <w:t>​</w:t>
            </w:r>
          </w:p>
        </w:tc>
        <w:tc>
          <w:tcPr>
            <w:tcW w:w="49" w:type="pct"/>
            <w:noWrap/>
            <w:tcMar>
              <w:top w:w="0" w:type="dxa"/>
              <w:left w:w="0" w:type="dxa"/>
              <w:bottom w:w="0" w:type="dxa"/>
              <w:right w:w="0" w:type="dxa"/>
            </w:tcMar>
            <w:vAlign w:val="bottom"/>
            <w:hideMark/>
          </w:tcPr>
          <w:p w14:paraId="78E76AEC" w14:textId="77777777" w:rsidR="00000000" w:rsidRDefault="001F1B20">
            <w:pPr>
              <w:pStyle w:val="a3"/>
              <w:spacing w:before="0" w:beforeAutospacing="0" w:after="0" w:afterAutospacing="0"/>
              <w:divId w:val="919414441"/>
              <w:rPr>
                <w:sz w:val="20"/>
                <w:szCs w:val="20"/>
              </w:rPr>
            </w:pPr>
            <w:r>
              <w:rPr>
                <w:sz w:val="2"/>
                <w:szCs w:val="2"/>
              </w:rPr>
              <w:t>​</w:t>
            </w:r>
          </w:p>
        </w:tc>
        <w:tc>
          <w:tcPr>
            <w:tcW w:w="300" w:type="pct"/>
            <w:noWrap/>
            <w:tcMar>
              <w:top w:w="0" w:type="dxa"/>
              <w:left w:w="0" w:type="dxa"/>
              <w:bottom w:w="0" w:type="dxa"/>
              <w:right w:w="0" w:type="dxa"/>
            </w:tcMar>
            <w:vAlign w:val="bottom"/>
            <w:hideMark/>
          </w:tcPr>
          <w:p w14:paraId="60FDD67E" w14:textId="77777777" w:rsidR="00000000" w:rsidRDefault="001F1B20">
            <w:pPr>
              <w:pStyle w:val="a3"/>
              <w:spacing w:before="0" w:beforeAutospacing="0" w:after="0" w:afterAutospacing="0"/>
              <w:divId w:val="957877395"/>
              <w:rPr>
                <w:sz w:val="20"/>
                <w:szCs w:val="20"/>
              </w:rPr>
            </w:pPr>
            <w:r>
              <w:rPr>
                <w:sz w:val="2"/>
                <w:szCs w:val="2"/>
              </w:rPr>
              <w:t>​</w:t>
            </w:r>
          </w:p>
        </w:tc>
        <w:tc>
          <w:tcPr>
            <w:tcW w:w="39" w:type="pct"/>
            <w:noWrap/>
            <w:tcMar>
              <w:top w:w="0" w:type="dxa"/>
              <w:left w:w="0" w:type="dxa"/>
              <w:bottom w:w="0" w:type="dxa"/>
              <w:right w:w="0" w:type="dxa"/>
            </w:tcMar>
            <w:vAlign w:val="bottom"/>
            <w:hideMark/>
          </w:tcPr>
          <w:p w14:paraId="051A9C3C" w14:textId="77777777" w:rsidR="00000000" w:rsidRDefault="001F1B20">
            <w:pPr>
              <w:pStyle w:val="a3"/>
              <w:spacing w:before="0" w:beforeAutospacing="0" w:after="0" w:afterAutospacing="0"/>
              <w:divId w:val="904995958"/>
              <w:rPr>
                <w:sz w:val="20"/>
                <w:szCs w:val="20"/>
              </w:rPr>
            </w:pPr>
            <w:r>
              <w:rPr>
                <w:sz w:val="2"/>
                <w:szCs w:val="2"/>
              </w:rPr>
              <w:t>​</w:t>
            </w:r>
          </w:p>
        </w:tc>
        <w:tc>
          <w:tcPr>
            <w:tcW w:w="49" w:type="pct"/>
            <w:noWrap/>
            <w:tcMar>
              <w:top w:w="0" w:type="dxa"/>
              <w:left w:w="0" w:type="dxa"/>
              <w:bottom w:w="0" w:type="dxa"/>
              <w:right w:w="0" w:type="dxa"/>
            </w:tcMar>
            <w:vAlign w:val="bottom"/>
            <w:hideMark/>
          </w:tcPr>
          <w:p w14:paraId="68E851F5" w14:textId="77777777" w:rsidR="00000000" w:rsidRDefault="001F1B20">
            <w:pPr>
              <w:pStyle w:val="a3"/>
              <w:spacing w:before="0" w:beforeAutospacing="0" w:after="0" w:afterAutospacing="0"/>
              <w:divId w:val="761142485"/>
              <w:rPr>
                <w:sz w:val="20"/>
                <w:szCs w:val="20"/>
              </w:rPr>
            </w:pPr>
            <w:r>
              <w:rPr>
                <w:sz w:val="2"/>
                <w:szCs w:val="2"/>
              </w:rPr>
              <w:t>​</w:t>
            </w:r>
          </w:p>
        </w:tc>
        <w:tc>
          <w:tcPr>
            <w:tcW w:w="202" w:type="pct"/>
            <w:noWrap/>
            <w:tcMar>
              <w:top w:w="0" w:type="dxa"/>
              <w:left w:w="0" w:type="dxa"/>
              <w:bottom w:w="0" w:type="dxa"/>
              <w:right w:w="0" w:type="dxa"/>
            </w:tcMar>
            <w:vAlign w:val="bottom"/>
            <w:hideMark/>
          </w:tcPr>
          <w:p w14:paraId="339D0BA1" w14:textId="77777777" w:rsidR="00000000" w:rsidRDefault="001F1B20">
            <w:pPr>
              <w:pStyle w:val="a3"/>
              <w:spacing w:before="0" w:beforeAutospacing="0" w:after="0" w:afterAutospacing="0"/>
              <w:divId w:val="2027705203"/>
              <w:rPr>
                <w:sz w:val="20"/>
                <w:szCs w:val="20"/>
              </w:rPr>
            </w:pPr>
            <w:r>
              <w:rPr>
                <w:sz w:val="2"/>
                <w:szCs w:val="2"/>
              </w:rPr>
              <w:t>​</w:t>
            </w:r>
          </w:p>
        </w:tc>
        <w:tc>
          <w:tcPr>
            <w:tcW w:w="39" w:type="pct"/>
            <w:noWrap/>
            <w:tcMar>
              <w:top w:w="0" w:type="dxa"/>
              <w:left w:w="0" w:type="dxa"/>
              <w:bottom w:w="0" w:type="dxa"/>
              <w:right w:w="0" w:type="dxa"/>
            </w:tcMar>
            <w:vAlign w:val="bottom"/>
            <w:hideMark/>
          </w:tcPr>
          <w:p w14:paraId="2AD40159" w14:textId="77777777" w:rsidR="00000000" w:rsidRDefault="001F1B20">
            <w:pPr>
              <w:pStyle w:val="a3"/>
              <w:spacing w:before="0" w:beforeAutospacing="0" w:after="0" w:afterAutospacing="0"/>
              <w:divId w:val="2001690198"/>
              <w:rPr>
                <w:sz w:val="20"/>
                <w:szCs w:val="20"/>
              </w:rPr>
            </w:pPr>
            <w:r>
              <w:rPr>
                <w:sz w:val="2"/>
                <w:szCs w:val="2"/>
              </w:rPr>
              <w:t>​</w:t>
            </w:r>
          </w:p>
        </w:tc>
        <w:tc>
          <w:tcPr>
            <w:tcW w:w="230" w:type="pct"/>
            <w:noWrap/>
            <w:tcMar>
              <w:top w:w="0" w:type="dxa"/>
              <w:left w:w="0" w:type="dxa"/>
              <w:bottom w:w="0" w:type="dxa"/>
              <w:right w:w="0" w:type="dxa"/>
            </w:tcMar>
            <w:vAlign w:val="bottom"/>
            <w:hideMark/>
          </w:tcPr>
          <w:p w14:paraId="22446F5A" w14:textId="77777777" w:rsidR="00000000" w:rsidRDefault="001F1B20">
            <w:pPr>
              <w:pStyle w:val="a3"/>
              <w:spacing w:before="0" w:beforeAutospacing="0" w:after="0" w:afterAutospacing="0"/>
              <w:divId w:val="934706098"/>
              <w:rPr>
                <w:sz w:val="20"/>
                <w:szCs w:val="20"/>
              </w:rPr>
            </w:pPr>
            <w:r>
              <w:rPr>
                <w:sz w:val="2"/>
                <w:szCs w:val="2"/>
              </w:rPr>
              <w:t>​</w:t>
            </w:r>
          </w:p>
        </w:tc>
        <w:tc>
          <w:tcPr>
            <w:tcW w:w="112" w:type="pct"/>
            <w:noWrap/>
            <w:tcMar>
              <w:top w:w="0" w:type="dxa"/>
              <w:left w:w="0" w:type="dxa"/>
              <w:bottom w:w="0" w:type="dxa"/>
              <w:right w:w="0" w:type="dxa"/>
            </w:tcMar>
            <w:vAlign w:val="bottom"/>
            <w:hideMark/>
          </w:tcPr>
          <w:p w14:paraId="36709621" w14:textId="77777777" w:rsidR="00000000" w:rsidRDefault="001F1B20">
            <w:pPr>
              <w:pStyle w:val="a3"/>
              <w:spacing w:before="0" w:beforeAutospacing="0" w:after="0" w:afterAutospacing="0"/>
              <w:divId w:val="1603297514"/>
              <w:rPr>
                <w:sz w:val="20"/>
                <w:szCs w:val="20"/>
              </w:rPr>
            </w:pPr>
            <w:r>
              <w:rPr>
                <w:sz w:val="2"/>
                <w:szCs w:val="2"/>
              </w:rPr>
              <w:t>​</w:t>
            </w:r>
          </w:p>
        </w:tc>
        <w:tc>
          <w:tcPr>
            <w:tcW w:w="39" w:type="pct"/>
            <w:noWrap/>
            <w:tcMar>
              <w:top w:w="0" w:type="dxa"/>
              <w:left w:w="0" w:type="dxa"/>
              <w:bottom w:w="0" w:type="dxa"/>
              <w:right w:w="0" w:type="dxa"/>
            </w:tcMar>
            <w:vAlign w:val="bottom"/>
            <w:hideMark/>
          </w:tcPr>
          <w:p w14:paraId="183C3FF1" w14:textId="77777777" w:rsidR="00000000" w:rsidRDefault="001F1B20">
            <w:pPr>
              <w:pStyle w:val="a3"/>
              <w:spacing w:before="0" w:beforeAutospacing="0" w:after="0" w:afterAutospacing="0"/>
              <w:divId w:val="1849173560"/>
              <w:rPr>
                <w:sz w:val="20"/>
                <w:szCs w:val="20"/>
              </w:rPr>
            </w:pPr>
            <w:r>
              <w:rPr>
                <w:sz w:val="2"/>
                <w:szCs w:val="2"/>
              </w:rPr>
              <w:t>​</w:t>
            </w:r>
          </w:p>
        </w:tc>
        <w:tc>
          <w:tcPr>
            <w:tcW w:w="50" w:type="pct"/>
            <w:noWrap/>
            <w:tcMar>
              <w:top w:w="0" w:type="dxa"/>
              <w:left w:w="0" w:type="dxa"/>
              <w:bottom w:w="0" w:type="dxa"/>
              <w:right w:w="0" w:type="dxa"/>
            </w:tcMar>
            <w:vAlign w:val="bottom"/>
            <w:hideMark/>
          </w:tcPr>
          <w:p w14:paraId="5A6DACC2" w14:textId="77777777" w:rsidR="00000000" w:rsidRDefault="001F1B20">
            <w:pPr>
              <w:pStyle w:val="a3"/>
              <w:spacing w:before="0" w:beforeAutospacing="0" w:after="0" w:afterAutospacing="0"/>
              <w:divId w:val="1581208127"/>
              <w:rPr>
                <w:sz w:val="20"/>
                <w:szCs w:val="20"/>
              </w:rPr>
            </w:pPr>
            <w:r>
              <w:rPr>
                <w:sz w:val="2"/>
                <w:szCs w:val="2"/>
              </w:rPr>
              <w:t>​</w:t>
            </w:r>
          </w:p>
        </w:tc>
        <w:tc>
          <w:tcPr>
            <w:tcW w:w="282" w:type="pct"/>
            <w:noWrap/>
            <w:tcMar>
              <w:top w:w="0" w:type="dxa"/>
              <w:left w:w="0" w:type="dxa"/>
              <w:bottom w:w="0" w:type="dxa"/>
              <w:right w:w="0" w:type="dxa"/>
            </w:tcMar>
            <w:vAlign w:val="bottom"/>
            <w:hideMark/>
          </w:tcPr>
          <w:p w14:paraId="3C896EC3" w14:textId="77777777" w:rsidR="00000000" w:rsidRDefault="001F1B20">
            <w:pPr>
              <w:pStyle w:val="a3"/>
              <w:spacing w:before="0" w:beforeAutospacing="0" w:after="0" w:afterAutospacing="0"/>
              <w:divId w:val="1277057775"/>
              <w:rPr>
                <w:sz w:val="20"/>
                <w:szCs w:val="20"/>
              </w:rPr>
            </w:pPr>
            <w:r>
              <w:rPr>
                <w:sz w:val="2"/>
                <w:szCs w:val="2"/>
              </w:rPr>
              <w:t>​</w:t>
            </w:r>
          </w:p>
        </w:tc>
        <w:tc>
          <w:tcPr>
            <w:tcW w:w="40" w:type="pct"/>
            <w:noWrap/>
            <w:tcMar>
              <w:top w:w="0" w:type="dxa"/>
              <w:left w:w="0" w:type="dxa"/>
              <w:bottom w:w="0" w:type="dxa"/>
              <w:right w:w="0" w:type="dxa"/>
            </w:tcMar>
            <w:vAlign w:val="bottom"/>
            <w:hideMark/>
          </w:tcPr>
          <w:p w14:paraId="7F6AF1F9" w14:textId="77777777" w:rsidR="00000000" w:rsidRDefault="001F1B20">
            <w:pPr>
              <w:pStyle w:val="a3"/>
              <w:spacing w:before="0" w:beforeAutospacing="0" w:after="0" w:afterAutospacing="0"/>
              <w:divId w:val="112141408"/>
              <w:rPr>
                <w:sz w:val="20"/>
                <w:szCs w:val="20"/>
              </w:rPr>
            </w:pPr>
            <w:r>
              <w:rPr>
                <w:sz w:val="2"/>
                <w:szCs w:val="2"/>
              </w:rPr>
              <w:t>​</w:t>
            </w:r>
          </w:p>
        </w:tc>
        <w:tc>
          <w:tcPr>
            <w:tcW w:w="49" w:type="pct"/>
            <w:noWrap/>
            <w:tcMar>
              <w:top w:w="0" w:type="dxa"/>
              <w:left w:w="0" w:type="dxa"/>
              <w:bottom w:w="0" w:type="dxa"/>
              <w:right w:w="0" w:type="dxa"/>
            </w:tcMar>
            <w:vAlign w:val="bottom"/>
            <w:hideMark/>
          </w:tcPr>
          <w:p w14:paraId="44D1D412" w14:textId="77777777" w:rsidR="00000000" w:rsidRDefault="001F1B20">
            <w:pPr>
              <w:pStyle w:val="a3"/>
              <w:spacing w:before="0" w:beforeAutospacing="0" w:after="0" w:afterAutospacing="0"/>
              <w:divId w:val="998734105"/>
              <w:rPr>
                <w:sz w:val="20"/>
                <w:szCs w:val="20"/>
              </w:rPr>
            </w:pPr>
            <w:r>
              <w:rPr>
                <w:sz w:val="2"/>
                <w:szCs w:val="2"/>
              </w:rPr>
              <w:t>​</w:t>
            </w:r>
          </w:p>
        </w:tc>
        <w:tc>
          <w:tcPr>
            <w:tcW w:w="364" w:type="pct"/>
            <w:noWrap/>
            <w:tcMar>
              <w:top w:w="0" w:type="dxa"/>
              <w:left w:w="0" w:type="dxa"/>
              <w:bottom w:w="0" w:type="dxa"/>
              <w:right w:w="0" w:type="dxa"/>
            </w:tcMar>
            <w:vAlign w:val="bottom"/>
            <w:hideMark/>
          </w:tcPr>
          <w:p w14:paraId="40C17EB2" w14:textId="77777777" w:rsidR="00000000" w:rsidRDefault="001F1B20">
            <w:pPr>
              <w:pStyle w:val="a3"/>
              <w:spacing w:before="0" w:beforeAutospacing="0" w:after="0" w:afterAutospacing="0"/>
              <w:divId w:val="844593491"/>
              <w:rPr>
                <w:sz w:val="20"/>
                <w:szCs w:val="20"/>
              </w:rPr>
            </w:pPr>
            <w:r>
              <w:rPr>
                <w:sz w:val="2"/>
                <w:szCs w:val="2"/>
              </w:rPr>
              <w:t>​</w:t>
            </w:r>
          </w:p>
        </w:tc>
        <w:tc>
          <w:tcPr>
            <w:tcW w:w="39" w:type="pct"/>
            <w:noWrap/>
            <w:tcMar>
              <w:top w:w="0" w:type="dxa"/>
              <w:left w:w="0" w:type="dxa"/>
              <w:bottom w:w="0" w:type="dxa"/>
              <w:right w:w="0" w:type="dxa"/>
            </w:tcMar>
            <w:vAlign w:val="bottom"/>
            <w:hideMark/>
          </w:tcPr>
          <w:p w14:paraId="5A26496E" w14:textId="77777777" w:rsidR="00000000" w:rsidRDefault="001F1B20">
            <w:pPr>
              <w:pStyle w:val="a3"/>
              <w:spacing w:before="0" w:beforeAutospacing="0" w:after="0" w:afterAutospacing="0"/>
              <w:divId w:val="1736854370"/>
              <w:rPr>
                <w:sz w:val="20"/>
                <w:szCs w:val="20"/>
              </w:rPr>
            </w:pPr>
            <w:r>
              <w:rPr>
                <w:sz w:val="2"/>
                <w:szCs w:val="2"/>
              </w:rPr>
              <w:t>​</w:t>
            </w:r>
          </w:p>
        </w:tc>
        <w:tc>
          <w:tcPr>
            <w:tcW w:w="49" w:type="pct"/>
            <w:noWrap/>
            <w:tcMar>
              <w:top w:w="0" w:type="dxa"/>
              <w:left w:w="0" w:type="dxa"/>
              <w:bottom w:w="0" w:type="dxa"/>
              <w:right w:w="0" w:type="dxa"/>
            </w:tcMar>
            <w:vAlign w:val="bottom"/>
            <w:hideMark/>
          </w:tcPr>
          <w:p w14:paraId="09DBE7D7" w14:textId="77777777" w:rsidR="00000000" w:rsidRDefault="001F1B20">
            <w:pPr>
              <w:pStyle w:val="a3"/>
              <w:spacing w:before="0" w:beforeAutospacing="0" w:after="0" w:afterAutospacing="0"/>
              <w:divId w:val="1767267054"/>
              <w:rPr>
                <w:sz w:val="20"/>
                <w:szCs w:val="20"/>
              </w:rPr>
            </w:pPr>
            <w:r>
              <w:rPr>
                <w:sz w:val="2"/>
                <w:szCs w:val="2"/>
              </w:rPr>
              <w:t>​</w:t>
            </w:r>
          </w:p>
        </w:tc>
        <w:tc>
          <w:tcPr>
            <w:tcW w:w="327" w:type="pct"/>
            <w:noWrap/>
            <w:tcMar>
              <w:top w:w="0" w:type="dxa"/>
              <w:left w:w="0" w:type="dxa"/>
              <w:bottom w:w="0" w:type="dxa"/>
              <w:right w:w="0" w:type="dxa"/>
            </w:tcMar>
            <w:vAlign w:val="bottom"/>
            <w:hideMark/>
          </w:tcPr>
          <w:p w14:paraId="5459E5A4" w14:textId="77777777" w:rsidR="00000000" w:rsidRDefault="001F1B20">
            <w:pPr>
              <w:pStyle w:val="a3"/>
              <w:spacing w:before="0" w:beforeAutospacing="0" w:after="0" w:afterAutospacing="0"/>
              <w:divId w:val="1444298849"/>
              <w:rPr>
                <w:sz w:val="20"/>
                <w:szCs w:val="20"/>
              </w:rPr>
            </w:pPr>
            <w:r>
              <w:rPr>
                <w:sz w:val="2"/>
                <w:szCs w:val="2"/>
              </w:rPr>
              <w:t>​</w:t>
            </w:r>
          </w:p>
        </w:tc>
        <w:tc>
          <w:tcPr>
            <w:tcW w:w="39" w:type="pct"/>
            <w:noWrap/>
            <w:tcMar>
              <w:top w:w="0" w:type="dxa"/>
              <w:left w:w="0" w:type="dxa"/>
              <w:bottom w:w="0" w:type="dxa"/>
              <w:right w:w="0" w:type="dxa"/>
            </w:tcMar>
            <w:vAlign w:val="bottom"/>
            <w:hideMark/>
          </w:tcPr>
          <w:p w14:paraId="17CBA9CF" w14:textId="77777777" w:rsidR="00000000" w:rsidRDefault="001F1B20">
            <w:pPr>
              <w:pStyle w:val="a3"/>
              <w:spacing w:before="0" w:beforeAutospacing="0" w:after="0" w:afterAutospacing="0"/>
              <w:divId w:val="1642689442"/>
              <w:rPr>
                <w:sz w:val="20"/>
                <w:szCs w:val="20"/>
              </w:rPr>
            </w:pPr>
            <w:r>
              <w:rPr>
                <w:sz w:val="2"/>
                <w:szCs w:val="2"/>
              </w:rPr>
              <w:t>​</w:t>
            </w:r>
          </w:p>
        </w:tc>
        <w:tc>
          <w:tcPr>
            <w:tcW w:w="189" w:type="pct"/>
            <w:noWrap/>
            <w:tcMar>
              <w:top w:w="0" w:type="dxa"/>
              <w:left w:w="0" w:type="dxa"/>
              <w:bottom w:w="0" w:type="dxa"/>
              <w:right w:w="0" w:type="dxa"/>
            </w:tcMar>
            <w:vAlign w:val="bottom"/>
            <w:hideMark/>
          </w:tcPr>
          <w:p w14:paraId="7B3E2CE2" w14:textId="77777777" w:rsidR="00000000" w:rsidRDefault="001F1B20">
            <w:pPr>
              <w:pStyle w:val="a3"/>
              <w:spacing w:before="0" w:beforeAutospacing="0" w:after="0" w:afterAutospacing="0"/>
              <w:divId w:val="439450370"/>
              <w:rPr>
                <w:sz w:val="20"/>
                <w:szCs w:val="20"/>
              </w:rPr>
            </w:pPr>
            <w:r>
              <w:rPr>
                <w:sz w:val="2"/>
                <w:szCs w:val="2"/>
              </w:rPr>
              <w:t>​</w:t>
            </w:r>
          </w:p>
        </w:tc>
        <w:tc>
          <w:tcPr>
            <w:tcW w:w="132" w:type="pct"/>
            <w:noWrap/>
            <w:tcMar>
              <w:top w:w="0" w:type="dxa"/>
              <w:left w:w="0" w:type="dxa"/>
              <w:bottom w:w="0" w:type="dxa"/>
              <w:right w:w="0" w:type="dxa"/>
            </w:tcMar>
            <w:vAlign w:val="bottom"/>
            <w:hideMark/>
          </w:tcPr>
          <w:p w14:paraId="1B4CCD45" w14:textId="77777777" w:rsidR="00000000" w:rsidRDefault="001F1B20">
            <w:pPr>
              <w:pStyle w:val="a3"/>
              <w:spacing w:before="0" w:beforeAutospacing="0" w:after="0" w:afterAutospacing="0"/>
              <w:divId w:val="355739474"/>
              <w:rPr>
                <w:sz w:val="20"/>
                <w:szCs w:val="20"/>
              </w:rPr>
            </w:pPr>
            <w:r>
              <w:rPr>
                <w:sz w:val="2"/>
                <w:szCs w:val="2"/>
              </w:rPr>
              <w:t>​</w:t>
            </w:r>
          </w:p>
        </w:tc>
      </w:tr>
      <w:tr w:rsidR="00000000" w14:paraId="7C8242F3" w14:textId="77777777">
        <w:trPr>
          <w:divId w:val="1561095023"/>
        </w:trPr>
        <w:tc>
          <w:tcPr>
            <w:tcW w:w="1939" w:type="pct"/>
            <w:tcMar>
              <w:top w:w="0" w:type="dxa"/>
              <w:left w:w="0" w:type="dxa"/>
              <w:bottom w:w="0" w:type="dxa"/>
              <w:right w:w="0" w:type="dxa"/>
            </w:tcMar>
            <w:vAlign w:val="bottom"/>
            <w:hideMark/>
          </w:tcPr>
          <w:p w14:paraId="74B07102"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2FEC55BC" w14:textId="77777777" w:rsidR="00000000" w:rsidRDefault="001F1B20">
            <w:pPr>
              <w:pStyle w:val="a3"/>
              <w:spacing w:before="0" w:beforeAutospacing="0" w:after="0" w:afterAutospacing="0"/>
              <w:jc w:val="center"/>
              <w:rPr>
                <w:sz w:val="20"/>
                <w:szCs w:val="20"/>
              </w:rPr>
            </w:pPr>
            <w:r>
              <w:rPr>
                <w:b/>
                <w:bCs/>
                <w:sz w:val="16"/>
                <w:szCs w:val="16"/>
              </w:rPr>
              <w:t>​</w:t>
            </w:r>
          </w:p>
        </w:tc>
        <w:tc>
          <w:tcPr>
            <w:tcW w:w="741" w:type="pct"/>
            <w:gridSpan w:val="5"/>
            <w:noWrap/>
            <w:tcMar>
              <w:top w:w="0" w:type="dxa"/>
              <w:left w:w="0" w:type="dxa"/>
              <w:bottom w:w="0" w:type="dxa"/>
              <w:right w:w="0" w:type="dxa"/>
            </w:tcMar>
            <w:vAlign w:val="bottom"/>
            <w:hideMark/>
          </w:tcPr>
          <w:p w14:paraId="18A1D874"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39" w:type="pct"/>
            <w:noWrap/>
            <w:tcMar>
              <w:top w:w="0" w:type="dxa"/>
              <w:left w:w="0" w:type="dxa"/>
              <w:bottom w:w="0" w:type="dxa"/>
              <w:right w:w="0" w:type="dxa"/>
            </w:tcMar>
            <w:vAlign w:val="bottom"/>
            <w:hideMark/>
          </w:tcPr>
          <w:p w14:paraId="13F994BD" w14:textId="77777777" w:rsidR="00000000" w:rsidRDefault="001F1B20">
            <w:pPr>
              <w:pStyle w:val="a3"/>
              <w:spacing w:before="0" w:beforeAutospacing="0" w:after="0" w:afterAutospacing="0"/>
              <w:jc w:val="center"/>
              <w:rPr>
                <w:sz w:val="20"/>
                <w:szCs w:val="20"/>
              </w:rPr>
            </w:pPr>
            <w:r>
              <w:rPr>
                <w:b/>
                <w:bCs/>
                <w:sz w:val="16"/>
                <w:szCs w:val="16"/>
              </w:rPr>
              <w:t>​</w:t>
            </w:r>
          </w:p>
        </w:tc>
        <w:tc>
          <w:tcPr>
            <w:tcW w:w="522" w:type="pct"/>
            <w:gridSpan w:val="4"/>
            <w:noWrap/>
            <w:tcMar>
              <w:top w:w="0" w:type="dxa"/>
              <w:left w:w="0" w:type="dxa"/>
              <w:bottom w:w="0" w:type="dxa"/>
              <w:right w:w="0" w:type="dxa"/>
            </w:tcMar>
            <w:vAlign w:val="bottom"/>
            <w:hideMark/>
          </w:tcPr>
          <w:p w14:paraId="68CBCBC8" w14:textId="77777777" w:rsidR="00000000" w:rsidRDefault="001F1B20">
            <w:pPr>
              <w:pStyle w:val="a3"/>
              <w:spacing w:before="0" w:beforeAutospacing="0" w:after="0" w:afterAutospacing="0"/>
              <w:jc w:val="center"/>
              <w:rPr>
                <w:sz w:val="20"/>
                <w:szCs w:val="20"/>
              </w:rPr>
            </w:pPr>
            <w:r>
              <w:rPr>
                <w:b/>
                <w:bCs/>
                <w:sz w:val="16"/>
                <w:szCs w:val="16"/>
              </w:rPr>
              <w:t>​</w:t>
            </w:r>
          </w:p>
        </w:tc>
        <w:tc>
          <w:tcPr>
            <w:tcW w:w="112" w:type="pct"/>
            <w:noWrap/>
            <w:tcMar>
              <w:top w:w="0" w:type="dxa"/>
              <w:left w:w="0" w:type="dxa"/>
              <w:bottom w:w="0" w:type="dxa"/>
              <w:right w:w="0" w:type="dxa"/>
            </w:tcMar>
            <w:vAlign w:val="bottom"/>
            <w:hideMark/>
          </w:tcPr>
          <w:p w14:paraId="6D55AF8A"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0B3C32F4" w14:textId="77777777" w:rsidR="00000000" w:rsidRDefault="001F1B20">
            <w:pPr>
              <w:pStyle w:val="a3"/>
              <w:spacing w:before="0" w:beforeAutospacing="0" w:after="0" w:afterAutospacing="0"/>
              <w:jc w:val="center"/>
              <w:rPr>
                <w:sz w:val="20"/>
                <w:szCs w:val="20"/>
              </w:rPr>
            </w:pPr>
            <w:r>
              <w:rPr>
                <w:b/>
                <w:bCs/>
                <w:sz w:val="16"/>
                <w:szCs w:val="16"/>
              </w:rPr>
              <w:t>​</w:t>
            </w:r>
          </w:p>
        </w:tc>
        <w:tc>
          <w:tcPr>
            <w:tcW w:w="786" w:type="pct"/>
            <w:gridSpan w:val="5"/>
            <w:noWrap/>
            <w:tcMar>
              <w:top w:w="0" w:type="dxa"/>
              <w:left w:w="0" w:type="dxa"/>
              <w:bottom w:w="0" w:type="dxa"/>
              <w:right w:w="0" w:type="dxa"/>
            </w:tcMar>
            <w:vAlign w:val="bottom"/>
            <w:hideMark/>
          </w:tcPr>
          <w:p w14:paraId="1F7B6AD2"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c>
          <w:tcPr>
            <w:tcW w:w="39" w:type="pct"/>
            <w:noWrap/>
            <w:tcMar>
              <w:top w:w="0" w:type="dxa"/>
              <w:left w:w="0" w:type="dxa"/>
              <w:bottom w:w="0" w:type="dxa"/>
              <w:right w:w="0" w:type="dxa"/>
            </w:tcMar>
            <w:vAlign w:val="bottom"/>
            <w:hideMark/>
          </w:tcPr>
          <w:p w14:paraId="5CBDCC42" w14:textId="77777777" w:rsidR="00000000" w:rsidRDefault="001F1B20">
            <w:pPr>
              <w:pStyle w:val="a3"/>
              <w:spacing w:before="0" w:beforeAutospacing="0" w:after="0" w:afterAutospacing="0"/>
              <w:jc w:val="center"/>
              <w:rPr>
                <w:sz w:val="20"/>
                <w:szCs w:val="20"/>
              </w:rPr>
            </w:pPr>
            <w:r>
              <w:rPr>
                <w:b/>
                <w:bCs/>
                <w:sz w:val="16"/>
                <w:szCs w:val="16"/>
              </w:rPr>
              <w:t>​</w:t>
            </w:r>
          </w:p>
        </w:tc>
        <w:tc>
          <w:tcPr>
            <w:tcW w:w="606" w:type="pct"/>
            <w:gridSpan w:val="4"/>
            <w:noWrap/>
            <w:tcMar>
              <w:top w:w="0" w:type="dxa"/>
              <w:left w:w="0" w:type="dxa"/>
              <w:bottom w:w="0" w:type="dxa"/>
              <w:right w:w="0" w:type="dxa"/>
            </w:tcMar>
            <w:vAlign w:val="bottom"/>
            <w:hideMark/>
          </w:tcPr>
          <w:p w14:paraId="7851F53C"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7B3A0943" w14:textId="77777777" w:rsidR="00000000" w:rsidRDefault="001F1B20">
            <w:pPr>
              <w:pStyle w:val="a3"/>
              <w:spacing w:before="0" w:beforeAutospacing="0" w:after="0" w:afterAutospacing="0"/>
              <w:rPr>
                <w:sz w:val="20"/>
                <w:szCs w:val="20"/>
              </w:rPr>
            </w:pPr>
            <w:r>
              <w:rPr>
                <w:b/>
                <w:bCs/>
                <w:sz w:val="16"/>
                <w:szCs w:val="16"/>
              </w:rPr>
              <w:t>​</w:t>
            </w:r>
          </w:p>
        </w:tc>
      </w:tr>
      <w:tr w:rsidR="00000000" w14:paraId="5932DF71" w14:textId="77777777">
        <w:trPr>
          <w:divId w:val="1561095023"/>
        </w:trPr>
        <w:tc>
          <w:tcPr>
            <w:tcW w:w="1939" w:type="pct"/>
            <w:tcMar>
              <w:top w:w="0" w:type="dxa"/>
              <w:left w:w="0" w:type="dxa"/>
              <w:bottom w:w="0" w:type="dxa"/>
              <w:right w:w="0" w:type="dxa"/>
            </w:tcMar>
            <w:vAlign w:val="bottom"/>
            <w:hideMark/>
          </w:tcPr>
          <w:p w14:paraId="2C4F6EF9"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7E610252" w14:textId="77777777" w:rsidR="00000000" w:rsidRDefault="001F1B20">
            <w:pPr>
              <w:pStyle w:val="a3"/>
              <w:spacing w:before="0" w:beforeAutospacing="0" w:after="0" w:afterAutospacing="0"/>
              <w:jc w:val="center"/>
              <w:rPr>
                <w:sz w:val="20"/>
                <w:szCs w:val="20"/>
              </w:rPr>
            </w:pPr>
            <w:r>
              <w:rPr>
                <w:b/>
                <w:bCs/>
                <w:sz w:val="16"/>
                <w:szCs w:val="16"/>
              </w:rPr>
              <w:t>​</w:t>
            </w:r>
          </w:p>
        </w:tc>
        <w:tc>
          <w:tcPr>
            <w:tcW w:w="741" w:type="pct"/>
            <w:gridSpan w:val="5"/>
            <w:tcBorders>
              <w:bottom w:val="single" w:sz="6" w:space="0" w:color="000000"/>
            </w:tcBorders>
            <w:noWrap/>
            <w:tcMar>
              <w:top w:w="0" w:type="dxa"/>
              <w:left w:w="0" w:type="dxa"/>
              <w:bottom w:w="0" w:type="dxa"/>
              <w:right w:w="0" w:type="dxa"/>
            </w:tcMar>
            <w:vAlign w:val="bottom"/>
            <w:hideMark/>
          </w:tcPr>
          <w:p w14:paraId="6AA30902"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0B9D906F" w14:textId="77777777" w:rsidR="00000000" w:rsidRDefault="001F1B20">
            <w:pPr>
              <w:pStyle w:val="a3"/>
              <w:spacing w:before="0" w:beforeAutospacing="0" w:after="0" w:afterAutospacing="0"/>
              <w:jc w:val="center"/>
              <w:rPr>
                <w:sz w:val="20"/>
                <w:szCs w:val="20"/>
              </w:rPr>
            </w:pPr>
            <w:r>
              <w:rPr>
                <w:b/>
                <w:bCs/>
                <w:sz w:val="16"/>
                <w:szCs w:val="16"/>
              </w:rPr>
              <w:t>​</w:t>
            </w:r>
          </w:p>
        </w:tc>
        <w:tc>
          <w:tcPr>
            <w:tcW w:w="522" w:type="pct"/>
            <w:gridSpan w:val="4"/>
            <w:tcBorders>
              <w:bottom w:val="single" w:sz="6" w:space="0" w:color="000000"/>
            </w:tcBorders>
            <w:noWrap/>
            <w:tcMar>
              <w:top w:w="0" w:type="dxa"/>
              <w:left w:w="0" w:type="dxa"/>
              <w:bottom w:w="0" w:type="dxa"/>
              <w:right w:w="0" w:type="dxa"/>
            </w:tcMar>
            <w:vAlign w:val="bottom"/>
            <w:hideMark/>
          </w:tcPr>
          <w:p w14:paraId="36BAABB8" w14:textId="77777777" w:rsidR="00000000" w:rsidRDefault="001F1B20">
            <w:pPr>
              <w:pStyle w:val="a3"/>
              <w:spacing w:before="0" w:beforeAutospacing="0" w:after="0" w:afterAutospacing="0"/>
              <w:jc w:val="center"/>
              <w:rPr>
                <w:sz w:val="16"/>
                <w:szCs w:val="16"/>
              </w:rPr>
            </w:pPr>
            <w:r>
              <w:rPr>
                <w:b/>
                <w:bCs/>
                <w:sz w:val="16"/>
                <w:szCs w:val="16"/>
              </w:rPr>
              <w:t>Change</w:t>
            </w:r>
          </w:p>
        </w:tc>
        <w:tc>
          <w:tcPr>
            <w:tcW w:w="112" w:type="pct"/>
            <w:noWrap/>
            <w:tcMar>
              <w:top w:w="0" w:type="dxa"/>
              <w:left w:w="0" w:type="dxa"/>
              <w:bottom w:w="0" w:type="dxa"/>
              <w:right w:w="0" w:type="dxa"/>
            </w:tcMar>
            <w:vAlign w:val="bottom"/>
            <w:hideMark/>
          </w:tcPr>
          <w:p w14:paraId="325A90EE"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5776C131" w14:textId="77777777" w:rsidR="00000000" w:rsidRDefault="001F1B20">
            <w:pPr>
              <w:pStyle w:val="a3"/>
              <w:spacing w:before="0" w:beforeAutospacing="0" w:after="0" w:afterAutospacing="0"/>
              <w:jc w:val="center"/>
              <w:rPr>
                <w:sz w:val="20"/>
                <w:szCs w:val="20"/>
              </w:rPr>
            </w:pPr>
            <w:r>
              <w:rPr>
                <w:b/>
                <w:bCs/>
                <w:sz w:val="16"/>
                <w:szCs w:val="16"/>
              </w:rPr>
              <w:t>​</w:t>
            </w:r>
          </w:p>
        </w:tc>
        <w:tc>
          <w:tcPr>
            <w:tcW w:w="786" w:type="pct"/>
            <w:gridSpan w:val="5"/>
            <w:tcBorders>
              <w:bottom w:val="single" w:sz="6" w:space="0" w:color="000000"/>
            </w:tcBorders>
            <w:noWrap/>
            <w:tcMar>
              <w:top w:w="0" w:type="dxa"/>
              <w:left w:w="0" w:type="dxa"/>
              <w:bottom w:w="0" w:type="dxa"/>
              <w:right w:w="0" w:type="dxa"/>
            </w:tcMar>
            <w:vAlign w:val="bottom"/>
            <w:hideMark/>
          </w:tcPr>
          <w:p w14:paraId="01DE60A0"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4B2D9C36" w14:textId="77777777" w:rsidR="00000000" w:rsidRDefault="001F1B20">
            <w:pPr>
              <w:pStyle w:val="a3"/>
              <w:spacing w:before="0" w:beforeAutospacing="0" w:after="0" w:afterAutospacing="0"/>
              <w:jc w:val="center"/>
              <w:rPr>
                <w:sz w:val="20"/>
                <w:szCs w:val="20"/>
              </w:rPr>
            </w:pPr>
            <w:r>
              <w:rPr>
                <w:b/>
                <w:bCs/>
                <w:sz w:val="16"/>
                <w:szCs w:val="16"/>
              </w:rPr>
              <w:t>​</w:t>
            </w:r>
          </w:p>
        </w:tc>
        <w:tc>
          <w:tcPr>
            <w:tcW w:w="606" w:type="pct"/>
            <w:gridSpan w:val="4"/>
            <w:tcBorders>
              <w:bottom w:val="single" w:sz="6" w:space="0" w:color="000000"/>
            </w:tcBorders>
            <w:noWrap/>
            <w:tcMar>
              <w:top w:w="0" w:type="dxa"/>
              <w:left w:w="0" w:type="dxa"/>
              <w:bottom w:w="0" w:type="dxa"/>
              <w:right w:w="0" w:type="dxa"/>
            </w:tcMar>
            <w:vAlign w:val="bottom"/>
            <w:hideMark/>
          </w:tcPr>
          <w:p w14:paraId="2FCEA567"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25AC2C79" w14:textId="77777777" w:rsidR="00000000" w:rsidRDefault="001F1B20">
            <w:pPr>
              <w:pStyle w:val="a3"/>
              <w:spacing w:before="0" w:beforeAutospacing="0" w:after="0" w:afterAutospacing="0"/>
              <w:rPr>
                <w:sz w:val="20"/>
                <w:szCs w:val="20"/>
              </w:rPr>
            </w:pPr>
            <w:r>
              <w:rPr>
                <w:b/>
                <w:bCs/>
                <w:sz w:val="16"/>
                <w:szCs w:val="16"/>
              </w:rPr>
              <w:t>​</w:t>
            </w:r>
          </w:p>
        </w:tc>
      </w:tr>
      <w:tr w:rsidR="00000000" w14:paraId="178AC4F3" w14:textId="77777777">
        <w:trPr>
          <w:divId w:val="1561095023"/>
        </w:trPr>
        <w:tc>
          <w:tcPr>
            <w:tcW w:w="1939" w:type="pct"/>
            <w:tcBorders>
              <w:bottom w:val="single" w:sz="6" w:space="0" w:color="000000"/>
            </w:tcBorders>
            <w:tcMar>
              <w:top w:w="0" w:type="dxa"/>
              <w:left w:w="0" w:type="dxa"/>
              <w:bottom w:w="0" w:type="dxa"/>
              <w:right w:w="0" w:type="dxa"/>
            </w:tcMar>
            <w:vAlign w:val="bottom"/>
            <w:hideMark/>
          </w:tcPr>
          <w:p w14:paraId="0FB2E8D1" w14:textId="77777777" w:rsidR="00000000" w:rsidRDefault="001F1B20">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14:paraId="5D9A4994" w14:textId="77777777" w:rsidR="00000000" w:rsidRDefault="001F1B20">
            <w:pPr>
              <w:pStyle w:val="a3"/>
              <w:spacing w:before="0" w:beforeAutospacing="0" w:after="0" w:afterAutospacing="0"/>
              <w:jc w:val="center"/>
              <w:rPr>
                <w:sz w:val="16"/>
                <w:szCs w:val="16"/>
              </w:rPr>
            </w:pPr>
            <w:r>
              <w:rPr>
                <w:b/>
                <w:bCs/>
                <w:sz w:val="16"/>
                <w:szCs w:val="16"/>
              </w:rPr>
              <w:t>  </w:t>
            </w:r>
          </w:p>
        </w:tc>
        <w:tc>
          <w:tcPr>
            <w:tcW w:w="350" w:type="pct"/>
            <w:gridSpan w:val="2"/>
            <w:tcBorders>
              <w:bottom w:val="single" w:sz="6" w:space="0" w:color="000000"/>
            </w:tcBorders>
            <w:noWrap/>
            <w:tcMar>
              <w:top w:w="0" w:type="dxa"/>
              <w:left w:w="0" w:type="dxa"/>
              <w:bottom w:w="0" w:type="dxa"/>
              <w:right w:w="0" w:type="dxa"/>
            </w:tcMar>
            <w:vAlign w:val="bottom"/>
            <w:hideMark/>
          </w:tcPr>
          <w:p w14:paraId="0305A0B1" w14:textId="77777777" w:rsidR="00000000" w:rsidRDefault="001F1B20">
            <w:pPr>
              <w:pStyle w:val="a3"/>
              <w:spacing w:before="0" w:beforeAutospacing="0" w:after="0" w:afterAutospacing="0"/>
              <w:jc w:val="center"/>
              <w:rPr>
                <w:sz w:val="16"/>
                <w:szCs w:val="16"/>
              </w:rPr>
            </w:pPr>
            <w:r>
              <w:rPr>
                <w:b/>
                <w:bCs/>
                <w:sz w:val="16"/>
                <w:szCs w:val="16"/>
              </w:rPr>
              <w:t>2021</w:t>
            </w:r>
          </w:p>
        </w:tc>
        <w:tc>
          <w:tcPr>
            <w:tcW w:w="40" w:type="pct"/>
            <w:noWrap/>
            <w:tcMar>
              <w:top w:w="0" w:type="dxa"/>
              <w:left w:w="0" w:type="dxa"/>
              <w:bottom w:w="0" w:type="dxa"/>
              <w:right w:w="0" w:type="dxa"/>
            </w:tcMar>
            <w:vAlign w:val="bottom"/>
            <w:hideMark/>
          </w:tcPr>
          <w:p w14:paraId="09F24553" w14:textId="77777777" w:rsidR="00000000" w:rsidRDefault="001F1B20">
            <w:pPr>
              <w:pStyle w:val="a3"/>
              <w:spacing w:before="0" w:beforeAutospacing="0" w:after="0" w:afterAutospacing="0"/>
              <w:jc w:val="center"/>
              <w:rPr>
                <w:sz w:val="16"/>
                <w:szCs w:val="16"/>
              </w:rPr>
            </w:pPr>
            <w:r>
              <w:rPr>
                <w:b/>
                <w:bCs/>
                <w:sz w:val="16"/>
                <w:szCs w:val="16"/>
              </w:rPr>
              <w:t>  </w:t>
            </w:r>
          </w:p>
        </w:tc>
        <w:tc>
          <w:tcPr>
            <w:tcW w:w="349" w:type="pct"/>
            <w:gridSpan w:val="2"/>
            <w:tcBorders>
              <w:bottom w:val="single" w:sz="6" w:space="0" w:color="000000"/>
            </w:tcBorders>
            <w:noWrap/>
            <w:tcMar>
              <w:top w:w="0" w:type="dxa"/>
              <w:left w:w="0" w:type="dxa"/>
              <w:bottom w:w="0" w:type="dxa"/>
              <w:right w:w="0" w:type="dxa"/>
            </w:tcMar>
            <w:vAlign w:val="bottom"/>
            <w:hideMark/>
          </w:tcPr>
          <w:p w14:paraId="2E5A3C46"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56C71FF6" w14:textId="77777777" w:rsidR="00000000" w:rsidRDefault="001F1B20">
            <w:pPr>
              <w:pStyle w:val="a3"/>
              <w:spacing w:before="0" w:beforeAutospacing="0" w:after="0" w:afterAutospacing="0"/>
              <w:jc w:val="center"/>
              <w:rPr>
                <w:sz w:val="16"/>
                <w:szCs w:val="16"/>
              </w:rPr>
            </w:pPr>
            <w:r>
              <w:rPr>
                <w:b/>
                <w:bCs/>
                <w:sz w:val="16"/>
                <w:szCs w:val="16"/>
              </w:rPr>
              <w:t>  </w:t>
            </w:r>
          </w:p>
        </w:tc>
        <w:tc>
          <w:tcPr>
            <w:tcW w:w="251" w:type="pct"/>
            <w:gridSpan w:val="2"/>
            <w:tcBorders>
              <w:bottom w:val="single" w:sz="6" w:space="0" w:color="000000"/>
            </w:tcBorders>
            <w:noWrap/>
            <w:tcMar>
              <w:top w:w="0" w:type="dxa"/>
              <w:left w:w="0" w:type="dxa"/>
              <w:bottom w:w="0" w:type="dxa"/>
              <w:right w:w="0" w:type="dxa"/>
            </w:tcMar>
            <w:vAlign w:val="bottom"/>
            <w:hideMark/>
          </w:tcPr>
          <w:p w14:paraId="30220975"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24D18AA6" w14:textId="77777777" w:rsidR="00000000" w:rsidRDefault="001F1B20">
            <w:pPr>
              <w:pStyle w:val="a3"/>
              <w:spacing w:before="0" w:beforeAutospacing="0" w:after="0" w:afterAutospacing="0"/>
              <w:jc w:val="center"/>
              <w:rPr>
                <w:sz w:val="16"/>
                <w:szCs w:val="16"/>
              </w:rPr>
            </w:pPr>
            <w:r>
              <w:rPr>
                <w:b/>
                <w:bCs/>
                <w:sz w:val="16"/>
                <w:szCs w:val="16"/>
              </w:rPr>
              <w:t>  </w:t>
            </w:r>
          </w:p>
        </w:tc>
        <w:tc>
          <w:tcPr>
            <w:tcW w:w="230" w:type="pct"/>
            <w:tcBorders>
              <w:bottom w:val="single" w:sz="6" w:space="0" w:color="000000"/>
            </w:tcBorders>
            <w:noWrap/>
            <w:tcMar>
              <w:top w:w="0" w:type="dxa"/>
              <w:left w:w="0" w:type="dxa"/>
              <w:bottom w:w="0" w:type="dxa"/>
              <w:right w:w="0" w:type="dxa"/>
            </w:tcMar>
            <w:vAlign w:val="bottom"/>
            <w:hideMark/>
          </w:tcPr>
          <w:p w14:paraId="15C0BE2D" w14:textId="77777777" w:rsidR="00000000" w:rsidRDefault="001F1B20">
            <w:pPr>
              <w:pStyle w:val="a3"/>
              <w:spacing w:before="0" w:beforeAutospacing="0" w:after="0" w:afterAutospacing="0"/>
              <w:jc w:val="center"/>
              <w:rPr>
                <w:sz w:val="16"/>
                <w:szCs w:val="16"/>
              </w:rPr>
            </w:pPr>
            <w:r>
              <w:rPr>
                <w:b/>
                <w:bCs/>
                <w:sz w:val="16"/>
                <w:szCs w:val="16"/>
              </w:rPr>
              <w:t>%</w:t>
            </w:r>
          </w:p>
        </w:tc>
        <w:tc>
          <w:tcPr>
            <w:tcW w:w="112" w:type="pct"/>
            <w:noWrap/>
            <w:tcMar>
              <w:top w:w="0" w:type="dxa"/>
              <w:left w:w="0" w:type="dxa"/>
              <w:bottom w:w="0" w:type="dxa"/>
              <w:right w:w="0" w:type="dxa"/>
            </w:tcMar>
            <w:vAlign w:val="bottom"/>
            <w:hideMark/>
          </w:tcPr>
          <w:p w14:paraId="1E4C7CD9"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775E42A8" w14:textId="77777777" w:rsidR="00000000" w:rsidRDefault="001F1B20">
            <w:pPr>
              <w:pStyle w:val="a3"/>
              <w:spacing w:before="0" w:beforeAutospacing="0" w:after="0" w:afterAutospacing="0"/>
              <w:jc w:val="center"/>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14:paraId="76301F37" w14:textId="77777777" w:rsidR="00000000" w:rsidRDefault="001F1B20">
            <w:pPr>
              <w:pStyle w:val="a3"/>
              <w:spacing w:before="0" w:beforeAutospacing="0" w:after="0" w:afterAutospacing="0"/>
              <w:jc w:val="center"/>
              <w:rPr>
                <w:sz w:val="16"/>
                <w:szCs w:val="16"/>
              </w:rPr>
            </w:pPr>
            <w:r>
              <w:rPr>
                <w:b/>
                <w:bCs/>
                <w:sz w:val="16"/>
                <w:szCs w:val="16"/>
              </w:rPr>
              <w:t>2021</w:t>
            </w:r>
          </w:p>
        </w:tc>
        <w:tc>
          <w:tcPr>
            <w:tcW w:w="40" w:type="pct"/>
            <w:noWrap/>
            <w:tcMar>
              <w:top w:w="0" w:type="dxa"/>
              <w:left w:w="0" w:type="dxa"/>
              <w:bottom w:w="0" w:type="dxa"/>
              <w:right w:w="0" w:type="dxa"/>
            </w:tcMar>
            <w:vAlign w:val="bottom"/>
            <w:hideMark/>
          </w:tcPr>
          <w:p w14:paraId="2F2A684F" w14:textId="77777777" w:rsidR="00000000" w:rsidRDefault="001F1B20">
            <w:pPr>
              <w:pStyle w:val="a3"/>
              <w:spacing w:before="0" w:beforeAutospacing="0" w:after="0" w:afterAutospacing="0"/>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14:paraId="08F064C3"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095639F3" w14:textId="77777777" w:rsidR="00000000" w:rsidRDefault="001F1B20">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noWrap/>
            <w:tcMar>
              <w:top w:w="0" w:type="dxa"/>
              <w:left w:w="0" w:type="dxa"/>
              <w:bottom w:w="0" w:type="dxa"/>
              <w:right w:w="0" w:type="dxa"/>
            </w:tcMar>
            <w:vAlign w:val="bottom"/>
            <w:hideMark/>
          </w:tcPr>
          <w:p w14:paraId="4BF9E017"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4C16B0C4" w14:textId="77777777" w:rsidR="00000000" w:rsidRDefault="001F1B20">
            <w:pPr>
              <w:pStyle w:val="a3"/>
              <w:spacing w:before="0" w:beforeAutospacing="0" w:after="0" w:afterAutospacing="0"/>
              <w:jc w:val="center"/>
              <w:rPr>
                <w:sz w:val="16"/>
                <w:szCs w:val="16"/>
              </w:rPr>
            </w:pPr>
            <w:r>
              <w:rPr>
                <w:sz w:val="16"/>
                <w:szCs w:val="16"/>
              </w:rPr>
              <w:t>  </w:t>
            </w:r>
          </w:p>
        </w:tc>
        <w:tc>
          <w:tcPr>
            <w:tcW w:w="189" w:type="pct"/>
            <w:tcBorders>
              <w:bottom w:val="single" w:sz="6" w:space="0" w:color="000000"/>
            </w:tcBorders>
            <w:noWrap/>
            <w:tcMar>
              <w:top w:w="0" w:type="dxa"/>
              <w:left w:w="0" w:type="dxa"/>
              <w:bottom w:w="0" w:type="dxa"/>
              <w:right w:w="0" w:type="dxa"/>
            </w:tcMar>
            <w:vAlign w:val="bottom"/>
            <w:hideMark/>
          </w:tcPr>
          <w:p w14:paraId="1D8823F3"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0AD7E577" w14:textId="77777777" w:rsidR="00000000" w:rsidRDefault="001F1B20">
            <w:pPr>
              <w:pStyle w:val="a3"/>
              <w:spacing w:before="0" w:beforeAutospacing="0" w:after="0" w:afterAutospacing="0"/>
              <w:rPr>
                <w:sz w:val="16"/>
                <w:szCs w:val="16"/>
              </w:rPr>
            </w:pPr>
            <w:r>
              <w:rPr>
                <w:b/>
                <w:bCs/>
                <w:sz w:val="16"/>
                <w:szCs w:val="16"/>
              </w:rPr>
              <w:t>   </w:t>
            </w:r>
            <w:r>
              <w:rPr>
                <w:b/>
                <w:bCs/>
                <w:sz w:val="16"/>
                <w:szCs w:val="16"/>
              </w:rPr>
              <w:t> </w:t>
            </w:r>
          </w:p>
        </w:tc>
      </w:tr>
      <w:tr w:rsidR="00000000" w14:paraId="7D4C9AF1" w14:textId="77777777">
        <w:trPr>
          <w:divId w:val="1561095023"/>
        </w:trPr>
        <w:tc>
          <w:tcPr>
            <w:tcW w:w="1939" w:type="pct"/>
            <w:shd w:val="clear" w:color="auto" w:fill="CCEEFF"/>
            <w:noWrap/>
            <w:tcMar>
              <w:top w:w="0" w:type="dxa"/>
              <w:left w:w="0" w:type="dxa"/>
              <w:bottom w:w="0" w:type="dxa"/>
              <w:right w:w="0" w:type="dxa"/>
            </w:tcMar>
            <w:vAlign w:val="bottom"/>
            <w:hideMark/>
          </w:tcPr>
          <w:p w14:paraId="41B25307" w14:textId="77777777" w:rsidR="00000000" w:rsidRDefault="001F1B20">
            <w:pPr>
              <w:pStyle w:val="a3"/>
              <w:spacing w:before="0" w:beforeAutospacing="0" w:after="0" w:afterAutospacing="0"/>
              <w:rPr>
                <w:sz w:val="20"/>
                <w:szCs w:val="20"/>
              </w:rPr>
            </w:pPr>
            <w:r>
              <w:rPr>
                <w:sz w:val="20"/>
                <w:szCs w:val="20"/>
              </w:rPr>
              <w:t>Loss on extinguishment of debt</w:t>
            </w:r>
          </w:p>
        </w:tc>
        <w:tc>
          <w:tcPr>
            <w:tcW w:w="39" w:type="pct"/>
            <w:shd w:val="clear" w:color="auto" w:fill="CCEEFF"/>
            <w:noWrap/>
            <w:tcMar>
              <w:top w:w="0" w:type="dxa"/>
              <w:left w:w="0" w:type="dxa"/>
              <w:bottom w:w="0" w:type="dxa"/>
              <w:right w:w="0" w:type="dxa"/>
            </w:tcMar>
            <w:vAlign w:val="bottom"/>
            <w:hideMark/>
          </w:tcPr>
          <w:p w14:paraId="71280895" w14:textId="77777777" w:rsidR="00000000" w:rsidRDefault="001F1B20">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27DE428D" w14:textId="77777777" w:rsidR="00000000" w:rsidRDefault="001F1B20">
            <w:pPr>
              <w:pStyle w:val="a3"/>
              <w:spacing w:before="0" w:beforeAutospacing="0" w:after="0" w:afterAutospacing="0"/>
              <w:rPr>
                <w:sz w:val="20"/>
                <w:szCs w:val="20"/>
              </w:rPr>
            </w:pPr>
            <w:r>
              <w:rPr>
                <w:sz w:val="20"/>
                <w:szCs w:val="20"/>
              </w:rPr>
              <w:t>$</w:t>
            </w:r>
          </w:p>
        </w:tc>
        <w:tc>
          <w:tcPr>
            <w:tcW w:w="300" w:type="pct"/>
            <w:shd w:val="clear" w:color="auto" w:fill="CCEEFF"/>
            <w:noWrap/>
            <w:tcMar>
              <w:top w:w="0" w:type="dxa"/>
              <w:left w:w="0" w:type="dxa"/>
              <w:bottom w:w="0" w:type="dxa"/>
              <w:right w:w="0" w:type="dxa"/>
            </w:tcMar>
            <w:vAlign w:val="bottom"/>
            <w:hideMark/>
          </w:tcPr>
          <w:p w14:paraId="14ABEFF8" w14:textId="77777777" w:rsidR="00000000" w:rsidRDefault="001F1B20">
            <w:pPr>
              <w:pStyle w:val="a3"/>
              <w:spacing w:before="0" w:beforeAutospacing="0" w:after="0" w:afterAutospacing="0"/>
              <w:ind w:right="60"/>
              <w:jc w:val="right"/>
              <w:rPr>
                <w:sz w:val="20"/>
                <w:szCs w:val="20"/>
              </w:rPr>
            </w:pPr>
            <w:r>
              <w:rPr>
                <w:sz w:val="20"/>
                <w:szCs w:val="20"/>
              </w:rPr>
              <w:t>—</w:t>
            </w:r>
          </w:p>
        </w:tc>
        <w:tc>
          <w:tcPr>
            <w:tcW w:w="40" w:type="pct"/>
            <w:shd w:val="clear" w:color="auto" w:fill="CCEEFF"/>
            <w:noWrap/>
            <w:tcMar>
              <w:top w:w="0" w:type="dxa"/>
              <w:left w:w="0" w:type="dxa"/>
              <w:bottom w:w="0" w:type="dxa"/>
              <w:right w:w="0" w:type="dxa"/>
            </w:tcMar>
            <w:vAlign w:val="bottom"/>
            <w:hideMark/>
          </w:tcPr>
          <w:p w14:paraId="2321C148"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100A5DF" w14:textId="77777777" w:rsidR="00000000" w:rsidRDefault="001F1B20">
            <w:pPr>
              <w:pStyle w:val="a3"/>
              <w:spacing w:before="0" w:beforeAutospacing="0" w:after="0" w:afterAutospacing="0"/>
              <w:rPr>
                <w:sz w:val="20"/>
                <w:szCs w:val="20"/>
              </w:rPr>
            </w:pPr>
            <w:r>
              <w:rPr>
                <w:sz w:val="20"/>
                <w:szCs w:val="20"/>
              </w:rPr>
              <w:t>$</w:t>
            </w:r>
          </w:p>
        </w:tc>
        <w:tc>
          <w:tcPr>
            <w:tcW w:w="300" w:type="pct"/>
            <w:shd w:val="clear" w:color="auto" w:fill="CCEEFF"/>
            <w:noWrap/>
            <w:tcMar>
              <w:top w:w="0" w:type="dxa"/>
              <w:left w:w="0" w:type="dxa"/>
              <w:bottom w:w="0" w:type="dxa"/>
              <w:right w:w="0" w:type="dxa"/>
            </w:tcMar>
            <w:vAlign w:val="bottom"/>
            <w:hideMark/>
          </w:tcPr>
          <w:p w14:paraId="70E8371F"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17979BAC"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E3BCF41" w14:textId="77777777" w:rsidR="00000000" w:rsidRDefault="001F1B20">
            <w:pPr>
              <w:pStyle w:val="a3"/>
              <w:spacing w:before="0" w:beforeAutospacing="0" w:after="0" w:afterAutospacing="0"/>
              <w:rPr>
                <w:sz w:val="20"/>
                <w:szCs w:val="20"/>
              </w:rPr>
            </w:pPr>
            <w:r>
              <w:rPr>
                <w:sz w:val="20"/>
                <w:szCs w:val="20"/>
              </w:rPr>
              <w:t>$</w:t>
            </w:r>
          </w:p>
        </w:tc>
        <w:tc>
          <w:tcPr>
            <w:tcW w:w="202" w:type="pct"/>
            <w:shd w:val="clear" w:color="auto" w:fill="CCEEFF"/>
            <w:noWrap/>
            <w:tcMar>
              <w:top w:w="0" w:type="dxa"/>
              <w:left w:w="0" w:type="dxa"/>
              <w:bottom w:w="0" w:type="dxa"/>
              <w:right w:w="0" w:type="dxa"/>
            </w:tcMar>
            <w:vAlign w:val="bottom"/>
            <w:hideMark/>
          </w:tcPr>
          <w:p w14:paraId="478ACC2D"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32C7B2D7" w14:textId="77777777" w:rsidR="00000000" w:rsidRDefault="001F1B20">
            <w:pPr>
              <w:pStyle w:val="a3"/>
              <w:spacing w:before="0" w:beforeAutospacing="0" w:after="0" w:afterAutospacing="0"/>
              <w:rPr>
                <w:sz w:val="20"/>
                <w:szCs w:val="20"/>
              </w:rPr>
            </w:pPr>
            <w:r>
              <w:rPr>
                <w:sz w:val="20"/>
                <w:szCs w:val="20"/>
              </w:rPr>
              <w:t>​</w:t>
            </w:r>
          </w:p>
        </w:tc>
        <w:tc>
          <w:tcPr>
            <w:tcW w:w="230" w:type="pct"/>
            <w:shd w:val="clear" w:color="auto" w:fill="CCEEFF"/>
            <w:noWrap/>
            <w:tcMar>
              <w:top w:w="0" w:type="dxa"/>
              <w:left w:w="0" w:type="dxa"/>
              <w:bottom w:w="0" w:type="dxa"/>
              <w:right w:w="0" w:type="dxa"/>
            </w:tcMar>
            <w:vAlign w:val="bottom"/>
            <w:hideMark/>
          </w:tcPr>
          <w:p w14:paraId="3224A970" w14:textId="77777777" w:rsidR="00000000" w:rsidRDefault="001F1B20">
            <w:pPr>
              <w:pStyle w:val="a3"/>
              <w:spacing w:before="0" w:beforeAutospacing="0" w:after="0"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43850488"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610B9CE3" w14:textId="77777777" w:rsidR="00000000" w:rsidRDefault="001F1B20">
            <w:pPr>
              <w:pStyle w:val="a3"/>
              <w:spacing w:before="0" w:beforeAutospacing="0" w:after="0"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158E953F" w14:textId="77777777" w:rsidR="00000000" w:rsidRDefault="001F1B20">
            <w:pPr>
              <w:pStyle w:val="a3"/>
              <w:spacing w:before="0" w:beforeAutospacing="0" w:after="0" w:afterAutospacing="0"/>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14:paraId="1A005121" w14:textId="77777777" w:rsidR="00000000" w:rsidRDefault="001F1B20">
            <w:pPr>
              <w:pStyle w:val="a3"/>
              <w:spacing w:before="0" w:beforeAutospacing="0" w:after="0" w:afterAutospacing="0"/>
              <w:ind w:right="60"/>
              <w:jc w:val="right"/>
              <w:rPr>
                <w:sz w:val="20"/>
                <w:szCs w:val="20"/>
              </w:rPr>
            </w:pPr>
            <w:r>
              <w:rPr>
                <w:sz w:val="20"/>
                <w:szCs w:val="20"/>
              </w:rPr>
              <w:t>—</w:t>
            </w:r>
          </w:p>
        </w:tc>
        <w:tc>
          <w:tcPr>
            <w:tcW w:w="40" w:type="pct"/>
            <w:shd w:val="clear" w:color="auto" w:fill="CCEEFF"/>
            <w:noWrap/>
            <w:tcMar>
              <w:top w:w="0" w:type="dxa"/>
              <w:left w:w="0" w:type="dxa"/>
              <w:bottom w:w="0" w:type="dxa"/>
              <w:right w:w="0" w:type="dxa"/>
            </w:tcMar>
            <w:vAlign w:val="bottom"/>
            <w:hideMark/>
          </w:tcPr>
          <w:p w14:paraId="19351E28"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5D29CBB" w14:textId="77777777" w:rsidR="00000000" w:rsidRDefault="001F1B20">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14:paraId="1BD36E41" w14:textId="77777777" w:rsidR="00000000" w:rsidRDefault="001F1B20">
            <w:pPr>
              <w:pStyle w:val="a3"/>
              <w:spacing w:before="0" w:beforeAutospacing="0" w:after="0" w:afterAutospacing="0"/>
              <w:jc w:val="right"/>
              <w:rPr>
                <w:sz w:val="20"/>
                <w:szCs w:val="20"/>
              </w:rPr>
            </w:pPr>
            <w:r>
              <w:rPr>
                <w:sz w:val="20"/>
                <w:szCs w:val="20"/>
              </w:rPr>
              <w:t>(15,464</w:t>
            </w:r>
            <w:r>
              <w:rPr>
                <w:sz w:val="20"/>
                <w:szCs w:val="20"/>
              </w:rPr>
              <w:t>)</w:t>
            </w:r>
          </w:p>
        </w:tc>
        <w:tc>
          <w:tcPr>
            <w:tcW w:w="39" w:type="pct"/>
            <w:shd w:val="clear" w:color="auto" w:fill="CCEEFF"/>
            <w:noWrap/>
            <w:tcMar>
              <w:top w:w="0" w:type="dxa"/>
              <w:left w:w="0" w:type="dxa"/>
              <w:bottom w:w="0" w:type="dxa"/>
              <w:right w:w="0" w:type="dxa"/>
            </w:tcMar>
            <w:vAlign w:val="bottom"/>
            <w:hideMark/>
          </w:tcPr>
          <w:p w14:paraId="19396F8F" w14:textId="77777777" w:rsidR="00000000" w:rsidRDefault="001F1B20">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4B79806A" w14:textId="77777777" w:rsidR="00000000" w:rsidRDefault="001F1B20">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14:paraId="0F403695" w14:textId="77777777" w:rsidR="00000000" w:rsidRDefault="001F1B20">
            <w:pPr>
              <w:pStyle w:val="a3"/>
              <w:spacing w:before="0" w:beforeAutospacing="0" w:after="0" w:afterAutospacing="0"/>
              <w:ind w:right="60"/>
              <w:jc w:val="right"/>
              <w:rPr>
                <w:sz w:val="20"/>
                <w:szCs w:val="20"/>
              </w:rPr>
            </w:pPr>
            <w:r>
              <w:rPr>
                <w:sz w:val="20"/>
                <w:szCs w:val="20"/>
              </w:rPr>
              <w:t>15,46</w:t>
            </w:r>
            <w:r>
              <w:rPr>
                <w:sz w:val="20"/>
                <w:szCs w:val="20"/>
              </w:rPr>
              <w:t>4</w:t>
            </w:r>
          </w:p>
        </w:tc>
        <w:tc>
          <w:tcPr>
            <w:tcW w:w="39" w:type="pct"/>
            <w:shd w:val="clear" w:color="auto" w:fill="CCEEFF"/>
            <w:noWrap/>
            <w:tcMar>
              <w:top w:w="0" w:type="dxa"/>
              <w:left w:w="0" w:type="dxa"/>
              <w:bottom w:w="0" w:type="dxa"/>
              <w:right w:w="0" w:type="dxa"/>
            </w:tcMar>
            <w:vAlign w:val="bottom"/>
            <w:hideMark/>
          </w:tcPr>
          <w:p w14:paraId="2D7A9DF7" w14:textId="77777777" w:rsidR="00000000" w:rsidRDefault="001F1B20">
            <w:pPr>
              <w:pStyle w:val="a3"/>
              <w:spacing w:before="0" w:beforeAutospacing="0" w:after="0" w:afterAutospacing="0"/>
              <w:rPr>
                <w:sz w:val="20"/>
                <w:szCs w:val="20"/>
              </w:rPr>
            </w:pPr>
            <w:r>
              <w:rPr>
                <w:sz w:val="20"/>
                <w:szCs w:val="20"/>
              </w:rPr>
              <w:t>​</w:t>
            </w:r>
          </w:p>
        </w:tc>
        <w:tc>
          <w:tcPr>
            <w:tcW w:w="189" w:type="pct"/>
            <w:shd w:val="clear" w:color="auto" w:fill="CCEEFF"/>
            <w:noWrap/>
            <w:tcMar>
              <w:top w:w="0" w:type="dxa"/>
              <w:left w:w="0" w:type="dxa"/>
              <w:bottom w:w="0" w:type="dxa"/>
              <w:right w:w="0" w:type="dxa"/>
            </w:tcMar>
            <w:vAlign w:val="bottom"/>
            <w:hideMark/>
          </w:tcPr>
          <w:p w14:paraId="540ACA2C" w14:textId="77777777" w:rsidR="00000000" w:rsidRDefault="001F1B20">
            <w:pPr>
              <w:pStyle w:val="a3"/>
              <w:spacing w:before="0" w:beforeAutospacing="0" w:after="0" w:afterAutospacing="0"/>
              <w:ind w:right="60"/>
              <w:jc w:val="right"/>
              <w:rPr>
                <w:sz w:val="20"/>
                <w:szCs w:val="20"/>
              </w:rPr>
            </w:pPr>
            <w:r>
              <w:rPr>
                <w:sz w:val="20"/>
                <w:szCs w:val="20"/>
              </w:rPr>
              <w:t>NM</w:t>
            </w:r>
          </w:p>
        </w:tc>
        <w:tc>
          <w:tcPr>
            <w:tcW w:w="132" w:type="pct"/>
            <w:shd w:val="clear" w:color="auto" w:fill="CCEEFF"/>
            <w:noWrap/>
            <w:tcMar>
              <w:top w:w="0" w:type="dxa"/>
              <w:left w:w="0" w:type="dxa"/>
              <w:bottom w:w="0" w:type="dxa"/>
              <w:right w:w="0" w:type="dxa"/>
            </w:tcMar>
            <w:vAlign w:val="bottom"/>
            <w:hideMark/>
          </w:tcPr>
          <w:p w14:paraId="3CFAD1BA" w14:textId="77777777" w:rsidR="00000000" w:rsidRDefault="001F1B20">
            <w:pPr>
              <w:pStyle w:val="a3"/>
              <w:spacing w:before="0" w:beforeAutospacing="0" w:after="0" w:afterAutospacing="0"/>
              <w:rPr>
                <w:sz w:val="20"/>
                <w:szCs w:val="20"/>
              </w:rPr>
            </w:pPr>
            <w:r>
              <w:rPr>
                <w:sz w:val="20"/>
                <w:szCs w:val="20"/>
              </w:rPr>
              <w:t>%  </w:t>
            </w:r>
          </w:p>
        </w:tc>
      </w:tr>
    </w:tbl>
    <w:p w14:paraId="7EE10F9A" w14:textId="77777777" w:rsidR="00000000" w:rsidRDefault="001F1B20">
      <w:pPr>
        <w:pStyle w:val="a3"/>
        <w:spacing w:before="0" w:beforeAutospacing="0" w:after="0" w:afterAutospacing="0"/>
        <w:divId w:val="1561095023"/>
        <w:rPr>
          <w:sz w:val="20"/>
          <w:szCs w:val="20"/>
        </w:rPr>
      </w:pPr>
      <w:r>
        <w:rPr>
          <w:sz w:val="20"/>
          <w:szCs w:val="20"/>
        </w:rPr>
        <w:t>NM: Not Meaningful</w:t>
      </w:r>
    </w:p>
    <w:p w14:paraId="1B20711F" w14:textId="77777777" w:rsidR="00000000" w:rsidRDefault="001F1B20">
      <w:pPr>
        <w:pStyle w:val="a3"/>
        <w:spacing w:before="0" w:beforeAutospacing="0" w:after="0" w:afterAutospacing="0"/>
        <w:divId w:val="1561095023"/>
        <w:rPr>
          <w:sz w:val="20"/>
          <w:szCs w:val="20"/>
        </w:rPr>
      </w:pPr>
      <w:r>
        <w:rPr>
          <w:sz w:val="20"/>
          <w:szCs w:val="20"/>
        </w:rPr>
        <w:t>​</w:t>
      </w:r>
    </w:p>
    <w:p w14:paraId="46A07493" w14:textId="77777777" w:rsidR="00000000" w:rsidRDefault="001F1B20">
      <w:pPr>
        <w:pStyle w:val="a3"/>
        <w:spacing w:before="0" w:beforeAutospacing="0" w:after="0" w:afterAutospacing="0"/>
        <w:ind w:firstLine="720"/>
        <w:divId w:val="1561095023"/>
        <w:rPr>
          <w:sz w:val="20"/>
          <w:szCs w:val="20"/>
        </w:rPr>
      </w:pPr>
      <w:r>
        <w:rPr>
          <w:sz w:val="20"/>
          <w:szCs w:val="20"/>
        </w:rPr>
        <w:t>For the nine months ended September 30, 2020, the $15.5 million loss on extinguishment of debt was related to the issuance of the Non-Recourse 2035 Notes in February 2020. A portion of the proceeds from the Non-Recourse 2035 Notes were used to repay the ou</w:t>
      </w:r>
      <w:r>
        <w:rPr>
          <w:sz w:val="20"/>
          <w:szCs w:val="20"/>
        </w:rPr>
        <w:t>tstanding balance of the Non-Recourse 2033 Notes that were issued in November 2018. The $15.5 million loss was comprised of a redemption premium related to the early repayment of the Non-Recourse 2033 Notes and the write-off of the previously deferred debt</w:t>
      </w:r>
      <w:r>
        <w:rPr>
          <w:sz w:val="20"/>
          <w:szCs w:val="20"/>
        </w:rPr>
        <w:t xml:space="preserve"> issuance costs related to the portion of the Non-Recourse 2033 Notes that was considered extinguished.</w:t>
      </w:r>
    </w:p>
    <w:p w14:paraId="14A4FBBA" w14:textId="77777777" w:rsidR="00000000" w:rsidRDefault="001F1B20">
      <w:pPr>
        <w:pStyle w:val="a3"/>
        <w:spacing w:before="0" w:beforeAutospacing="0" w:after="0" w:afterAutospacing="0"/>
        <w:ind w:firstLine="720"/>
        <w:divId w:val="1561095023"/>
        <w:rPr>
          <w:sz w:val="20"/>
          <w:szCs w:val="20"/>
        </w:rPr>
      </w:pPr>
      <w:r>
        <w:rPr>
          <w:sz w:val="20"/>
          <w:szCs w:val="20"/>
        </w:rPr>
        <w:t>​</w:t>
      </w:r>
    </w:p>
    <w:p w14:paraId="1859DD9F" w14:textId="77777777" w:rsidR="00000000" w:rsidRDefault="001F1B20">
      <w:pPr>
        <w:pStyle w:val="a3"/>
        <w:spacing w:before="0" w:beforeAutospacing="0" w:after="0" w:afterAutospacing="0"/>
        <w:divId w:val="1561095023"/>
        <w:rPr>
          <w:sz w:val="20"/>
          <w:szCs w:val="20"/>
        </w:rPr>
      </w:pPr>
      <w:r>
        <w:rPr>
          <w:b/>
          <w:bCs/>
          <w:i/>
          <w:iCs/>
          <w:sz w:val="20"/>
          <w:szCs w:val="20"/>
        </w:rPr>
        <w:t>Interest and Other Income (Expense), net</w:t>
      </w:r>
    </w:p>
    <w:p w14:paraId="4A97E870" w14:textId="77777777" w:rsidR="00000000" w:rsidRDefault="001F1B20">
      <w:pPr>
        <w:pStyle w:val="a3"/>
        <w:spacing w:before="0" w:beforeAutospacing="0" w:after="0" w:afterAutospacing="0"/>
        <w:divId w:val="1561095023"/>
        <w:rPr>
          <w:sz w:val="20"/>
          <w:szCs w:val="20"/>
        </w:rPr>
      </w:pPr>
      <w:r>
        <w:rPr>
          <w:sz w:val="20"/>
          <w:szCs w:val="20"/>
        </w:rPr>
        <w:t>​</w:t>
      </w:r>
    </w:p>
    <w:p w14:paraId="40BCFC0F" w14:textId="77777777" w:rsidR="00000000" w:rsidRDefault="001F1B20">
      <w:pPr>
        <w:pStyle w:val="a3"/>
        <w:spacing w:before="0" w:beforeAutospacing="0" w:after="0" w:afterAutospacing="0"/>
        <w:ind w:firstLine="720"/>
        <w:divId w:val="1561095023"/>
        <w:rPr>
          <w:sz w:val="20"/>
          <w:szCs w:val="20"/>
        </w:rPr>
      </w:pPr>
      <w:r>
        <w:rPr>
          <w:sz w:val="20"/>
          <w:szCs w:val="20"/>
        </w:rPr>
        <w:t>Interest and other income (expense), net, as compared to the comparable periods in the prior year, was as follows:</w:t>
      </w:r>
    </w:p>
    <w:p w14:paraId="2D1EB074" w14:textId="77777777" w:rsidR="00000000" w:rsidRDefault="001F1B20">
      <w:pPr>
        <w:pStyle w:val="a3"/>
        <w:spacing w:before="0" w:beforeAutospacing="0" w:after="0" w:afterAutospacing="0"/>
        <w:ind w:firstLine="720"/>
        <w:divId w:val="156109502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89"/>
        <w:gridCol w:w="80"/>
        <w:gridCol w:w="101"/>
        <w:gridCol w:w="591"/>
        <w:gridCol w:w="80"/>
        <w:gridCol w:w="100"/>
        <w:gridCol w:w="594"/>
        <w:gridCol w:w="80"/>
        <w:gridCol w:w="100"/>
        <w:gridCol w:w="584"/>
        <w:gridCol w:w="80"/>
        <w:gridCol w:w="434"/>
        <w:gridCol w:w="227"/>
        <w:gridCol w:w="80"/>
        <w:gridCol w:w="101"/>
        <w:gridCol w:w="525"/>
        <w:gridCol w:w="80"/>
        <w:gridCol w:w="100"/>
        <w:gridCol w:w="586"/>
        <w:gridCol w:w="80"/>
        <w:gridCol w:w="100"/>
        <w:gridCol w:w="584"/>
        <w:gridCol w:w="80"/>
        <w:gridCol w:w="383"/>
        <w:gridCol w:w="267"/>
      </w:tblGrid>
      <w:tr w:rsidR="00000000" w14:paraId="48372EB2" w14:textId="77777777">
        <w:trPr>
          <w:divId w:val="1561095023"/>
          <w:trHeight w:val="20"/>
        </w:trPr>
        <w:tc>
          <w:tcPr>
            <w:tcW w:w="1880" w:type="pct"/>
            <w:tcMar>
              <w:top w:w="0" w:type="dxa"/>
              <w:left w:w="0" w:type="dxa"/>
              <w:bottom w:w="0" w:type="dxa"/>
              <w:right w:w="0" w:type="dxa"/>
            </w:tcMar>
            <w:vAlign w:val="bottom"/>
            <w:hideMark/>
          </w:tcPr>
          <w:p w14:paraId="0D64264A" w14:textId="77777777" w:rsidR="00000000" w:rsidRDefault="001F1B20">
            <w:pPr>
              <w:pStyle w:val="a3"/>
              <w:spacing w:before="0" w:beforeAutospacing="0" w:after="0" w:afterAutospacing="0"/>
              <w:divId w:val="1405445137"/>
              <w:rPr>
                <w:sz w:val="20"/>
                <w:szCs w:val="20"/>
              </w:rPr>
            </w:pPr>
            <w:r>
              <w:rPr>
                <w:sz w:val="2"/>
                <w:szCs w:val="2"/>
              </w:rPr>
              <w:t>​</w:t>
            </w:r>
          </w:p>
        </w:tc>
        <w:tc>
          <w:tcPr>
            <w:tcW w:w="39" w:type="pct"/>
            <w:noWrap/>
            <w:tcMar>
              <w:top w:w="0" w:type="dxa"/>
              <w:left w:w="0" w:type="dxa"/>
              <w:bottom w:w="0" w:type="dxa"/>
              <w:right w:w="0" w:type="dxa"/>
            </w:tcMar>
            <w:vAlign w:val="bottom"/>
            <w:hideMark/>
          </w:tcPr>
          <w:p w14:paraId="561D97AF" w14:textId="77777777" w:rsidR="00000000" w:rsidRDefault="001F1B20">
            <w:pPr>
              <w:pStyle w:val="a3"/>
              <w:spacing w:before="0" w:beforeAutospacing="0" w:after="0" w:afterAutospacing="0"/>
              <w:divId w:val="42601866"/>
              <w:rPr>
                <w:sz w:val="20"/>
                <w:szCs w:val="20"/>
              </w:rPr>
            </w:pPr>
            <w:r>
              <w:rPr>
                <w:sz w:val="2"/>
                <w:szCs w:val="2"/>
              </w:rPr>
              <w:t>​</w:t>
            </w:r>
          </w:p>
        </w:tc>
        <w:tc>
          <w:tcPr>
            <w:tcW w:w="50" w:type="pct"/>
            <w:noWrap/>
            <w:tcMar>
              <w:top w:w="0" w:type="dxa"/>
              <w:left w:w="0" w:type="dxa"/>
              <w:bottom w:w="0" w:type="dxa"/>
              <w:right w:w="0" w:type="dxa"/>
            </w:tcMar>
            <w:vAlign w:val="bottom"/>
            <w:hideMark/>
          </w:tcPr>
          <w:p w14:paraId="4850F442" w14:textId="77777777" w:rsidR="00000000" w:rsidRDefault="001F1B20">
            <w:pPr>
              <w:pStyle w:val="a3"/>
              <w:spacing w:before="0" w:beforeAutospacing="0" w:after="0" w:afterAutospacing="0"/>
              <w:divId w:val="1264654337"/>
              <w:rPr>
                <w:sz w:val="20"/>
                <w:szCs w:val="20"/>
              </w:rPr>
            </w:pPr>
            <w:r>
              <w:rPr>
                <w:sz w:val="2"/>
                <w:szCs w:val="2"/>
              </w:rPr>
              <w:t>​</w:t>
            </w:r>
          </w:p>
        </w:tc>
        <w:tc>
          <w:tcPr>
            <w:tcW w:w="300" w:type="pct"/>
            <w:noWrap/>
            <w:tcMar>
              <w:top w:w="0" w:type="dxa"/>
              <w:left w:w="0" w:type="dxa"/>
              <w:bottom w:w="0" w:type="dxa"/>
              <w:right w:w="0" w:type="dxa"/>
            </w:tcMar>
            <w:vAlign w:val="bottom"/>
            <w:hideMark/>
          </w:tcPr>
          <w:p w14:paraId="64B76017" w14:textId="77777777" w:rsidR="00000000" w:rsidRDefault="001F1B20">
            <w:pPr>
              <w:pStyle w:val="a3"/>
              <w:spacing w:before="0" w:beforeAutospacing="0" w:after="0" w:afterAutospacing="0"/>
              <w:divId w:val="844781437"/>
              <w:rPr>
                <w:sz w:val="20"/>
                <w:szCs w:val="20"/>
              </w:rPr>
            </w:pPr>
            <w:r>
              <w:rPr>
                <w:sz w:val="2"/>
                <w:szCs w:val="2"/>
              </w:rPr>
              <w:t>​</w:t>
            </w:r>
          </w:p>
        </w:tc>
        <w:tc>
          <w:tcPr>
            <w:tcW w:w="40" w:type="pct"/>
            <w:noWrap/>
            <w:tcMar>
              <w:top w:w="0" w:type="dxa"/>
              <w:left w:w="0" w:type="dxa"/>
              <w:bottom w:w="0" w:type="dxa"/>
              <w:right w:w="0" w:type="dxa"/>
            </w:tcMar>
            <w:vAlign w:val="bottom"/>
            <w:hideMark/>
          </w:tcPr>
          <w:p w14:paraId="69EE4392" w14:textId="77777777" w:rsidR="00000000" w:rsidRDefault="001F1B20">
            <w:pPr>
              <w:pStyle w:val="a3"/>
              <w:spacing w:before="0" w:beforeAutospacing="0" w:after="0" w:afterAutospacing="0"/>
              <w:divId w:val="361633063"/>
              <w:rPr>
                <w:sz w:val="20"/>
                <w:szCs w:val="20"/>
              </w:rPr>
            </w:pPr>
            <w:r>
              <w:rPr>
                <w:sz w:val="2"/>
                <w:szCs w:val="2"/>
              </w:rPr>
              <w:t>​</w:t>
            </w:r>
          </w:p>
        </w:tc>
        <w:tc>
          <w:tcPr>
            <w:tcW w:w="49" w:type="pct"/>
            <w:noWrap/>
            <w:tcMar>
              <w:top w:w="0" w:type="dxa"/>
              <w:left w:w="0" w:type="dxa"/>
              <w:bottom w:w="0" w:type="dxa"/>
              <w:right w:w="0" w:type="dxa"/>
            </w:tcMar>
            <w:vAlign w:val="bottom"/>
            <w:hideMark/>
          </w:tcPr>
          <w:p w14:paraId="74A3237C" w14:textId="77777777" w:rsidR="00000000" w:rsidRDefault="001F1B20">
            <w:pPr>
              <w:pStyle w:val="a3"/>
              <w:spacing w:before="0" w:beforeAutospacing="0" w:after="0" w:afterAutospacing="0"/>
              <w:divId w:val="553737369"/>
              <w:rPr>
                <w:sz w:val="20"/>
                <w:szCs w:val="20"/>
              </w:rPr>
            </w:pPr>
            <w:r>
              <w:rPr>
                <w:sz w:val="2"/>
                <w:szCs w:val="2"/>
              </w:rPr>
              <w:t>​</w:t>
            </w:r>
          </w:p>
        </w:tc>
        <w:tc>
          <w:tcPr>
            <w:tcW w:w="300" w:type="pct"/>
            <w:noWrap/>
            <w:tcMar>
              <w:top w:w="0" w:type="dxa"/>
              <w:left w:w="0" w:type="dxa"/>
              <w:bottom w:w="0" w:type="dxa"/>
              <w:right w:w="0" w:type="dxa"/>
            </w:tcMar>
            <w:vAlign w:val="bottom"/>
            <w:hideMark/>
          </w:tcPr>
          <w:p w14:paraId="31953805" w14:textId="77777777" w:rsidR="00000000" w:rsidRDefault="001F1B20">
            <w:pPr>
              <w:pStyle w:val="a3"/>
              <w:spacing w:before="0" w:beforeAutospacing="0" w:after="0" w:afterAutospacing="0"/>
              <w:divId w:val="596790614"/>
              <w:rPr>
                <w:sz w:val="20"/>
                <w:szCs w:val="20"/>
              </w:rPr>
            </w:pPr>
            <w:r>
              <w:rPr>
                <w:sz w:val="2"/>
                <w:szCs w:val="2"/>
              </w:rPr>
              <w:t>​</w:t>
            </w:r>
          </w:p>
        </w:tc>
        <w:tc>
          <w:tcPr>
            <w:tcW w:w="39" w:type="pct"/>
            <w:noWrap/>
            <w:tcMar>
              <w:top w:w="0" w:type="dxa"/>
              <w:left w:w="0" w:type="dxa"/>
              <w:bottom w:w="0" w:type="dxa"/>
              <w:right w:w="0" w:type="dxa"/>
            </w:tcMar>
            <w:vAlign w:val="bottom"/>
            <w:hideMark/>
          </w:tcPr>
          <w:p w14:paraId="4492E7EA" w14:textId="77777777" w:rsidR="00000000" w:rsidRDefault="001F1B20">
            <w:pPr>
              <w:pStyle w:val="a3"/>
              <w:spacing w:before="0" w:beforeAutospacing="0" w:after="0" w:afterAutospacing="0"/>
              <w:divId w:val="300186843"/>
              <w:rPr>
                <w:sz w:val="20"/>
                <w:szCs w:val="20"/>
              </w:rPr>
            </w:pPr>
            <w:r>
              <w:rPr>
                <w:sz w:val="2"/>
                <w:szCs w:val="2"/>
              </w:rPr>
              <w:t>​</w:t>
            </w:r>
          </w:p>
        </w:tc>
        <w:tc>
          <w:tcPr>
            <w:tcW w:w="49" w:type="pct"/>
            <w:noWrap/>
            <w:tcMar>
              <w:top w:w="0" w:type="dxa"/>
              <w:left w:w="0" w:type="dxa"/>
              <w:bottom w:w="0" w:type="dxa"/>
              <w:right w:w="0" w:type="dxa"/>
            </w:tcMar>
            <w:vAlign w:val="bottom"/>
            <w:hideMark/>
          </w:tcPr>
          <w:p w14:paraId="52D7DC84" w14:textId="77777777" w:rsidR="00000000" w:rsidRDefault="001F1B20">
            <w:pPr>
              <w:pStyle w:val="a3"/>
              <w:spacing w:before="0" w:beforeAutospacing="0" w:after="0" w:afterAutospacing="0"/>
              <w:divId w:val="185606735"/>
              <w:rPr>
                <w:sz w:val="20"/>
                <w:szCs w:val="20"/>
              </w:rPr>
            </w:pPr>
            <w:r>
              <w:rPr>
                <w:sz w:val="2"/>
                <w:szCs w:val="2"/>
              </w:rPr>
              <w:t>​</w:t>
            </w:r>
          </w:p>
        </w:tc>
        <w:tc>
          <w:tcPr>
            <w:tcW w:w="314" w:type="pct"/>
            <w:noWrap/>
            <w:tcMar>
              <w:top w:w="0" w:type="dxa"/>
              <w:left w:w="0" w:type="dxa"/>
              <w:bottom w:w="0" w:type="dxa"/>
              <w:right w:w="0" w:type="dxa"/>
            </w:tcMar>
            <w:vAlign w:val="bottom"/>
            <w:hideMark/>
          </w:tcPr>
          <w:p w14:paraId="3E338BFF" w14:textId="77777777" w:rsidR="00000000" w:rsidRDefault="001F1B20">
            <w:pPr>
              <w:pStyle w:val="a3"/>
              <w:spacing w:before="0" w:beforeAutospacing="0" w:after="0" w:afterAutospacing="0"/>
              <w:divId w:val="547036108"/>
              <w:rPr>
                <w:sz w:val="20"/>
                <w:szCs w:val="20"/>
              </w:rPr>
            </w:pPr>
            <w:r>
              <w:rPr>
                <w:sz w:val="2"/>
                <w:szCs w:val="2"/>
              </w:rPr>
              <w:t>​</w:t>
            </w:r>
          </w:p>
        </w:tc>
        <w:tc>
          <w:tcPr>
            <w:tcW w:w="39" w:type="pct"/>
            <w:noWrap/>
            <w:tcMar>
              <w:top w:w="0" w:type="dxa"/>
              <w:left w:w="0" w:type="dxa"/>
              <w:bottom w:w="0" w:type="dxa"/>
              <w:right w:w="0" w:type="dxa"/>
            </w:tcMar>
            <w:vAlign w:val="bottom"/>
            <w:hideMark/>
          </w:tcPr>
          <w:p w14:paraId="5A8E7985" w14:textId="77777777" w:rsidR="00000000" w:rsidRDefault="001F1B20">
            <w:pPr>
              <w:pStyle w:val="a3"/>
              <w:spacing w:before="0" w:beforeAutospacing="0" w:after="0" w:afterAutospacing="0"/>
              <w:divId w:val="2134051696"/>
              <w:rPr>
                <w:sz w:val="20"/>
                <w:szCs w:val="20"/>
              </w:rPr>
            </w:pPr>
            <w:r>
              <w:rPr>
                <w:sz w:val="2"/>
                <w:szCs w:val="2"/>
              </w:rPr>
              <w:t>​</w:t>
            </w:r>
          </w:p>
        </w:tc>
        <w:tc>
          <w:tcPr>
            <w:tcW w:w="240" w:type="pct"/>
            <w:noWrap/>
            <w:tcMar>
              <w:top w:w="0" w:type="dxa"/>
              <w:left w:w="0" w:type="dxa"/>
              <w:bottom w:w="0" w:type="dxa"/>
              <w:right w:w="0" w:type="dxa"/>
            </w:tcMar>
            <w:vAlign w:val="bottom"/>
            <w:hideMark/>
          </w:tcPr>
          <w:p w14:paraId="26D8D2E3" w14:textId="77777777" w:rsidR="00000000" w:rsidRDefault="001F1B20">
            <w:pPr>
              <w:pStyle w:val="a3"/>
              <w:spacing w:before="0" w:beforeAutospacing="0" w:after="0" w:afterAutospacing="0"/>
              <w:divId w:val="1234392015"/>
              <w:rPr>
                <w:sz w:val="20"/>
                <w:szCs w:val="20"/>
              </w:rPr>
            </w:pPr>
            <w:r>
              <w:rPr>
                <w:sz w:val="2"/>
                <w:szCs w:val="2"/>
              </w:rPr>
              <w:t>​</w:t>
            </w:r>
          </w:p>
        </w:tc>
        <w:tc>
          <w:tcPr>
            <w:tcW w:w="112" w:type="pct"/>
            <w:noWrap/>
            <w:tcMar>
              <w:top w:w="0" w:type="dxa"/>
              <w:left w:w="0" w:type="dxa"/>
              <w:bottom w:w="0" w:type="dxa"/>
              <w:right w:w="0" w:type="dxa"/>
            </w:tcMar>
            <w:vAlign w:val="bottom"/>
            <w:hideMark/>
          </w:tcPr>
          <w:p w14:paraId="671F13B2" w14:textId="77777777" w:rsidR="00000000" w:rsidRDefault="001F1B20">
            <w:pPr>
              <w:pStyle w:val="a3"/>
              <w:spacing w:before="0" w:beforeAutospacing="0" w:after="0" w:afterAutospacing="0"/>
              <w:divId w:val="2135244739"/>
              <w:rPr>
                <w:sz w:val="20"/>
                <w:szCs w:val="20"/>
              </w:rPr>
            </w:pPr>
            <w:r>
              <w:rPr>
                <w:sz w:val="2"/>
                <w:szCs w:val="2"/>
              </w:rPr>
              <w:t>​</w:t>
            </w:r>
          </w:p>
        </w:tc>
        <w:tc>
          <w:tcPr>
            <w:tcW w:w="39" w:type="pct"/>
            <w:noWrap/>
            <w:tcMar>
              <w:top w:w="0" w:type="dxa"/>
              <w:left w:w="0" w:type="dxa"/>
              <w:bottom w:w="0" w:type="dxa"/>
              <w:right w:w="0" w:type="dxa"/>
            </w:tcMar>
            <w:vAlign w:val="bottom"/>
            <w:hideMark/>
          </w:tcPr>
          <w:p w14:paraId="2E438D93" w14:textId="77777777" w:rsidR="00000000" w:rsidRDefault="001F1B20">
            <w:pPr>
              <w:pStyle w:val="a3"/>
              <w:spacing w:before="0" w:beforeAutospacing="0" w:after="0" w:afterAutospacing="0"/>
              <w:divId w:val="199128589"/>
              <w:rPr>
                <w:sz w:val="20"/>
                <w:szCs w:val="20"/>
              </w:rPr>
            </w:pPr>
            <w:r>
              <w:rPr>
                <w:sz w:val="2"/>
                <w:szCs w:val="2"/>
              </w:rPr>
              <w:t>​</w:t>
            </w:r>
          </w:p>
        </w:tc>
        <w:tc>
          <w:tcPr>
            <w:tcW w:w="50" w:type="pct"/>
            <w:noWrap/>
            <w:tcMar>
              <w:top w:w="0" w:type="dxa"/>
              <w:left w:w="0" w:type="dxa"/>
              <w:bottom w:w="0" w:type="dxa"/>
              <w:right w:w="0" w:type="dxa"/>
            </w:tcMar>
            <w:vAlign w:val="bottom"/>
            <w:hideMark/>
          </w:tcPr>
          <w:p w14:paraId="709B082E" w14:textId="77777777" w:rsidR="00000000" w:rsidRDefault="001F1B20">
            <w:pPr>
              <w:pStyle w:val="a3"/>
              <w:spacing w:before="0" w:beforeAutospacing="0" w:after="0" w:afterAutospacing="0"/>
              <w:divId w:val="1387293367"/>
              <w:rPr>
                <w:sz w:val="20"/>
                <w:szCs w:val="20"/>
              </w:rPr>
            </w:pPr>
            <w:r>
              <w:rPr>
                <w:sz w:val="2"/>
                <w:szCs w:val="2"/>
              </w:rPr>
              <w:t>​</w:t>
            </w:r>
          </w:p>
        </w:tc>
        <w:tc>
          <w:tcPr>
            <w:tcW w:w="282" w:type="pct"/>
            <w:noWrap/>
            <w:tcMar>
              <w:top w:w="0" w:type="dxa"/>
              <w:left w:w="0" w:type="dxa"/>
              <w:bottom w:w="0" w:type="dxa"/>
              <w:right w:w="0" w:type="dxa"/>
            </w:tcMar>
            <w:vAlign w:val="bottom"/>
            <w:hideMark/>
          </w:tcPr>
          <w:p w14:paraId="0695CD5E" w14:textId="77777777" w:rsidR="00000000" w:rsidRDefault="001F1B20">
            <w:pPr>
              <w:pStyle w:val="a3"/>
              <w:spacing w:before="0" w:beforeAutospacing="0" w:after="0" w:afterAutospacing="0"/>
              <w:divId w:val="1162084744"/>
              <w:rPr>
                <w:sz w:val="20"/>
                <w:szCs w:val="20"/>
              </w:rPr>
            </w:pPr>
            <w:r>
              <w:rPr>
                <w:sz w:val="2"/>
                <w:szCs w:val="2"/>
              </w:rPr>
              <w:t>​</w:t>
            </w:r>
          </w:p>
        </w:tc>
        <w:tc>
          <w:tcPr>
            <w:tcW w:w="40" w:type="pct"/>
            <w:noWrap/>
            <w:tcMar>
              <w:top w:w="0" w:type="dxa"/>
              <w:left w:w="0" w:type="dxa"/>
              <w:bottom w:w="0" w:type="dxa"/>
              <w:right w:w="0" w:type="dxa"/>
            </w:tcMar>
            <w:vAlign w:val="bottom"/>
            <w:hideMark/>
          </w:tcPr>
          <w:p w14:paraId="3BF43DFB" w14:textId="77777777" w:rsidR="00000000" w:rsidRDefault="001F1B20">
            <w:pPr>
              <w:pStyle w:val="a3"/>
              <w:spacing w:before="0" w:beforeAutospacing="0" w:after="0" w:afterAutospacing="0"/>
              <w:divId w:val="1068310224"/>
              <w:rPr>
                <w:sz w:val="20"/>
                <w:szCs w:val="20"/>
              </w:rPr>
            </w:pPr>
            <w:r>
              <w:rPr>
                <w:sz w:val="2"/>
                <w:szCs w:val="2"/>
              </w:rPr>
              <w:t>​</w:t>
            </w:r>
          </w:p>
        </w:tc>
        <w:tc>
          <w:tcPr>
            <w:tcW w:w="49" w:type="pct"/>
            <w:noWrap/>
            <w:tcMar>
              <w:top w:w="0" w:type="dxa"/>
              <w:left w:w="0" w:type="dxa"/>
              <w:bottom w:w="0" w:type="dxa"/>
              <w:right w:w="0" w:type="dxa"/>
            </w:tcMar>
            <w:vAlign w:val="bottom"/>
            <w:hideMark/>
          </w:tcPr>
          <w:p w14:paraId="23FA8DD1" w14:textId="77777777" w:rsidR="00000000" w:rsidRDefault="001F1B20">
            <w:pPr>
              <w:pStyle w:val="a3"/>
              <w:spacing w:before="0" w:beforeAutospacing="0" w:after="0" w:afterAutospacing="0"/>
              <w:divId w:val="155653769"/>
              <w:rPr>
                <w:sz w:val="20"/>
                <w:szCs w:val="20"/>
              </w:rPr>
            </w:pPr>
            <w:r>
              <w:rPr>
                <w:sz w:val="2"/>
                <w:szCs w:val="2"/>
              </w:rPr>
              <w:t>​</w:t>
            </w:r>
          </w:p>
        </w:tc>
        <w:tc>
          <w:tcPr>
            <w:tcW w:w="314" w:type="pct"/>
            <w:noWrap/>
            <w:tcMar>
              <w:top w:w="0" w:type="dxa"/>
              <w:left w:w="0" w:type="dxa"/>
              <w:bottom w:w="0" w:type="dxa"/>
              <w:right w:w="0" w:type="dxa"/>
            </w:tcMar>
            <w:vAlign w:val="bottom"/>
            <w:hideMark/>
          </w:tcPr>
          <w:p w14:paraId="5E1F5747" w14:textId="77777777" w:rsidR="00000000" w:rsidRDefault="001F1B20">
            <w:pPr>
              <w:pStyle w:val="a3"/>
              <w:spacing w:before="0" w:beforeAutospacing="0" w:after="0" w:afterAutospacing="0"/>
              <w:divId w:val="282809687"/>
              <w:rPr>
                <w:sz w:val="20"/>
                <w:szCs w:val="20"/>
              </w:rPr>
            </w:pPr>
            <w:r>
              <w:rPr>
                <w:sz w:val="2"/>
                <w:szCs w:val="2"/>
              </w:rPr>
              <w:t>​</w:t>
            </w:r>
          </w:p>
        </w:tc>
        <w:tc>
          <w:tcPr>
            <w:tcW w:w="39" w:type="pct"/>
            <w:noWrap/>
            <w:tcMar>
              <w:top w:w="0" w:type="dxa"/>
              <w:left w:w="0" w:type="dxa"/>
              <w:bottom w:w="0" w:type="dxa"/>
              <w:right w:w="0" w:type="dxa"/>
            </w:tcMar>
            <w:vAlign w:val="bottom"/>
            <w:hideMark/>
          </w:tcPr>
          <w:p w14:paraId="73641C27" w14:textId="77777777" w:rsidR="00000000" w:rsidRDefault="001F1B20">
            <w:pPr>
              <w:pStyle w:val="a3"/>
              <w:spacing w:before="0" w:beforeAutospacing="0" w:after="0" w:afterAutospacing="0"/>
              <w:divId w:val="1528518141"/>
              <w:rPr>
                <w:sz w:val="20"/>
                <w:szCs w:val="20"/>
              </w:rPr>
            </w:pPr>
            <w:r>
              <w:rPr>
                <w:sz w:val="2"/>
                <w:szCs w:val="2"/>
              </w:rPr>
              <w:t>​</w:t>
            </w:r>
          </w:p>
        </w:tc>
        <w:tc>
          <w:tcPr>
            <w:tcW w:w="49" w:type="pct"/>
            <w:noWrap/>
            <w:tcMar>
              <w:top w:w="0" w:type="dxa"/>
              <w:left w:w="0" w:type="dxa"/>
              <w:bottom w:w="0" w:type="dxa"/>
              <w:right w:w="0" w:type="dxa"/>
            </w:tcMar>
            <w:vAlign w:val="bottom"/>
            <w:hideMark/>
          </w:tcPr>
          <w:p w14:paraId="6298EA71" w14:textId="77777777" w:rsidR="00000000" w:rsidRDefault="001F1B20">
            <w:pPr>
              <w:pStyle w:val="a3"/>
              <w:spacing w:before="0" w:beforeAutospacing="0" w:after="0" w:afterAutospacing="0"/>
              <w:divId w:val="629743808"/>
              <w:rPr>
                <w:sz w:val="20"/>
                <w:szCs w:val="20"/>
              </w:rPr>
            </w:pPr>
            <w:r>
              <w:rPr>
                <w:sz w:val="2"/>
                <w:szCs w:val="2"/>
              </w:rPr>
              <w:t>​</w:t>
            </w:r>
          </w:p>
        </w:tc>
        <w:tc>
          <w:tcPr>
            <w:tcW w:w="314" w:type="pct"/>
            <w:noWrap/>
            <w:tcMar>
              <w:top w:w="0" w:type="dxa"/>
              <w:left w:w="0" w:type="dxa"/>
              <w:bottom w:w="0" w:type="dxa"/>
              <w:right w:w="0" w:type="dxa"/>
            </w:tcMar>
            <w:vAlign w:val="bottom"/>
            <w:hideMark/>
          </w:tcPr>
          <w:p w14:paraId="1F66EF02" w14:textId="77777777" w:rsidR="00000000" w:rsidRDefault="001F1B20">
            <w:pPr>
              <w:pStyle w:val="a3"/>
              <w:spacing w:before="0" w:beforeAutospacing="0" w:after="0" w:afterAutospacing="0"/>
              <w:divId w:val="1530676993"/>
              <w:rPr>
                <w:sz w:val="20"/>
                <w:szCs w:val="20"/>
              </w:rPr>
            </w:pPr>
            <w:r>
              <w:rPr>
                <w:sz w:val="2"/>
                <w:szCs w:val="2"/>
              </w:rPr>
              <w:t>​</w:t>
            </w:r>
          </w:p>
        </w:tc>
        <w:tc>
          <w:tcPr>
            <w:tcW w:w="39" w:type="pct"/>
            <w:noWrap/>
            <w:tcMar>
              <w:top w:w="0" w:type="dxa"/>
              <w:left w:w="0" w:type="dxa"/>
              <w:bottom w:w="0" w:type="dxa"/>
              <w:right w:w="0" w:type="dxa"/>
            </w:tcMar>
            <w:vAlign w:val="bottom"/>
            <w:hideMark/>
          </w:tcPr>
          <w:p w14:paraId="4AEBE02A" w14:textId="77777777" w:rsidR="00000000" w:rsidRDefault="001F1B20">
            <w:pPr>
              <w:pStyle w:val="a3"/>
              <w:spacing w:before="0" w:beforeAutospacing="0" w:after="0" w:afterAutospacing="0"/>
              <w:divId w:val="1075935983"/>
              <w:rPr>
                <w:sz w:val="20"/>
                <w:szCs w:val="20"/>
              </w:rPr>
            </w:pPr>
            <w:r>
              <w:rPr>
                <w:sz w:val="2"/>
                <w:szCs w:val="2"/>
              </w:rPr>
              <w:t>​</w:t>
            </w:r>
          </w:p>
        </w:tc>
        <w:tc>
          <w:tcPr>
            <w:tcW w:w="190" w:type="pct"/>
            <w:noWrap/>
            <w:tcMar>
              <w:top w:w="0" w:type="dxa"/>
              <w:left w:w="0" w:type="dxa"/>
              <w:bottom w:w="0" w:type="dxa"/>
              <w:right w:w="0" w:type="dxa"/>
            </w:tcMar>
            <w:vAlign w:val="bottom"/>
            <w:hideMark/>
          </w:tcPr>
          <w:p w14:paraId="56038D30" w14:textId="77777777" w:rsidR="00000000" w:rsidRDefault="001F1B20">
            <w:pPr>
              <w:pStyle w:val="a3"/>
              <w:spacing w:before="0" w:beforeAutospacing="0" w:after="0" w:afterAutospacing="0"/>
              <w:divId w:val="734012058"/>
              <w:rPr>
                <w:sz w:val="20"/>
                <w:szCs w:val="20"/>
              </w:rPr>
            </w:pPr>
            <w:r>
              <w:rPr>
                <w:sz w:val="2"/>
                <w:szCs w:val="2"/>
              </w:rPr>
              <w:t>​</w:t>
            </w:r>
          </w:p>
        </w:tc>
        <w:tc>
          <w:tcPr>
            <w:tcW w:w="132" w:type="pct"/>
            <w:noWrap/>
            <w:tcMar>
              <w:top w:w="0" w:type="dxa"/>
              <w:left w:w="0" w:type="dxa"/>
              <w:bottom w:w="0" w:type="dxa"/>
              <w:right w:w="0" w:type="dxa"/>
            </w:tcMar>
            <w:vAlign w:val="bottom"/>
            <w:hideMark/>
          </w:tcPr>
          <w:p w14:paraId="614C53C9" w14:textId="77777777" w:rsidR="00000000" w:rsidRDefault="001F1B20">
            <w:pPr>
              <w:pStyle w:val="a3"/>
              <w:spacing w:before="0" w:beforeAutospacing="0" w:after="0" w:afterAutospacing="0"/>
              <w:divId w:val="251361366"/>
              <w:rPr>
                <w:sz w:val="20"/>
                <w:szCs w:val="20"/>
              </w:rPr>
            </w:pPr>
            <w:r>
              <w:rPr>
                <w:sz w:val="2"/>
                <w:szCs w:val="2"/>
              </w:rPr>
              <w:t>​</w:t>
            </w:r>
          </w:p>
        </w:tc>
      </w:tr>
      <w:tr w:rsidR="00000000" w14:paraId="6D73BAFB" w14:textId="77777777">
        <w:trPr>
          <w:divId w:val="1561095023"/>
        </w:trPr>
        <w:tc>
          <w:tcPr>
            <w:tcW w:w="1880" w:type="pct"/>
            <w:tcMar>
              <w:top w:w="0" w:type="dxa"/>
              <w:left w:w="0" w:type="dxa"/>
              <w:bottom w:w="0" w:type="dxa"/>
              <w:right w:w="0" w:type="dxa"/>
            </w:tcMar>
            <w:vAlign w:val="bottom"/>
            <w:hideMark/>
          </w:tcPr>
          <w:p w14:paraId="080732FE"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173BE2F6" w14:textId="77777777" w:rsidR="00000000" w:rsidRDefault="001F1B20">
            <w:pPr>
              <w:pStyle w:val="a3"/>
              <w:spacing w:before="0" w:beforeAutospacing="0" w:after="0" w:afterAutospacing="0"/>
              <w:jc w:val="center"/>
              <w:rPr>
                <w:sz w:val="20"/>
                <w:szCs w:val="20"/>
              </w:rPr>
            </w:pPr>
            <w:r>
              <w:rPr>
                <w:b/>
                <w:bCs/>
                <w:sz w:val="16"/>
                <w:szCs w:val="16"/>
              </w:rPr>
              <w:t>​</w:t>
            </w:r>
          </w:p>
        </w:tc>
        <w:tc>
          <w:tcPr>
            <w:tcW w:w="741" w:type="pct"/>
            <w:gridSpan w:val="5"/>
            <w:noWrap/>
            <w:tcMar>
              <w:top w:w="0" w:type="dxa"/>
              <w:left w:w="0" w:type="dxa"/>
              <w:bottom w:w="0" w:type="dxa"/>
              <w:right w:w="0" w:type="dxa"/>
            </w:tcMar>
            <w:vAlign w:val="bottom"/>
            <w:hideMark/>
          </w:tcPr>
          <w:p w14:paraId="6F7EC30B"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39" w:type="pct"/>
            <w:noWrap/>
            <w:tcMar>
              <w:top w:w="0" w:type="dxa"/>
              <w:left w:w="0" w:type="dxa"/>
              <w:bottom w:w="0" w:type="dxa"/>
              <w:right w:w="0" w:type="dxa"/>
            </w:tcMar>
            <w:vAlign w:val="bottom"/>
            <w:hideMark/>
          </w:tcPr>
          <w:p w14:paraId="6D0D685E" w14:textId="77777777" w:rsidR="00000000" w:rsidRDefault="001F1B20">
            <w:pPr>
              <w:pStyle w:val="a3"/>
              <w:spacing w:before="0" w:beforeAutospacing="0" w:after="0" w:afterAutospacing="0"/>
              <w:jc w:val="center"/>
              <w:rPr>
                <w:sz w:val="20"/>
                <w:szCs w:val="20"/>
              </w:rPr>
            </w:pPr>
            <w:r>
              <w:rPr>
                <w:b/>
                <w:bCs/>
                <w:sz w:val="16"/>
                <w:szCs w:val="16"/>
              </w:rPr>
              <w:t>​</w:t>
            </w:r>
          </w:p>
        </w:tc>
        <w:tc>
          <w:tcPr>
            <w:tcW w:w="643" w:type="pct"/>
            <w:gridSpan w:val="4"/>
            <w:noWrap/>
            <w:tcMar>
              <w:top w:w="0" w:type="dxa"/>
              <w:left w:w="0" w:type="dxa"/>
              <w:bottom w:w="0" w:type="dxa"/>
              <w:right w:w="0" w:type="dxa"/>
            </w:tcMar>
            <w:vAlign w:val="bottom"/>
            <w:hideMark/>
          </w:tcPr>
          <w:p w14:paraId="3669C33A" w14:textId="77777777" w:rsidR="00000000" w:rsidRDefault="001F1B20">
            <w:pPr>
              <w:pStyle w:val="a3"/>
              <w:spacing w:before="0" w:beforeAutospacing="0" w:after="0" w:afterAutospacing="0"/>
              <w:jc w:val="center"/>
              <w:rPr>
                <w:sz w:val="20"/>
                <w:szCs w:val="20"/>
              </w:rPr>
            </w:pPr>
            <w:r>
              <w:rPr>
                <w:b/>
                <w:bCs/>
                <w:sz w:val="16"/>
                <w:szCs w:val="16"/>
              </w:rPr>
              <w:t>​</w:t>
            </w:r>
          </w:p>
        </w:tc>
        <w:tc>
          <w:tcPr>
            <w:tcW w:w="112" w:type="pct"/>
            <w:noWrap/>
            <w:tcMar>
              <w:top w:w="0" w:type="dxa"/>
              <w:left w:w="0" w:type="dxa"/>
              <w:bottom w:w="0" w:type="dxa"/>
              <w:right w:w="0" w:type="dxa"/>
            </w:tcMar>
            <w:vAlign w:val="bottom"/>
            <w:hideMark/>
          </w:tcPr>
          <w:p w14:paraId="12736343"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6FB3B6FC" w14:textId="77777777" w:rsidR="00000000" w:rsidRDefault="001F1B20">
            <w:pPr>
              <w:pStyle w:val="a3"/>
              <w:spacing w:before="0" w:beforeAutospacing="0" w:after="0" w:afterAutospacing="0"/>
              <w:rPr>
                <w:sz w:val="20"/>
                <w:szCs w:val="20"/>
              </w:rPr>
            </w:pPr>
            <w:r>
              <w:rPr>
                <w:b/>
                <w:bCs/>
                <w:sz w:val="16"/>
                <w:szCs w:val="16"/>
              </w:rPr>
              <w:t>​</w:t>
            </w:r>
          </w:p>
        </w:tc>
        <w:tc>
          <w:tcPr>
            <w:tcW w:w="736" w:type="pct"/>
            <w:gridSpan w:val="5"/>
            <w:noWrap/>
            <w:tcMar>
              <w:top w:w="0" w:type="dxa"/>
              <w:left w:w="0" w:type="dxa"/>
              <w:bottom w:w="0" w:type="dxa"/>
              <w:right w:w="0" w:type="dxa"/>
            </w:tcMar>
            <w:vAlign w:val="bottom"/>
            <w:hideMark/>
          </w:tcPr>
          <w:p w14:paraId="5C7FE3D9"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c>
          <w:tcPr>
            <w:tcW w:w="39" w:type="pct"/>
            <w:noWrap/>
            <w:tcMar>
              <w:top w:w="0" w:type="dxa"/>
              <w:left w:w="0" w:type="dxa"/>
              <w:bottom w:w="0" w:type="dxa"/>
              <w:right w:w="0" w:type="dxa"/>
            </w:tcMar>
            <w:vAlign w:val="bottom"/>
            <w:hideMark/>
          </w:tcPr>
          <w:p w14:paraId="3154D0E0" w14:textId="77777777" w:rsidR="00000000" w:rsidRDefault="001F1B20">
            <w:pPr>
              <w:pStyle w:val="a3"/>
              <w:spacing w:before="0" w:beforeAutospacing="0" w:after="0" w:afterAutospacing="0"/>
              <w:jc w:val="center"/>
              <w:rPr>
                <w:sz w:val="20"/>
                <w:szCs w:val="20"/>
              </w:rPr>
            </w:pPr>
            <w:r>
              <w:rPr>
                <w:b/>
                <w:bCs/>
                <w:sz w:val="16"/>
                <w:szCs w:val="16"/>
              </w:rPr>
              <w:t>​</w:t>
            </w:r>
          </w:p>
        </w:tc>
        <w:tc>
          <w:tcPr>
            <w:tcW w:w="594" w:type="pct"/>
            <w:gridSpan w:val="4"/>
            <w:noWrap/>
            <w:tcMar>
              <w:top w:w="0" w:type="dxa"/>
              <w:left w:w="0" w:type="dxa"/>
              <w:bottom w:w="0" w:type="dxa"/>
              <w:right w:w="0" w:type="dxa"/>
            </w:tcMar>
            <w:vAlign w:val="bottom"/>
            <w:hideMark/>
          </w:tcPr>
          <w:p w14:paraId="1DDE016F"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68E9D3EB" w14:textId="77777777" w:rsidR="00000000" w:rsidRDefault="001F1B20">
            <w:pPr>
              <w:pStyle w:val="a3"/>
              <w:spacing w:before="0" w:beforeAutospacing="0" w:after="0" w:afterAutospacing="0"/>
              <w:rPr>
                <w:sz w:val="20"/>
                <w:szCs w:val="20"/>
              </w:rPr>
            </w:pPr>
            <w:r>
              <w:rPr>
                <w:b/>
                <w:bCs/>
                <w:sz w:val="16"/>
                <w:szCs w:val="16"/>
              </w:rPr>
              <w:t>​</w:t>
            </w:r>
          </w:p>
        </w:tc>
      </w:tr>
      <w:tr w:rsidR="00000000" w14:paraId="622F8B8B" w14:textId="77777777">
        <w:trPr>
          <w:divId w:val="1561095023"/>
        </w:trPr>
        <w:tc>
          <w:tcPr>
            <w:tcW w:w="1880" w:type="pct"/>
            <w:tcMar>
              <w:top w:w="0" w:type="dxa"/>
              <w:left w:w="0" w:type="dxa"/>
              <w:bottom w:w="0" w:type="dxa"/>
              <w:right w:w="0" w:type="dxa"/>
            </w:tcMar>
            <w:vAlign w:val="bottom"/>
            <w:hideMark/>
          </w:tcPr>
          <w:p w14:paraId="0BD91C82"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23275B4E" w14:textId="77777777" w:rsidR="00000000" w:rsidRDefault="001F1B20">
            <w:pPr>
              <w:pStyle w:val="a3"/>
              <w:spacing w:before="0" w:beforeAutospacing="0" w:after="0" w:afterAutospacing="0"/>
              <w:jc w:val="center"/>
              <w:rPr>
                <w:sz w:val="20"/>
                <w:szCs w:val="20"/>
              </w:rPr>
            </w:pPr>
            <w:r>
              <w:rPr>
                <w:b/>
                <w:bCs/>
                <w:sz w:val="16"/>
                <w:szCs w:val="16"/>
              </w:rPr>
              <w:t>​</w:t>
            </w:r>
          </w:p>
        </w:tc>
        <w:tc>
          <w:tcPr>
            <w:tcW w:w="741" w:type="pct"/>
            <w:gridSpan w:val="5"/>
            <w:tcBorders>
              <w:bottom w:val="single" w:sz="6" w:space="0" w:color="000000"/>
            </w:tcBorders>
            <w:noWrap/>
            <w:tcMar>
              <w:top w:w="0" w:type="dxa"/>
              <w:left w:w="0" w:type="dxa"/>
              <w:bottom w:w="0" w:type="dxa"/>
              <w:right w:w="0" w:type="dxa"/>
            </w:tcMar>
            <w:vAlign w:val="bottom"/>
            <w:hideMark/>
          </w:tcPr>
          <w:p w14:paraId="37E67C07"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2030F754" w14:textId="77777777" w:rsidR="00000000" w:rsidRDefault="001F1B20">
            <w:pPr>
              <w:pStyle w:val="a3"/>
              <w:spacing w:before="0" w:beforeAutospacing="0" w:after="0" w:afterAutospacing="0"/>
              <w:jc w:val="center"/>
              <w:rPr>
                <w:sz w:val="20"/>
                <w:szCs w:val="20"/>
              </w:rPr>
            </w:pPr>
            <w:r>
              <w:rPr>
                <w:b/>
                <w:bCs/>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14:paraId="118D22BE" w14:textId="77777777" w:rsidR="00000000" w:rsidRDefault="001F1B20">
            <w:pPr>
              <w:pStyle w:val="a3"/>
              <w:spacing w:before="0" w:beforeAutospacing="0" w:after="0" w:afterAutospacing="0"/>
              <w:jc w:val="center"/>
              <w:rPr>
                <w:sz w:val="16"/>
                <w:szCs w:val="16"/>
              </w:rPr>
            </w:pPr>
            <w:r>
              <w:rPr>
                <w:b/>
                <w:bCs/>
                <w:sz w:val="16"/>
                <w:szCs w:val="16"/>
              </w:rPr>
              <w:t>Change</w:t>
            </w:r>
          </w:p>
        </w:tc>
        <w:tc>
          <w:tcPr>
            <w:tcW w:w="112" w:type="pct"/>
            <w:noWrap/>
            <w:tcMar>
              <w:top w:w="0" w:type="dxa"/>
              <w:left w:w="0" w:type="dxa"/>
              <w:bottom w:w="0" w:type="dxa"/>
              <w:right w:w="0" w:type="dxa"/>
            </w:tcMar>
            <w:vAlign w:val="bottom"/>
            <w:hideMark/>
          </w:tcPr>
          <w:p w14:paraId="6E7A829A"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6CF134E5" w14:textId="77777777" w:rsidR="00000000" w:rsidRDefault="001F1B20">
            <w:pPr>
              <w:pStyle w:val="a3"/>
              <w:spacing w:before="0" w:beforeAutospacing="0" w:after="0" w:afterAutospacing="0"/>
              <w:rPr>
                <w:sz w:val="20"/>
                <w:szCs w:val="20"/>
              </w:rPr>
            </w:pPr>
            <w:r>
              <w:rPr>
                <w:b/>
                <w:bCs/>
                <w:sz w:val="16"/>
                <w:szCs w:val="16"/>
              </w:rPr>
              <w:t>​</w:t>
            </w:r>
          </w:p>
        </w:tc>
        <w:tc>
          <w:tcPr>
            <w:tcW w:w="736" w:type="pct"/>
            <w:gridSpan w:val="5"/>
            <w:tcBorders>
              <w:bottom w:val="single" w:sz="6" w:space="0" w:color="000000"/>
            </w:tcBorders>
            <w:noWrap/>
            <w:tcMar>
              <w:top w:w="0" w:type="dxa"/>
              <w:left w:w="0" w:type="dxa"/>
              <w:bottom w:w="0" w:type="dxa"/>
              <w:right w:w="0" w:type="dxa"/>
            </w:tcMar>
            <w:vAlign w:val="bottom"/>
            <w:hideMark/>
          </w:tcPr>
          <w:p w14:paraId="7C872535"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67AB515F" w14:textId="77777777" w:rsidR="00000000" w:rsidRDefault="001F1B20">
            <w:pPr>
              <w:pStyle w:val="a3"/>
              <w:spacing w:before="0" w:beforeAutospacing="0" w:after="0" w:afterAutospacing="0"/>
              <w:jc w:val="center"/>
              <w:rPr>
                <w:sz w:val="20"/>
                <w:szCs w:val="20"/>
              </w:rPr>
            </w:pPr>
            <w:r>
              <w:rPr>
                <w:b/>
                <w:bCs/>
                <w:sz w:val="16"/>
                <w:szCs w:val="16"/>
              </w:rPr>
              <w:t>​</w:t>
            </w:r>
          </w:p>
        </w:tc>
        <w:tc>
          <w:tcPr>
            <w:tcW w:w="594" w:type="pct"/>
            <w:gridSpan w:val="4"/>
            <w:tcBorders>
              <w:bottom w:val="single" w:sz="6" w:space="0" w:color="000000"/>
            </w:tcBorders>
            <w:noWrap/>
            <w:tcMar>
              <w:top w:w="0" w:type="dxa"/>
              <w:left w:w="0" w:type="dxa"/>
              <w:bottom w:w="0" w:type="dxa"/>
              <w:right w:w="0" w:type="dxa"/>
            </w:tcMar>
            <w:vAlign w:val="bottom"/>
            <w:hideMark/>
          </w:tcPr>
          <w:p w14:paraId="325D91BD"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4AACCC89" w14:textId="77777777" w:rsidR="00000000" w:rsidRDefault="001F1B20">
            <w:pPr>
              <w:pStyle w:val="a3"/>
              <w:spacing w:before="0" w:beforeAutospacing="0" w:after="0" w:afterAutospacing="0"/>
              <w:rPr>
                <w:sz w:val="20"/>
                <w:szCs w:val="20"/>
              </w:rPr>
            </w:pPr>
            <w:r>
              <w:rPr>
                <w:b/>
                <w:bCs/>
                <w:sz w:val="16"/>
                <w:szCs w:val="16"/>
              </w:rPr>
              <w:t>​</w:t>
            </w:r>
          </w:p>
        </w:tc>
      </w:tr>
      <w:tr w:rsidR="00000000" w14:paraId="3174C9EA" w14:textId="77777777">
        <w:trPr>
          <w:divId w:val="1561095023"/>
        </w:trPr>
        <w:tc>
          <w:tcPr>
            <w:tcW w:w="1880" w:type="pct"/>
            <w:tcBorders>
              <w:bottom w:val="single" w:sz="6" w:space="0" w:color="000000"/>
            </w:tcBorders>
            <w:tcMar>
              <w:top w:w="0" w:type="dxa"/>
              <w:left w:w="0" w:type="dxa"/>
              <w:bottom w:w="0" w:type="dxa"/>
              <w:right w:w="0" w:type="dxa"/>
            </w:tcMar>
            <w:vAlign w:val="bottom"/>
            <w:hideMark/>
          </w:tcPr>
          <w:p w14:paraId="5509434A" w14:textId="77777777" w:rsidR="00000000" w:rsidRDefault="001F1B20">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14:paraId="5F674805" w14:textId="77777777" w:rsidR="00000000" w:rsidRDefault="001F1B20">
            <w:pPr>
              <w:pStyle w:val="a3"/>
              <w:spacing w:before="0" w:beforeAutospacing="0" w:after="0" w:afterAutospacing="0"/>
              <w:jc w:val="center"/>
              <w:rPr>
                <w:sz w:val="16"/>
                <w:szCs w:val="16"/>
              </w:rPr>
            </w:pPr>
            <w:r>
              <w:rPr>
                <w:b/>
                <w:bCs/>
                <w:sz w:val="16"/>
                <w:szCs w:val="16"/>
              </w:rPr>
              <w:t>  </w:t>
            </w:r>
          </w:p>
        </w:tc>
        <w:tc>
          <w:tcPr>
            <w:tcW w:w="350" w:type="pct"/>
            <w:gridSpan w:val="2"/>
            <w:tcBorders>
              <w:bottom w:val="single" w:sz="6" w:space="0" w:color="000000"/>
            </w:tcBorders>
            <w:noWrap/>
            <w:tcMar>
              <w:top w:w="0" w:type="dxa"/>
              <w:left w:w="0" w:type="dxa"/>
              <w:bottom w:w="0" w:type="dxa"/>
              <w:right w:w="0" w:type="dxa"/>
            </w:tcMar>
            <w:vAlign w:val="bottom"/>
            <w:hideMark/>
          </w:tcPr>
          <w:p w14:paraId="1842D55D" w14:textId="77777777" w:rsidR="00000000" w:rsidRDefault="001F1B20">
            <w:pPr>
              <w:pStyle w:val="a3"/>
              <w:spacing w:before="0" w:beforeAutospacing="0" w:after="0" w:afterAutospacing="0"/>
              <w:jc w:val="center"/>
              <w:rPr>
                <w:sz w:val="16"/>
                <w:szCs w:val="16"/>
              </w:rPr>
            </w:pPr>
            <w:r>
              <w:rPr>
                <w:b/>
                <w:bCs/>
                <w:sz w:val="16"/>
                <w:szCs w:val="16"/>
              </w:rPr>
              <w:t>2021</w:t>
            </w:r>
          </w:p>
        </w:tc>
        <w:tc>
          <w:tcPr>
            <w:tcW w:w="40" w:type="pct"/>
            <w:noWrap/>
            <w:tcMar>
              <w:top w:w="0" w:type="dxa"/>
              <w:left w:w="0" w:type="dxa"/>
              <w:bottom w:w="0" w:type="dxa"/>
              <w:right w:w="0" w:type="dxa"/>
            </w:tcMar>
            <w:vAlign w:val="bottom"/>
            <w:hideMark/>
          </w:tcPr>
          <w:p w14:paraId="570019B0" w14:textId="77777777" w:rsidR="00000000" w:rsidRDefault="001F1B20">
            <w:pPr>
              <w:pStyle w:val="a3"/>
              <w:spacing w:before="0" w:beforeAutospacing="0" w:after="0" w:afterAutospacing="0"/>
              <w:jc w:val="center"/>
              <w:rPr>
                <w:sz w:val="16"/>
                <w:szCs w:val="16"/>
              </w:rPr>
            </w:pPr>
            <w:r>
              <w:rPr>
                <w:b/>
                <w:bCs/>
                <w:sz w:val="16"/>
                <w:szCs w:val="16"/>
              </w:rPr>
              <w:t>  </w:t>
            </w:r>
          </w:p>
        </w:tc>
        <w:tc>
          <w:tcPr>
            <w:tcW w:w="349" w:type="pct"/>
            <w:gridSpan w:val="2"/>
            <w:tcBorders>
              <w:bottom w:val="single" w:sz="6" w:space="0" w:color="000000"/>
            </w:tcBorders>
            <w:noWrap/>
            <w:tcMar>
              <w:top w:w="0" w:type="dxa"/>
              <w:left w:w="0" w:type="dxa"/>
              <w:bottom w:w="0" w:type="dxa"/>
              <w:right w:w="0" w:type="dxa"/>
            </w:tcMar>
            <w:vAlign w:val="bottom"/>
            <w:hideMark/>
          </w:tcPr>
          <w:p w14:paraId="39E66B06"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57A4A935" w14:textId="77777777" w:rsidR="00000000" w:rsidRDefault="001F1B20">
            <w:pPr>
              <w:pStyle w:val="a3"/>
              <w:spacing w:before="0" w:beforeAutospacing="0" w:after="0" w:afterAutospacing="0"/>
              <w:jc w:val="center"/>
              <w:rPr>
                <w:sz w:val="16"/>
                <w:szCs w:val="16"/>
              </w:rPr>
            </w:pP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14:paraId="62FC42E6"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029F59EF" w14:textId="77777777" w:rsidR="00000000" w:rsidRDefault="001F1B20">
            <w:pPr>
              <w:pStyle w:val="a3"/>
              <w:spacing w:before="0" w:beforeAutospacing="0" w:after="0" w:afterAutospacing="0"/>
              <w:jc w:val="center"/>
              <w:rPr>
                <w:sz w:val="16"/>
                <w:szCs w:val="16"/>
              </w:rPr>
            </w:pPr>
            <w:r>
              <w:rPr>
                <w:b/>
                <w:bCs/>
                <w:sz w:val="16"/>
                <w:szCs w:val="16"/>
              </w:rPr>
              <w:t>  </w:t>
            </w:r>
          </w:p>
        </w:tc>
        <w:tc>
          <w:tcPr>
            <w:tcW w:w="240" w:type="pct"/>
            <w:tcBorders>
              <w:bottom w:val="single" w:sz="6" w:space="0" w:color="000000"/>
            </w:tcBorders>
            <w:noWrap/>
            <w:tcMar>
              <w:top w:w="0" w:type="dxa"/>
              <w:left w:w="0" w:type="dxa"/>
              <w:bottom w:w="0" w:type="dxa"/>
              <w:right w:w="0" w:type="dxa"/>
            </w:tcMar>
            <w:vAlign w:val="bottom"/>
            <w:hideMark/>
          </w:tcPr>
          <w:p w14:paraId="3649DA46" w14:textId="77777777" w:rsidR="00000000" w:rsidRDefault="001F1B20">
            <w:pPr>
              <w:pStyle w:val="a3"/>
              <w:spacing w:before="0" w:beforeAutospacing="0" w:after="0" w:afterAutospacing="0"/>
              <w:jc w:val="center"/>
              <w:rPr>
                <w:sz w:val="16"/>
                <w:szCs w:val="16"/>
              </w:rPr>
            </w:pPr>
            <w:r>
              <w:rPr>
                <w:b/>
                <w:bCs/>
                <w:sz w:val="16"/>
                <w:szCs w:val="16"/>
              </w:rPr>
              <w:t>%</w:t>
            </w:r>
          </w:p>
        </w:tc>
        <w:tc>
          <w:tcPr>
            <w:tcW w:w="112" w:type="pct"/>
            <w:noWrap/>
            <w:tcMar>
              <w:top w:w="0" w:type="dxa"/>
              <w:left w:w="0" w:type="dxa"/>
              <w:bottom w:w="0" w:type="dxa"/>
              <w:right w:w="0" w:type="dxa"/>
            </w:tcMar>
            <w:vAlign w:val="bottom"/>
            <w:hideMark/>
          </w:tcPr>
          <w:p w14:paraId="4A478EF7" w14:textId="77777777" w:rsidR="00000000" w:rsidRDefault="001F1B20">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36447AEA" w14:textId="77777777" w:rsidR="00000000" w:rsidRDefault="001F1B20">
            <w:pPr>
              <w:pStyle w:val="a3"/>
              <w:spacing w:before="0" w:beforeAutospacing="0" w:after="0" w:afterAutospacing="0"/>
              <w:jc w:val="center"/>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14:paraId="7C2C2D09" w14:textId="77777777" w:rsidR="00000000" w:rsidRDefault="001F1B20">
            <w:pPr>
              <w:pStyle w:val="a3"/>
              <w:spacing w:before="0" w:beforeAutospacing="0" w:after="0" w:afterAutospacing="0"/>
              <w:jc w:val="center"/>
              <w:rPr>
                <w:sz w:val="16"/>
                <w:szCs w:val="16"/>
              </w:rPr>
            </w:pPr>
            <w:r>
              <w:rPr>
                <w:b/>
                <w:bCs/>
                <w:sz w:val="16"/>
                <w:szCs w:val="16"/>
              </w:rPr>
              <w:t>2021</w:t>
            </w:r>
          </w:p>
        </w:tc>
        <w:tc>
          <w:tcPr>
            <w:tcW w:w="40" w:type="pct"/>
            <w:noWrap/>
            <w:tcMar>
              <w:top w:w="0" w:type="dxa"/>
              <w:left w:w="0" w:type="dxa"/>
              <w:bottom w:w="0" w:type="dxa"/>
              <w:right w:w="0" w:type="dxa"/>
            </w:tcMar>
            <w:vAlign w:val="bottom"/>
            <w:hideMark/>
          </w:tcPr>
          <w:p w14:paraId="45C89DCB" w14:textId="77777777" w:rsidR="00000000" w:rsidRDefault="001F1B20">
            <w:pPr>
              <w:pStyle w:val="a3"/>
              <w:spacing w:before="0" w:beforeAutospacing="0" w:after="0" w:afterAutospacing="0"/>
              <w:rPr>
                <w:sz w:val="16"/>
                <w:szCs w:val="16"/>
              </w:rPr>
            </w:pP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14:paraId="3C5A4166"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6D8BB8EC" w14:textId="77777777" w:rsidR="00000000" w:rsidRDefault="001F1B20">
            <w:pPr>
              <w:pStyle w:val="a3"/>
              <w:spacing w:before="0" w:beforeAutospacing="0" w:after="0" w:afterAutospacing="0"/>
              <w:jc w:val="center"/>
              <w:rPr>
                <w:sz w:val="16"/>
                <w:szCs w:val="16"/>
              </w:rPr>
            </w:pP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14:paraId="244231E4"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1A80D0EC" w14:textId="77777777" w:rsidR="00000000" w:rsidRDefault="001F1B20">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14:paraId="5ADBA016"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3699483B" w14:textId="77777777" w:rsidR="00000000" w:rsidRDefault="001F1B20">
            <w:pPr>
              <w:pStyle w:val="a3"/>
              <w:spacing w:before="0" w:beforeAutospacing="0" w:after="0" w:afterAutospacing="0"/>
              <w:rPr>
                <w:sz w:val="16"/>
                <w:szCs w:val="16"/>
              </w:rPr>
            </w:pPr>
            <w:r>
              <w:rPr>
                <w:b/>
                <w:bCs/>
                <w:sz w:val="16"/>
                <w:szCs w:val="16"/>
              </w:rPr>
              <w:t>    </w:t>
            </w:r>
          </w:p>
        </w:tc>
      </w:tr>
      <w:tr w:rsidR="00000000" w14:paraId="18D1DF99" w14:textId="77777777">
        <w:trPr>
          <w:divId w:val="1561095023"/>
        </w:trPr>
        <w:tc>
          <w:tcPr>
            <w:tcW w:w="1880" w:type="pct"/>
            <w:shd w:val="clear" w:color="auto" w:fill="CCEEFF"/>
            <w:tcMar>
              <w:top w:w="0" w:type="dxa"/>
              <w:left w:w="0" w:type="dxa"/>
              <w:bottom w:w="0" w:type="dxa"/>
              <w:right w:w="0" w:type="dxa"/>
            </w:tcMar>
            <w:vAlign w:val="bottom"/>
            <w:hideMark/>
          </w:tcPr>
          <w:p w14:paraId="6872DE9C" w14:textId="77777777" w:rsidR="00000000" w:rsidRDefault="001F1B20">
            <w:pPr>
              <w:pStyle w:val="a3"/>
              <w:spacing w:before="0" w:beforeAutospacing="0" w:after="0" w:afterAutospacing="0"/>
              <w:rPr>
                <w:sz w:val="20"/>
                <w:szCs w:val="20"/>
              </w:rPr>
            </w:pPr>
            <w:r>
              <w:rPr>
                <w:sz w:val="20"/>
                <w:szCs w:val="20"/>
              </w:rPr>
              <w:t>Interest and other income (expense), net</w:t>
            </w:r>
          </w:p>
        </w:tc>
        <w:tc>
          <w:tcPr>
            <w:tcW w:w="39" w:type="pct"/>
            <w:shd w:val="clear" w:color="auto" w:fill="CCEEFF"/>
            <w:noWrap/>
            <w:tcMar>
              <w:top w:w="0" w:type="dxa"/>
              <w:left w:w="0" w:type="dxa"/>
              <w:bottom w:w="0" w:type="dxa"/>
              <w:right w:w="0" w:type="dxa"/>
            </w:tcMar>
            <w:vAlign w:val="bottom"/>
            <w:hideMark/>
          </w:tcPr>
          <w:p w14:paraId="19D30740" w14:textId="77777777" w:rsidR="00000000" w:rsidRDefault="001F1B20">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4FC9F066" w14:textId="77777777" w:rsidR="00000000" w:rsidRDefault="001F1B20">
            <w:pPr>
              <w:pStyle w:val="a3"/>
              <w:spacing w:before="0" w:beforeAutospacing="0" w:after="0" w:afterAutospacing="0"/>
              <w:rPr>
                <w:sz w:val="20"/>
                <w:szCs w:val="20"/>
              </w:rPr>
            </w:pPr>
            <w:r>
              <w:rPr>
                <w:sz w:val="20"/>
                <w:szCs w:val="20"/>
              </w:rPr>
              <w:t>$</w:t>
            </w:r>
          </w:p>
        </w:tc>
        <w:tc>
          <w:tcPr>
            <w:tcW w:w="300" w:type="pct"/>
            <w:shd w:val="clear" w:color="auto" w:fill="CCEEFF"/>
            <w:noWrap/>
            <w:tcMar>
              <w:top w:w="0" w:type="dxa"/>
              <w:left w:w="0" w:type="dxa"/>
              <w:bottom w:w="0" w:type="dxa"/>
              <w:right w:w="0" w:type="dxa"/>
            </w:tcMar>
            <w:vAlign w:val="bottom"/>
            <w:hideMark/>
          </w:tcPr>
          <w:p w14:paraId="11186435" w14:textId="77777777" w:rsidR="00000000" w:rsidRDefault="001F1B20">
            <w:pPr>
              <w:pStyle w:val="a3"/>
              <w:spacing w:before="0" w:beforeAutospacing="0" w:after="0" w:afterAutospacing="0"/>
              <w:jc w:val="right"/>
              <w:rPr>
                <w:sz w:val="20"/>
                <w:szCs w:val="20"/>
              </w:rPr>
            </w:pPr>
            <w:r>
              <w:rPr>
                <w:sz w:val="20"/>
                <w:szCs w:val="20"/>
              </w:rPr>
              <w:t>(166</w:t>
            </w:r>
            <w:r>
              <w:rPr>
                <w:sz w:val="20"/>
                <w:szCs w:val="20"/>
              </w:rPr>
              <w:t>)</w:t>
            </w:r>
          </w:p>
        </w:tc>
        <w:tc>
          <w:tcPr>
            <w:tcW w:w="40" w:type="pct"/>
            <w:shd w:val="clear" w:color="auto" w:fill="CCEEFF"/>
            <w:noWrap/>
            <w:tcMar>
              <w:top w:w="0" w:type="dxa"/>
              <w:left w:w="0" w:type="dxa"/>
              <w:bottom w:w="0" w:type="dxa"/>
              <w:right w:w="0" w:type="dxa"/>
            </w:tcMar>
            <w:vAlign w:val="bottom"/>
            <w:hideMark/>
          </w:tcPr>
          <w:p w14:paraId="6FC8EEFD"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0A85406C" w14:textId="77777777" w:rsidR="00000000" w:rsidRDefault="001F1B20">
            <w:pPr>
              <w:pStyle w:val="a3"/>
              <w:spacing w:before="0" w:beforeAutospacing="0" w:after="0" w:afterAutospacing="0"/>
              <w:rPr>
                <w:sz w:val="20"/>
                <w:szCs w:val="20"/>
              </w:rPr>
            </w:pPr>
            <w:r>
              <w:rPr>
                <w:sz w:val="20"/>
                <w:szCs w:val="20"/>
              </w:rPr>
              <w:t>$</w:t>
            </w:r>
          </w:p>
        </w:tc>
        <w:tc>
          <w:tcPr>
            <w:tcW w:w="300" w:type="pct"/>
            <w:shd w:val="clear" w:color="auto" w:fill="CCEEFF"/>
            <w:noWrap/>
            <w:tcMar>
              <w:top w:w="0" w:type="dxa"/>
              <w:left w:w="0" w:type="dxa"/>
              <w:bottom w:w="0" w:type="dxa"/>
              <w:right w:w="0" w:type="dxa"/>
            </w:tcMar>
            <w:vAlign w:val="bottom"/>
            <w:hideMark/>
          </w:tcPr>
          <w:p w14:paraId="350520EA" w14:textId="77777777" w:rsidR="00000000" w:rsidRDefault="001F1B20">
            <w:pPr>
              <w:pStyle w:val="a3"/>
              <w:spacing w:before="0" w:beforeAutospacing="0" w:after="0" w:afterAutospacing="0"/>
              <w:ind w:right="60"/>
              <w:jc w:val="right"/>
              <w:rPr>
                <w:sz w:val="20"/>
                <w:szCs w:val="20"/>
              </w:rPr>
            </w:pPr>
            <w:r>
              <w:rPr>
                <w:sz w:val="20"/>
                <w:szCs w:val="20"/>
              </w:rPr>
              <w:t>1,10</w:t>
            </w:r>
            <w:r>
              <w:rPr>
                <w:sz w:val="20"/>
                <w:szCs w:val="20"/>
              </w:rPr>
              <w:t>9</w:t>
            </w:r>
          </w:p>
        </w:tc>
        <w:tc>
          <w:tcPr>
            <w:tcW w:w="39" w:type="pct"/>
            <w:shd w:val="clear" w:color="auto" w:fill="CCEEFF"/>
            <w:noWrap/>
            <w:tcMar>
              <w:top w:w="0" w:type="dxa"/>
              <w:left w:w="0" w:type="dxa"/>
              <w:bottom w:w="0" w:type="dxa"/>
              <w:right w:w="0" w:type="dxa"/>
            </w:tcMar>
            <w:vAlign w:val="bottom"/>
            <w:hideMark/>
          </w:tcPr>
          <w:p w14:paraId="20CC74E5"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EAD3E65" w14:textId="77777777" w:rsidR="00000000" w:rsidRDefault="001F1B20">
            <w:pPr>
              <w:pStyle w:val="a3"/>
              <w:spacing w:before="0" w:beforeAutospacing="0" w:after="0"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373F944A" w14:textId="77777777" w:rsidR="00000000" w:rsidRDefault="001F1B20">
            <w:pPr>
              <w:pStyle w:val="a3"/>
              <w:spacing w:before="0" w:beforeAutospacing="0" w:after="0" w:afterAutospacing="0"/>
              <w:jc w:val="right"/>
              <w:rPr>
                <w:sz w:val="20"/>
                <w:szCs w:val="20"/>
              </w:rPr>
            </w:pPr>
            <w:r>
              <w:rPr>
                <w:sz w:val="20"/>
                <w:szCs w:val="20"/>
              </w:rPr>
              <w:t>(1,275</w:t>
            </w:r>
            <w:r>
              <w:rPr>
                <w:sz w:val="20"/>
                <w:szCs w:val="20"/>
              </w:rPr>
              <w:t>)</w:t>
            </w:r>
          </w:p>
        </w:tc>
        <w:tc>
          <w:tcPr>
            <w:tcW w:w="39" w:type="pct"/>
            <w:shd w:val="clear" w:color="auto" w:fill="CCEEFF"/>
            <w:noWrap/>
            <w:tcMar>
              <w:top w:w="0" w:type="dxa"/>
              <w:left w:w="0" w:type="dxa"/>
              <w:bottom w:w="0" w:type="dxa"/>
              <w:right w:w="0" w:type="dxa"/>
            </w:tcMar>
            <w:vAlign w:val="bottom"/>
            <w:hideMark/>
          </w:tcPr>
          <w:p w14:paraId="1D28AE6E" w14:textId="77777777" w:rsidR="00000000" w:rsidRDefault="001F1B20">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14:paraId="3CB879BE" w14:textId="77777777" w:rsidR="00000000" w:rsidRDefault="001F1B20">
            <w:pPr>
              <w:pStyle w:val="a3"/>
              <w:spacing w:before="0" w:beforeAutospacing="0" w:after="0" w:afterAutospacing="0"/>
              <w:jc w:val="right"/>
              <w:rPr>
                <w:sz w:val="20"/>
                <w:szCs w:val="20"/>
              </w:rPr>
            </w:pPr>
            <w:r>
              <w:rPr>
                <w:sz w:val="20"/>
                <w:szCs w:val="20"/>
              </w:rPr>
              <w:t>(115</w:t>
            </w:r>
            <w:r>
              <w:rPr>
                <w:sz w:val="20"/>
                <w:szCs w:val="20"/>
              </w:rPr>
              <w:t>)</w:t>
            </w:r>
          </w:p>
        </w:tc>
        <w:tc>
          <w:tcPr>
            <w:tcW w:w="112" w:type="pct"/>
            <w:shd w:val="clear" w:color="auto" w:fill="CCEEFF"/>
            <w:noWrap/>
            <w:tcMar>
              <w:top w:w="0" w:type="dxa"/>
              <w:left w:w="0" w:type="dxa"/>
              <w:bottom w:w="0" w:type="dxa"/>
              <w:right w:w="0" w:type="dxa"/>
            </w:tcMar>
            <w:vAlign w:val="bottom"/>
            <w:hideMark/>
          </w:tcPr>
          <w:p w14:paraId="0C234851"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4099FA2E" w14:textId="77777777" w:rsidR="00000000" w:rsidRDefault="001F1B20">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6E1F9DBC" w14:textId="77777777" w:rsidR="00000000" w:rsidRDefault="001F1B20">
            <w:pPr>
              <w:pStyle w:val="a3"/>
              <w:spacing w:before="0" w:beforeAutospacing="0" w:after="0" w:afterAutospacing="0"/>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14:paraId="4DF32C22" w14:textId="77777777" w:rsidR="00000000" w:rsidRDefault="001F1B20">
            <w:pPr>
              <w:pStyle w:val="a3"/>
              <w:spacing w:before="0" w:beforeAutospacing="0" w:after="0" w:afterAutospacing="0"/>
              <w:ind w:right="60"/>
              <w:jc w:val="right"/>
              <w:rPr>
                <w:sz w:val="20"/>
                <w:szCs w:val="20"/>
              </w:rPr>
            </w:pPr>
            <w:r>
              <w:rPr>
                <w:sz w:val="20"/>
                <w:szCs w:val="20"/>
              </w:rPr>
              <w:t>77</w:t>
            </w:r>
            <w:r>
              <w:rPr>
                <w:sz w:val="20"/>
                <w:szCs w:val="20"/>
              </w:rPr>
              <w:t>1</w:t>
            </w:r>
          </w:p>
        </w:tc>
        <w:tc>
          <w:tcPr>
            <w:tcW w:w="40" w:type="pct"/>
            <w:shd w:val="clear" w:color="auto" w:fill="CCEEFF"/>
            <w:noWrap/>
            <w:tcMar>
              <w:top w:w="0" w:type="dxa"/>
              <w:left w:w="0" w:type="dxa"/>
              <w:bottom w:w="0" w:type="dxa"/>
              <w:right w:w="0" w:type="dxa"/>
            </w:tcMar>
            <w:vAlign w:val="bottom"/>
            <w:hideMark/>
          </w:tcPr>
          <w:p w14:paraId="04F0F17E"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2A6D19C9" w14:textId="77777777" w:rsidR="00000000" w:rsidRDefault="001F1B20">
            <w:pPr>
              <w:pStyle w:val="a3"/>
              <w:spacing w:before="0" w:beforeAutospacing="0" w:after="0"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3682F189" w14:textId="77777777" w:rsidR="00000000" w:rsidRDefault="001F1B20">
            <w:pPr>
              <w:pStyle w:val="a3"/>
              <w:spacing w:before="0" w:beforeAutospacing="0" w:after="0" w:afterAutospacing="0"/>
              <w:ind w:right="60"/>
              <w:jc w:val="right"/>
              <w:rPr>
                <w:sz w:val="20"/>
                <w:szCs w:val="20"/>
              </w:rPr>
            </w:pPr>
            <w:r>
              <w:rPr>
                <w:sz w:val="20"/>
                <w:szCs w:val="20"/>
              </w:rPr>
              <w:t>3,64</w:t>
            </w:r>
            <w:r>
              <w:rPr>
                <w:sz w:val="20"/>
                <w:szCs w:val="20"/>
              </w:rPr>
              <w:t>3</w:t>
            </w:r>
          </w:p>
        </w:tc>
        <w:tc>
          <w:tcPr>
            <w:tcW w:w="39" w:type="pct"/>
            <w:shd w:val="clear" w:color="auto" w:fill="CCEEFF"/>
            <w:noWrap/>
            <w:tcMar>
              <w:top w:w="0" w:type="dxa"/>
              <w:left w:w="0" w:type="dxa"/>
              <w:bottom w:w="0" w:type="dxa"/>
              <w:right w:w="0" w:type="dxa"/>
            </w:tcMar>
            <w:vAlign w:val="bottom"/>
            <w:hideMark/>
          </w:tcPr>
          <w:p w14:paraId="5878F37A" w14:textId="77777777" w:rsidR="00000000" w:rsidRDefault="001F1B20">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3217FF0" w14:textId="77777777" w:rsidR="00000000" w:rsidRDefault="001F1B20">
            <w:pPr>
              <w:pStyle w:val="a3"/>
              <w:spacing w:before="0" w:beforeAutospacing="0" w:after="0"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14:paraId="2735F441" w14:textId="77777777" w:rsidR="00000000" w:rsidRDefault="001F1B20">
            <w:pPr>
              <w:pStyle w:val="a3"/>
              <w:spacing w:before="0" w:beforeAutospacing="0" w:after="0" w:afterAutospacing="0"/>
              <w:jc w:val="right"/>
              <w:rPr>
                <w:sz w:val="20"/>
                <w:szCs w:val="20"/>
              </w:rPr>
            </w:pPr>
            <w:r>
              <w:rPr>
                <w:sz w:val="20"/>
                <w:szCs w:val="20"/>
              </w:rPr>
              <w:t>(2,872</w:t>
            </w:r>
            <w:r>
              <w:rPr>
                <w:sz w:val="20"/>
                <w:szCs w:val="20"/>
              </w:rPr>
              <w:t>)</w:t>
            </w:r>
          </w:p>
        </w:tc>
        <w:tc>
          <w:tcPr>
            <w:tcW w:w="39" w:type="pct"/>
            <w:shd w:val="clear" w:color="auto" w:fill="CCEEFF"/>
            <w:noWrap/>
            <w:tcMar>
              <w:top w:w="0" w:type="dxa"/>
              <w:left w:w="0" w:type="dxa"/>
              <w:bottom w:w="0" w:type="dxa"/>
              <w:right w:w="0" w:type="dxa"/>
            </w:tcMar>
            <w:vAlign w:val="bottom"/>
            <w:hideMark/>
          </w:tcPr>
          <w:p w14:paraId="5BE821D3" w14:textId="77777777" w:rsidR="00000000" w:rsidRDefault="001F1B20">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14:paraId="73668F0A" w14:textId="77777777" w:rsidR="00000000" w:rsidRDefault="001F1B20">
            <w:pPr>
              <w:pStyle w:val="a3"/>
              <w:spacing w:before="0" w:beforeAutospacing="0" w:after="0" w:afterAutospacing="0"/>
              <w:jc w:val="right"/>
              <w:rPr>
                <w:sz w:val="20"/>
                <w:szCs w:val="20"/>
              </w:rPr>
            </w:pPr>
            <w:r>
              <w:rPr>
                <w:sz w:val="20"/>
                <w:szCs w:val="20"/>
              </w:rPr>
              <w:t>(79</w:t>
            </w:r>
            <w:r>
              <w:rPr>
                <w:sz w:val="20"/>
                <w:szCs w:val="20"/>
              </w:rPr>
              <w:t>)</w:t>
            </w:r>
          </w:p>
        </w:tc>
        <w:tc>
          <w:tcPr>
            <w:tcW w:w="132" w:type="pct"/>
            <w:shd w:val="clear" w:color="auto" w:fill="CCEEFF"/>
            <w:noWrap/>
            <w:tcMar>
              <w:top w:w="0" w:type="dxa"/>
              <w:left w:w="0" w:type="dxa"/>
              <w:bottom w:w="0" w:type="dxa"/>
              <w:right w:w="0" w:type="dxa"/>
            </w:tcMar>
            <w:vAlign w:val="bottom"/>
            <w:hideMark/>
          </w:tcPr>
          <w:p w14:paraId="408A6858" w14:textId="77777777" w:rsidR="00000000" w:rsidRDefault="001F1B20">
            <w:pPr>
              <w:pStyle w:val="a3"/>
              <w:spacing w:before="0" w:beforeAutospacing="0" w:after="0" w:afterAutospacing="0"/>
              <w:rPr>
                <w:sz w:val="20"/>
                <w:szCs w:val="20"/>
              </w:rPr>
            </w:pPr>
            <w:r>
              <w:rPr>
                <w:sz w:val="20"/>
                <w:szCs w:val="20"/>
              </w:rPr>
              <w:t>%  </w:t>
            </w:r>
          </w:p>
        </w:tc>
      </w:tr>
      <w:tr w:rsidR="00000000" w14:paraId="632E93F0" w14:textId="77777777">
        <w:trPr>
          <w:divId w:val="1561095023"/>
        </w:trPr>
        <w:tc>
          <w:tcPr>
            <w:tcW w:w="1880" w:type="pct"/>
            <w:tcMar>
              <w:top w:w="0" w:type="dxa"/>
              <w:left w:w="0" w:type="dxa"/>
              <w:bottom w:w="0" w:type="dxa"/>
              <w:right w:w="0" w:type="dxa"/>
            </w:tcMar>
            <w:vAlign w:val="bottom"/>
            <w:hideMark/>
          </w:tcPr>
          <w:p w14:paraId="467BAC13" w14:textId="77777777" w:rsidR="00000000" w:rsidRDefault="001F1B20">
            <w:pPr>
              <w:pStyle w:val="a3"/>
              <w:spacing w:before="0" w:beforeAutospacing="0" w:after="0" w:afterAutospacing="0"/>
              <w:rPr>
                <w:sz w:val="20"/>
                <w:szCs w:val="20"/>
              </w:rPr>
            </w:pPr>
            <w:r>
              <w:rPr>
                <w:sz w:val="20"/>
                <w:szCs w:val="20"/>
              </w:rPr>
              <w:t>Costs related to GSK offering</w:t>
            </w:r>
          </w:p>
        </w:tc>
        <w:tc>
          <w:tcPr>
            <w:tcW w:w="39" w:type="pct"/>
            <w:noWrap/>
            <w:tcMar>
              <w:top w:w="0" w:type="dxa"/>
              <w:left w:w="0" w:type="dxa"/>
              <w:bottom w:w="0" w:type="dxa"/>
              <w:right w:w="0" w:type="dxa"/>
            </w:tcMar>
            <w:vAlign w:val="bottom"/>
            <w:hideMark/>
          </w:tcPr>
          <w:p w14:paraId="11853749" w14:textId="77777777" w:rsidR="00000000" w:rsidRDefault="001F1B20">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14:paraId="3EA6B1F4" w14:textId="77777777" w:rsidR="00000000" w:rsidRDefault="001F1B20">
            <w:pPr>
              <w:pStyle w:val="a3"/>
              <w:spacing w:before="0" w:beforeAutospacing="0" w:after="0" w:afterAutospacing="0"/>
              <w:rPr>
                <w:sz w:val="20"/>
                <w:szCs w:val="20"/>
              </w:rPr>
            </w:pPr>
            <w:r>
              <w:rPr>
                <w:sz w:val="20"/>
                <w:szCs w:val="20"/>
              </w:rPr>
              <w:t>​</w:t>
            </w:r>
          </w:p>
        </w:tc>
        <w:tc>
          <w:tcPr>
            <w:tcW w:w="300" w:type="pct"/>
            <w:tcBorders>
              <w:bottom w:val="single" w:sz="6" w:space="0" w:color="000000"/>
            </w:tcBorders>
            <w:noWrap/>
            <w:tcMar>
              <w:top w:w="0" w:type="dxa"/>
              <w:left w:w="0" w:type="dxa"/>
              <w:bottom w:w="0" w:type="dxa"/>
              <w:right w:w="0" w:type="dxa"/>
            </w:tcMar>
            <w:vAlign w:val="bottom"/>
            <w:hideMark/>
          </w:tcPr>
          <w:p w14:paraId="1C05AD97" w14:textId="77777777" w:rsidR="00000000" w:rsidRDefault="001F1B20">
            <w:pPr>
              <w:pStyle w:val="a3"/>
              <w:spacing w:before="0" w:beforeAutospacing="0" w:after="0" w:afterAutospacing="0"/>
              <w:ind w:right="60"/>
              <w:jc w:val="right"/>
              <w:rPr>
                <w:sz w:val="20"/>
                <w:szCs w:val="20"/>
              </w:rPr>
            </w:pPr>
            <w:r>
              <w:rPr>
                <w:sz w:val="20"/>
                <w:szCs w:val="20"/>
              </w:rPr>
              <w:t>—</w:t>
            </w:r>
          </w:p>
        </w:tc>
        <w:tc>
          <w:tcPr>
            <w:tcW w:w="40" w:type="pct"/>
            <w:noWrap/>
            <w:tcMar>
              <w:top w:w="0" w:type="dxa"/>
              <w:left w:w="0" w:type="dxa"/>
              <w:bottom w:w="0" w:type="dxa"/>
              <w:right w:w="0" w:type="dxa"/>
            </w:tcMar>
            <w:vAlign w:val="bottom"/>
            <w:hideMark/>
          </w:tcPr>
          <w:p w14:paraId="20E14C6E"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7E3DD1E1" w14:textId="77777777" w:rsidR="00000000" w:rsidRDefault="001F1B20">
            <w:pPr>
              <w:pStyle w:val="a3"/>
              <w:spacing w:before="0" w:beforeAutospacing="0" w:after="0" w:afterAutospacing="0"/>
              <w:rPr>
                <w:sz w:val="20"/>
                <w:szCs w:val="20"/>
              </w:rPr>
            </w:pPr>
            <w:r>
              <w:rPr>
                <w:sz w:val="20"/>
                <w:szCs w:val="20"/>
              </w:rPr>
              <w:t>​</w:t>
            </w:r>
          </w:p>
        </w:tc>
        <w:tc>
          <w:tcPr>
            <w:tcW w:w="300" w:type="pct"/>
            <w:tcBorders>
              <w:bottom w:val="single" w:sz="6" w:space="0" w:color="000000"/>
            </w:tcBorders>
            <w:noWrap/>
            <w:tcMar>
              <w:top w:w="0" w:type="dxa"/>
              <w:left w:w="0" w:type="dxa"/>
              <w:bottom w:w="0" w:type="dxa"/>
              <w:right w:w="0" w:type="dxa"/>
            </w:tcMar>
            <w:vAlign w:val="bottom"/>
            <w:hideMark/>
          </w:tcPr>
          <w:p w14:paraId="24A98E3D" w14:textId="77777777" w:rsidR="00000000" w:rsidRDefault="001F1B20">
            <w:pPr>
              <w:pStyle w:val="a3"/>
              <w:spacing w:before="0" w:beforeAutospacing="0" w:after="0" w:afterAutospacing="0"/>
              <w:ind w:right="60"/>
              <w:jc w:val="right"/>
              <w:rPr>
                <w:sz w:val="20"/>
                <w:szCs w:val="20"/>
              </w:rPr>
            </w:pPr>
            <w:r>
              <w:rPr>
                <w:sz w:val="20"/>
                <w:szCs w:val="20"/>
              </w:rPr>
              <w:t>12</w:t>
            </w:r>
            <w:r>
              <w:rPr>
                <w:sz w:val="20"/>
                <w:szCs w:val="20"/>
              </w:rPr>
              <w:t>6</w:t>
            </w:r>
          </w:p>
        </w:tc>
        <w:tc>
          <w:tcPr>
            <w:tcW w:w="39" w:type="pct"/>
            <w:noWrap/>
            <w:tcMar>
              <w:top w:w="0" w:type="dxa"/>
              <w:left w:w="0" w:type="dxa"/>
              <w:bottom w:w="0" w:type="dxa"/>
              <w:right w:w="0" w:type="dxa"/>
            </w:tcMar>
            <w:vAlign w:val="bottom"/>
            <w:hideMark/>
          </w:tcPr>
          <w:p w14:paraId="17C28A69"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1D44A63A" w14:textId="77777777" w:rsidR="00000000" w:rsidRDefault="001F1B20">
            <w:pPr>
              <w:pStyle w:val="a3"/>
              <w:spacing w:before="0" w:beforeAutospacing="0" w:after="0" w:afterAutospacing="0"/>
              <w:rPr>
                <w:sz w:val="20"/>
                <w:szCs w:val="20"/>
              </w:rPr>
            </w:pPr>
            <w:r>
              <w:rPr>
                <w:sz w:val="20"/>
                <w:szCs w:val="20"/>
              </w:rPr>
              <w:t>​</w:t>
            </w:r>
          </w:p>
        </w:tc>
        <w:tc>
          <w:tcPr>
            <w:tcW w:w="314" w:type="pct"/>
            <w:tcBorders>
              <w:bottom w:val="single" w:sz="6" w:space="0" w:color="000000"/>
            </w:tcBorders>
            <w:noWrap/>
            <w:tcMar>
              <w:top w:w="0" w:type="dxa"/>
              <w:left w:w="0" w:type="dxa"/>
              <w:bottom w:w="0" w:type="dxa"/>
              <w:right w:w="0" w:type="dxa"/>
            </w:tcMar>
            <w:vAlign w:val="bottom"/>
            <w:hideMark/>
          </w:tcPr>
          <w:p w14:paraId="6DA9CEDE" w14:textId="77777777" w:rsidR="00000000" w:rsidRDefault="001F1B20">
            <w:pPr>
              <w:pStyle w:val="a3"/>
              <w:spacing w:before="0" w:beforeAutospacing="0" w:after="0" w:afterAutospacing="0"/>
              <w:jc w:val="right"/>
              <w:rPr>
                <w:sz w:val="20"/>
                <w:szCs w:val="20"/>
              </w:rPr>
            </w:pPr>
            <w:r>
              <w:rPr>
                <w:sz w:val="20"/>
                <w:szCs w:val="20"/>
              </w:rPr>
              <w:t>(126</w:t>
            </w:r>
            <w:r>
              <w:rPr>
                <w:sz w:val="20"/>
                <w:szCs w:val="20"/>
              </w:rPr>
              <w:t>)</w:t>
            </w:r>
          </w:p>
        </w:tc>
        <w:tc>
          <w:tcPr>
            <w:tcW w:w="39" w:type="pct"/>
            <w:noWrap/>
            <w:tcMar>
              <w:top w:w="0" w:type="dxa"/>
              <w:left w:w="0" w:type="dxa"/>
              <w:bottom w:w="0" w:type="dxa"/>
              <w:right w:w="0" w:type="dxa"/>
            </w:tcMar>
            <w:vAlign w:val="bottom"/>
            <w:hideMark/>
          </w:tcPr>
          <w:p w14:paraId="267205A6" w14:textId="77777777" w:rsidR="00000000" w:rsidRDefault="001F1B20">
            <w:pPr>
              <w:pStyle w:val="a3"/>
              <w:spacing w:before="0" w:beforeAutospacing="0" w:after="0" w:afterAutospacing="0"/>
              <w:rPr>
                <w:sz w:val="20"/>
                <w:szCs w:val="20"/>
              </w:rPr>
            </w:pPr>
            <w:r>
              <w:rPr>
                <w:sz w:val="20"/>
                <w:szCs w:val="20"/>
              </w:rPr>
              <w:t>​</w:t>
            </w:r>
          </w:p>
        </w:tc>
        <w:tc>
          <w:tcPr>
            <w:tcW w:w="240" w:type="pct"/>
            <w:tcBorders>
              <w:bottom w:val="single" w:sz="6" w:space="0" w:color="000000"/>
            </w:tcBorders>
            <w:noWrap/>
            <w:tcMar>
              <w:top w:w="0" w:type="dxa"/>
              <w:left w:w="0" w:type="dxa"/>
              <w:bottom w:w="0" w:type="dxa"/>
              <w:right w:w="0" w:type="dxa"/>
            </w:tcMar>
            <w:vAlign w:val="bottom"/>
            <w:hideMark/>
          </w:tcPr>
          <w:p w14:paraId="7F4F7376" w14:textId="77777777" w:rsidR="00000000" w:rsidRDefault="001F1B20">
            <w:pPr>
              <w:pStyle w:val="a3"/>
              <w:spacing w:before="0" w:beforeAutospacing="0" w:after="0" w:afterAutospacing="0"/>
              <w:ind w:right="60"/>
              <w:jc w:val="right"/>
              <w:rPr>
                <w:sz w:val="20"/>
                <w:szCs w:val="20"/>
              </w:rPr>
            </w:pPr>
            <w:r>
              <w:rPr>
                <w:sz w:val="20"/>
                <w:szCs w:val="20"/>
              </w:rPr>
              <w:t>NM</w:t>
            </w:r>
          </w:p>
        </w:tc>
        <w:tc>
          <w:tcPr>
            <w:tcW w:w="112" w:type="pct"/>
            <w:noWrap/>
            <w:tcMar>
              <w:top w:w="0" w:type="dxa"/>
              <w:left w:w="0" w:type="dxa"/>
              <w:bottom w:w="0" w:type="dxa"/>
              <w:right w:w="0" w:type="dxa"/>
            </w:tcMar>
            <w:vAlign w:val="bottom"/>
            <w:hideMark/>
          </w:tcPr>
          <w:p w14:paraId="260D84FB" w14:textId="77777777" w:rsidR="00000000" w:rsidRDefault="001F1B20">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14:paraId="6FB3689F" w14:textId="77777777" w:rsidR="00000000" w:rsidRDefault="001F1B20">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14:paraId="50C19AFD" w14:textId="77777777" w:rsidR="00000000" w:rsidRDefault="001F1B20">
            <w:pPr>
              <w:pStyle w:val="a3"/>
              <w:spacing w:before="0" w:beforeAutospacing="0" w:after="0" w:afterAutospacing="0"/>
              <w:rPr>
                <w:sz w:val="20"/>
                <w:szCs w:val="20"/>
              </w:rPr>
            </w:pPr>
            <w:r>
              <w:rPr>
                <w:sz w:val="20"/>
                <w:szCs w:val="20"/>
              </w:rPr>
              <w:t>​</w:t>
            </w:r>
          </w:p>
        </w:tc>
        <w:tc>
          <w:tcPr>
            <w:tcW w:w="282" w:type="pct"/>
            <w:tcBorders>
              <w:bottom w:val="single" w:sz="6" w:space="0" w:color="000000"/>
            </w:tcBorders>
            <w:noWrap/>
            <w:tcMar>
              <w:top w:w="0" w:type="dxa"/>
              <w:left w:w="0" w:type="dxa"/>
              <w:bottom w:w="0" w:type="dxa"/>
              <w:right w:w="0" w:type="dxa"/>
            </w:tcMar>
            <w:vAlign w:val="bottom"/>
            <w:hideMark/>
          </w:tcPr>
          <w:p w14:paraId="2E63C63C" w14:textId="77777777" w:rsidR="00000000" w:rsidRDefault="001F1B20">
            <w:pPr>
              <w:pStyle w:val="a3"/>
              <w:spacing w:before="0" w:beforeAutospacing="0" w:after="0" w:afterAutospacing="0"/>
              <w:ind w:right="60"/>
              <w:jc w:val="right"/>
              <w:rPr>
                <w:sz w:val="20"/>
                <w:szCs w:val="20"/>
              </w:rPr>
            </w:pPr>
            <w:r>
              <w:rPr>
                <w:sz w:val="20"/>
                <w:szCs w:val="20"/>
              </w:rPr>
              <w:t>—</w:t>
            </w:r>
          </w:p>
        </w:tc>
        <w:tc>
          <w:tcPr>
            <w:tcW w:w="40" w:type="pct"/>
            <w:noWrap/>
            <w:tcMar>
              <w:top w:w="0" w:type="dxa"/>
              <w:left w:w="0" w:type="dxa"/>
              <w:bottom w:w="0" w:type="dxa"/>
              <w:right w:w="0" w:type="dxa"/>
            </w:tcMar>
            <w:vAlign w:val="bottom"/>
            <w:hideMark/>
          </w:tcPr>
          <w:p w14:paraId="44B8BBF8"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7E100091" w14:textId="77777777" w:rsidR="00000000" w:rsidRDefault="001F1B20">
            <w:pPr>
              <w:pStyle w:val="a3"/>
              <w:spacing w:before="0" w:beforeAutospacing="0" w:after="0" w:afterAutospacing="0"/>
              <w:rPr>
                <w:sz w:val="20"/>
                <w:szCs w:val="20"/>
              </w:rPr>
            </w:pPr>
            <w:r>
              <w:rPr>
                <w:sz w:val="20"/>
                <w:szCs w:val="20"/>
              </w:rPr>
              <w:t>​</w:t>
            </w:r>
          </w:p>
        </w:tc>
        <w:tc>
          <w:tcPr>
            <w:tcW w:w="314" w:type="pct"/>
            <w:tcBorders>
              <w:bottom w:val="single" w:sz="6" w:space="0" w:color="000000"/>
            </w:tcBorders>
            <w:noWrap/>
            <w:tcMar>
              <w:top w:w="0" w:type="dxa"/>
              <w:left w:w="0" w:type="dxa"/>
              <w:bottom w:w="0" w:type="dxa"/>
              <w:right w:w="0" w:type="dxa"/>
            </w:tcMar>
            <w:vAlign w:val="bottom"/>
            <w:hideMark/>
          </w:tcPr>
          <w:p w14:paraId="46F2B4F5" w14:textId="77777777" w:rsidR="00000000" w:rsidRDefault="001F1B20">
            <w:pPr>
              <w:pStyle w:val="a3"/>
              <w:spacing w:before="0" w:beforeAutospacing="0" w:after="0" w:afterAutospacing="0"/>
              <w:jc w:val="right"/>
              <w:rPr>
                <w:sz w:val="20"/>
                <w:szCs w:val="20"/>
              </w:rPr>
            </w:pPr>
            <w:r>
              <w:rPr>
                <w:sz w:val="20"/>
                <w:szCs w:val="20"/>
              </w:rPr>
              <w:t>(1,610</w:t>
            </w:r>
            <w:r>
              <w:rPr>
                <w:sz w:val="20"/>
                <w:szCs w:val="20"/>
              </w:rPr>
              <w:t>)</w:t>
            </w:r>
          </w:p>
        </w:tc>
        <w:tc>
          <w:tcPr>
            <w:tcW w:w="39" w:type="pct"/>
            <w:noWrap/>
            <w:tcMar>
              <w:top w:w="0" w:type="dxa"/>
              <w:left w:w="0" w:type="dxa"/>
              <w:bottom w:w="0" w:type="dxa"/>
              <w:right w:w="0" w:type="dxa"/>
            </w:tcMar>
            <w:vAlign w:val="bottom"/>
            <w:hideMark/>
          </w:tcPr>
          <w:p w14:paraId="681505A0"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14:paraId="0985B72D" w14:textId="77777777" w:rsidR="00000000" w:rsidRDefault="001F1B20">
            <w:pPr>
              <w:pStyle w:val="a3"/>
              <w:spacing w:before="0" w:beforeAutospacing="0" w:after="0" w:afterAutospacing="0"/>
              <w:rPr>
                <w:sz w:val="20"/>
                <w:szCs w:val="20"/>
              </w:rPr>
            </w:pPr>
            <w:r>
              <w:rPr>
                <w:sz w:val="20"/>
                <w:szCs w:val="20"/>
              </w:rPr>
              <w:t>​</w:t>
            </w:r>
          </w:p>
        </w:tc>
        <w:tc>
          <w:tcPr>
            <w:tcW w:w="314" w:type="pct"/>
            <w:tcBorders>
              <w:bottom w:val="single" w:sz="6" w:space="0" w:color="000000"/>
            </w:tcBorders>
            <w:noWrap/>
            <w:tcMar>
              <w:top w:w="0" w:type="dxa"/>
              <w:left w:w="0" w:type="dxa"/>
              <w:bottom w:w="0" w:type="dxa"/>
              <w:right w:w="0" w:type="dxa"/>
            </w:tcMar>
            <w:vAlign w:val="bottom"/>
            <w:hideMark/>
          </w:tcPr>
          <w:p w14:paraId="69D0E9F9" w14:textId="77777777" w:rsidR="00000000" w:rsidRDefault="001F1B20">
            <w:pPr>
              <w:pStyle w:val="a3"/>
              <w:spacing w:before="0" w:beforeAutospacing="0" w:after="0" w:afterAutospacing="0"/>
              <w:ind w:right="60"/>
              <w:jc w:val="right"/>
              <w:rPr>
                <w:sz w:val="20"/>
                <w:szCs w:val="20"/>
              </w:rPr>
            </w:pPr>
            <w:r>
              <w:rPr>
                <w:sz w:val="20"/>
                <w:szCs w:val="20"/>
              </w:rPr>
              <w:t>1,61</w:t>
            </w:r>
            <w:r>
              <w:rPr>
                <w:sz w:val="20"/>
                <w:szCs w:val="20"/>
              </w:rPr>
              <w:t>0</w:t>
            </w:r>
          </w:p>
        </w:tc>
        <w:tc>
          <w:tcPr>
            <w:tcW w:w="39" w:type="pct"/>
            <w:noWrap/>
            <w:tcMar>
              <w:top w:w="0" w:type="dxa"/>
              <w:left w:w="0" w:type="dxa"/>
              <w:bottom w:w="0" w:type="dxa"/>
              <w:right w:w="0" w:type="dxa"/>
            </w:tcMar>
            <w:vAlign w:val="bottom"/>
            <w:hideMark/>
          </w:tcPr>
          <w:p w14:paraId="0EACF13E" w14:textId="77777777" w:rsidR="00000000" w:rsidRDefault="001F1B20">
            <w:pPr>
              <w:pStyle w:val="a3"/>
              <w:spacing w:before="0" w:beforeAutospacing="0" w:after="0" w:afterAutospacing="0"/>
              <w:jc w:val="center"/>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14:paraId="1BAF8DB3" w14:textId="77777777" w:rsidR="00000000" w:rsidRDefault="001F1B20">
            <w:pPr>
              <w:pStyle w:val="a3"/>
              <w:spacing w:before="0" w:beforeAutospacing="0" w:after="0" w:afterAutospacing="0"/>
              <w:ind w:right="60"/>
              <w:jc w:val="right"/>
              <w:rPr>
                <w:sz w:val="20"/>
                <w:szCs w:val="20"/>
              </w:rPr>
            </w:pPr>
            <w:r>
              <w:rPr>
                <w:sz w:val="20"/>
                <w:szCs w:val="20"/>
              </w:rPr>
              <w:t>NM</w:t>
            </w:r>
          </w:p>
        </w:tc>
        <w:tc>
          <w:tcPr>
            <w:tcW w:w="132" w:type="pct"/>
            <w:noWrap/>
            <w:tcMar>
              <w:top w:w="0" w:type="dxa"/>
              <w:left w:w="0" w:type="dxa"/>
              <w:bottom w:w="0" w:type="dxa"/>
              <w:right w:w="0" w:type="dxa"/>
            </w:tcMar>
            <w:vAlign w:val="bottom"/>
            <w:hideMark/>
          </w:tcPr>
          <w:p w14:paraId="38DBCC04" w14:textId="77777777" w:rsidR="00000000" w:rsidRDefault="001F1B20">
            <w:pPr>
              <w:pStyle w:val="a3"/>
              <w:spacing w:before="0" w:beforeAutospacing="0" w:after="0" w:afterAutospacing="0"/>
              <w:rPr>
                <w:sz w:val="20"/>
                <w:szCs w:val="20"/>
              </w:rPr>
            </w:pPr>
            <w:r>
              <w:rPr>
                <w:sz w:val="20"/>
                <w:szCs w:val="20"/>
              </w:rPr>
              <w:t>​</w:t>
            </w:r>
          </w:p>
        </w:tc>
      </w:tr>
      <w:tr w:rsidR="00000000" w14:paraId="58B25064" w14:textId="77777777">
        <w:trPr>
          <w:divId w:val="1561095023"/>
        </w:trPr>
        <w:tc>
          <w:tcPr>
            <w:tcW w:w="1880" w:type="pct"/>
            <w:shd w:val="clear" w:color="auto" w:fill="CCEEFF"/>
            <w:tcMar>
              <w:top w:w="0" w:type="dxa"/>
              <w:left w:w="0" w:type="dxa"/>
              <w:bottom w:w="0" w:type="dxa"/>
              <w:right w:w="0" w:type="dxa"/>
            </w:tcMar>
            <w:vAlign w:val="bottom"/>
            <w:hideMark/>
          </w:tcPr>
          <w:p w14:paraId="0CEE39E7" w14:textId="77777777" w:rsidR="00000000" w:rsidRDefault="001F1B20">
            <w:pPr>
              <w:pStyle w:val="a3"/>
              <w:spacing w:before="0" w:beforeAutospacing="0" w:after="0" w:afterAutospacing="0"/>
              <w:ind w:left="120"/>
              <w:rPr>
                <w:sz w:val="20"/>
                <w:szCs w:val="20"/>
              </w:rPr>
            </w:pPr>
            <w:r>
              <w:rPr>
                <w:sz w:val="20"/>
                <w:szCs w:val="20"/>
              </w:rPr>
              <w:t>Total interest and other income (expense), net</w:t>
            </w:r>
          </w:p>
        </w:tc>
        <w:tc>
          <w:tcPr>
            <w:tcW w:w="39" w:type="pct"/>
            <w:shd w:val="clear" w:color="auto" w:fill="CCEEFF"/>
            <w:noWrap/>
            <w:tcMar>
              <w:top w:w="0" w:type="dxa"/>
              <w:left w:w="0" w:type="dxa"/>
              <w:bottom w:w="0" w:type="dxa"/>
              <w:right w:w="0" w:type="dxa"/>
            </w:tcMar>
            <w:vAlign w:val="bottom"/>
            <w:hideMark/>
          </w:tcPr>
          <w:p w14:paraId="2A3012FC" w14:textId="77777777" w:rsidR="00000000" w:rsidRDefault="001F1B20">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14:paraId="11550CA4" w14:textId="77777777" w:rsidR="00000000" w:rsidRDefault="001F1B20">
            <w:pPr>
              <w:pStyle w:val="a3"/>
              <w:spacing w:before="0" w:beforeAutospacing="0" w:after="0" w:afterAutospacing="0"/>
              <w:rPr>
                <w:sz w:val="20"/>
                <w:szCs w:val="20"/>
              </w:rPr>
            </w:pPr>
            <w:r>
              <w:rPr>
                <w:sz w:val="20"/>
                <w:szCs w:val="20"/>
              </w:rPr>
              <w:t>$</w:t>
            </w:r>
          </w:p>
        </w:tc>
        <w:tc>
          <w:tcPr>
            <w:tcW w:w="300" w:type="pct"/>
            <w:tcBorders>
              <w:bottom w:val="double" w:sz="6" w:space="0" w:color="000000"/>
            </w:tcBorders>
            <w:shd w:val="clear" w:color="auto" w:fill="CCEEFF"/>
            <w:noWrap/>
            <w:tcMar>
              <w:top w:w="0" w:type="dxa"/>
              <w:left w:w="0" w:type="dxa"/>
              <w:bottom w:w="0" w:type="dxa"/>
              <w:right w:w="0" w:type="dxa"/>
            </w:tcMar>
            <w:vAlign w:val="bottom"/>
            <w:hideMark/>
          </w:tcPr>
          <w:p w14:paraId="06D2A0CF" w14:textId="77777777" w:rsidR="00000000" w:rsidRDefault="001F1B20">
            <w:pPr>
              <w:pStyle w:val="a3"/>
              <w:spacing w:before="0" w:beforeAutospacing="0" w:after="0" w:afterAutospacing="0"/>
              <w:jc w:val="right"/>
              <w:rPr>
                <w:sz w:val="20"/>
                <w:szCs w:val="20"/>
              </w:rPr>
            </w:pPr>
            <w:r>
              <w:rPr>
                <w:sz w:val="20"/>
                <w:szCs w:val="20"/>
              </w:rPr>
              <w:t>(166</w:t>
            </w:r>
            <w:r>
              <w:rPr>
                <w:sz w:val="20"/>
                <w:szCs w:val="20"/>
              </w:rPr>
              <w:t>)</w:t>
            </w:r>
          </w:p>
        </w:tc>
        <w:tc>
          <w:tcPr>
            <w:tcW w:w="40" w:type="pct"/>
            <w:shd w:val="clear" w:color="auto" w:fill="CCEEFF"/>
            <w:noWrap/>
            <w:tcMar>
              <w:top w:w="0" w:type="dxa"/>
              <w:left w:w="0" w:type="dxa"/>
              <w:bottom w:w="0" w:type="dxa"/>
              <w:right w:w="0" w:type="dxa"/>
            </w:tcMar>
            <w:vAlign w:val="bottom"/>
            <w:hideMark/>
          </w:tcPr>
          <w:p w14:paraId="596FE5A3"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34C98026" w14:textId="77777777" w:rsidR="00000000" w:rsidRDefault="001F1B20">
            <w:pPr>
              <w:pStyle w:val="a3"/>
              <w:spacing w:before="0" w:beforeAutospacing="0" w:after="0" w:afterAutospacing="0"/>
              <w:rPr>
                <w:sz w:val="20"/>
                <w:szCs w:val="20"/>
              </w:rPr>
            </w:pPr>
            <w:r>
              <w:rPr>
                <w:sz w:val="20"/>
                <w:szCs w:val="20"/>
              </w:rPr>
              <w:t>$</w:t>
            </w:r>
          </w:p>
        </w:tc>
        <w:tc>
          <w:tcPr>
            <w:tcW w:w="300" w:type="pct"/>
            <w:tcBorders>
              <w:bottom w:val="double" w:sz="6" w:space="0" w:color="000000"/>
            </w:tcBorders>
            <w:shd w:val="clear" w:color="auto" w:fill="CCEEFF"/>
            <w:noWrap/>
            <w:tcMar>
              <w:top w:w="0" w:type="dxa"/>
              <w:left w:w="0" w:type="dxa"/>
              <w:bottom w:w="0" w:type="dxa"/>
              <w:right w:w="0" w:type="dxa"/>
            </w:tcMar>
            <w:vAlign w:val="bottom"/>
            <w:hideMark/>
          </w:tcPr>
          <w:p w14:paraId="3145F4CB" w14:textId="77777777" w:rsidR="00000000" w:rsidRDefault="001F1B20">
            <w:pPr>
              <w:pStyle w:val="a3"/>
              <w:spacing w:before="0" w:beforeAutospacing="0" w:after="0" w:afterAutospacing="0"/>
              <w:ind w:right="60"/>
              <w:jc w:val="right"/>
              <w:rPr>
                <w:sz w:val="20"/>
                <w:szCs w:val="20"/>
              </w:rPr>
            </w:pPr>
            <w:r>
              <w:rPr>
                <w:sz w:val="20"/>
                <w:szCs w:val="20"/>
              </w:rPr>
              <w:t>1,23</w:t>
            </w:r>
            <w:r>
              <w:rPr>
                <w:sz w:val="20"/>
                <w:szCs w:val="20"/>
              </w:rPr>
              <w:t>5</w:t>
            </w:r>
          </w:p>
        </w:tc>
        <w:tc>
          <w:tcPr>
            <w:tcW w:w="39" w:type="pct"/>
            <w:shd w:val="clear" w:color="auto" w:fill="CCEEFF"/>
            <w:noWrap/>
            <w:tcMar>
              <w:top w:w="0" w:type="dxa"/>
              <w:left w:w="0" w:type="dxa"/>
              <w:bottom w:w="0" w:type="dxa"/>
              <w:right w:w="0" w:type="dxa"/>
            </w:tcMar>
            <w:vAlign w:val="bottom"/>
            <w:hideMark/>
          </w:tcPr>
          <w:p w14:paraId="63CCD20E"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43A359C6" w14:textId="77777777" w:rsidR="00000000" w:rsidRDefault="001F1B20">
            <w:pPr>
              <w:pStyle w:val="a3"/>
              <w:spacing w:before="0" w:beforeAutospacing="0" w:after="0" w:afterAutospacing="0"/>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14:paraId="6CB7CFFA" w14:textId="77777777" w:rsidR="00000000" w:rsidRDefault="001F1B20">
            <w:pPr>
              <w:pStyle w:val="a3"/>
              <w:spacing w:before="0" w:beforeAutospacing="0" w:after="0" w:afterAutospacing="0"/>
              <w:jc w:val="right"/>
              <w:rPr>
                <w:sz w:val="20"/>
                <w:szCs w:val="20"/>
              </w:rPr>
            </w:pPr>
            <w:r>
              <w:rPr>
                <w:sz w:val="20"/>
                <w:szCs w:val="20"/>
              </w:rPr>
              <w:t>(1,401</w:t>
            </w:r>
            <w:r>
              <w:rPr>
                <w:sz w:val="20"/>
                <w:szCs w:val="20"/>
              </w:rPr>
              <w:t>)</w:t>
            </w:r>
          </w:p>
        </w:tc>
        <w:tc>
          <w:tcPr>
            <w:tcW w:w="39" w:type="pct"/>
            <w:shd w:val="clear" w:color="auto" w:fill="CCEEFF"/>
            <w:noWrap/>
            <w:tcMar>
              <w:top w:w="0" w:type="dxa"/>
              <w:left w:w="0" w:type="dxa"/>
              <w:bottom w:w="0" w:type="dxa"/>
              <w:right w:w="0" w:type="dxa"/>
            </w:tcMar>
            <w:vAlign w:val="bottom"/>
            <w:hideMark/>
          </w:tcPr>
          <w:p w14:paraId="62B29BDC" w14:textId="77777777" w:rsidR="00000000" w:rsidRDefault="001F1B20">
            <w:pPr>
              <w:pStyle w:val="a3"/>
              <w:spacing w:before="0" w:beforeAutospacing="0" w:after="0" w:afterAutospacing="0"/>
              <w:rPr>
                <w:sz w:val="20"/>
                <w:szCs w:val="20"/>
              </w:rPr>
            </w:pPr>
            <w:r>
              <w:rPr>
                <w:sz w:val="20"/>
                <w:szCs w:val="20"/>
              </w:rPr>
              <w:t>​</w:t>
            </w:r>
          </w:p>
        </w:tc>
        <w:tc>
          <w:tcPr>
            <w:tcW w:w="240" w:type="pct"/>
            <w:tcBorders>
              <w:bottom w:val="double" w:sz="6" w:space="0" w:color="000000"/>
            </w:tcBorders>
            <w:shd w:val="clear" w:color="auto" w:fill="CCEEFF"/>
            <w:noWrap/>
            <w:tcMar>
              <w:top w:w="0" w:type="dxa"/>
              <w:left w:w="0" w:type="dxa"/>
              <w:bottom w:w="0" w:type="dxa"/>
              <w:right w:w="0" w:type="dxa"/>
            </w:tcMar>
            <w:vAlign w:val="bottom"/>
            <w:hideMark/>
          </w:tcPr>
          <w:p w14:paraId="79123271" w14:textId="77777777" w:rsidR="00000000" w:rsidRDefault="001F1B20">
            <w:pPr>
              <w:pStyle w:val="a3"/>
              <w:spacing w:before="0" w:beforeAutospacing="0" w:after="0" w:afterAutospacing="0"/>
              <w:ind w:right="60"/>
              <w:jc w:val="right"/>
              <w:rPr>
                <w:sz w:val="20"/>
                <w:szCs w:val="20"/>
              </w:rPr>
            </w:pPr>
            <w:r>
              <w:rPr>
                <w:sz w:val="20"/>
                <w:szCs w:val="20"/>
              </w:rPr>
              <w:t>11</w:t>
            </w:r>
            <w:r>
              <w:rPr>
                <w:sz w:val="20"/>
                <w:szCs w:val="20"/>
              </w:rPr>
              <w:t>3</w:t>
            </w:r>
          </w:p>
        </w:tc>
        <w:tc>
          <w:tcPr>
            <w:tcW w:w="112" w:type="pct"/>
            <w:shd w:val="clear" w:color="auto" w:fill="CCEEFF"/>
            <w:noWrap/>
            <w:tcMar>
              <w:top w:w="0" w:type="dxa"/>
              <w:left w:w="0" w:type="dxa"/>
              <w:bottom w:w="0" w:type="dxa"/>
              <w:right w:w="0" w:type="dxa"/>
            </w:tcMar>
            <w:vAlign w:val="bottom"/>
            <w:hideMark/>
          </w:tcPr>
          <w:p w14:paraId="4A260BFE" w14:textId="77777777" w:rsidR="00000000" w:rsidRDefault="001F1B20">
            <w:pPr>
              <w:pStyle w:val="a3"/>
              <w:spacing w:before="0" w:beforeAutospacing="0" w:after="0" w:afterAutospacing="0"/>
              <w:ind w:right="6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30A6DB54" w14:textId="77777777" w:rsidR="00000000" w:rsidRDefault="001F1B20">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14:paraId="0C38E702" w14:textId="77777777" w:rsidR="00000000" w:rsidRDefault="001F1B20">
            <w:pPr>
              <w:pStyle w:val="a3"/>
              <w:spacing w:before="0" w:beforeAutospacing="0" w:after="0" w:afterAutospacing="0"/>
              <w:rPr>
                <w:sz w:val="20"/>
                <w:szCs w:val="20"/>
              </w:rPr>
            </w:pPr>
            <w:r>
              <w:rPr>
                <w:sz w:val="20"/>
                <w:szCs w:val="20"/>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14:paraId="7E02E1C2" w14:textId="77777777" w:rsidR="00000000" w:rsidRDefault="001F1B20">
            <w:pPr>
              <w:pStyle w:val="a3"/>
              <w:spacing w:before="0" w:beforeAutospacing="0" w:after="0" w:afterAutospacing="0"/>
              <w:ind w:right="60"/>
              <w:jc w:val="right"/>
              <w:rPr>
                <w:sz w:val="20"/>
                <w:szCs w:val="20"/>
              </w:rPr>
            </w:pPr>
            <w:r>
              <w:rPr>
                <w:sz w:val="20"/>
                <w:szCs w:val="20"/>
              </w:rPr>
              <w:t>77</w:t>
            </w:r>
            <w:r>
              <w:rPr>
                <w:sz w:val="20"/>
                <w:szCs w:val="20"/>
              </w:rPr>
              <w:t>1</w:t>
            </w:r>
          </w:p>
        </w:tc>
        <w:tc>
          <w:tcPr>
            <w:tcW w:w="40" w:type="pct"/>
            <w:shd w:val="clear" w:color="auto" w:fill="CCEEFF"/>
            <w:noWrap/>
            <w:tcMar>
              <w:top w:w="0" w:type="dxa"/>
              <w:left w:w="0" w:type="dxa"/>
              <w:bottom w:w="0" w:type="dxa"/>
              <w:right w:w="0" w:type="dxa"/>
            </w:tcMar>
            <w:vAlign w:val="bottom"/>
            <w:hideMark/>
          </w:tcPr>
          <w:p w14:paraId="4F9BCBDB" w14:textId="77777777" w:rsidR="00000000" w:rsidRDefault="001F1B20">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26E87E7B" w14:textId="77777777" w:rsidR="00000000" w:rsidRDefault="001F1B20">
            <w:pPr>
              <w:pStyle w:val="a3"/>
              <w:spacing w:before="0" w:beforeAutospacing="0" w:after="0" w:afterAutospacing="0"/>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14:paraId="4048FA11" w14:textId="77777777" w:rsidR="00000000" w:rsidRDefault="001F1B20">
            <w:pPr>
              <w:pStyle w:val="a3"/>
              <w:spacing w:before="0" w:beforeAutospacing="0" w:after="0" w:afterAutospacing="0"/>
              <w:ind w:right="60"/>
              <w:jc w:val="right"/>
              <w:rPr>
                <w:sz w:val="20"/>
                <w:szCs w:val="20"/>
              </w:rPr>
            </w:pPr>
            <w:r>
              <w:rPr>
                <w:sz w:val="20"/>
                <w:szCs w:val="20"/>
              </w:rPr>
              <w:t>2,03</w:t>
            </w:r>
            <w:r>
              <w:rPr>
                <w:sz w:val="20"/>
                <w:szCs w:val="20"/>
              </w:rPr>
              <w:t>3</w:t>
            </w:r>
          </w:p>
        </w:tc>
        <w:tc>
          <w:tcPr>
            <w:tcW w:w="39" w:type="pct"/>
            <w:shd w:val="clear" w:color="auto" w:fill="CCEEFF"/>
            <w:noWrap/>
            <w:tcMar>
              <w:top w:w="0" w:type="dxa"/>
              <w:left w:w="0" w:type="dxa"/>
              <w:bottom w:w="0" w:type="dxa"/>
              <w:right w:w="0" w:type="dxa"/>
            </w:tcMar>
            <w:vAlign w:val="bottom"/>
            <w:hideMark/>
          </w:tcPr>
          <w:p w14:paraId="4AAE3FA8" w14:textId="77777777" w:rsidR="00000000" w:rsidRDefault="001F1B20">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14:paraId="19CCF5F0" w14:textId="77777777" w:rsidR="00000000" w:rsidRDefault="001F1B20">
            <w:pPr>
              <w:pStyle w:val="a3"/>
              <w:spacing w:before="0" w:beforeAutospacing="0" w:after="0" w:afterAutospacing="0"/>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14:paraId="6703ACDC" w14:textId="77777777" w:rsidR="00000000" w:rsidRDefault="001F1B20">
            <w:pPr>
              <w:pStyle w:val="a3"/>
              <w:spacing w:before="0" w:beforeAutospacing="0" w:after="0" w:afterAutospacing="0"/>
              <w:jc w:val="right"/>
              <w:rPr>
                <w:sz w:val="20"/>
                <w:szCs w:val="20"/>
              </w:rPr>
            </w:pPr>
            <w:r>
              <w:rPr>
                <w:sz w:val="20"/>
                <w:szCs w:val="20"/>
              </w:rPr>
              <w:t>(1,262</w:t>
            </w:r>
            <w:r>
              <w:rPr>
                <w:sz w:val="20"/>
                <w:szCs w:val="20"/>
              </w:rPr>
              <w:t>)</w:t>
            </w:r>
          </w:p>
        </w:tc>
        <w:tc>
          <w:tcPr>
            <w:tcW w:w="39" w:type="pct"/>
            <w:shd w:val="clear" w:color="auto" w:fill="CCEEFF"/>
            <w:noWrap/>
            <w:tcMar>
              <w:top w:w="0" w:type="dxa"/>
              <w:left w:w="0" w:type="dxa"/>
              <w:bottom w:w="0" w:type="dxa"/>
              <w:right w:w="0" w:type="dxa"/>
            </w:tcMar>
            <w:vAlign w:val="bottom"/>
            <w:hideMark/>
          </w:tcPr>
          <w:p w14:paraId="130B685D" w14:textId="77777777" w:rsidR="00000000" w:rsidRDefault="001F1B20">
            <w:pPr>
              <w:pStyle w:val="a3"/>
              <w:spacing w:before="0" w:beforeAutospacing="0" w:after="0" w:afterAutospacing="0"/>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14:paraId="37AF759A" w14:textId="77777777" w:rsidR="00000000" w:rsidRDefault="001F1B20">
            <w:pPr>
              <w:pStyle w:val="a3"/>
              <w:spacing w:before="0" w:beforeAutospacing="0" w:after="0" w:afterAutospacing="0"/>
              <w:jc w:val="right"/>
              <w:rPr>
                <w:sz w:val="20"/>
                <w:szCs w:val="20"/>
              </w:rPr>
            </w:pPr>
            <w:r>
              <w:rPr>
                <w:sz w:val="20"/>
                <w:szCs w:val="20"/>
              </w:rPr>
              <w:t>(62</w:t>
            </w:r>
            <w:r>
              <w:rPr>
                <w:sz w:val="20"/>
                <w:szCs w:val="20"/>
              </w:rPr>
              <w:t>)</w:t>
            </w:r>
          </w:p>
        </w:tc>
        <w:tc>
          <w:tcPr>
            <w:tcW w:w="132" w:type="pct"/>
            <w:shd w:val="clear" w:color="auto" w:fill="CCEEFF"/>
            <w:noWrap/>
            <w:tcMar>
              <w:top w:w="0" w:type="dxa"/>
              <w:left w:w="0" w:type="dxa"/>
              <w:bottom w:w="0" w:type="dxa"/>
              <w:right w:w="0" w:type="dxa"/>
            </w:tcMar>
            <w:vAlign w:val="bottom"/>
            <w:hideMark/>
          </w:tcPr>
          <w:p w14:paraId="613F692A" w14:textId="77777777" w:rsidR="00000000" w:rsidRDefault="001F1B20">
            <w:pPr>
              <w:pStyle w:val="a3"/>
              <w:spacing w:before="0" w:beforeAutospacing="0" w:after="0" w:afterAutospacing="0"/>
              <w:rPr>
                <w:sz w:val="20"/>
                <w:szCs w:val="20"/>
              </w:rPr>
            </w:pPr>
            <w:r>
              <w:rPr>
                <w:sz w:val="20"/>
                <w:szCs w:val="20"/>
              </w:rPr>
              <w:t>%</w:t>
            </w:r>
          </w:p>
        </w:tc>
      </w:tr>
    </w:tbl>
    <w:p w14:paraId="4BC2E7E4" w14:textId="77777777" w:rsidR="00000000" w:rsidRDefault="001F1B20">
      <w:pPr>
        <w:pStyle w:val="a3"/>
        <w:spacing w:before="0" w:beforeAutospacing="0" w:after="0" w:afterAutospacing="0"/>
        <w:divId w:val="1561095023"/>
        <w:rPr>
          <w:sz w:val="20"/>
          <w:szCs w:val="20"/>
        </w:rPr>
      </w:pPr>
      <w:r>
        <w:rPr>
          <w:sz w:val="20"/>
          <w:szCs w:val="20"/>
        </w:rPr>
        <w:t>NM: Not Meaningful</w:t>
      </w:r>
    </w:p>
    <w:p w14:paraId="0F46EE52" w14:textId="77777777" w:rsidR="00000000" w:rsidRDefault="001F1B20">
      <w:pPr>
        <w:pStyle w:val="a3"/>
        <w:spacing w:before="0" w:beforeAutospacing="0" w:after="0" w:afterAutospacing="0"/>
        <w:ind w:firstLine="720"/>
        <w:divId w:val="1561095023"/>
        <w:rPr>
          <w:sz w:val="20"/>
          <w:szCs w:val="20"/>
        </w:rPr>
      </w:pPr>
      <w:r>
        <w:rPr>
          <w:sz w:val="20"/>
          <w:szCs w:val="20"/>
        </w:rPr>
        <w:t>​</w:t>
      </w:r>
    </w:p>
    <w:p w14:paraId="2F31871F" w14:textId="77777777" w:rsidR="00000000" w:rsidRDefault="001F1B20">
      <w:pPr>
        <w:pStyle w:val="a3"/>
        <w:spacing w:before="0" w:beforeAutospacing="0" w:after="0" w:afterAutospacing="0"/>
        <w:ind w:firstLine="720"/>
        <w:divId w:val="1561095023"/>
        <w:rPr>
          <w:sz w:val="20"/>
          <w:szCs w:val="20"/>
        </w:rPr>
      </w:pPr>
      <w:r>
        <w:rPr>
          <w:sz w:val="20"/>
          <w:szCs w:val="20"/>
        </w:rPr>
        <w:t xml:space="preserve">Interest and other income (expense), net, decreased by $1.3 million and $2.9 million for the three and nine months ended September 30, 2021, respectively, compared to the same periods in 2020. The decreases were primarily due to higher investment balances </w:t>
      </w:r>
      <w:r>
        <w:rPr>
          <w:sz w:val="20"/>
          <w:szCs w:val="20"/>
        </w:rPr>
        <w:t>in the prior year period following the issuance of the Non-Recourse 2035 Notes in February 2020, lower investment yields in the current periods, and an increase in foreign currency losses in the current periods.</w:t>
      </w:r>
    </w:p>
    <w:p w14:paraId="1A19871B" w14:textId="77777777" w:rsidR="00000000" w:rsidRDefault="001F1B20">
      <w:pPr>
        <w:pStyle w:val="a3"/>
        <w:spacing w:before="360" w:beforeAutospacing="0" w:after="0" w:afterAutospacing="0"/>
        <w:jc w:val="center"/>
        <w:divId w:val="560869293"/>
        <w:rPr>
          <w:sz w:val="20"/>
          <w:szCs w:val="20"/>
        </w:rPr>
      </w:pPr>
      <w:r>
        <w:rPr>
          <w:sz w:val="20"/>
          <w:szCs w:val="20"/>
        </w:rPr>
        <w:t>32</w:t>
      </w:r>
    </w:p>
    <w:p w14:paraId="6060DE4A" w14:textId="77777777" w:rsidR="00000000" w:rsidRDefault="001F1B20">
      <w:pPr>
        <w:pStyle w:val="a3"/>
        <w:spacing w:before="0" w:beforeAutospacing="0" w:after="600" w:afterAutospacing="0"/>
        <w:divId w:val="625548651"/>
        <w:rPr>
          <w:sz w:val="20"/>
          <w:szCs w:val="20"/>
        </w:rPr>
      </w:pPr>
      <w:hyperlink w:anchor="TOC" w:history="1">
        <w:r>
          <w:rPr>
            <w:rStyle w:val="a4"/>
            <w:sz w:val="20"/>
            <w:szCs w:val="20"/>
          </w:rPr>
          <w:t>Table of Conten</w:t>
        </w:r>
        <w:r>
          <w:rPr>
            <w:rStyle w:val="a4"/>
            <w:sz w:val="20"/>
            <w:szCs w:val="20"/>
          </w:rPr>
          <w:t>ts</w:t>
        </w:r>
      </w:hyperlink>
    </w:p>
    <w:p w14:paraId="7F3CA1A8" w14:textId="77777777" w:rsidR="00000000" w:rsidRDefault="001F1B20">
      <w:pPr>
        <w:pStyle w:val="a3"/>
        <w:spacing w:before="0" w:beforeAutospacing="0" w:after="0" w:afterAutospacing="0"/>
        <w:ind w:firstLine="720"/>
        <w:divId w:val="1199971243"/>
        <w:rPr>
          <w:sz w:val="20"/>
          <w:szCs w:val="20"/>
        </w:rPr>
      </w:pPr>
      <w:r>
        <w:rPr>
          <w:sz w:val="20"/>
          <w:szCs w:val="20"/>
        </w:rPr>
        <w:t>​</w:t>
      </w:r>
    </w:p>
    <w:p w14:paraId="5412B5FF" w14:textId="77777777" w:rsidR="00000000" w:rsidRDefault="001F1B20">
      <w:pPr>
        <w:pStyle w:val="a3"/>
        <w:spacing w:before="0" w:beforeAutospacing="0" w:after="0" w:afterAutospacing="0"/>
        <w:ind w:firstLine="720"/>
        <w:divId w:val="1199971243"/>
        <w:rPr>
          <w:sz w:val="20"/>
          <w:szCs w:val="20"/>
        </w:rPr>
      </w:pPr>
      <w:r>
        <w:rPr>
          <w:sz w:val="20"/>
          <w:szCs w:val="20"/>
        </w:rPr>
        <w:t>In addition, $1.6 million of costs related to the GSK offering in the second quarter of 2020 were incurred during the nine months ended September 30, 2020. On June 22, 2020, GSK completed its previously announced offering of $300 million of exchangeab</w:t>
      </w:r>
      <w:r>
        <w:rPr>
          <w:sz w:val="20"/>
          <w:szCs w:val="20"/>
        </w:rPr>
        <w:t>le senior notes due 2023, $280.3 million of which are exchangeable into ordinary shares of our Company that are held by GSK and its affiliates for investment purposes. The $1.6 million in costs were primarily comprised of financial advisory and legal-relat</w:t>
      </w:r>
      <w:r>
        <w:rPr>
          <w:sz w:val="20"/>
          <w:szCs w:val="20"/>
        </w:rPr>
        <w:t>ed costs.</w:t>
      </w:r>
    </w:p>
    <w:p w14:paraId="6CDCDD2A" w14:textId="77777777" w:rsidR="00000000" w:rsidRDefault="001F1B20">
      <w:pPr>
        <w:pStyle w:val="a3"/>
        <w:spacing w:before="0" w:beforeAutospacing="0" w:after="0" w:afterAutospacing="0"/>
        <w:divId w:val="1199971243"/>
        <w:rPr>
          <w:sz w:val="20"/>
          <w:szCs w:val="20"/>
        </w:rPr>
      </w:pPr>
      <w:r>
        <w:rPr>
          <w:sz w:val="20"/>
          <w:szCs w:val="20"/>
        </w:rPr>
        <w:t>​</w:t>
      </w:r>
    </w:p>
    <w:p w14:paraId="701D72D1" w14:textId="77777777" w:rsidR="00000000" w:rsidRDefault="001F1B20">
      <w:pPr>
        <w:pStyle w:val="a3"/>
        <w:spacing w:before="0" w:beforeAutospacing="0" w:after="0" w:afterAutospacing="0"/>
        <w:divId w:val="1199971243"/>
        <w:rPr>
          <w:sz w:val="20"/>
          <w:szCs w:val="20"/>
        </w:rPr>
      </w:pPr>
      <w:r>
        <w:rPr>
          <w:b/>
          <w:bCs/>
          <w:i/>
          <w:iCs/>
          <w:sz w:val="20"/>
          <w:szCs w:val="20"/>
        </w:rPr>
        <w:t>Provision for Income Tax Benefit (Expense)</w:t>
      </w:r>
    </w:p>
    <w:p w14:paraId="34CA9EC2" w14:textId="77777777" w:rsidR="00000000" w:rsidRDefault="001F1B20">
      <w:pPr>
        <w:pStyle w:val="a3"/>
        <w:spacing w:before="0" w:beforeAutospacing="0" w:after="0" w:afterAutospacing="0"/>
        <w:divId w:val="1199971243"/>
        <w:rPr>
          <w:sz w:val="20"/>
          <w:szCs w:val="20"/>
        </w:rPr>
      </w:pPr>
      <w:r>
        <w:rPr>
          <w:sz w:val="20"/>
          <w:szCs w:val="20"/>
        </w:rPr>
        <w:t>​</w:t>
      </w:r>
    </w:p>
    <w:p w14:paraId="5C39426E" w14:textId="77777777" w:rsidR="00000000" w:rsidRDefault="001F1B20">
      <w:pPr>
        <w:pStyle w:val="a3"/>
        <w:spacing w:before="0" w:beforeAutospacing="0" w:after="0" w:afterAutospacing="0"/>
        <w:ind w:firstLine="720"/>
        <w:divId w:val="1199971243"/>
        <w:rPr>
          <w:sz w:val="20"/>
          <w:szCs w:val="20"/>
        </w:rPr>
      </w:pPr>
      <w:r>
        <w:rPr>
          <w:sz w:val="20"/>
          <w:szCs w:val="20"/>
        </w:rPr>
        <w:t>The provision for income tax benefit (expense), as compared to the comparable periods in the prior year, was as follows:</w:t>
      </w:r>
    </w:p>
    <w:p w14:paraId="1BB65A84" w14:textId="77777777" w:rsidR="00000000" w:rsidRDefault="001F1B20">
      <w:pPr>
        <w:pStyle w:val="a3"/>
        <w:spacing w:before="0" w:beforeAutospacing="0" w:after="0" w:afterAutospacing="0"/>
        <w:ind w:firstLine="720"/>
        <w:divId w:val="119997124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774"/>
        <w:gridCol w:w="80"/>
        <w:gridCol w:w="107"/>
        <w:gridCol w:w="569"/>
        <w:gridCol w:w="105"/>
        <w:gridCol w:w="105"/>
        <w:gridCol w:w="572"/>
        <w:gridCol w:w="80"/>
        <w:gridCol w:w="100"/>
        <w:gridCol w:w="360"/>
        <w:gridCol w:w="80"/>
        <w:gridCol w:w="434"/>
        <w:gridCol w:w="167"/>
        <w:gridCol w:w="80"/>
        <w:gridCol w:w="101"/>
        <w:gridCol w:w="534"/>
        <w:gridCol w:w="99"/>
        <w:gridCol w:w="101"/>
        <w:gridCol w:w="537"/>
        <w:gridCol w:w="80"/>
        <w:gridCol w:w="100"/>
        <w:gridCol w:w="360"/>
        <w:gridCol w:w="80"/>
        <w:gridCol w:w="434"/>
        <w:gridCol w:w="267"/>
      </w:tblGrid>
      <w:tr w:rsidR="00000000" w14:paraId="2CBD8863" w14:textId="77777777">
        <w:trPr>
          <w:divId w:val="1199971243"/>
          <w:trHeight w:val="20"/>
        </w:trPr>
        <w:tc>
          <w:tcPr>
            <w:tcW w:w="2156" w:type="pct"/>
            <w:tcMar>
              <w:top w:w="0" w:type="dxa"/>
              <w:left w:w="0" w:type="dxa"/>
              <w:bottom w:w="0" w:type="dxa"/>
              <w:right w:w="0" w:type="dxa"/>
            </w:tcMar>
            <w:vAlign w:val="bottom"/>
            <w:hideMark/>
          </w:tcPr>
          <w:p w14:paraId="3DBB4AA7" w14:textId="77777777" w:rsidR="00000000" w:rsidRDefault="001F1B20">
            <w:pPr>
              <w:pStyle w:val="a3"/>
              <w:spacing w:before="0" w:beforeAutospacing="0" w:after="0" w:afterAutospacing="0"/>
              <w:divId w:val="369383633"/>
              <w:rPr>
                <w:sz w:val="20"/>
                <w:szCs w:val="20"/>
              </w:rPr>
            </w:pPr>
            <w:r>
              <w:rPr>
                <w:sz w:val="2"/>
                <w:szCs w:val="2"/>
              </w:rPr>
              <w:t>​</w:t>
            </w:r>
          </w:p>
        </w:tc>
        <w:tc>
          <w:tcPr>
            <w:tcW w:w="39" w:type="pct"/>
            <w:noWrap/>
            <w:tcMar>
              <w:top w:w="0" w:type="dxa"/>
              <w:left w:w="0" w:type="dxa"/>
              <w:bottom w:w="0" w:type="dxa"/>
              <w:right w:w="0" w:type="dxa"/>
            </w:tcMar>
            <w:vAlign w:val="bottom"/>
            <w:hideMark/>
          </w:tcPr>
          <w:p w14:paraId="552BB432" w14:textId="77777777" w:rsidR="00000000" w:rsidRDefault="001F1B20">
            <w:pPr>
              <w:pStyle w:val="a3"/>
              <w:spacing w:before="0" w:beforeAutospacing="0" w:after="0" w:afterAutospacing="0"/>
              <w:divId w:val="1697349168"/>
              <w:rPr>
                <w:sz w:val="20"/>
                <w:szCs w:val="20"/>
              </w:rPr>
            </w:pPr>
            <w:r>
              <w:rPr>
                <w:sz w:val="2"/>
                <w:szCs w:val="2"/>
              </w:rPr>
              <w:t>​</w:t>
            </w:r>
          </w:p>
        </w:tc>
        <w:tc>
          <w:tcPr>
            <w:tcW w:w="53" w:type="pct"/>
            <w:noWrap/>
            <w:tcMar>
              <w:top w:w="0" w:type="dxa"/>
              <w:left w:w="0" w:type="dxa"/>
              <w:bottom w:w="0" w:type="dxa"/>
              <w:right w:w="0" w:type="dxa"/>
            </w:tcMar>
            <w:vAlign w:val="bottom"/>
            <w:hideMark/>
          </w:tcPr>
          <w:p w14:paraId="08ACBF9A" w14:textId="77777777" w:rsidR="00000000" w:rsidRDefault="001F1B20">
            <w:pPr>
              <w:pStyle w:val="a3"/>
              <w:spacing w:before="0" w:beforeAutospacing="0" w:after="0" w:afterAutospacing="0"/>
              <w:divId w:val="1955096247"/>
              <w:rPr>
                <w:sz w:val="20"/>
                <w:szCs w:val="20"/>
              </w:rPr>
            </w:pPr>
            <w:r>
              <w:rPr>
                <w:sz w:val="2"/>
                <w:szCs w:val="2"/>
              </w:rPr>
              <w:t>​</w:t>
            </w:r>
          </w:p>
        </w:tc>
        <w:tc>
          <w:tcPr>
            <w:tcW w:w="282" w:type="pct"/>
            <w:noWrap/>
            <w:tcMar>
              <w:top w:w="0" w:type="dxa"/>
              <w:left w:w="0" w:type="dxa"/>
              <w:bottom w:w="0" w:type="dxa"/>
              <w:right w:w="0" w:type="dxa"/>
            </w:tcMar>
            <w:vAlign w:val="bottom"/>
            <w:hideMark/>
          </w:tcPr>
          <w:p w14:paraId="663F3DD3" w14:textId="77777777" w:rsidR="00000000" w:rsidRDefault="001F1B20">
            <w:pPr>
              <w:pStyle w:val="a3"/>
              <w:spacing w:before="0" w:beforeAutospacing="0" w:after="0" w:afterAutospacing="0"/>
              <w:divId w:val="583998217"/>
              <w:rPr>
                <w:sz w:val="20"/>
                <w:szCs w:val="20"/>
              </w:rPr>
            </w:pPr>
            <w:r>
              <w:rPr>
                <w:sz w:val="2"/>
                <w:szCs w:val="2"/>
              </w:rPr>
              <w:t>​</w:t>
            </w:r>
          </w:p>
        </w:tc>
        <w:tc>
          <w:tcPr>
            <w:tcW w:w="52" w:type="pct"/>
            <w:noWrap/>
            <w:tcMar>
              <w:top w:w="0" w:type="dxa"/>
              <w:left w:w="0" w:type="dxa"/>
              <w:bottom w:w="0" w:type="dxa"/>
              <w:right w:w="0" w:type="dxa"/>
            </w:tcMar>
            <w:vAlign w:val="bottom"/>
            <w:hideMark/>
          </w:tcPr>
          <w:p w14:paraId="2333C16A" w14:textId="77777777" w:rsidR="00000000" w:rsidRDefault="001F1B20">
            <w:pPr>
              <w:pStyle w:val="a3"/>
              <w:spacing w:before="0" w:beforeAutospacing="0" w:after="0" w:afterAutospacing="0"/>
              <w:divId w:val="1440875850"/>
              <w:rPr>
                <w:sz w:val="20"/>
                <w:szCs w:val="20"/>
              </w:rPr>
            </w:pPr>
            <w:r>
              <w:rPr>
                <w:sz w:val="2"/>
                <w:szCs w:val="2"/>
              </w:rPr>
              <w:t>​</w:t>
            </w:r>
          </w:p>
        </w:tc>
        <w:tc>
          <w:tcPr>
            <w:tcW w:w="52" w:type="pct"/>
            <w:noWrap/>
            <w:tcMar>
              <w:top w:w="0" w:type="dxa"/>
              <w:left w:w="0" w:type="dxa"/>
              <w:bottom w:w="0" w:type="dxa"/>
              <w:right w:w="0" w:type="dxa"/>
            </w:tcMar>
            <w:vAlign w:val="bottom"/>
            <w:hideMark/>
          </w:tcPr>
          <w:p w14:paraId="138FB95B" w14:textId="77777777" w:rsidR="00000000" w:rsidRDefault="001F1B20">
            <w:pPr>
              <w:pStyle w:val="a3"/>
              <w:spacing w:before="0" w:beforeAutospacing="0" w:after="0" w:afterAutospacing="0"/>
              <w:divId w:val="1984963118"/>
              <w:rPr>
                <w:sz w:val="20"/>
                <w:szCs w:val="20"/>
              </w:rPr>
            </w:pPr>
            <w:r>
              <w:rPr>
                <w:sz w:val="2"/>
                <w:szCs w:val="2"/>
              </w:rPr>
              <w:t>​</w:t>
            </w:r>
          </w:p>
        </w:tc>
        <w:tc>
          <w:tcPr>
            <w:tcW w:w="282" w:type="pct"/>
            <w:noWrap/>
            <w:tcMar>
              <w:top w:w="0" w:type="dxa"/>
              <w:left w:w="0" w:type="dxa"/>
              <w:bottom w:w="0" w:type="dxa"/>
              <w:right w:w="0" w:type="dxa"/>
            </w:tcMar>
            <w:vAlign w:val="bottom"/>
            <w:hideMark/>
          </w:tcPr>
          <w:p w14:paraId="0BC6943B" w14:textId="77777777" w:rsidR="00000000" w:rsidRDefault="001F1B20">
            <w:pPr>
              <w:pStyle w:val="a3"/>
              <w:spacing w:before="0" w:beforeAutospacing="0" w:after="0" w:afterAutospacing="0"/>
              <w:divId w:val="747270857"/>
              <w:rPr>
                <w:sz w:val="20"/>
                <w:szCs w:val="20"/>
              </w:rPr>
            </w:pPr>
            <w:r>
              <w:rPr>
                <w:sz w:val="2"/>
                <w:szCs w:val="2"/>
              </w:rPr>
              <w:t>​</w:t>
            </w:r>
          </w:p>
        </w:tc>
        <w:tc>
          <w:tcPr>
            <w:tcW w:w="39" w:type="pct"/>
            <w:noWrap/>
            <w:tcMar>
              <w:top w:w="0" w:type="dxa"/>
              <w:left w:w="0" w:type="dxa"/>
              <w:bottom w:w="0" w:type="dxa"/>
              <w:right w:w="0" w:type="dxa"/>
            </w:tcMar>
            <w:vAlign w:val="bottom"/>
            <w:hideMark/>
          </w:tcPr>
          <w:p w14:paraId="5C314970" w14:textId="77777777" w:rsidR="00000000" w:rsidRDefault="001F1B20">
            <w:pPr>
              <w:pStyle w:val="a3"/>
              <w:spacing w:before="0" w:beforeAutospacing="0" w:after="0" w:afterAutospacing="0"/>
              <w:divId w:val="563029090"/>
              <w:rPr>
                <w:sz w:val="20"/>
                <w:szCs w:val="20"/>
              </w:rPr>
            </w:pPr>
            <w:r>
              <w:rPr>
                <w:sz w:val="2"/>
                <w:szCs w:val="2"/>
              </w:rPr>
              <w:t>​</w:t>
            </w:r>
          </w:p>
        </w:tc>
        <w:tc>
          <w:tcPr>
            <w:tcW w:w="49" w:type="pct"/>
            <w:noWrap/>
            <w:tcMar>
              <w:top w:w="0" w:type="dxa"/>
              <w:left w:w="0" w:type="dxa"/>
              <w:bottom w:w="0" w:type="dxa"/>
              <w:right w:w="0" w:type="dxa"/>
            </w:tcMar>
            <w:vAlign w:val="bottom"/>
            <w:hideMark/>
          </w:tcPr>
          <w:p w14:paraId="69DB3BC1" w14:textId="77777777" w:rsidR="00000000" w:rsidRDefault="001F1B20">
            <w:pPr>
              <w:pStyle w:val="a3"/>
              <w:spacing w:before="0" w:beforeAutospacing="0" w:after="0" w:afterAutospacing="0"/>
              <w:divId w:val="1398481723"/>
              <w:rPr>
                <w:sz w:val="20"/>
                <w:szCs w:val="20"/>
              </w:rPr>
            </w:pPr>
            <w:r>
              <w:rPr>
                <w:sz w:val="2"/>
                <w:szCs w:val="2"/>
              </w:rPr>
              <w:t>​</w:t>
            </w:r>
          </w:p>
        </w:tc>
        <w:tc>
          <w:tcPr>
            <w:tcW w:w="203" w:type="pct"/>
            <w:noWrap/>
            <w:tcMar>
              <w:top w:w="0" w:type="dxa"/>
              <w:left w:w="0" w:type="dxa"/>
              <w:bottom w:w="0" w:type="dxa"/>
              <w:right w:w="0" w:type="dxa"/>
            </w:tcMar>
            <w:vAlign w:val="bottom"/>
            <w:hideMark/>
          </w:tcPr>
          <w:p w14:paraId="1A9054CD" w14:textId="77777777" w:rsidR="00000000" w:rsidRDefault="001F1B20">
            <w:pPr>
              <w:pStyle w:val="a3"/>
              <w:spacing w:before="0" w:beforeAutospacing="0" w:after="0" w:afterAutospacing="0"/>
              <w:divId w:val="2022003184"/>
              <w:rPr>
                <w:sz w:val="20"/>
                <w:szCs w:val="20"/>
              </w:rPr>
            </w:pPr>
            <w:r>
              <w:rPr>
                <w:sz w:val="2"/>
                <w:szCs w:val="2"/>
              </w:rPr>
              <w:t>​</w:t>
            </w:r>
          </w:p>
        </w:tc>
        <w:tc>
          <w:tcPr>
            <w:tcW w:w="39" w:type="pct"/>
            <w:noWrap/>
            <w:tcMar>
              <w:top w:w="0" w:type="dxa"/>
              <w:left w:w="0" w:type="dxa"/>
              <w:bottom w:w="0" w:type="dxa"/>
              <w:right w:w="0" w:type="dxa"/>
            </w:tcMar>
            <w:vAlign w:val="bottom"/>
            <w:hideMark/>
          </w:tcPr>
          <w:p w14:paraId="2E11EF5A" w14:textId="77777777" w:rsidR="00000000" w:rsidRDefault="001F1B20">
            <w:pPr>
              <w:pStyle w:val="a3"/>
              <w:spacing w:before="0" w:beforeAutospacing="0" w:after="0" w:afterAutospacing="0"/>
              <w:divId w:val="1913268391"/>
              <w:rPr>
                <w:sz w:val="20"/>
                <w:szCs w:val="20"/>
              </w:rPr>
            </w:pPr>
            <w:r>
              <w:rPr>
                <w:sz w:val="2"/>
                <w:szCs w:val="2"/>
              </w:rPr>
              <w:t>​</w:t>
            </w:r>
          </w:p>
        </w:tc>
        <w:tc>
          <w:tcPr>
            <w:tcW w:w="240" w:type="pct"/>
            <w:noWrap/>
            <w:tcMar>
              <w:top w:w="0" w:type="dxa"/>
              <w:left w:w="0" w:type="dxa"/>
              <w:bottom w:w="0" w:type="dxa"/>
              <w:right w:w="0" w:type="dxa"/>
            </w:tcMar>
            <w:vAlign w:val="bottom"/>
            <w:hideMark/>
          </w:tcPr>
          <w:p w14:paraId="01180FFD" w14:textId="77777777" w:rsidR="00000000" w:rsidRDefault="001F1B20">
            <w:pPr>
              <w:pStyle w:val="a3"/>
              <w:spacing w:before="0" w:beforeAutospacing="0" w:after="0" w:afterAutospacing="0"/>
              <w:divId w:val="1365519539"/>
              <w:rPr>
                <w:sz w:val="20"/>
                <w:szCs w:val="20"/>
              </w:rPr>
            </w:pPr>
            <w:r>
              <w:rPr>
                <w:sz w:val="2"/>
                <w:szCs w:val="2"/>
              </w:rPr>
              <w:t>​</w:t>
            </w:r>
          </w:p>
        </w:tc>
        <w:tc>
          <w:tcPr>
            <w:tcW w:w="82" w:type="pct"/>
            <w:noWrap/>
            <w:tcMar>
              <w:top w:w="0" w:type="dxa"/>
              <w:left w:w="0" w:type="dxa"/>
              <w:bottom w:w="0" w:type="dxa"/>
              <w:right w:w="0" w:type="dxa"/>
            </w:tcMar>
            <w:vAlign w:val="bottom"/>
            <w:hideMark/>
          </w:tcPr>
          <w:p w14:paraId="132A0A8B" w14:textId="77777777" w:rsidR="00000000" w:rsidRDefault="001F1B20">
            <w:pPr>
              <w:pStyle w:val="a3"/>
              <w:spacing w:before="0" w:beforeAutospacing="0" w:after="0" w:afterAutospacing="0"/>
              <w:divId w:val="192813090"/>
              <w:rPr>
                <w:sz w:val="20"/>
                <w:szCs w:val="20"/>
              </w:rPr>
            </w:pPr>
            <w:r>
              <w:rPr>
                <w:sz w:val="2"/>
                <w:szCs w:val="2"/>
              </w:rPr>
              <w:t>​</w:t>
            </w:r>
          </w:p>
        </w:tc>
        <w:tc>
          <w:tcPr>
            <w:tcW w:w="39" w:type="pct"/>
            <w:noWrap/>
            <w:tcMar>
              <w:top w:w="0" w:type="dxa"/>
              <w:left w:w="0" w:type="dxa"/>
              <w:bottom w:w="0" w:type="dxa"/>
              <w:right w:w="0" w:type="dxa"/>
            </w:tcMar>
            <w:vAlign w:val="bottom"/>
            <w:hideMark/>
          </w:tcPr>
          <w:p w14:paraId="4EE341BA" w14:textId="77777777" w:rsidR="00000000" w:rsidRDefault="001F1B20">
            <w:pPr>
              <w:pStyle w:val="a3"/>
              <w:spacing w:before="0" w:beforeAutospacing="0" w:after="0" w:afterAutospacing="0"/>
              <w:divId w:val="1603876570"/>
              <w:rPr>
                <w:sz w:val="20"/>
                <w:szCs w:val="20"/>
              </w:rPr>
            </w:pPr>
            <w:r>
              <w:rPr>
                <w:sz w:val="2"/>
                <w:szCs w:val="2"/>
              </w:rPr>
              <w:t>​</w:t>
            </w:r>
          </w:p>
        </w:tc>
        <w:tc>
          <w:tcPr>
            <w:tcW w:w="50" w:type="pct"/>
            <w:noWrap/>
            <w:tcMar>
              <w:top w:w="0" w:type="dxa"/>
              <w:left w:w="0" w:type="dxa"/>
              <w:bottom w:w="0" w:type="dxa"/>
              <w:right w:w="0" w:type="dxa"/>
            </w:tcMar>
            <w:vAlign w:val="bottom"/>
            <w:hideMark/>
          </w:tcPr>
          <w:p w14:paraId="7F5D49A1" w14:textId="77777777" w:rsidR="00000000" w:rsidRDefault="001F1B20">
            <w:pPr>
              <w:pStyle w:val="a3"/>
              <w:spacing w:before="0" w:beforeAutospacing="0" w:after="0" w:afterAutospacing="0"/>
              <w:divId w:val="1972788708"/>
              <w:rPr>
                <w:sz w:val="20"/>
                <w:szCs w:val="20"/>
              </w:rPr>
            </w:pPr>
            <w:r>
              <w:rPr>
                <w:sz w:val="2"/>
                <w:szCs w:val="2"/>
              </w:rPr>
              <w:t>​</w:t>
            </w:r>
          </w:p>
        </w:tc>
        <w:tc>
          <w:tcPr>
            <w:tcW w:w="265" w:type="pct"/>
            <w:noWrap/>
            <w:tcMar>
              <w:top w:w="0" w:type="dxa"/>
              <w:left w:w="0" w:type="dxa"/>
              <w:bottom w:w="0" w:type="dxa"/>
              <w:right w:w="0" w:type="dxa"/>
            </w:tcMar>
            <w:vAlign w:val="bottom"/>
            <w:hideMark/>
          </w:tcPr>
          <w:p w14:paraId="38DEB1E8" w14:textId="77777777" w:rsidR="00000000" w:rsidRDefault="001F1B20">
            <w:pPr>
              <w:pStyle w:val="a3"/>
              <w:spacing w:before="0" w:beforeAutospacing="0" w:after="0" w:afterAutospacing="0"/>
              <w:divId w:val="1977834184"/>
              <w:rPr>
                <w:sz w:val="20"/>
                <w:szCs w:val="20"/>
              </w:rPr>
            </w:pPr>
            <w:r>
              <w:rPr>
                <w:sz w:val="2"/>
                <w:szCs w:val="2"/>
              </w:rPr>
              <w:t>​</w:t>
            </w:r>
          </w:p>
        </w:tc>
        <w:tc>
          <w:tcPr>
            <w:tcW w:w="49" w:type="pct"/>
            <w:noWrap/>
            <w:tcMar>
              <w:top w:w="0" w:type="dxa"/>
              <w:left w:w="0" w:type="dxa"/>
              <w:bottom w:w="0" w:type="dxa"/>
              <w:right w:w="0" w:type="dxa"/>
            </w:tcMar>
            <w:vAlign w:val="bottom"/>
            <w:hideMark/>
          </w:tcPr>
          <w:p w14:paraId="525BD40B" w14:textId="77777777" w:rsidR="00000000" w:rsidRDefault="001F1B20">
            <w:pPr>
              <w:pStyle w:val="a3"/>
              <w:spacing w:before="0" w:beforeAutospacing="0" w:after="0" w:afterAutospacing="0"/>
              <w:divId w:val="1526792443"/>
              <w:rPr>
                <w:sz w:val="20"/>
                <w:szCs w:val="20"/>
              </w:rPr>
            </w:pPr>
            <w:r>
              <w:rPr>
                <w:sz w:val="2"/>
                <w:szCs w:val="2"/>
              </w:rPr>
              <w:t>​</w:t>
            </w:r>
          </w:p>
        </w:tc>
        <w:tc>
          <w:tcPr>
            <w:tcW w:w="49" w:type="pct"/>
            <w:noWrap/>
            <w:tcMar>
              <w:top w:w="0" w:type="dxa"/>
              <w:left w:w="0" w:type="dxa"/>
              <w:bottom w:w="0" w:type="dxa"/>
              <w:right w:w="0" w:type="dxa"/>
            </w:tcMar>
            <w:vAlign w:val="bottom"/>
            <w:hideMark/>
          </w:tcPr>
          <w:p w14:paraId="27E27DC5" w14:textId="77777777" w:rsidR="00000000" w:rsidRDefault="001F1B20">
            <w:pPr>
              <w:pStyle w:val="a3"/>
              <w:spacing w:before="0" w:beforeAutospacing="0" w:after="0" w:afterAutospacing="0"/>
              <w:divId w:val="367535014"/>
              <w:rPr>
                <w:sz w:val="20"/>
                <w:szCs w:val="20"/>
              </w:rPr>
            </w:pPr>
            <w:r>
              <w:rPr>
                <w:sz w:val="2"/>
                <w:szCs w:val="2"/>
              </w:rPr>
              <w:t>​</w:t>
            </w:r>
          </w:p>
        </w:tc>
        <w:tc>
          <w:tcPr>
            <w:tcW w:w="265" w:type="pct"/>
            <w:noWrap/>
            <w:tcMar>
              <w:top w:w="0" w:type="dxa"/>
              <w:left w:w="0" w:type="dxa"/>
              <w:bottom w:w="0" w:type="dxa"/>
              <w:right w:w="0" w:type="dxa"/>
            </w:tcMar>
            <w:vAlign w:val="bottom"/>
            <w:hideMark/>
          </w:tcPr>
          <w:p w14:paraId="36FFA4E4" w14:textId="77777777" w:rsidR="00000000" w:rsidRDefault="001F1B20">
            <w:pPr>
              <w:pStyle w:val="a3"/>
              <w:spacing w:before="0" w:beforeAutospacing="0" w:after="0" w:afterAutospacing="0"/>
              <w:divId w:val="52313674"/>
              <w:rPr>
                <w:sz w:val="20"/>
                <w:szCs w:val="20"/>
              </w:rPr>
            </w:pPr>
            <w:r>
              <w:rPr>
                <w:sz w:val="2"/>
                <w:szCs w:val="2"/>
              </w:rPr>
              <w:t>​</w:t>
            </w:r>
          </w:p>
        </w:tc>
        <w:tc>
          <w:tcPr>
            <w:tcW w:w="39" w:type="pct"/>
            <w:noWrap/>
            <w:tcMar>
              <w:top w:w="0" w:type="dxa"/>
              <w:left w:w="0" w:type="dxa"/>
              <w:bottom w:w="0" w:type="dxa"/>
              <w:right w:w="0" w:type="dxa"/>
            </w:tcMar>
            <w:vAlign w:val="bottom"/>
            <w:hideMark/>
          </w:tcPr>
          <w:p w14:paraId="08658CC2" w14:textId="77777777" w:rsidR="00000000" w:rsidRDefault="001F1B20">
            <w:pPr>
              <w:pStyle w:val="a3"/>
              <w:spacing w:before="0" w:beforeAutospacing="0" w:after="0" w:afterAutospacing="0"/>
              <w:divId w:val="1677003809"/>
              <w:rPr>
                <w:sz w:val="20"/>
                <w:szCs w:val="20"/>
              </w:rPr>
            </w:pPr>
            <w:r>
              <w:rPr>
                <w:sz w:val="2"/>
                <w:szCs w:val="2"/>
              </w:rPr>
              <w:t>​</w:t>
            </w:r>
          </w:p>
        </w:tc>
        <w:tc>
          <w:tcPr>
            <w:tcW w:w="49" w:type="pct"/>
            <w:noWrap/>
            <w:tcMar>
              <w:top w:w="0" w:type="dxa"/>
              <w:left w:w="0" w:type="dxa"/>
              <w:bottom w:w="0" w:type="dxa"/>
              <w:right w:w="0" w:type="dxa"/>
            </w:tcMar>
            <w:vAlign w:val="bottom"/>
            <w:hideMark/>
          </w:tcPr>
          <w:p w14:paraId="3AD59E5B" w14:textId="77777777" w:rsidR="00000000" w:rsidRDefault="001F1B20">
            <w:pPr>
              <w:pStyle w:val="a3"/>
              <w:spacing w:before="0" w:beforeAutospacing="0" w:after="0" w:afterAutospacing="0"/>
              <w:divId w:val="144979757"/>
              <w:rPr>
                <w:sz w:val="20"/>
                <w:szCs w:val="20"/>
              </w:rPr>
            </w:pPr>
            <w:r>
              <w:rPr>
                <w:sz w:val="2"/>
                <w:szCs w:val="2"/>
              </w:rPr>
              <w:t>​</w:t>
            </w:r>
          </w:p>
        </w:tc>
        <w:tc>
          <w:tcPr>
            <w:tcW w:w="203" w:type="pct"/>
            <w:noWrap/>
            <w:tcMar>
              <w:top w:w="0" w:type="dxa"/>
              <w:left w:w="0" w:type="dxa"/>
              <w:bottom w:w="0" w:type="dxa"/>
              <w:right w:w="0" w:type="dxa"/>
            </w:tcMar>
            <w:vAlign w:val="bottom"/>
            <w:hideMark/>
          </w:tcPr>
          <w:p w14:paraId="3028E585" w14:textId="77777777" w:rsidR="00000000" w:rsidRDefault="001F1B20">
            <w:pPr>
              <w:pStyle w:val="a3"/>
              <w:spacing w:before="0" w:beforeAutospacing="0" w:after="0" w:afterAutospacing="0"/>
              <w:divId w:val="125861124"/>
              <w:rPr>
                <w:sz w:val="20"/>
                <w:szCs w:val="20"/>
              </w:rPr>
            </w:pPr>
            <w:r>
              <w:rPr>
                <w:sz w:val="2"/>
                <w:szCs w:val="2"/>
              </w:rPr>
              <w:t>​</w:t>
            </w:r>
          </w:p>
        </w:tc>
        <w:tc>
          <w:tcPr>
            <w:tcW w:w="39" w:type="pct"/>
            <w:noWrap/>
            <w:tcMar>
              <w:top w:w="0" w:type="dxa"/>
              <w:left w:w="0" w:type="dxa"/>
              <w:bottom w:w="0" w:type="dxa"/>
              <w:right w:w="0" w:type="dxa"/>
            </w:tcMar>
            <w:vAlign w:val="bottom"/>
            <w:hideMark/>
          </w:tcPr>
          <w:p w14:paraId="2BF9FEB4" w14:textId="77777777" w:rsidR="00000000" w:rsidRDefault="001F1B20">
            <w:pPr>
              <w:pStyle w:val="a3"/>
              <w:spacing w:before="0" w:beforeAutospacing="0" w:after="0" w:afterAutospacing="0"/>
              <w:divId w:val="1225484820"/>
              <w:rPr>
                <w:sz w:val="20"/>
                <w:szCs w:val="20"/>
              </w:rPr>
            </w:pPr>
            <w:r>
              <w:rPr>
                <w:sz w:val="2"/>
                <w:szCs w:val="2"/>
              </w:rPr>
              <w:t>​</w:t>
            </w:r>
          </w:p>
        </w:tc>
        <w:tc>
          <w:tcPr>
            <w:tcW w:w="240" w:type="pct"/>
            <w:noWrap/>
            <w:tcMar>
              <w:top w:w="0" w:type="dxa"/>
              <w:left w:w="0" w:type="dxa"/>
              <w:bottom w:w="0" w:type="dxa"/>
              <w:right w:w="0" w:type="dxa"/>
            </w:tcMar>
            <w:vAlign w:val="bottom"/>
            <w:hideMark/>
          </w:tcPr>
          <w:p w14:paraId="30ACFBA2" w14:textId="77777777" w:rsidR="00000000" w:rsidRDefault="001F1B20">
            <w:pPr>
              <w:pStyle w:val="a3"/>
              <w:spacing w:before="0" w:beforeAutospacing="0" w:after="0" w:afterAutospacing="0"/>
              <w:divId w:val="2045251644"/>
              <w:rPr>
                <w:sz w:val="20"/>
                <w:szCs w:val="20"/>
              </w:rPr>
            </w:pPr>
            <w:r>
              <w:rPr>
                <w:sz w:val="2"/>
                <w:szCs w:val="2"/>
              </w:rPr>
              <w:t>​</w:t>
            </w:r>
          </w:p>
        </w:tc>
        <w:tc>
          <w:tcPr>
            <w:tcW w:w="132" w:type="pct"/>
            <w:noWrap/>
            <w:tcMar>
              <w:top w:w="0" w:type="dxa"/>
              <w:left w:w="0" w:type="dxa"/>
              <w:bottom w:w="0" w:type="dxa"/>
              <w:right w:w="0" w:type="dxa"/>
            </w:tcMar>
            <w:vAlign w:val="bottom"/>
            <w:hideMark/>
          </w:tcPr>
          <w:p w14:paraId="773E5130" w14:textId="77777777" w:rsidR="00000000" w:rsidRDefault="001F1B20">
            <w:pPr>
              <w:pStyle w:val="a3"/>
              <w:spacing w:before="0" w:beforeAutospacing="0" w:after="0" w:afterAutospacing="0"/>
              <w:divId w:val="1836340378"/>
              <w:rPr>
                <w:sz w:val="20"/>
                <w:szCs w:val="20"/>
              </w:rPr>
            </w:pPr>
            <w:r>
              <w:rPr>
                <w:sz w:val="2"/>
                <w:szCs w:val="2"/>
              </w:rPr>
              <w:t>​</w:t>
            </w:r>
          </w:p>
        </w:tc>
      </w:tr>
      <w:tr w:rsidR="00000000" w14:paraId="0580EBD1" w14:textId="77777777">
        <w:trPr>
          <w:divId w:val="1199971243"/>
        </w:trPr>
        <w:tc>
          <w:tcPr>
            <w:tcW w:w="2156" w:type="pct"/>
            <w:tcMar>
              <w:top w:w="0" w:type="dxa"/>
              <w:left w:w="0" w:type="dxa"/>
              <w:bottom w:w="0" w:type="dxa"/>
              <w:right w:w="0" w:type="dxa"/>
            </w:tcMar>
            <w:vAlign w:val="bottom"/>
            <w:hideMark/>
          </w:tcPr>
          <w:p w14:paraId="7E2611CE"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158615DB" w14:textId="77777777" w:rsidR="00000000" w:rsidRDefault="001F1B20">
            <w:pPr>
              <w:pStyle w:val="a3"/>
              <w:spacing w:before="0" w:beforeAutospacing="0" w:after="0" w:afterAutospacing="0"/>
              <w:rPr>
                <w:sz w:val="20"/>
                <w:szCs w:val="20"/>
              </w:rPr>
            </w:pPr>
            <w:r>
              <w:rPr>
                <w:b/>
                <w:bCs/>
                <w:sz w:val="16"/>
                <w:szCs w:val="16"/>
              </w:rPr>
              <w:t>​</w:t>
            </w:r>
          </w:p>
        </w:tc>
        <w:tc>
          <w:tcPr>
            <w:tcW w:w="723" w:type="pct"/>
            <w:gridSpan w:val="5"/>
            <w:noWrap/>
            <w:tcMar>
              <w:top w:w="0" w:type="dxa"/>
              <w:left w:w="0" w:type="dxa"/>
              <w:bottom w:w="0" w:type="dxa"/>
              <w:right w:w="0" w:type="dxa"/>
            </w:tcMar>
            <w:vAlign w:val="bottom"/>
            <w:hideMark/>
          </w:tcPr>
          <w:p w14:paraId="54013C83" w14:textId="77777777" w:rsidR="00000000" w:rsidRDefault="001F1B20">
            <w:pPr>
              <w:pStyle w:val="a3"/>
              <w:spacing w:before="0" w:beforeAutospacing="0" w:after="0" w:afterAutospacing="0"/>
              <w:jc w:val="center"/>
              <w:rPr>
                <w:sz w:val="16"/>
                <w:szCs w:val="16"/>
              </w:rPr>
            </w:pPr>
            <w:r>
              <w:rPr>
                <w:b/>
                <w:bCs/>
                <w:sz w:val="16"/>
                <w:szCs w:val="16"/>
              </w:rPr>
              <w:t xml:space="preserve">Three Months Ended </w:t>
            </w:r>
          </w:p>
        </w:tc>
        <w:tc>
          <w:tcPr>
            <w:tcW w:w="39" w:type="pct"/>
            <w:noWrap/>
            <w:tcMar>
              <w:top w:w="0" w:type="dxa"/>
              <w:left w:w="0" w:type="dxa"/>
              <w:bottom w:w="0" w:type="dxa"/>
              <w:right w:w="0" w:type="dxa"/>
            </w:tcMar>
            <w:vAlign w:val="bottom"/>
            <w:hideMark/>
          </w:tcPr>
          <w:p w14:paraId="4E7B5225" w14:textId="77777777" w:rsidR="00000000" w:rsidRDefault="001F1B20">
            <w:pPr>
              <w:pStyle w:val="a3"/>
              <w:spacing w:before="0" w:beforeAutospacing="0" w:after="0" w:afterAutospacing="0"/>
              <w:rPr>
                <w:sz w:val="20"/>
                <w:szCs w:val="20"/>
              </w:rPr>
            </w:pPr>
            <w:r>
              <w:rPr>
                <w:b/>
                <w:bCs/>
                <w:sz w:val="16"/>
                <w:szCs w:val="16"/>
              </w:rPr>
              <w:t>​</w:t>
            </w:r>
          </w:p>
        </w:tc>
        <w:tc>
          <w:tcPr>
            <w:tcW w:w="532" w:type="pct"/>
            <w:gridSpan w:val="4"/>
            <w:noWrap/>
            <w:tcMar>
              <w:top w:w="0" w:type="dxa"/>
              <w:left w:w="0" w:type="dxa"/>
              <w:bottom w:w="0" w:type="dxa"/>
              <w:right w:w="0" w:type="dxa"/>
            </w:tcMar>
            <w:vAlign w:val="bottom"/>
            <w:hideMark/>
          </w:tcPr>
          <w:p w14:paraId="6C0B2623" w14:textId="77777777" w:rsidR="00000000" w:rsidRDefault="001F1B2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14:paraId="02C2FE9C"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0DAE5DBF" w14:textId="77777777" w:rsidR="00000000" w:rsidRDefault="001F1B20">
            <w:pPr>
              <w:pStyle w:val="a3"/>
              <w:spacing w:before="0" w:beforeAutospacing="0" w:after="0" w:afterAutospacing="0"/>
              <w:jc w:val="center"/>
              <w:rPr>
                <w:sz w:val="20"/>
                <w:szCs w:val="20"/>
              </w:rPr>
            </w:pPr>
            <w:r>
              <w:rPr>
                <w:b/>
                <w:bCs/>
                <w:sz w:val="16"/>
                <w:szCs w:val="16"/>
              </w:rPr>
              <w:t>​</w:t>
            </w:r>
          </w:p>
        </w:tc>
        <w:tc>
          <w:tcPr>
            <w:tcW w:w="680" w:type="pct"/>
            <w:gridSpan w:val="5"/>
            <w:noWrap/>
            <w:tcMar>
              <w:top w:w="0" w:type="dxa"/>
              <w:left w:w="0" w:type="dxa"/>
              <w:bottom w:w="0" w:type="dxa"/>
              <w:right w:w="0" w:type="dxa"/>
            </w:tcMar>
            <w:vAlign w:val="bottom"/>
            <w:hideMark/>
          </w:tcPr>
          <w:p w14:paraId="754F2F45"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c>
          <w:tcPr>
            <w:tcW w:w="39" w:type="pct"/>
            <w:noWrap/>
            <w:tcMar>
              <w:top w:w="0" w:type="dxa"/>
              <w:left w:w="0" w:type="dxa"/>
              <w:bottom w:w="0" w:type="dxa"/>
              <w:right w:w="0" w:type="dxa"/>
            </w:tcMar>
            <w:vAlign w:val="bottom"/>
            <w:hideMark/>
          </w:tcPr>
          <w:p w14:paraId="79D55476" w14:textId="77777777" w:rsidR="00000000" w:rsidRDefault="001F1B20">
            <w:pPr>
              <w:pStyle w:val="a3"/>
              <w:spacing w:before="0" w:beforeAutospacing="0" w:after="0" w:afterAutospacing="0"/>
              <w:jc w:val="center"/>
              <w:rPr>
                <w:sz w:val="20"/>
                <w:szCs w:val="20"/>
              </w:rPr>
            </w:pPr>
            <w:r>
              <w:rPr>
                <w:b/>
                <w:bCs/>
                <w:sz w:val="16"/>
                <w:szCs w:val="16"/>
              </w:rPr>
              <w:t>​</w:t>
            </w:r>
          </w:p>
        </w:tc>
        <w:tc>
          <w:tcPr>
            <w:tcW w:w="532" w:type="pct"/>
            <w:gridSpan w:val="4"/>
            <w:noWrap/>
            <w:tcMar>
              <w:top w:w="0" w:type="dxa"/>
              <w:left w:w="0" w:type="dxa"/>
              <w:bottom w:w="0" w:type="dxa"/>
              <w:right w:w="0" w:type="dxa"/>
            </w:tcMar>
            <w:vAlign w:val="bottom"/>
            <w:hideMark/>
          </w:tcPr>
          <w:p w14:paraId="08163060" w14:textId="77777777" w:rsidR="00000000" w:rsidRDefault="001F1B20">
            <w:pPr>
              <w:pStyle w:val="a3"/>
              <w:spacing w:before="0" w:beforeAutospacing="0" w:after="0" w:afterAutospacing="0"/>
              <w:jc w:val="center"/>
              <w:rPr>
                <w:sz w:val="20"/>
                <w:szCs w:val="20"/>
              </w:rPr>
            </w:pPr>
            <w:r>
              <w:rPr>
                <w:b/>
                <w:bCs/>
                <w:sz w:val="16"/>
                <w:szCs w:val="16"/>
              </w:rPr>
              <w:t>​</w:t>
            </w:r>
          </w:p>
        </w:tc>
        <w:tc>
          <w:tcPr>
            <w:tcW w:w="132" w:type="pct"/>
            <w:noWrap/>
            <w:tcMar>
              <w:top w:w="0" w:type="dxa"/>
              <w:left w:w="0" w:type="dxa"/>
              <w:bottom w:w="0" w:type="dxa"/>
              <w:right w:w="0" w:type="dxa"/>
            </w:tcMar>
            <w:vAlign w:val="bottom"/>
            <w:hideMark/>
          </w:tcPr>
          <w:p w14:paraId="564A8FF1" w14:textId="77777777" w:rsidR="00000000" w:rsidRDefault="001F1B20">
            <w:pPr>
              <w:pStyle w:val="a3"/>
              <w:spacing w:before="0" w:beforeAutospacing="0" w:after="0" w:afterAutospacing="0"/>
              <w:rPr>
                <w:sz w:val="20"/>
                <w:szCs w:val="20"/>
              </w:rPr>
            </w:pPr>
            <w:r>
              <w:rPr>
                <w:b/>
                <w:bCs/>
                <w:sz w:val="16"/>
                <w:szCs w:val="16"/>
              </w:rPr>
              <w:t>​</w:t>
            </w:r>
          </w:p>
        </w:tc>
      </w:tr>
      <w:tr w:rsidR="00000000" w14:paraId="36BACBF2" w14:textId="77777777">
        <w:trPr>
          <w:divId w:val="1199971243"/>
        </w:trPr>
        <w:tc>
          <w:tcPr>
            <w:tcW w:w="2156" w:type="pct"/>
            <w:tcMar>
              <w:top w:w="0" w:type="dxa"/>
              <w:left w:w="0" w:type="dxa"/>
              <w:bottom w:w="0" w:type="dxa"/>
              <w:right w:w="0" w:type="dxa"/>
            </w:tcMar>
            <w:vAlign w:val="bottom"/>
            <w:hideMark/>
          </w:tcPr>
          <w:p w14:paraId="3DE36D8B"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58EE4550" w14:textId="77777777" w:rsidR="00000000" w:rsidRDefault="001F1B20">
            <w:pPr>
              <w:pStyle w:val="a3"/>
              <w:spacing w:before="0" w:beforeAutospacing="0" w:after="0" w:afterAutospacing="0"/>
              <w:rPr>
                <w:sz w:val="20"/>
                <w:szCs w:val="20"/>
              </w:rPr>
            </w:pPr>
            <w:r>
              <w:rPr>
                <w:b/>
                <w:bCs/>
                <w:sz w:val="16"/>
                <w:szCs w:val="16"/>
              </w:rPr>
              <w:t>​</w:t>
            </w:r>
          </w:p>
        </w:tc>
        <w:tc>
          <w:tcPr>
            <w:tcW w:w="723" w:type="pct"/>
            <w:gridSpan w:val="5"/>
            <w:tcBorders>
              <w:bottom w:val="single" w:sz="6" w:space="0" w:color="000000"/>
            </w:tcBorders>
            <w:noWrap/>
            <w:tcMar>
              <w:top w:w="0" w:type="dxa"/>
              <w:left w:w="0" w:type="dxa"/>
              <w:bottom w:w="0" w:type="dxa"/>
              <w:right w:w="0" w:type="dxa"/>
            </w:tcMar>
            <w:vAlign w:val="bottom"/>
            <w:hideMark/>
          </w:tcPr>
          <w:p w14:paraId="47E5E368"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5951E259" w14:textId="77777777" w:rsidR="00000000" w:rsidRDefault="001F1B20">
            <w:pPr>
              <w:pStyle w:val="a3"/>
              <w:spacing w:before="0" w:beforeAutospacing="0" w:after="0" w:afterAutospacing="0"/>
              <w:rPr>
                <w:sz w:val="20"/>
                <w:szCs w:val="20"/>
              </w:rPr>
            </w:pPr>
            <w:r>
              <w:rPr>
                <w:b/>
                <w:bCs/>
                <w:sz w:val="16"/>
                <w:szCs w:val="16"/>
              </w:rPr>
              <w:t>​</w:t>
            </w:r>
          </w:p>
        </w:tc>
        <w:tc>
          <w:tcPr>
            <w:tcW w:w="532" w:type="pct"/>
            <w:gridSpan w:val="4"/>
            <w:tcBorders>
              <w:bottom w:val="single" w:sz="6" w:space="0" w:color="000000"/>
            </w:tcBorders>
            <w:noWrap/>
            <w:tcMar>
              <w:top w:w="0" w:type="dxa"/>
              <w:left w:w="0" w:type="dxa"/>
              <w:bottom w:w="0" w:type="dxa"/>
              <w:right w:w="0" w:type="dxa"/>
            </w:tcMar>
            <w:vAlign w:val="bottom"/>
            <w:hideMark/>
          </w:tcPr>
          <w:p w14:paraId="35655ACE" w14:textId="77777777" w:rsidR="00000000" w:rsidRDefault="001F1B20">
            <w:pPr>
              <w:pStyle w:val="a3"/>
              <w:spacing w:before="0" w:beforeAutospacing="0" w:after="0" w:afterAutospacing="0"/>
              <w:jc w:val="center"/>
              <w:rPr>
                <w:sz w:val="16"/>
                <w:szCs w:val="16"/>
              </w:rPr>
            </w:pPr>
            <w:r>
              <w:rPr>
                <w:b/>
                <w:bCs/>
                <w:sz w:val="16"/>
                <w:szCs w:val="16"/>
              </w:rPr>
              <w:t>Change</w:t>
            </w:r>
          </w:p>
        </w:tc>
        <w:tc>
          <w:tcPr>
            <w:tcW w:w="82" w:type="pct"/>
            <w:noWrap/>
            <w:tcMar>
              <w:top w:w="0" w:type="dxa"/>
              <w:left w:w="0" w:type="dxa"/>
              <w:bottom w:w="0" w:type="dxa"/>
              <w:right w:w="0" w:type="dxa"/>
            </w:tcMar>
            <w:vAlign w:val="bottom"/>
            <w:hideMark/>
          </w:tcPr>
          <w:p w14:paraId="0C596EF3" w14:textId="77777777" w:rsidR="00000000" w:rsidRDefault="001F1B20">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14:paraId="5E021925" w14:textId="77777777" w:rsidR="00000000" w:rsidRDefault="001F1B20">
            <w:pPr>
              <w:pStyle w:val="a3"/>
              <w:spacing w:before="0" w:beforeAutospacing="0" w:after="0" w:afterAutospacing="0"/>
              <w:jc w:val="center"/>
              <w:rPr>
                <w:sz w:val="20"/>
                <w:szCs w:val="20"/>
              </w:rPr>
            </w:pPr>
            <w:r>
              <w:rPr>
                <w:b/>
                <w:bCs/>
                <w:sz w:val="16"/>
                <w:szCs w:val="16"/>
              </w:rPr>
              <w:t>​</w:t>
            </w:r>
          </w:p>
        </w:tc>
        <w:tc>
          <w:tcPr>
            <w:tcW w:w="680" w:type="pct"/>
            <w:gridSpan w:val="5"/>
            <w:tcBorders>
              <w:bottom w:val="single" w:sz="6" w:space="0" w:color="000000"/>
            </w:tcBorders>
            <w:noWrap/>
            <w:tcMar>
              <w:top w:w="0" w:type="dxa"/>
              <w:left w:w="0" w:type="dxa"/>
              <w:bottom w:w="0" w:type="dxa"/>
              <w:right w:w="0" w:type="dxa"/>
            </w:tcMar>
            <w:vAlign w:val="bottom"/>
            <w:hideMark/>
          </w:tcPr>
          <w:p w14:paraId="118B9B7A"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39" w:type="pct"/>
            <w:noWrap/>
            <w:tcMar>
              <w:top w:w="0" w:type="dxa"/>
              <w:left w:w="0" w:type="dxa"/>
              <w:bottom w:w="0" w:type="dxa"/>
              <w:right w:w="0" w:type="dxa"/>
            </w:tcMar>
            <w:vAlign w:val="bottom"/>
            <w:hideMark/>
          </w:tcPr>
          <w:p w14:paraId="33D8548A" w14:textId="77777777" w:rsidR="00000000" w:rsidRDefault="001F1B20">
            <w:pPr>
              <w:pStyle w:val="a3"/>
              <w:spacing w:before="0" w:beforeAutospacing="0" w:after="0" w:afterAutospacing="0"/>
              <w:jc w:val="center"/>
              <w:rPr>
                <w:sz w:val="20"/>
                <w:szCs w:val="20"/>
              </w:rPr>
            </w:pPr>
            <w:r>
              <w:rPr>
                <w:b/>
                <w:bCs/>
                <w:sz w:val="16"/>
                <w:szCs w:val="16"/>
              </w:rPr>
              <w:t>​</w:t>
            </w:r>
          </w:p>
        </w:tc>
        <w:tc>
          <w:tcPr>
            <w:tcW w:w="532" w:type="pct"/>
            <w:gridSpan w:val="4"/>
            <w:tcBorders>
              <w:bottom w:val="single" w:sz="6" w:space="0" w:color="000000"/>
            </w:tcBorders>
            <w:noWrap/>
            <w:tcMar>
              <w:top w:w="0" w:type="dxa"/>
              <w:left w:w="0" w:type="dxa"/>
              <w:bottom w:w="0" w:type="dxa"/>
              <w:right w:w="0" w:type="dxa"/>
            </w:tcMar>
            <w:vAlign w:val="bottom"/>
            <w:hideMark/>
          </w:tcPr>
          <w:p w14:paraId="0D2FF4F9" w14:textId="77777777" w:rsidR="00000000" w:rsidRDefault="001F1B20">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14:paraId="03D5A8D6" w14:textId="77777777" w:rsidR="00000000" w:rsidRDefault="001F1B20">
            <w:pPr>
              <w:pStyle w:val="a3"/>
              <w:spacing w:before="0" w:beforeAutospacing="0" w:after="0" w:afterAutospacing="0"/>
              <w:rPr>
                <w:sz w:val="20"/>
                <w:szCs w:val="20"/>
              </w:rPr>
            </w:pPr>
            <w:r>
              <w:rPr>
                <w:b/>
                <w:bCs/>
                <w:sz w:val="16"/>
                <w:szCs w:val="16"/>
              </w:rPr>
              <w:t>​</w:t>
            </w:r>
          </w:p>
        </w:tc>
      </w:tr>
      <w:tr w:rsidR="00000000" w14:paraId="7397F6B7" w14:textId="77777777">
        <w:trPr>
          <w:divId w:val="1199971243"/>
        </w:trPr>
        <w:tc>
          <w:tcPr>
            <w:tcW w:w="2156" w:type="pct"/>
            <w:tcBorders>
              <w:bottom w:val="single" w:sz="6" w:space="0" w:color="000000"/>
            </w:tcBorders>
            <w:tcMar>
              <w:top w:w="0" w:type="dxa"/>
              <w:left w:w="0" w:type="dxa"/>
              <w:bottom w:w="0" w:type="dxa"/>
              <w:right w:w="0" w:type="dxa"/>
            </w:tcMar>
            <w:vAlign w:val="bottom"/>
            <w:hideMark/>
          </w:tcPr>
          <w:p w14:paraId="372ED137" w14:textId="77777777" w:rsidR="00000000" w:rsidRDefault="001F1B20">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14:paraId="1A1CFDB4" w14:textId="77777777" w:rsidR="00000000" w:rsidRDefault="001F1B20">
            <w:pPr>
              <w:pStyle w:val="a3"/>
              <w:spacing w:before="0" w:beforeAutospacing="0" w:after="0" w:afterAutospacing="0"/>
              <w:rPr>
                <w:sz w:val="16"/>
                <w:szCs w:val="16"/>
              </w:rPr>
            </w:pPr>
            <w:r>
              <w:rPr>
                <w:b/>
                <w:bCs/>
                <w:sz w:val="16"/>
                <w:szCs w:val="16"/>
              </w:rPr>
              <w:t>  </w:t>
            </w:r>
          </w:p>
        </w:tc>
        <w:tc>
          <w:tcPr>
            <w:tcW w:w="335" w:type="pct"/>
            <w:gridSpan w:val="2"/>
            <w:tcBorders>
              <w:bottom w:val="single" w:sz="6" w:space="0" w:color="000000"/>
            </w:tcBorders>
            <w:noWrap/>
            <w:tcMar>
              <w:top w:w="0" w:type="dxa"/>
              <w:left w:w="0" w:type="dxa"/>
              <w:bottom w:w="0" w:type="dxa"/>
              <w:right w:w="0" w:type="dxa"/>
            </w:tcMar>
            <w:vAlign w:val="bottom"/>
            <w:hideMark/>
          </w:tcPr>
          <w:p w14:paraId="653DAA3F" w14:textId="77777777" w:rsidR="00000000" w:rsidRDefault="001F1B20">
            <w:pPr>
              <w:pStyle w:val="a3"/>
              <w:spacing w:before="0" w:beforeAutospacing="0" w:after="0" w:afterAutospacing="0"/>
              <w:jc w:val="center"/>
              <w:rPr>
                <w:sz w:val="16"/>
                <w:szCs w:val="16"/>
              </w:rPr>
            </w:pPr>
            <w:r>
              <w:rPr>
                <w:b/>
                <w:bCs/>
                <w:sz w:val="16"/>
                <w:szCs w:val="16"/>
              </w:rPr>
              <w:t>2021</w:t>
            </w:r>
          </w:p>
        </w:tc>
        <w:tc>
          <w:tcPr>
            <w:tcW w:w="52" w:type="pct"/>
            <w:noWrap/>
            <w:tcMar>
              <w:top w:w="0" w:type="dxa"/>
              <w:left w:w="0" w:type="dxa"/>
              <w:bottom w:w="0" w:type="dxa"/>
              <w:right w:w="0" w:type="dxa"/>
            </w:tcMar>
            <w:vAlign w:val="bottom"/>
            <w:hideMark/>
          </w:tcPr>
          <w:p w14:paraId="09B91426" w14:textId="77777777" w:rsidR="00000000" w:rsidRDefault="001F1B20">
            <w:pPr>
              <w:pStyle w:val="a3"/>
              <w:spacing w:before="0" w:beforeAutospacing="0" w:after="0" w:afterAutospacing="0"/>
              <w:rPr>
                <w:sz w:val="16"/>
                <w:szCs w:val="16"/>
              </w:rPr>
            </w:pPr>
            <w:r>
              <w:rPr>
                <w:b/>
                <w:bCs/>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14:paraId="1C46A071"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5C85D016" w14:textId="77777777" w:rsidR="00000000" w:rsidRDefault="001F1B20">
            <w:pPr>
              <w:pStyle w:val="a3"/>
              <w:spacing w:before="0" w:beforeAutospacing="0" w:after="0" w:afterAutospacing="0"/>
              <w:rPr>
                <w:sz w:val="16"/>
                <w:szCs w:val="16"/>
              </w:rPr>
            </w:pPr>
            <w:r>
              <w:rPr>
                <w:b/>
                <w:bCs/>
                <w:sz w:val="16"/>
                <w:szCs w:val="16"/>
              </w:rPr>
              <w:t>  </w:t>
            </w:r>
          </w:p>
        </w:tc>
        <w:tc>
          <w:tcPr>
            <w:tcW w:w="252" w:type="pct"/>
            <w:gridSpan w:val="2"/>
            <w:tcBorders>
              <w:bottom w:val="single" w:sz="6" w:space="0" w:color="000000"/>
            </w:tcBorders>
            <w:noWrap/>
            <w:tcMar>
              <w:top w:w="0" w:type="dxa"/>
              <w:left w:w="0" w:type="dxa"/>
              <w:bottom w:w="0" w:type="dxa"/>
              <w:right w:w="0" w:type="dxa"/>
            </w:tcMar>
            <w:vAlign w:val="bottom"/>
            <w:hideMark/>
          </w:tcPr>
          <w:p w14:paraId="148CCF4F"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78F9D214" w14:textId="77777777" w:rsidR="00000000" w:rsidRDefault="001F1B20">
            <w:pPr>
              <w:pStyle w:val="a3"/>
              <w:spacing w:before="0" w:beforeAutospacing="0" w:after="0" w:afterAutospacing="0"/>
              <w:rPr>
                <w:sz w:val="16"/>
                <w:szCs w:val="16"/>
              </w:rPr>
            </w:pPr>
            <w:r>
              <w:rPr>
                <w:b/>
                <w:bCs/>
                <w:sz w:val="16"/>
                <w:szCs w:val="16"/>
              </w:rPr>
              <w:t>  </w:t>
            </w:r>
          </w:p>
        </w:tc>
        <w:tc>
          <w:tcPr>
            <w:tcW w:w="240" w:type="pct"/>
            <w:tcBorders>
              <w:bottom w:val="single" w:sz="6" w:space="0" w:color="000000"/>
            </w:tcBorders>
            <w:noWrap/>
            <w:tcMar>
              <w:top w:w="0" w:type="dxa"/>
              <w:left w:w="0" w:type="dxa"/>
              <w:bottom w:w="0" w:type="dxa"/>
              <w:right w:w="0" w:type="dxa"/>
            </w:tcMar>
            <w:vAlign w:val="bottom"/>
            <w:hideMark/>
          </w:tcPr>
          <w:p w14:paraId="22FD34F1" w14:textId="77777777" w:rsidR="00000000" w:rsidRDefault="001F1B20">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14:paraId="66E4B5C6" w14:textId="77777777" w:rsidR="00000000" w:rsidRDefault="001F1B20">
            <w:pPr>
              <w:pStyle w:val="a3"/>
              <w:spacing w:before="0" w:beforeAutospacing="0" w:after="0" w:afterAutospacing="0"/>
              <w:rPr>
                <w:sz w:val="16"/>
                <w:szCs w:val="16"/>
              </w:rPr>
            </w:pPr>
            <w:r>
              <w:rPr>
                <w:b/>
                <w:bCs/>
                <w:sz w:val="16"/>
                <w:szCs w:val="16"/>
              </w:rPr>
              <w:t>    </w:t>
            </w:r>
          </w:p>
        </w:tc>
        <w:tc>
          <w:tcPr>
            <w:tcW w:w="39" w:type="pct"/>
            <w:noWrap/>
            <w:tcMar>
              <w:top w:w="0" w:type="dxa"/>
              <w:left w:w="0" w:type="dxa"/>
              <w:bottom w:w="0" w:type="dxa"/>
              <w:right w:w="0" w:type="dxa"/>
            </w:tcMar>
            <w:vAlign w:val="bottom"/>
            <w:hideMark/>
          </w:tcPr>
          <w:p w14:paraId="6F1E5DEB" w14:textId="77777777" w:rsidR="00000000" w:rsidRDefault="001F1B20">
            <w:pPr>
              <w:pStyle w:val="a3"/>
              <w:spacing w:before="0" w:beforeAutospacing="0" w:after="0" w:afterAutospacing="0"/>
              <w:jc w:val="center"/>
              <w:rPr>
                <w:sz w:val="16"/>
                <w:szCs w:val="16"/>
              </w:rPr>
            </w:pPr>
            <w:r>
              <w:rPr>
                <w:b/>
                <w:bCs/>
                <w:sz w:val="16"/>
                <w:szCs w:val="16"/>
              </w:rPr>
              <w:t>  </w:t>
            </w:r>
          </w:p>
        </w:tc>
        <w:tc>
          <w:tcPr>
            <w:tcW w:w="315" w:type="pct"/>
            <w:gridSpan w:val="2"/>
            <w:tcBorders>
              <w:bottom w:val="single" w:sz="6" w:space="0" w:color="000000"/>
            </w:tcBorders>
            <w:noWrap/>
            <w:tcMar>
              <w:top w:w="0" w:type="dxa"/>
              <w:left w:w="0" w:type="dxa"/>
              <w:bottom w:w="0" w:type="dxa"/>
              <w:right w:w="0" w:type="dxa"/>
            </w:tcMar>
            <w:vAlign w:val="bottom"/>
            <w:hideMark/>
          </w:tcPr>
          <w:p w14:paraId="7B05FD46" w14:textId="77777777" w:rsidR="00000000" w:rsidRDefault="001F1B20">
            <w:pPr>
              <w:pStyle w:val="a3"/>
              <w:spacing w:before="0" w:beforeAutospacing="0" w:after="0" w:afterAutospacing="0"/>
              <w:jc w:val="center"/>
              <w:rPr>
                <w:sz w:val="16"/>
                <w:szCs w:val="16"/>
              </w:rPr>
            </w:pPr>
            <w:r>
              <w:rPr>
                <w:b/>
                <w:bCs/>
                <w:sz w:val="16"/>
                <w:szCs w:val="16"/>
              </w:rPr>
              <w:t>2021</w:t>
            </w:r>
          </w:p>
        </w:tc>
        <w:tc>
          <w:tcPr>
            <w:tcW w:w="49" w:type="pct"/>
            <w:noWrap/>
            <w:tcMar>
              <w:top w:w="0" w:type="dxa"/>
              <w:left w:w="0" w:type="dxa"/>
              <w:bottom w:w="0" w:type="dxa"/>
              <w:right w:w="0" w:type="dxa"/>
            </w:tcMar>
            <w:vAlign w:val="bottom"/>
            <w:hideMark/>
          </w:tcPr>
          <w:p w14:paraId="2FD25ED7" w14:textId="77777777" w:rsidR="00000000" w:rsidRDefault="001F1B20">
            <w:pPr>
              <w:pStyle w:val="a3"/>
              <w:spacing w:before="0" w:beforeAutospacing="0" w:after="0" w:afterAutospacing="0"/>
              <w:rPr>
                <w:sz w:val="16"/>
                <w:szCs w:val="16"/>
              </w:rPr>
            </w:pPr>
            <w:r>
              <w:rPr>
                <w:b/>
                <w:bCs/>
                <w:sz w:val="16"/>
                <w:szCs w:val="16"/>
              </w:rPr>
              <w:t>  </w:t>
            </w:r>
          </w:p>
        </w:tc>
        <w:tc>
          <w:tcPr>
            <w:tcW w:w="314" w:type="pct"/>
            <w:gridSpan w:val="2"/>
            <w:tcBorders>
              <w:bottom w:val="single" w:sz="6" w:space="0" w:color="000000"/>
            </w:tcBorders>
            <w:noWrap/>
            <w:tcMar>
              <w:top w:w="0" w:type="dxa"/>
              <w:left w:w="0" w:type="dxa"/>
              <w:bottom w:w="0" w:type="dxa"/>
              <w:right w:w="0" w:type="dxa"/>
            </w:tcMar>
            <w:vAlign w:val="bottom"/>
            <w:hideMark/>
          </w:tcPr>
          <w:p w14:paraId="348D340D" w14:textId="77777777" w:rsidR="00000000" w:rsidRDefault="001F1B20">
            <w:pPr>
              <w:pStyle w:val="a3"/>
              <w:spacing w:before="0" w:beforeAutospacing="0" w:after="0" w:afterAutospacing="0"/>
              <w:jc w:val="center"/>
              <w:rPr>
                <w:sz w:val="16"/>
                <w:szCs w:val="16"/>
              </w:rPr>
            </w:pPr>
            <w:r>
              <w:rPr>
                <w:b/>
                <w:bCs/>
                <w:sz w:val="16"/>
                <w:szCs w:val="16"/>
              </w:rPr>
              <w:t>2020</w:t>
            </w:r>
          </w:p>
        </w:tc>
        <w:tc>
          <w:tcPr>
            <w:tcW w:w="39" w:type="pct"/>
            <w:noWrap/>
            <w:tcMar>
              <w:top w:w="0" w:type="dxa"/>
              <w:left w:w="0" w:type="dxa"/>
              <w:bottom w:w="0" w:type="dxa"/>
              <w:right w:w="0" w:type="dxa"/>
            </w:tcMar>
            <w:vAlign w:val="bottom"/>
            <w:hideMark/>
          </w:tcPr>
          <w:p w14:paraId="28129750" w14:textId="77777777" w:rsidR="00000000" w:rsidRDefault="001F1B20">
            <w:pPr>
              <w:pStyle w:val="a3"/>
              <w:spacing w:before="0" w:beforeAutospacing="0" w:after="0" w:afterAutospacing="0"/>
              <w:jc w:val="center"/>
              <w:rPr>
                <w:sz w:val="16"/>
                <w:szCs w:val="16"/>
              </w:rPr>
            </w:pPr>
            <w:r>
              <w:rPr>
                <w:b/>
                <w:bCs/>
                <w:sz w:val="16"/>
                <w:szCs w:val="16"/>
              </w:rPr>
              <w:t>  </w:t>
            </w:r>
          </w:p>
        </w:tc>
        <w:tc>
          <w:tcPr>
            <w:tcW w:w="252" w:type="pct"/>
            <w:gridSpan w:val="2"/>
            <w:tcBorders>
              <w:bottom w:val="single" w:sz="6" w:space="0" w:color="000000"/>
            </w:tcBorders>
            <w:noWrap/>
            <w:tcMar>
              <w:top w:w="0" w:type="dxa"/>
              <w:left w:w="0" w:type="dxa"/>
              <w:bottom w:w="0" w:type="dxa"/>
              <w:right w:w="0" w:type="dxa"/>
            </w:tcMar>
            <w:vAlign w:val="bottom"/>
            <w:hideMark/>
          </w:tcPr>
          <w:p w14:paraId="6C43A191" w14:textId="77777777" w:rsidR="00000000" w:rsidRDefault="001F1B20">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14:paraId="799A18C8" w14:textId="77777777" w:rsidR="00000000" w:rsidRDefault="001F1B20">
            <w:pPr>
              <w:pStyle w:val="a3"/>
              <w:spacing w:before="0" w:beforeAutospacing="0" w:after="0" w:afterAutospacing="0"/>
              <w:jc w:val="center"/>
              <w:rPr>
                <w:sz w:val="16"/>
                <w:szCs w:val="16"/>
              </w:rPr>
            </w:pPr>
            <w:r>
              <w:rPr>
                <w:sz w:val="16"/>
                <w:szCs w:val="16"/>
              </w:rPr>
              <w:t>  </w:t>
            </w:r>
          </w:p>
        </w:tc>
        <w:tc>
          <w:tcPr>
            <w:tcW w:w="240" w:type="pct"/>
            <w:tcBorders>
              <w:bottom w:val="single" w:sz="6" w:space="0" w:color="000000"/>
            </w:tcBorders>
            <w:noWrap/>
            <w:tcMar>
              <w:top w:w="0" w:type="dxa"/>
              <w:left w:w="0" w:type="dxa"/>
              <w:bottom w:w="0" w:type="dxa"/>
              <w:right w:w="0" w:type="dxa"/>
            </w:tcMar>
            <w:vAlign w:val="bottom"/>
            <w:hideMark/>
          </w:tcPr>
          <w:p w14:paraId="27B59A15" w14:textId="77777777" w:rsidR="00000000" w:rsidRDefault="001F1B20">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14:paraId="7CE4E0FB" w14:textId="77777777" w:rsidR="00000000" w:rsidRDefault="001F1B20">
            <w:pPr>
              <w:pStyle w:val="a3"/>
              <w:spacing w:before="0" w:beforeAutospacing="0" w:after="0" w:afterAutospacing="0"/>
              <w:rPr>
                <w:sz w:val="16"/>
                <w:szCs w:val="16"/>
              </w:rPr>
            </w:pPr>
            <w:r>
              <w:rPr>
                <w:b/>
                <w:bCs/>
                <w:sz w:val="16"/>
                <w:szCs w:val="16"/>
              </w:rPr>
              <w:t>    </w:t>
            </w:r>
          </w:p>
        </w:tc>
      </w:tr>
      <w:tr w:rsidR="00000000" w14:paraId="5FC1C3C8" w14:textId="77777777">
        <w:trPr>
          <w:divId w:val="1199971243"/>
        </w:trPr>
        <w:tc>
          <w:tcPr>
            <w:tcW w:w="2156" w:type="pct"/>
            <w:shd w:val="clear" w:color="auto" w:fill="CCEEFF"/>
            <w:tcMar>
              <w:top w:w="0" w:type="dxa"/>
              <w:left w:w="0" w:type="dxa"/>
              <w:bottom w:w="0" w:type="dxa"/>
              <w:right w:w="0" w:type="dxa"/>
            </w:tcMar>
            <w:vAlign w:val="bottom"/>
            <w:hideMark/>
          </w:tcPr>
          <w:p w14:paraId="27E0BC4C" w14:textId="77777777" w:rsidR="00000000" w:rsidRDefault="001F1B20">
            <w:pPr>
              <w:pStyle w:val="a3"/>
              <w:spacing w:before="0" w:beforeAutospacing="0" w:after="0" w:afterAutospacing="0"/>
              <w:rPr>
                <w:sz w:val="20"/>
                <w:szCs w:val="20"/>
              </w:rPr>
            </w:pPr>
            <w:r>
              <w:rPr>
                <w:sz w:val="20"/>
                <w:szCs w:val="20"/>
              </w:rPr>
              <w:t>Provision for income tax benefit (expense)</w:t>
            </w:r>
          </w:p>
        </w:tc>
        <w:tc>
          <w:tcPr>
            <w:tcW w:w="39" w:type="pct"/>
            <w:shd w:val="clear" w:color="auto" w:fill="CCEEFF"/>
            <w:noWrap/>
            <w:tcMar>
              <w:top w:w="0" w:type="dxa"/>
              <w:left w:w="0" w:type="dxa"/>
              <w:bottom w:w="0" w:type="dxa"/>
              <w:right w:w="0" w:type="dxa"/>
            </w:tcMar>
            <w:vAlign w:val="bottom"/>
            <w:hideMark/>
          </w:tcPr>
          <w:p w14:paraId="73A48626" w14:textId="77777777" w:rsidR="00000000" w:rsidRDefault="001F1B2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14:paraId="09BB5825" w14:textId="77777777" w:rsidR="00000000" w:rsidRDefault="001F1B20">
            <w:pPr>
              <w:pStyle w:val="a3"/>
              <w:spacing w:before="0" w:beforeAutospacing="0" w:after="0" w:afterAutospacing="0"/>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14:paraId="73312C20" w14:textId="77777777" w:rsidR="00000000" w:rsidRDefault="001F1B20">
            <w:pPr>
              <w:pStyle w:val="a3"/>
              <w:spacing w:before="0" w:beforeAutospacing="0" w:after="0" w:afterAutospacing="0"/>
              <w:ind w:right="60"/>
              <w:jc w:val="right"/>
              <w:rPr>
                <w:sz w:val="20"/>
                <w:szCs w:val="20"/>
              </w:rPr>
            </w:pPr>
            <w:r>
              <w:rPr>
                <w:sz w:val="20"/>
                <w:szCs w:val="20"/>
              </w:rPr>
              <w:t>7</w:t>
            </w:r>
          </w:p>
        </w:tc>
        <w:tc>
          <w:tcPr>
            <w:tcW w:w="52" w:type="pct"/>
            <w:shd w:val="clear" w:color="auto" w:fill="CCEEFF"/>
            <w:noWrap/>
            <w:tcMar>
              <w:top w:w="0" w:type="dxa"/>
              <w:left w:w="0" w:type="dxa"/>
              <w:bottom w:w="0" w:type="dxa"/>
              <w:right w:w="0" w:type="dxa"/>
            </w:tcMar>
            <w:vAlign w:val="bottom"/>
            <w:hideMark/>
          </w:tcPr>
          <w:p w14:paraId="4076B9AB" w14:textId="77777777" w:rsidR="00000000" w:rsidRDefault="001F1B2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14:paraId="25BD9A48" w14:textId="77777777" w:rsidR="00000000" w:rsidRDefault="001F1B20">
            <w:pPr>
              <w:pStyle w:val="a3"/>
              <w:spacing w:before="0" w:beforeAutospacing="0" w:after="0" w:afterAutospacing="0"/>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14:paraId="75D488BB" w14:textId="77777777" w:rsidR="00000000" w:rsidRDefault="001F1B20">
            <w:pPr>
              <w:pStyle w:val="a3"/>
              <w:spacing w:before="0" w:beforeAutospacing="0" w:after="0" w:afterAutospacing="0"/>
              <w:jc w:val="right"/>
              <w:rPr>
                <w:sz w:val="20"/>
                <w:szCs w:val="20"/>
              </w:rPr>
            </w:pPr>
            <w:r>
              <w:rPr>
                <w:sz w:val="20"/>
                <w:szCs w:val="20"/>
              </w:rPr>
              <w:t>(93</w:t>
            </w:r>
            <w:r>
              <w:rPr>
                <w:sz w:val="20"/>
                <w:szCs w:val="20"/>
              </w:rPr>
              <w:t>)</w:t>
            </w:r>
          </w:p>
        </w:tc>
        <w:tc>
          <w:tcPr>
            <w:tcW w:w="39" w:type="pct"/>
            <w:shd w:val="clear" w:color="auto" w:fill="CCEEFF"/>
            <w:noWrap/>
            <w:tcMar>
              <w:top w:w="0" w:type="dxa"/>
              <w:left w:w="0" w:type="dxa"/>
              <w:bottom w:w="0" w:type="dxa"/>
              <w:right w:w="0" w:type="dxa"/>
            </w:tcMar>
            <w:vAlign w:val="bottom"/>
            <w:hideMark/>
          </w:tcPr>
          <w:p w14:paraId="758E6032"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20D5E83" w14:textId="77777777" w:rsidR="00000000" w:rsidRDefault="001F1B20">
            <w:pPr>
              <w:pStyle w:val="a3"/>
              <w:spacing w:before="0" w:beforeAutospacing="0" w:after="0" w:afterAutospacing="0"/>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14:paraId="05EFCDA4" w14:textId="77777777" w:rsidR="00000000" w:rsidRDefault="001F1B20">
            <w:pPr>
              <w:pStyle w:val="a3"/>
              <w:spacing w:before="0" w:beforeAutospacing="0" w:after="0" w:afterAutospacing="0"/>
              <w:ind w:right="60"/>
              <w:jc w:val="right"/>
              <w:rPr>
                <w:sz w:val="20"/>
                <w:szCs w:val="20"/>
              </w:rPr>
            </w:pPr>
            <w:r>
              <w:rPr>
                <w:sz w:val="20"/>
                <w:szCs w:val="20"/>
              </w:rPr>
              <w:t>10</w:t>
            </w:r>
            <w:r>
              <w:rPr>
                <w:sz w:val="20"/>
                <w:szCs w:val="20"/>
              </w:rPr>
              <w:t>0</w:t>
            </w:r>
          </w:p>
        </w:tc>
        <w:tc>
          <w:tcPr>
            <w:tcW w:w="39" w:type="pct"/>
            <w:shd w:val="clear" w:color="auto" w:fill="CCEEFF"/>
            <w:noWrap/>
            <w:tcMar>
              <w:top w:w="0" w:type="dxa"/>
              <w:left w:w="0" w:type="dxa"/>
              <w:bottom w:w="0" w:type="dxa"/>
              <w:right w:w="0" w:type="dxa"/>
            </w:tcMar>
            <w:vAlign w:val="bottom"/>
            <w:hideMark/>
          </w:tcPr>
          <w:p w14:paraId="5BB0BE67" w14:textId="77777777" w:rsidR="00000000" w:rsidRDefault="001F1B20">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14:paraId="26856D9B" w14:textId="77777777" w:rsidR="00000000" w:rsidRDefault="001F1B20">
            <w:pPr>
              <w:pStyle w:val="a3"/>
              <w:spacing w:before="0" w:beforeAutospacing="0" w:after="0" w:afterAutospacing="0"/>
              <w:jc w:val="right"/>
              <w:rPr>
                <w:sz w:val="20"/>
                <w:szCs w:val="20"/>
              </w:rPr>
            </w:pPr>
            <w:r>
              <w:rPr>
                <w:sz w:val="20"/>
                <w:szCs w:val="20"/>
              </w:rPr>
              <w:t>(108</w:t>
            </w:r>
            <w:r>
              <w:rPr>
                <w:sz w:val="20"/>
                <w:szCs w:val="20"/>
              </w:rPr>
              <w:t>)</w:t>
            </w:r>
          </w:p>
        </w:tc>
        <w:tc>
          <w:tcPr>
            <w:tcW w:w="82" w:type="pct"/>
            <w:shd w:val="clear" w:color="auto" w:fill="CCEEFF"/>
            <w:noWrap/>
            <w:tcMar>
              <w:top w:w="0" w:type="dxa"/>
              <w:left w:w="0" w:type="dxa"/>
              <w:bottom w:w="0" w:type="dxa"/>
              <w:right w:w="0" w:type="dxa"/>
            </w:tcMar>
            <w:vAlign w:val="bottom"/>
            <w:hideMark/>
          </w:tcPr>
          <w:p w14:paraId="67CA9445" w14:textId="77777777" w:rsidR="00000000" w:rsidRDefault="001F1B20">
            <w:pPr>
              <w:pStyle w:val="a3"/>
              <w:spacing w:before="0" w:beforeAutospacing="0" w:after="0" w:afterAutospacing="0"/>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14:paraId="61A70769" w14:textId="77777777" w:rsidR="00000000" w:rsidRDefault="001F1B20">
            <w:pPr>
              <w:pStyle w:val="a3"/>
              <w:spacing w:before="0" w:beforeAutospacing="0" w:after="0" w:afterAutospacing="0"/>
              <w:jc w:val="center"/>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14:paraId="5FD43A02" w14:textId="77777777" w:rsidR="00000000" w:rsidRDefault="001F1B20">
            <w:pPr>
              <w:pStyle w:val="a3"/>
              <w:spacing w:before="0" w:beforeAutospacing="0" w:after="0"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14:paraId="6BC24A06" w14:textId="77777777" w:rsidR="00000000" w:rsidRDefault="001F1B20">
            <w:pPr>
              <w:pStyle w:val="a3"/>
              <w:spacing w:before="0" w:beforeAutospacing="0" w:after="0" w:afterAutospacing="0"/>
              <w:ind w:right="6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179EA638" w14:textId="77777777" w:rsidR="00000000" w:rsidRDefault="001F1B20">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C5B6452" w14:textId="77777777" w:rsidR="00000000" w:rsidRDefault="001F1B20">
            <w:pPr>
              <w:pStyle w:val="a3"/>
              <w:spacing w:before="0" w:beforeAutospacing="0" w:after="0"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14:paraId="19247D8D" w14:textId="77777777" w:rsidR="00000000" w:rsidRDefault="001F1B20">
            <w:pPr>
              <w:pStyle w:val="a3"/>
              <w:spacing w:before="0" w:beforeAutospacing="0" w:after="0" w:afterAutospacing="0"/>
              <w:jc w:val="right"/>
              <w:rPr>
                <w:sz w:val="20"/>
                <w:szCs w:val="20"/>
              </w:rPr>
            </w:pPr>
            <w:r>
              <w:rPr>
                <w:sz w:val="20"/>
                <w:szCs w:val="20"/>
              </w:rPr>
              <w:t>(279</w:t>
            </w:r>
            <w:r>
              <w:rPr>
                <w:sz w:val="20"/>
                <w:szCs w:val="20"/>
              </w:rPr>
              <w:t>)</w:t>
            </w:r>
          </w:p>
        </w:tc>
        <w:tc>
          <w:tcPr>
            <w:tcW w:w="39" w:type="pct"/>
            <w:shd w:val="clear" w:color="auto" w:fill="CCEEFF"/>
            <w:noWrap/>
            <w:tcMar>
              <w:top w:w="0" w:type="dxa"/>
              <w:left w:w="0" w:type="dxa"/>
              <w:bottom w:w="0" w:type="dxa"/>
              <w:right w:w="0" w:type="dxa"/>
            </w:tcMar>
            <w:vAlign w:val="bottom"/>
            <w:hideMark/>
          </w:tcPr>
          <w:p w14:paraId="27F142F2" w14:textId="77777777" w:rsidR="00000000" w:rsidRDefault="001F1B20">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DA204A5" w14:textId="77777777" w:rsidR="00000000" w:rsidRDefault="001F1B20">
            <w:pPr>
              <w:pStyle w:val="a3"/>
              <w:spacing w:before="0" w:beforeAutospacing="0" w:after="0" w:afterAutospacing="0"/>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14:paraId="7B9919C3" w14:textId="77777777" w:rsidR="00000000" w:rsidRDefault="001F1B20">
            <w:pPr>
              <w:pStyle w:val="a3"/>
              <w:spacing w:before="0" w:beforeAutospacing="0" w:after="0" w:afterAutospacing="0"/>
              <w:ind w:right="60"/>
              <w:jc w:val="right"/>
              <w:rPr>
                <w:sz w:val="20"/>
                <w:szCs w:val="20"/>
              </w:rPr>
            </w:pPr>
            <w:r>
              <w:rPr>
                <w:sz w:val="20"/>
                <w:szCs w:val="20"/>
              </w:rPr>
              <w:t>27</w:t>
            </w:r>
            <w:r>
              <w:rPr>
                <w:sz w:val="20"/>
                <w:szCs w:val="20"/>
              </w:rPr>
              <w:t>9</w:t>
            </w:r>
          </w:p>
        </w:tc>
        <w:tc>
          <w:tcPr>
            <w:tcW w:w="39" w:type="pct"/>
            <w:shd w:val="clear" w:color="auto" w:fill="CCEEFF"/>
            <w:noWrap/>
            <w:tcMar>
              <w:top w:w="0" w:type="dxa"/>
              <w:left w:w="0" w:type="dxa"/>
              <w:bottom w:w="0" w:type="dxa"/>
              <w:right w:w="0" w:type="dxa"/>
            </w:tcMar>
            <w:vAlign w:val="bottom"/>
            <w:hideMark/>
          </w:tcPr>
          <w:p w14:paraId="3B7E365E" w14:textId="77777777" w:rsidR="00000000" w:rsidRDefault="001F1B20">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14:paraId="73F8769B" w14:textId="77777777" w:rsidR="00000000" w:rsidRDefault="001F1B20">
            <w:pPr>
              <w:pStyle w:val="a3"/>
              <w:spacing w:before="0" w:beforeAutospacing="0" w:after="0" w:afterAutospacing="0"/>
              <w:jc w:val="right"/>
              <w:rPr>
                <w:sz w:val="20"/>
                <w:szCs w:val="20"/>
              </w:rPr>
            </w:pPr>
            <w:r>
              <w:rPr>
                <w:sz w:val="20"/>
                <w:szCs w:val="20"/>
              </w:rPr>
              <w:t>(100</w:t>
            </w:r>
            <w:r>
              <w:rPr>
                <w:sz w:val="20"/>
                <w:szCs w:val="20"/>
              </w:rPr>
              <w:t>)</w:t>
            </w:r>
          </w:p>
        </w:tc>
        <w:tc>
          <w:tcPr>
            <w:tcW w:w="132" w:type="pct"/>
            <w:shd w:val="clear" w:color="auto" w:fill="CCEEFF"/>
            <w:noWrap/>
            <w:tcMar>
              <w:top w:w="0" w:type="dxa"/>
              <w:left w:w="0" w:type="dxa"/>
              <w:bottom w:w="0" w:type="dxa"/>
              <w:right w:w="0" w:type="dxa"/>
            </w:tcMar>
            <w:vAlign w:val="bottom"/>
            <w:hideMark/>
          </w:tcPr>
          <w:p w14:paraId="1DEB1CEF" w14:textId="77777777" w:rsidR="00000000" w:rsidRDefault="001F1B20">
            <w:pPr>
              <w:pStyle w:val="a3"/>
              <w:spacing w:before="0" w:beforeAutospacing="0" w:after="0" w:afterAutospacing="0"/>
              <w:rPr>
                <w:sz w:val="20"/>
                <w:szCs w:val="20"/>
              </w:rPr>
            </w:pPr>
            <w:r>
              <w:rPr>
                <w:sz w:val="20"/>
                <w:szCs w:val="20"/>
              </w:rPr>
              <w:t>%  </w:t>
            </w:r>
          </w:p>
        </w:tc>
      </w:tr>
    </w:tbl>
    <w:p w14:paraId="2780AA06" w14:textId="77777777" w:rsidR="00000000" w:rsidRDefault="001F1B20">
      <w:pPr>
        <w:pStyle w:val="a3"/>
        <w:spacing w:before="0" w:beforeAutospacing="0" w:after="0" w:afterAutospacing="0"/>
        <w:divId w:val="1199971243"/>
        <w:rPr>
          <w:sz w:val="20"/>
          <w:szCs w:val="20"/>
        </w:rPr>
      </w:pPr>
      <w:r>
        <w:rPr>
          <w:sz w:val="20"/>
          <w:szCs w:val="20"/>
        </w:rPr>
        <w:t>​</w:t>
      </w:r>
    </w:p>
    <w:p w14:paraId="0E075DE8" w14:textId="77777777" w:rsidR="00000000" w:rsidRDefault="001F1B20">
      <w:pPr>
        <w:pStyle w:val="a3"/>
        <w:spacing w:before="0" w:beforeAutospacing="0" w:after="0" w:afterAutospacing="0"/>
        <w:ind w:firstLine="720"/>
        <w:divId w:val="1199971243"/>
        <w:rPr>
          <w:sz w:val="20"/>
          <w:szCs w:val="20"/>
        </w:rPr>
      </w:pPr>
      <w:r>
        <w:rPr>
          <w:sz w:val="20"/>
          <w:szCs w:val="20"/>
        </w:rPr>
        <w:t>For the three and nine months ended September 30, 2021, the provision for income tax expense decreased by $0.1 million and $0.3 million, respectively, compared to the same periods in 2020. Although we incurred operating losses on a consolidated basis for e</w:t>
      </w:r>
      <w:r>
        <w:rPr>
          <w:sz w:val="20"/>
          <w:szCs w:val="20"/>
        </w:rPr>
        <w:t>ach reporting period, we did not record a provision for income taxes for the nine months ended September 30, 2021 due to our lower estimate of the uncertain tax positions taken with respect to transfer pricing and tax credits in comparison to the nine mont</w:t>
      </w:r>
      <w:r>
        <w:rPr>
          <w:sz w:val="20"/>
          <w:szCs w:val="20"/>
        </w:rPr>
        <w:t>hs ended September 30, 2020. Our provision for income tax expense differs from the expected statutory rate due to the valuation allowance on deferred tax assets</w:t>
      </w:r>
    </w:p>
    <w:p w14:paraId="4BAA49D3" w14:textId="77777777" w:rsidR="00000000" w:rsidRDefault="001F1B20">
      <w:pPr>
        <w:pStyle w:val="a3"/>
        <w:spacing w:before="0" w:beforeAutospacing="0" w:after="0" w:afterAutospacing="0"/>
        <w:ind w:firstLine="720"/>
        <w:divId w:val="1199971243"/>
        <w:rPr>
          <w:sz w:val="20"/>
          <w:szCs w:val="20"/>
        </w:rPr>
      </w:pPr>
      <w:r>
        <w:rPr>
          <w:sz w:val="20"/>
          <w:szCs w:val="20"/>
        </w:rPr>
        <w:t>​</w:t>
      </w:r>
    </w:p>
    <w:p w14:paraId="5EDEF480" w14:textId="77777777" w:rsidR="00000000" w:rsidRDefault="001F1B20">
      <w:pPr>
        <w:pStyle w:val="a3"/>
        <w:spacing w:before="0" w:beforeAutospacing="0" w:after="0" w:afterAutospacing="0"/>
        <w:ind w:firstLine="720"/>
        <w:divId w:val="1199971243"/>
        <w:rPr>
          <w:sz w:val="20"/>
          <w:szCs w:val="20"/>
        </w:rPr>
      </w:pPr>
      <w:r>
        <w:rPr>
          <w:sz w:val="20"/>
          <w:szCs w:val="20"/>
        </w:rPr>
        <w:t>We are currently under Internal Revenue Service (“IRS”) examination for the tax year ended De</w:t>
      </w:r>
      <w:r>
        <w:rPr>
          <w:sz w:val="20"/>
          <w:szCs w:val="20"/>
        </w:rPr>
        <w:t>cember 31, 2018. We believe that an adequate provision has been made for any adjustments that may result from the tax examination.</w:t>
      </w:r>
    </w:p>
    <w:p w14:paraId="2A56ABF7" w14:textId="77777777" w:rsidR="00000000" w:rsidRDefault="001F1B20">
      <w:pPr>
        <w:pStyle w:val="a3"/>
        <w:spacing w:before="0" w:beforeAutospacing="0" w:after="0" w:afterAutospacing="0"/>
        <w:divId w:val="1199971243"/>
        <w:rPr>
          <w:sz w:val="20"/>
          <w:szCs w:val="20"/>
        </w:rPr>
      </w:pPr>
      <w:r>
        <w:rPr>
          <w:color w:val="FF0000"/>
          <w:sz w:val="20"/>
          <w:szCs w:val="20"/>
        </w:rPr>
        <w:t>​</w:t>
      </w:r>
    </w:p>
    <w:p w14:paraId="5A0FF7EC" w14:textId="77777777" w:rsidR="00000000" w:rsidRDefault="001F1B20">
      <w:pPr>
        <w:pStyle w:val="a3"/>
        <w:spacing w:before="0" w:beforeAutospacing="0" w:after="0" w:afterAutospacing="0"/>
        <w:divId w:val="1199971243"/>
        <w:rPr>
          <w:sz w:val="20"/>
          <w:szCs w:val="20"/>
        </w:rPr>
      </w:pPr>
      <w:r>
        <w:rPr>
          <w:b/>
          <w:bCs/>
          <w:sz w:val="20"/>
          <w:szCs w:val="20"/>
        </w:rPr>
        <w:t>Liquidity and Capital Resources</w:t>
      </w:r>
    </w:p>
    <w:p w14:paraId="31A706BB" w14:textId="77777777" w:rsidR="00000000" w:rsidRDefault="001F1B20">
      <w:pPr>
        <w:pStyle w:val="a3"/>
        <w:spacing w:before="0" w:beforeAutospacing="0" w:after="0" w:afterAutospacing="0"/>
        <w:ind w:firstLine="720"/>
        <w:divId w:val="1199971243"/>
        <w:rPr>
          <w:sz w:val="20"/>
          <w:szCs w:val="20"/>
        </w:rPr>
      </w:pPr>
      <w:r>
        <w:rPr>
          <w:sz w:val="20"/>
          <w:szCs w:val="20"/>
        </w:rPr>
        <w:t>​</w:t>
      </w:r>
    </w:p>
    <w:p w14:paraId="6FBA0048" w14:textId="77777777" w:rsidR="00000000" w:rsidRDefault="001F1B20">
      <w:pPr>
        <w:pStyle w:val="a3"/>
        <w:spacing w:before="0" w:beforeAutospacing="0" w:after="0" w:afterAutospacing="0"/>
        <w:ind w:firstLine="720"/>
        <w:divId w:val="1199971243"/>
        <w:rPr>
          <w:sz w:val="20"/>
          <w:szCs w:val="20"/>
        </w:rPr>
      </w:pPr>
      <w:r>
        <w:rPr>
          <w:sz w:val="20"/>
          <w:szCs w:val="20"/>
        </w:rPr>
        <w:t>To date, we have financed our operations primarily through public offerings of equity sec</w:t>
      </w:r>
      <w:r>
        <w:rPr>
          <w:sz w:val="20"/>
          <w:szCs w:val="20"/>
        </w:rPr>
        <w:t>urities, private placements of equity and debt, revenue from collaboration and licensing arrangements and, to a lesser extent, revenue from product sales. As of September 30, 2021, we had $216.2 million in cash, cash equivalents, and investments in marketa</w:t>
      </w:r>
      <w:r>
        <w:rPr>
          <w:sz w:val="20"/>
          <w:szCs w:val="20"/>
        </w:rPr>
        <w:t>ble securities (excluding restricted cash). Also, as of September 30, 2021, we had outstanding (i) $230.0 million in principal Convertible Senior 2023 Notes and (ii) $392.6 million in principal Non-Recourse 2035 Notes which are stated net of a 5.0% retenti</w:t>
      </w:r>
      <w:r>
        <w:rPr>
          <w:sz w:val="20"/>
          <w:szCs w:val="20"/>
        </w:rPr>
        <w:t xml:space="preserve">on by us in compliance with Regulation RR — Credit Risk Retention (17 C.F.R. Part 246). </w:t>
      </w:r>
    </w:p>
    <w:p w14:paraId="4DA9CDE1" w14:textId="77777777" w:rsidR="00000000" w:rsidRDefault="001F1B20">
      <w:pPr>
        <w:pStyle w:val="a3"/>
        <w:spacing w:before="0" w:beforeAutospacing="0" w:after="0" w:afterAutospacing="0"/>
        <w:divId w:val="1199971243"/>
        <w:rPr>
          <w:sz w:val="20"/>
          <w:szCs w:val="20"/>
        </w:rPr>
      </w:pPr>
      <w:r>
        <w:rPr>
          <w:sz w:val="20"/>
          <w:szCs w:val="20"/>
        </w:rPr>
        <w:t>​</w:t>
      </w:r>
    </w:p>
    <w:p w14:paraId="064C172B" w14:textId="77777777" w:rsidR="00000000" w:rsidRDefault="001F1B20">
      <w:pPr>
        <w:pStyle w:val="a3"/>
        <w:spacing w:before="0" w:beforeAutospacing="0" w:after="0" w:afterAutospacing="0"/>
        <w:ind w:firstLine="720"/>
        <w:divId w:val="1199971243"/>
        <w:rPr>
          <w:sz w:val="20"/>
          <w:szCs w:val="20"/>
        </w:rPr>
      </w:pPr>
      <w:r>
        <w:rPr>
          <w:sz w:val="20"/>
          <w:szCs w:val="20"/>
        </w:rPr>
        <w:t>The Non-Recourse 2035 Notes were issued on February 28, 2020 and are secured by all of the Triple Royalty Sub II LLC’s (the “Issuer II”) rights, title and interest a</w:t>
      </w:r>
      <w:r>
        <w:rPr>
          <w:sz w:val="20"/>
          <w:szCs w:val="20"/>
        </w:rPr>
        <w:t>s a holder of the Issuer II Class C Units in TRC. The primary source of funds to make payments on the Non-Recourse 2035 Notes is the 63.75% economic interest of the Issuer (evidenced by the Issuer II Class C Units) in any future payments that may be made b</w:t>
      </w:r>
      <w:r>
        <w:rPr>
          <w:sz w:val="20"/>
          <w:szCs w:val="20"/>
        </w:rPr>
        <w:t>y GSK to TRC under the strategic alliance agreement and under the portion of the collaboration agreement assigned to TRC by Innoviva (net of TRC expenses paid and the amount of cash, if any, expected to be used by TRC pursuant to the TRC LLC Agreement over</w:t>
      </w:r>
      <w:r>
        <w:rPr>
          <w:sz w:val="20"/>
          <w:szCs w:val="20"/>
        </w:rPr>
        <w:t xml:space="preserve"> the next four fiscal quarters) relating to the GSK-Partnered Respiratory Programs, including the </w:t>
      </w:r>
      <w:r>
        <w:rPr>
          <w:caps/>
          <w:sz w:val="20"/>
          <w:szCs w:val="20"/>
        </w:rPr>
        <w:t xml:space="preserve">Trelegy </w:t>
      </w:r>
      <w:r>
        <w:rPr>
          <w:sz w:val="20"/>
          <w:szCs w:val="20"/>
        </w:rPr>
        <w:t>program. As a result, the holders of the Non-Recourse 2035 Notes have no recourse against Theravance Biopharma even if the TRELEGY payments are insuff</w:t>
      </w:r>
      <w:r>
        <w:rPr>
          <w:sz w:val="20"/>
          <w:szCs w:val="20"/>
        </w:rPr>
        <w:t>icient to cover the principal and interest payments for the Non-Recourse 2035 Notes. Prior to and including the December 5, 2024 payment date, in the event that the distributions received by the Issuer II from TRC in a quarter is less than the interest acc</w:t>
      </w:r>
      <w:r>
        <w:rPr>
          <w:sz w:val="20"/>
          <w:szCs w:val="20"/>
        </w:rPr>
        <w:t>rued for that quarter, the principal amount of the Non-Recourse 2035 Notes will increase by the interest shortfall amount for that quarter. While the holders of the Non-Recourse 2035 Notes have no recourse against Theravance Biopharma, the terms of the Non</w:t>
      </w:r>
      <w:r>
        <w:rPr>
          <w:sz w:val="20"/>
          <w:szCs w:val="20"/>
        </w:rPr>
        <w:t>-Recourse 2035 Notes also provide that Theravance Biopharma, at its option, may satisfy the quarterly interest payment obligations by making a capital contribution to the Issuer II.</w:t>
      </w:r>
    </w:p>
    <w:p w14:paraId="30218BB6" w14:textId="77777777" w:rsidR="00000000" w:rsidRDefault="001F1B20">
      <w:pPr>
        <w:pStyle w:val="a3"/>
        <w:spacing w:before="0" w:beforeAutospacing="0" w:after="0" w:afterAutospacing="0"/>
        <w:ind w:firstLine="720"/>
        <w:divId w:val="1199971243"/>
        <w:rPr>
          <w:sz w:val="20"/>
          <w:szCs w:val="20"/>
        </w:rPr>
      </w:pPr>
      <w:r>
        <w:rPr>
          <w:sz w:val="20"/>
          <w:szCs w:val="20"/>
        </w:rPr>
        <w:t>​</w:t>
      </w:r>
    </w:p>
    <w:p w14:paraId="11F99CB6" w14:textId="77777777" w:rsidR="00000000" w:rsidRDefault="001F1B20">
      <w:pPr>
        <w:pStyle w:val="a3"/>
        <w:spacing w:before="0" w:beforeAutospacing="0" w:after="0" w:afterAutospacing="0"/>
        <w:ind w:firstLine="720"/>
        <w:divId w:val="1199971243"/>
        <w:rPr>
          <w:sz w:val="20"/>
          <w:szCs w:val="20"/>
        </w:rPr>
      </w:pPr>
      <w:r>
        <w:rPr>
          <w:sz w:val="20"/>
          <w:szCs w:val="20"/>
        </w:rPr>
        <w:t>A portion of the proceeds from the Non-Recourse 2035 Notes issuance were</w:t>
      </w:r>
      <w:r>
        <w:rPr>
          <w:sz w:val="20"/>
          <w:szCs w:val="20"/>
        </w:rPr>
        <w:t xml:space="preserve"> used to repay, in full, the remaining outstanding balance of the Non-Recourse 2033 Notes, as well as, a 5% premium on the early redemption of the Non-Recourse 2033 Notes. The Non-Recourse 2033 Notes were issued in November 2018 and were structured similar</w:t>
      </w:r>
      <w:r>
        <w:rPr>
          <w:sz w:val="20"/>
          <w:szCs w:val="20"/>
        </w:rPr>
        <w:t xml:space="preserve">ly to the Non-Recourse 2035 Notes. </w:t>
      </w:r>
    </w:p>
    <w:p w14:paraId="2FFDB28F" w14:textId="77777777" w:rsidR="00000000" w:rsidRDefault="001F1B20">
      <w:pPr>
        <w:pStyle w:val="a3"/>
        <w:spacing w:before="360" w:beforeAutospacing="0" w:after="0" w:afterAutospacing="0"/>
        <w:jc w:val="center"/>
        <w:divId w:val="288442691"/>
        <w:rPr>
          <w:sz w:val="20"/>
          <w:szCs w:val="20"/>
        </w:rPr>
      </w:pPr>
      <w:r>
        <w:rPr>
          <w:sz w:val="20"/>
          <w:szCs w:val="20"/>
        </w:rPr>
        <w:t>33</w:t>
      </w:r>
    </w:p>
    <w:p w14:paraId="32B7D385" w14:textId="77777777" w:rsidR="00000000" w:rsidRDefault="001F1B20">
      <w:pPr>
        <w:pStyle w:val="a3"/>
        <w:spacing w:before="0" w:beforeAutospacing="0" w:after="600" w:afterAutospacing="0"/>
        <w:divId w:val="1273855702"/>
        <w:rPr>
          <w:sz w:val="20"/>
          <w:szCs w:val="20"/>
        </w:rPr>
      </w:pPr>
      <w:hyperlink w:anchor="TOC" w:history="1">
        <w:r>
          <w:rPr>
            <w:rStyle w:val="a4"/>
            <w:sz w:val="20"/>
            <w:szCs w:val="20"/>
          </w:rPr>
          <w:t>Table of Contents</w:t>
        </w:r>
      </w:hyperlink>
    </w:p>
    <w:p w14:paraId="513A584D" w14:textId="77777777" w:rsidR="00000000" w:rsidRDefault="001F1B20">
      <w:pPr>
        <w:pStyle w:val="a3"/>
        <w:spacing w:before="0" w:beforeAutospacing="0" w:after="0" w:afterAutospacing="0"/>
        <w:divId w:val="2018850629"/>
        <w:rPr>
          <w:sz w:val="20"/>
          <w:szCs w:val="20"/>
        </w:rPr>
      </w:pPr>
      <w:r>
        <w:rPr>
          <w:sz w:val="20"/>
          <w:szCs w:val="20"/>
        </w:rPr>
        <w:t>​</w:t>
      </w:r>
    </w:p>
    <w:p w14:paraId="465A6AA6" w14:textId="77777777" w:rsidR="00000000" w:rsidRDefault="001F1B20">
      <w:pPr>
        <w:pStyle w:val="a3"/>
        <w:spacing w:before="0" w:beforeAutospacing="0" w:after="0" w:afterAutospacing="0"/>
        <w:ind w:firstLine="720"/>
        <w:divId w:val="2018850629"/>
        <w:rPr>
          <w:sz w:val="20"/>
          <w:szCs w:val="20"/>
        </w:rPr>
      </w:pPr>
      <w:r>
        <w:rPr>
          <w:sz w:val="20"/>
          <w:szCs w:val="20"/>
        </w:rPr>
        <w:t>On June 29, 2021, we sold 6,700,000 ordinary shares at a price to the public of $15.00 per share (the “Shares”). Under the terms of the underwriting agreement, on June 29,</w:t>
      </w:r>
      <w:r>
        <w:rPr>
          <w:sz w:val="20"/>
          <w:szCs w:val="20"/>
        </w:rPr>
        <w:t xml:space="preserve"> 2021, the underwriters also exercised a 30-day option to purchase an additional 1,005,000 ordinary shares for a total of 7,705,000 ordinary shares sold. The total gross proceeds from the offering were approximately $115.6 million, before deducting underwr</w:t>
      </w:r>
      <w:r>
        <w:rPr>
          <w:sz w:val="20"/>
          <w:szCs w:val="20"/>
        </w:rPr>
        <w:t>iting discounts and commissions and estimated offering expenses. The Shares were issued pursuant to the Company’s currently effective shelf registration statement on Form S-3, which became effective automatically on December 3, 2019, and a prospectus suppl</w:t>
      </w:r>
      <w:r>
        <w:rPr>
          <w:sz w:val="20"/>
          <w:szCs w:val="20"/>
        </w:rPr>
        <w:t>ement filed with the SEC in connection with the offering.</w:t>
      </w:r>
    </w:p>
    <w:p w14:paraId="15BA32A1" w14:textId="77777777" w:rsidR="00000000" w:rsidRDefault="001F1B20">
      <w:pPr>
        <w:pStyle w:val="a3"/>
        <w:spacing w:before="0" w:beforeAutospacing="0" w:after="0" w:afterAutospacing="0"/>
        <w:ind w:firstLine="720"/>
        <w:divId w:val="2018850629"/>
        <w:rPr>
          <w:sz w:val="20"/>
          <w:szCs w:val="20"/>
        </w:rPr>
      </w:pPr>
      <w:r>
        <w:rPr>
          <w:sz w:val="20"/>
          <w:szCs w:val="20"/>
        </w:rPr>
        <w:t>​</w:t>
      </w:r>
    </w:p>
    <w:p w14:paraId="2335198A" w14:textId="77777777" w:rsidR="00000000" w:rsidRDefault="001F1B20">
      <w:pPr>
        <w:pStyle w:val="a3"/>
        <w:spacing w:before="0" w:beforeAutospacing="0" w:after="0" w:afterAutospacing="0"/>
        <w:ind w:firstLine="720"/>
        <w:divId w:val="2018850629"/>
        <w:rPr>
          <w:sz w:val="20"/>
          <w:szCs w:val="20"/>
        </w:rPr>
      </w:pPr>
      <w:r>
        <w:rPr>
          <w:sz w:val="20"/>
          <w:szCs w:val="20"/>
        </w:rPr>
        <w:t>In September 2021, we announced the Restructuring to focus capital resources on our respiratory programs, resulting in an approximate 75% reduction in workforce to significantly reduce operational</w:t>
      </w:r>
      <w:r>
        <w:rPr>
          <w:sz w:val="20"/>
          <w:szCs w:val="20"/>
        </w:rPr>
        <w:t xml:space="preserve"> costs and preserve capital. Approximately 75% of the total reduction in workforce will take place by November 2021, and the remainder will be completed in February 2022. We expect to incur a one-time Restructuring charge of approximately $18.0 million to </w:t>
      </w:r>
      <w:r>
        <w:rPr>
          <w:sz w:val="20"/>
          <w:szCs w:val="20"/>
        </w:rPr>
        <w:t>$20.0 million which will include severance and other-related cash payments. The majority of the Restructuring charge will be paid by the first quarter of 2022</w:t>
      </w:r>
      <w:r>
        <w:rPr>
          <w:sz w:val="20"/>
          <w:szCs w:val="20"/>
          <w:shd w:val="clear" w:color="auto" w:fill="FFFFFF"/>
        </w:rPr>
        <w:t>.</w:t>
      </w:r>
    </w:p>
    <w:p w14:paraId="47218ECF" w14:textId="77777777" w:rsidR="00000000" w:rsidRDefault="001F1B20">
      <w:pPr>
        <w:pStyle w:val="a3"/>
        <w:spacing w:before="0" w:beforeAutospacing="0" w:after="0" w:afterAutospacing="0"/>
        <w:ind w:firstLine="720"/>
        <w:divId w:val="2018850629"/>
        <w:rPr>
          <w:sz w:val="20"/>
          <w:szCs w:val="20"/>
        </w:rPr>
      </w:pPr>
      <w:r>
        <w:rPr>
          <w:sz w:val="20"/>
          <w:szCs w:val="20"/>
        </w:rPr>
        <w:t>​</w:t>
      </w:r>
    </w:p>
    <w:p w14:paraId="6D708692" w14:textId="77777777" w:rsidR="00000000" w:rsidRDefault="001F1B20">
      <w:pPr>
        <w:pStyle w:val="a3"/>
        <w:spacing w:before="0" w:beforeAutospacing="0" w:after="0" w:afterAutospacing="0"/>
        <w:ind w:firstLine="720"/>
        <w:divId w:val="2018850629"/>
        <w:rPr>
          <w:sz w:val="20"/>
          <w:szCs w:val="20"/>
        </w:rPr>
      </w:pPr>
      <w:r>
        <w:rPr>
          <w:sz w:val="20"/>
          <w:szCs w:val="20"/>
        </w:rPr>
        <w:t>As a result of the Restructuring, we expect to realize estimated annualized operating expense savings of approximately $165.0 million in the year ending December 31, 2022 (excluding share-based compensation and any one-time costs related to strategic actio</w:t>
      </w:r>
      <w:r>
        <w:rPr>
          <w:sz w:val="20"/>
          <w:szCs w:val="20"/>
        </w:rPr>
        <w:t>ns), and we expect to be sustainably cash flow positive beginning in the second half of 2022 primarily achieved through our reduced cash expenditures in light of the Restructuring and the focus on our respiratory assets. These estimates are subject to a nu</w:t>
      </w:r>
      <w:r>
        <w:rPr>
          <w:sz w:val="20"/>
          <w:szCs w:val="20"/>
        </w:rPr>
        <w:t>mber of assumptions, and actual results may differ. We may also incur additional costs not currently contemplated due to events that may occur because of, or that are associated with, the Restructuring.</w:t>
      </w:r>
    </w:p>
    <w:p w14:paraId="10E7740C" w14:textId="77777777" w:rsidR="00000000" w:rsidRDefault="001F1B20">
      <w:pPr>
        <w:pStyle w:val="a3"/>
        <w:spacing w:before="0" w:beforeAutospacing="0" w:after="0" w:afterAutospacing="0"/>
        <w:divId w:val="2018850629"/>
        <w:rPr>
          <w:sz w:val="20"/>
          <w:szCs w:val="20"/>
        </w:rPr>
      </w:pPr>
      <w:r>
        <w:rPr>
          <w:sz w:val="20"/>
          <w:szCs w:val="20"/>
        </w:rPr>
        <w:t>​</w:t>
      </w:r>
    </w:p>
    <w:p w14:paraId="1A5B9E25" w14:textId="77777777" w:rsidR="00000000" w:rsidRDefault="001F1B20">
      <w:pPr>
        <w:pStyle w:val="a3"/>
        <w:spacing w:before="0" w:beforeAutospacing="0" w:after="0" w:afterAutospacing="0"/>
        <w:ind w:firstLine="720"/>
        <w:divId w:val="2018850629"/>
        <w:rPr>
          <w:sz w:val="20"/>
          <w:szCs w:val="20"/>
        </w:rPr>
      </w:pPr>
      <w:r>
        <w:rPr>
          <w:sz w:val="20"/>
          <w:szCs w:val="20"/>
        </w:rPr>
        <w:t>Despite the Restructuring, we may continue to incur</w:t>
      </w:r>
      <w:r>
        <w:rPr>
          <w:sz w:val="20"/>
          <w:szCs w:val="20"/>
        </w:rPr>
        <w:t xml:space="preserve"> net losses over the next several years due to expenditures relating to our continuing respiratory drug discovery efforts, preclinical and clinical development of our current respiratory product candidates and commercialization costs relating to YUPELRI. I</w:t>
      </w:r>
      <w:r>
        <w:rPr>
          <w:sz w:val="20"/>
          <w:szCs w:val="20"/>
        </w:rPr>
        <w:t>n particular, to the extent we advance our respiratory product candidates into and through later-stage clinical studies without a partner, we may incur substantial expenses. In addition, we may invest strategically in our research efforts to continue to gr</w:t>
      </w:r>
      <w:r>
        <w:rPr>
          <w:sz w:val="20"/>
          <w:szCs w:val="20"/>
        </w:rPr>
        <w:t>ow our respiratory development pipeline. In the past, we have received a number of significant payments from collaboration agreements and other significant transactions. In the future, we may continue to receive potential substantial payments from future c</w:t>
      </w:r>
      <w:r>
        <w:rPr>
          <w:sz w:val="20"/>
          <w:szCs w:val="20"/>
        </w:rPr>
        <w:t>ollaboration transactions if the drug candidates in our pipeline achieve positive clinical or regulatory outcomes or if our product candidates are approved and meet certain milestones.</w:t>
      </w:r>
    </w:p>
    <w:p w14:paraId="47CEA43E" w14:textId="77777777" w:rsidR="00000000" w:rsidRDefault="001F1B20">
      <w:pPr>
        <w:pStyle w:val="a3"/>
        <w:spacing w:before="0" w:beforeAutospacing="0" w:after="0" w:afterAutospacing="0"/>
        <w:ind w:firstLine="720"/>
        <w:divId w:val="2018850629"/>
        <w:rPr>
          <w:sz w:val="20"/>
          <w:szCs w:val="20"/>
        </w:rPr>
      </w:pPr>
      <w:r>
        <w:rPr>
          <w:sz w:val="20"/>
          <w:szCs w:val="20"/>
        </w:rPr>
        <w:t>​</w:t>
      </w:r>
    </w:p>
    <w:p w14:paraId="5D7FBE35" w14:textId="77777777" w:rsidR="00000000" w:rsidRDefault="001F1B20">
      <w:pPr>
        <w:pStyle w:val="a3"/>
        <w:spacing w:before="0" w:beforeAutospacing="0" w:after="0" w:afterAutospacing="0"/>
        <w:ind w:firstLine="720"/>
        <w:divId w:val="2018850629"/>
        <w:rPr>
          <w:sz w:val="20"/>
          <w:szCs w:val="20"/>
        </w:rPr>
      </w:pPr>
      <w:r>
        <w:rPr>
          <w:sz w:val="20"/>
          <w:szCs w:val="20"/>
        </w:rPr>
        <w:t>Our new strategic business plan is subject to significant uncertainti</w:t>
      </w:r>
      <w:r>
        <w:rPr>
          <w:sz w:val="20"/>
          <w:szCs w:val="20"/>
        </w:rPr>
        <w:t>es and risks as a result of, among other factors, the COVID-19 pandemic, clinical program outcomes, whether, when and on what terms we are able to enter into new collaboration arrangements, expenses being higher than anticipated, the sales levels of any ap</w:t>
      </w:r>
      <w:r>
        <w:rPr>
          <w:sz w:val="20"/>
          <w:szCs w:val="20"/>
        </w:rPr>
        <w:t>proved products, unplanned expenses, cash receipts being lower than anticipated, and the need to satisfy contingent liabilities, including litigation matters and indemnification obligations.</w:t>
      </w:r>
    </w:p>
    <w:p w14:paraId="08B0CF60" w14:textId="77777777" w:rsidR="00000000" w:rsidRDefault="001F1B20">
      <w:pPr>
        <w:pStyle w:val="a3"/>
        <w:spacing w:before="0" w:beforeAutospacing="0" w:after="0" w:afterAutospacing="0"/>
        <w:divId w:val="2018850629"/>
        <w:rPr>
          <w:sz w:val="20"/>
          <w:szCs w:val="20"/>
        </w:rPr>
      </w:pPr>
      <w:r>
        <w:rPr>
          <w:sz w:val="20"/>
          <w:szCs w:val="20"/>
        </w:rPr>
        <w:t>​</w:t>
      </w:r>
    </w:p>
    <w:p w14:paraId="02103A5F" w14:textId="77777777" w:rsidR="00000000" w:rsidRDefault="001F1B20">
      <w:pPr>
        <w:pStyle w:val="a3"/>
        <w:spacing w:before="0" w:beforeAutospacing="0" w:after="0" w:afterAutospacing="0"/>
        <w:divId w:val="2018850629"/>
        <w:rPr>
          <w:sz w:val="20"/>
          <w:szCs w:val="20"/>
        </w:rPr>
      </w:pPr>
      <w:r>
        <w:rPr>
          <w:i/>
          <w:iCs/>
          <w:sz w:val="20"/>
          <w:szCs w:val="20"/>
        </w:rPr>
        <w:t>Adequacy of cash resources to meet future needs</w:t>
      </w:r>
    </w:p>
    <w:p w14:paraId="439BED3C" w14:textId="77777777" w:rsidR="00000000" w:rsidRDefault="001F1B20">
      <w:pPr>
        <w:pStyle w:val="a3"/>
        <w:spacing w:before="0" w:beforeAutospacing="0" w:after="0" w:afterAutospacing="0"/>
        <w:divId w:val="2018850629"/>
        <w:rPr>
          <w:sz w:val="20"/>
          <w:szCs w:val="20"/>
        </w:rPr>
      </w:pPr>
      <w:r>
        <w:rPr>
          <w:sz w:val="20"/>
          <w:szCs w:val="20"/>
        </w:rPr>
        <w:t>​</w:t>
      </w:r>
    </w:p>
    <w:p w14:paraId="4FE8DC68" w14:textId="77777777" w:rsidR="00000000" w:rsidRDefault="001F1B20">
      <w:pPr>
        <w:pStyle w:val="a3"/>
        <w:spacing w:before="0" w:beforeAutospacing="0" w:after="0" w:afterAutospacing="0"/>
        <w:ind w:firstLine="720"/>
        <w:divId w:val="2018850629"/>
        <w:rPr>
          <w:sz w:val="20"/>
          <w:szCs w:val="20"/>
        </w:rPr>
      </w:pPr>
      <w:r>
        <w:rPr>
          <w:sz w:val="20"/>
          <w:szCs w:val="20"/>
        </w:rPr>
        <w:t xml:space="preserve">We expect our cash, cash equivalents and marketable securities will be sufficient to fund our operations for at least the next twelve months from the issuance date of these condensed consolidated financial </w:t>
      </w:r>
      <w:r>
        <w:rPr>
          <w:sz w:val="20"/>
          <w:szCs w:val="20"/>
        </w:rPr>
        <w:t xml:space="preserve">statements based on current operating plans and financial forecasts. </w:t>
      </w:r>
    </w:p>
    <w:p w14:paraId="335C68CF" w14:textId="77777777" w:rsidR="00000000" w:rsidRDefault="001F1B20">
      <w:pPr>
        <w:pStyle w:val="a3"/>
        <w:spacing w:before="0" w:beforeAutospacing="0" w:after="0" w:afterAutospacing="0"/>
        <w:ind w:firstLine="720"/>
        <w:divId w:val="2018850629"/>
        <w:rPr>
          <w:sz w:val="20"/>
          <w:szCs w:val="20"/>
        </w:rPr>
      </w:pPr>
      <w:r>
        <w:rPr>
          <w:sz w:val="20"/>
          <w:szCs w:val="20"/>
        </w:rPr>
        <w:t>​</w:t>
      </w:r>
    </w:p>
    <w:p w14:paraId="7B2D9DAB" w14:textId="77777777" w:rsidR="00000000" w:rsidRDefault="001F1B20">
      <w:pPr>
        <w:pStyle w:val="a3"/>
        <w:spacing w:before="0" w:beforeAutospacing="0" w:after="0" w:afterAutospacing="0"/>
        <w:ind w:firstLine="720"/>
        <w:divId w:val="2018850629"/>
        <w:rPr>
          <w:sz w:val="20"/>
          <w:szCs w:val="20"/>
        </w:rPr>
      </w:pPr>
      <w:r>
        <w:rPr>
          <w:sz w:val="20"/>
          <w:szCs w:val="20"/>
        </w:rPr>
        <w:t>We may seek to obtain additional financing in the form of public or private equity offerings, debt financing or additional collaborations and licensing arrangements. However, future fi</w:t>
      </w:r>
      <w:r>
        <w:rPr>
          <w:sz w:val="20"/>
          <w:szCs w:val="20"/>
        </w:rPr>
        <w:t>nancing may not be available in amounts or on terms acceptable to us.</w:t>
      </w:r>
    </w:p>
    <w:p w14:paraId="2006AC79" w14:textId="77777777" w:rsidR="00000000" w:rsidRDefault="001F1B20">
      <w:pPr>
        <w:pStyle w:val="a3"/>
        <w:spacing w:before="0" w:beforeAutospacing="0" w:after="0" w:afterAutospacing="0"/>
        <w:divId w:val="2018850629"/>
        <w:rPr>
          <w:sz w:val="20"/>
          <w:szCs w:val="20"/>
        </w:rPr>
      </w:pPr>
      <w:r>
        <w:rPr>
          <w:sz w:val="20"/>
          <w:szCs w:val="20"/>
        </w:rPr>
        <w:t>​</w:t>
      </w:r>
    </w:p>
    <w:p w14:paraId="3B136178" w14:textId="77777777" w:rsidR="00000000" w:rsidRDefault="001F1B20">
      <w:pPr>
        <w:pStyle w:val="a3"/>
        <w:spacing w:before="0" w:beforeAutospacing="0" w:after="0" w:afterAutospacing="0"/>
        <w:ind w:firstLine="720"/>
        <w:divId w:val="2018850629"/>
        <w:rPr>
          <w:sz w:val="20"/>
          <w:szCs w:val="20"/>
        </w:rPr>
      </w:pPr>
      <w:r>
        <w:rPr>
          <w:sz w:val="20"/>
          <w:szCs w:val="20"/>
        </w:rPr>
        <w:t>Without adequate financial resources to fund our expected future operations, we may be required to relinquish rights to our technologies, product candidates or territories, or grant li</w:t>
      </w:r>
      <w:r>
        <w:rPr>
          <w:sz w:val="20"/>
          <w:szCs w:val="20"/>
        </w:rPr>
        <w:t>censes on terms that are not favorable to us, in order to raise additional funds through collaborations or licensing arrangements. We may also have to sequence preclinical and clinical studies as opposed to conducting them concomitantly in order to conserv</w:t>
      </w:r>
      <w:r>
        <w:rPr>
          <w:sz w:val="20"/>
          <w:szCs w:val="20"/>
        </w:rPr>
        <w:t xml:space="preserve">e resources, or, as we have recently announced in September 2021, we may need to delay, reduce or eliminate one or more of our research or development programs and </w:t>
      </w:r>
    </w:p>
    <w:p w14:paraId="718F0551" w14:textId="77777777" w:rsidR="00000000" w:rsidRDefault="001F1B20">
      <w:pPr>
        <w:pStyle w:val="a3"/>
        <w:spacing w:before="360" w:beforeAutospacing="0" w:after="0" w:afterAutospacing="0"/>
        <w:jc w:val="center"/>
        <w:divId w:val="1632519050"/>
        <w:rPr>
          <w:sz w:val="20"/>
          <w:szCs w:val="20"/>
        </w:rPr>
      </w:pPr>
      <w:r>
        <w:rPr>
          <w:sz w:val="20"/>
          <w:szCs w:val="20"/>
        </w:rPr>
        <w:t>34</w:t>
      </w:r>
    </w:p>
    <w:p w14:paraId="16CBF4A2" w14:textId="77777777" w:rsidR="00000000" w:rsidRDefault="001F1B20">
      <w:pPr>
        <w:pStyle w:val="a3"/>
        <w:spacing w:before="0" w:beforeAutospacing="0" w:after="600" w:afterAutospacing="0"/>
        <w:divId w:val="1356805315"/>
        <w:rPr>
          <w:sz w:val="20"/>
          <w:szCs w:val="20"/>
        </w:rPr>
      </w:pPr>
      <w:hyperlink w:anchor="TOC" w:history="1">
        <w:r>
          <w:rPr>
            <w:rStyle w:val="a4"/>
            <w:sz w:val="20"/>
            <w:szCs w:val="20"/>
          </w:rPr>
          <w:t>Table of Contents</w:t>
        </w:r>
      </w:hyperlink>
    </w:p>
    <w:p w14:paraId="2974963D" w14:textId="77777777" w:rsidR="00000000" w:rsidRDefault="001F1B20">
      <w:pPr>
        <w:pStyle w:val="a3"/>
        <w:spacing w:before="0" w:beforeAutospacing="0" w:after="0" w:afterAutospacing="0"/>
        <w:divId w:val="2145543437"/>
        <w:rPr>
          <w:sz w:val="20"/>
          <w:szCs w:val="20"/>
        </w:rPr>
      </w:pPr>
      <w:r>
        <w:rPr>
          <w:sz w:val="20"/>
          <w:szCs w:val="20"/>
        </w:rPr>
        <w:t>reduce overall overhead expenses. In additio</w:t>
      </w:r>
      <w:r>
        <w:rPr>
          <w:sz w:val="20"/>
          <w:szCs w:val="20"/>
        </w:rPr>
        <w:t>n, we may have to make reductions in our workforce and may be prevented from continuing our discovery, development and commercialization efforts and exploiting other corporate opportunities.</w:t>
      </w:r>
    </w:p>
    <w:p w14:paraId="78B45C27" w14:textId="77777777" w:rsidR="00000000" w:rsidRDefault="001F1B20">
      <w:pPr>
        <w:pStyle w:val="a3"/>
        <w:spacing w:before="0" w:beforeAutospacing="0" w:after="0" w:afterAutospacing="0"/>
        <w:divId w:val="2145543437"/>
        <w:rPr>
          <w:sz w:val="20"/>
          <w:szCs w:val="20"/>
        </w:rPr>
      </w:pPr>
      <w:r>
        <w:rPr>
          <w:sz w:val="20"/>
          <w:szCs w:val="20"/>
        </w:rPr>
        <w:t>​</w:t>
      </w:r>
    </w:p>
    <w:p w14:paraId="3A4034A3" w14:textId="77777777" w:rsidR="00000000" w:rsidRDefault="001F1B20">
      <w:pPr>
        <w:pStyle w:val="a3"/>
        <w:spacing w:before="0" w:beforeAutospacing="0" w:after="0" w:afterAutospacing="0"/>
        <w:divId w:val="2145543437"/>
        <w:rPr>
          <w:sz w:val="20"/>
          <w:szCs w:val="20"/>
        </w:rPr>
      </w:pPr>
      <w:r>
        <w:rPr>
          <w:b/>
          <w:bCs/>
          <w:i/>
          <w:iCs/>
          <w:sz w:val="20"/>
          <w:szCs w:val="20"/>
        </w:rPr>
        <w:t xml:space="preserve">Cash Flows </w:t>
      </w:r>
    </w:p>
    <w:p w14:paraId="4C301D6B" w14:textId="77777777" w:rsidR="00000000" w:rsidRDefault="001F1B20">
      <w:pPr>
        <w:pStyle w:val="a3"/>
        <w:spacing w:before="0" w:beforeAutospacing="0" w:after="0" w:afterAutospacing="0"/>
        <w:divId w:val="2145543437"/>
        <w:rPr>
          <w:sz w:val="20"/>
          <w:szCs w:val="20"/>
        </w:rPr>
      </w:pPr>
      <w:r>
        <w:rPr>
          <w:sz w:val="20"/>
          <w:szCs w:val="20"/>
        </w:rPr>
        <w:t>​</w:t>
      </w:r>
    </w:p>
    <w:p w14:paraId="6CE5614B" w14:textId="77777777" w:rsidR="00000000" w:rsidRDefault="001F1B20">
      <w:pPr>
        <w:pStyle w:val="a3"/>
        <w:spacing w:before="0" w:beforeAutospacing="0" w:after="0" w:afterAutospacing="0"/>
        <w:ind w:firstLine="720"/>
        <w:divId w:val="2145543437"/>
        <w:rPr>
          <w:sz w:val="20"/>
          <w:szCs w:val="20"/>
        </w:rPr>
      </w:pPr>
      <w:r>
        <w:rPr>
          <w:sz w:val="20"/>
          <w:szCs w:val="20"/>
        </w:rPr>
        <w:t xml:space="preserve">Cash flows, as compared to the comparable period </w:t>
      </w:r>
      <w:r>
        <w:rPr>
          <w:sz w:val="20"/>
          <w:szCs w:val="20"/>
        </w:rPr>
        <w:t>in the prior year, were as follows:</w:t>
      </w:r>
    </w:p>
    <w:p w14:paraId="36D268C4" w14:textId="77777777" w:rsidR="00000000" w:rsidRDefault="001F1B20">
      <w:pPr>
        <w:pStyle w:val="a3"/>
        <w:spacing w:before="0" w:beforeAutospacing="0" w:after="0" w:afterAutospacing="0"/>
        <w:ind w:firstLine="720"/>
        <w:divId w:val="214554343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74"/>
        <w:gridCol w:w="160"/>
        <w:gridCol w:w="100"/>
        <w:gridCol w:w="784"/>
        <w:gridCol w:w="160"/>
        <w:gridCol w:w="100"/>
        <w:gridCol w:w="784"/>
        <w:gridCol w:w="160"/>
        <w:gridCol w:w="100"/>
        <w:gridCol w:w="784"/>
      </w:tblGrid>
      <w:tr w:rsidR="00000000" w14:paraId="643D411A" w14:textId="77777777">
        <w:trPr>
          <w:divId w:val="2145543437"/>
          <w:trHeight w:val="20"/>
        </w:trPr>
        <w:tc>
          <w:tcPr>
            <w:tcW w:w="3366" w:type="pct"/>
            <w:tcMar>
              <w:top w:w="0" w:type="dxa"/>
              <w:left w:w="0" w:type="dxa"/>
              <w:bottom w:w="0" w:type="dxa"/>
              <w:right w:w="0" w:type="dxa"/>
            </w:tcMar>
            <w:vAlign w:val="bottom"/>
            <w:hideMark/>
          </w:tcPr>
          <w:p w14:paraId="4109FE0C" w14:textId="77777777" w:rsidR="00000000" w:rsidRDefault="001F1B20">
            <w:pPr>
              <w:pStyle w:val="a3"/>
              <w:spacing w:before="0" w:beforeAutospacing="0" w:after="0" w:afterAutospacing="0"/>
              <w:divId w:val="781925772"/>
              <w:rPr>
                <w:sz w:val="20"/>
                <w:szCs w:val="20"/>
              </w:rPr>
            </w:pPr>
            <w:r>
              <w:rPr>
                <w:sz w:val="2"/>
                <w:szCs w:val="2"/>
              </w:rPr>
              <w:t>​</w:t>
            </w:r>
          </w:p>
        </w:tc>
        <w:tc>
          <w:tcPr>
            <w:tcW w:w="83" w:type="pct"/>
            <w:noWrap/>
            <w:tcMar>
              <w:top w:w="0" w:type="dxa"/>
              <w:left w:w="0" w:type="dxa"/>
              <w:bottom w:w="0" w:type="dxa"/>
              <w:right w:w="0" w:type="dxa"/>
            </w:tcMar>
            <w:vAlign w:val="bottom"/>
            <w:hideMark/>
          </w:tcPr>
          <w:p w14:paraId="3763D9D8" w14:textId="77777777" w:rsidR="00000000" w:rsidRDefault="001F1B20">
            <w:pPr>
              <w:pStyle w:val="a3"/>
              <w:spacing w:before="0" w:beforeAutospacing="0" w:after="0" w:afterAutospacing="0"/>
              <w:divId w:val="420762136"/>
              <w:rPr>
                <w:sz w:val="20"/>
                <w:szCs w:val="20"/>
              </w:rPr>
            </w:pPr>
            <w:r>
              <w:rPr>
                <w:sz w:val="2"/>
                <w:szCs w:val="2"/>
              </w:rPr>
              <w:t>​</w:t>
            </w:r>
          </w:p>
        </w:tc>
        <w:tc>
          <w:tcPr>
            <w:tcW w:w="49" w:type="pct"/>
            <w:noWrap/>
            <w:tcMar>
              <w:top w:w="0" w:type="dxa"/>
              <w:left w:w="0" w:type="dxa"/>
              <w:bottom w:w="0" w:type="dxa"/>
              <w:right w:w="0" w:type="dxa"/>
            </w:tcMar>
            <w:vAlign w:val="bottom"/>
            <w:hideMark/>
          </w:tcPr>
          <w:p w14:paraId="0CA8F1E3" w14:textId="77777777" w:rsidR="00000000" w:rsidRDefault="001F1B20">
            <w:pPr>
              <w:pStyle w:val="a3"/>
              <w:spacing w:before="0" w:beforeAutospacing="0" w:after="0" w:afterAutospacing="0"/>
              <w:divId w:val="2039042847"/>
              <w:rPr>
                <w:sz w:val="20"/>
                <w:szCs w:val="20"/>
              </w:rPr>
            </w:pPr>
            <w:r>
              <w:rPr>
                <w:sz w:val="2"/>
                <w:szCs w:val="2"/>
              </w:rPr>
              <w:t>​</w:t>
            </w:r>
          </w:p>
        </w:tc>
        <w:tc>
          <w:tcPr>
            <w:tcW w:w="413" w:type="pct"/>
            <w:noWrap/>
            <w:tcMar>
              <w:top w:w="0" w:type="dxa"/>
              <w:left w:w="0" w:type="dxa"/>
              <w:bottom w:w="0" w:type="dxa"/>
              <w:right w:w="0" w:type="dxa"/>
            </w:tcMar>
            <w:vAlign w:val="bottom"/>
            <w:hideMark/>
          </w:tcPr>
          <w:p w14:paraId="485450B4" w14:textId="77777777" w:rsidR="00000000" w:rsidRDefault="001F1B20">
            <w:pPr>
              <w:pStyle w:val="a3"/>
              <w:spacing w:before="0" w:beforeAutospacing="0" w:after="0" w:afterAutospacing="0"/>
              <w:divId w:val="1268997982"/>
              <w:rPr>
                <w:sz w:val="20"/>
                <w:szCs w:val="20"/>
              </w:rPr>
            </w:pPr>
            <w:r>
              <w:rPr>
                <w:sz w:val="2"/>
                <w:szCs w:val="2"/>
              </w:rPr>
              <w:t>​</w:t>
            </w:r>
          </w:p>
        </w:tc>
        <w:tc>
          <w:tcPr>
            <w:tcW w:w="79" w:type="pct"/>
            <w:noWrap/>
            <w:tcMar>
              <w:top w:w="0" w:type="dxa"/>
              <w:left w:w="0" w:type="dxa"/>
              <w:bottom w:w="0" w:type="dxa"/>
              <w:right w:w="0" w:type="dxa"/>
            </w:tcMar>
            <w:vAlign w:val="bottom"/>
            <w:hideMark/>
          </w:tcPr>
          <w:p w14:paraId="65A8EEEB" w14:textId="77777777" w:rsidR="00000000" w:rsidRDefault="001F1B20">
            <w:pPr>
              <w:pStyle w:val="a3"/>
              <w:spacing w:before="0" w:beforeAutospacing="0" w:after="0" w:afterAutospacing="0"/>
              <w:divId w:val="928319651"/>
              <w:rPr>
                <w:sz w:val="20"/>
                <w:szCs w:val="20"/>
              </w:rPr>
            </w:pPr>
            <w:r>
              <w:rPr>
                <w:sz w:val="2"/>
                <w:szCs w:val="2"/>
              </w:rPr>
              <w:t>​</w:t>
            </w:r>
          </w:p>
        </w:tc>
        <w:tc>
          <w:tcPr>
            <w:tcW w:w="49" w:type="pct"/>
            <w:noWrap/>
            <w:tcMar>
              <w:top w:w="0" w:type="dxa"/>
              <w:left w:w="0" w:type="dxa"/>
              <w:bottom w:w="0" w:type="dxa"/>
              <w:right w:w="0" w:type="dxa"/>
            </w:tcMar>
            <w:vAlign w:val="bottom"/>
            <w:hideMark/>
          </w:tcPr>
          <w:p w14:paraId="1CE28BEF" w14:textId="77777777" w:rsidR="00000000" w:rsidRDefault="001F1B20">
            <w:pPr>
              <w:pStyle w:val="a3"/>
              <w:spacing w:before="0" w:beforeAutospacing="0" w:after="0" w:afterAutospacing="0"/>
              <w:divId w:val="1122530745"/>
              <w:rPr>
                <w:sz w:val="20"/>
                <w:szCs w:val="20"/>
              </w:rPr>
            </w:pPr>
            <w:r>
              <w:rPr>
                <w:sz w:val="2"/>
                <w:szCs w:val="2"/>
              </w:rPr>
              <w:t>​</w:t>
            </w:r>
          </w:p>
        </w:tc>
        <w:tc>
          <w:tcPr>
            <w:tcW w:w="413" w:type="pct"/>
            <w:noWrap/>
            <w:tcMar>
              <w:top w:w="0" w:type="dxa"/>
              <w:left w:w="0" w:type="dxa"/>
              <w:bottom w:w="0" w:type="dxa"/>
              <w:right w:w="0" w:type="dxa"/>
            </w:tcMar>
            <w:vAlign w:val="bottom"/>
            <w:hideMark/>
          </w:tcPr>
          <w:p w14:paraId="3A1F0C24" w14:textId="77777777" w:rsidR="00000000" w:rsidRDefault="001F1B20">
            <w:pPr>
              <w:pStyle w:val="a3"/>
              <w:spacing w:before="0" w:beforeAutospacing="0" w:after="0" w:afterAutospacing="0"/>
              <w:divId w:val="1254515968"/>
              <w:rPr>
                <w:sz w:val="20"/>
                <w:szCs w:val="20"/>
              </w:rPr>
            </w:pPr>
            <w:r>
              <w:rPr>
                <w:sz w:val="2"/>
                <w:szCs w:val="2"/>
              </w:rPr>
              <w:t>​</w:t>
            </w:r>
          </w:p>
        </w:tc>
        <w:tc>
          <w:tcPr>
            <w:tcW w:w="79" w:type="pct"/>
            <w:noWrap/>
            <w:tcMar>
              <w:top w:w="0" w:type="dxa"/>
              <w:left w:w="0" w:type="dxa"/>
              <w:bottom w:w="0" w:type="dxa"/>
              <w:right w:w="0" w:type="dxa"/>
            </w:tcMar>
            <w:vAlign w:val="bottom"/>
            <w:hideMark/>
          </w:tcPr>
          <w:p w14:paraId="5421A362" w14:textId="77777777" w:rsidR="00000000" w:rsidRDefault="001F1B20">
            <w:pPr>
              <w:pStyle w:val="a3"/>
              <w:spacing w:before="0" w:beforeAutospacing="0" w:after="0" w:afterAutospacing="0"/>
              <w:divId w:val="979380333"/>
              <w:rPr>
                <w:sz w:val="20"/>
                <w:szCs w:val="20"/>
              </w:rPr>
            </w:pPr>
            <w:r>
              <w:rPr>
                <w:sz w:val="2"/>
                <w:szCs w:val="2"/>
              </w:rPr>
              <w:t>​</w:t>
            </w:r>
          </w:p>
        </w:tc>
        <w:tc>
          <w:tcPr>
            <w:tcW w:w="49" w:type="pct"/>
            <w:noWrap/>
            <w:tcMar>
              <w:top w:w="0" w:type="dxa"/>
              <w:left w:w="0" w:type="dxa"/>
              <w:bottom w:w="0" w:type="dxa"/>
              <w:right w:w="0" w:type="dxa"/>
            </w:tcMar>
            <w:vAlign w:val="bottom"/>
            <w:hideMark/>
          </w:tcPr>
          <w:p w14:paraId="2985CC6E" w14:textId="77777777" w:rsidR="00000000" w:rsidRDefault="001F1B20">
            <w:pPr>
              <w:pStyle w:val="a3"/>
              <w:spacing w:before="0" w:beforeAutospacing="0" w:after="0" w:afterAutospacing="0"/>
              <w:divId w:val="1408527426"/>
              <w:rPr>
                <w:sz w:val="20"/>
                <w:szCs w:val="20"/>
              </w:rPr>
            </w:pPr>
            <w:r>
              <w:rPr>
                <w:sz w:val="2"/>
                <w:szCs w:val="2"/>
              </w:rPr>
              <w:t>​</w:t>
            </w:r>
          </w:p>
        </w:tc>
        <w:tc>
          <w:tcPr>
            <w:tcW w:w="413" w:type="pct"/>
            <w:noWrap/>
            <w:tcMar>
              <w:top w:w="0" w:type="dxa"/>
              <w:left w:w="0" w:type="dxa"/>
              <w:bottom w:w="0" w:type="dxa"/>
              <w:right w:w="0" w:type="dxa"/>
            </w:tcMar>
            <w:vAlign w:val="bottom"/>
            <w:hideMark/>
          </w:tcPr>
          <w:p w14:paraId="0D006C09" w14:textId="77777777" w:rsidR="00000000" w:rsidRDefault="001F1B20">
            <w:pPr>
              <w:pStyle w:val="a3"/>
              <w:spacing w:before="0" w:beforeAutospacing="0" w:after="0" w:afterAutospacing="0"/>
              <w:divId w:val="228006558"/>
              <w:rPr>
                <w:sz w:val="20"/>
                <w:szCs w:val="20"/>
              </w:rPr>
            </w:pPr>
            <w:r>
              <w:rPr>
                <w:sz w:val="2"/>
                <w:szCs w:val="2"/>
              </w:rPr>
              <w:t>​</w:t>
            </w:r>
          </w:p>
        </w:tc>
      </w:tr>
      <w:tr w:rsidR="00000000" w14:paraId="35E0C325" w14:textId="77777777">
        <w:trPr>
          <w:divId w:val="2145543437"/>
        </w:trPr>
        <w:tc>
          <w:tcPr>
            <w:tcW w:w="3366" w:type="pct"/>
            <w:tcMar>
              <w:top w:w="0" w:type="dxa"/>
              <w:left w:w="0" w:type="dxa"/>
              <w:bottom w:w="0" w:type="dxa"/>
              <w:right w:w="0" w:type="dxa"/>
            </w:tcMar>
            <w:vAlign w:val="bottom"/>
            <w:hideMark/>
          </w:tcPr>
          <w:p w14:paraId="1CF76641" w14:textId="77777777" w:rsidR="00000000" w:rsidRDefault="001F1B20">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14:paraId="5A1A7CFD" w14:textId="77777777" w:rsidR="00000000" w:rsidRDefault="001F1B20">
            <w:pPr>
              <w:pStyle w:val="a3"/>
              <w:spacing w:before="0" w:beforeAutospacing="0" w:after="0" w:afterAutospacing="0"/>
              <w:jc w:val="center"/>
              <w:rPr>
                <w:sz w:val="20"/>
                <w:szCs w:val="20"/>
              </w:rPr>
            </w:pPr>
            <w:r>
              <w:rPr>
                <w:b/>
                <w:bCs/>
                <w:sz w:val="16"/>
                <w:szCs w:val="16"/>
              </w:rPr>
              <w:t>​</w:t>
            </w:r>
          </w:p>
        </w:tc>
        <w:tc>
          <w:tcPr>
            <w:tcW w:w="1006" w:type="pct"/>
            <w:gridSpan w:val="5"/>
            <w:noWrap/>
            <w:tcMar>
              <w:top w:w="0" w:type="dxa"/>
              <w:left w:w="0" w:type="dxa"/>
              <w:bottom w:w="0" w:type="dxa"/>
              <w:right w:w="0" w:type="dxa"/>
            </w:tcMar>
            <w:vAlign w:val="bottom"/>
            <w:hideMark/>
          </w:tcPr>
          <w:p w14:paraId="4539EAA6" w14:textId="77777777" w:rsidR="00000000" w:rsidRDefault="001F1B20">
            <w:pPr>
              <w:pStyle w:val="a3"/>
              <w:spacing w:before="0" w:beforeAutospacing="0" w:after="0" w:afterAutospacing="0"/>
              <w:jc w:val="center"/>
              <w:rPr>
                <w:sz w:val="16"/>
                <w:szCs w:val="16"/>
              </w:rPr>
            </w:pPr>
            <w:r>
              <w:rPr>
                <w:b/>
                <w:bCs/>
                <w:sz w:val="16"/>
                <w:szCs w:val="16"/>
              </w:rPr>
              <w:t xml:space="preserve">Nine Months Ended </w:t>
            </w:r>
          </w:p>
        </w:tc>
        <w:tc>
          <w:tcPr>
            <w:tcW w:w="79" w:type="pct"/>
            <w:noWrap/>
            <w:tcMar>
              <w:top w:w="0" w:type="dxa"/>
              <w:left w:w="0" w:type="dxa"/>
              <w:bottom w:w="0" w:type="dxa"/>
              <w:right w:w="0" w:type="dxa"/>
            </w:tcMar>
            <w:vAlign w:val="bottom"/>
            <w:hideMark/>
          </w:tcPr>
          <w:p w14:paraId="59EBBBFE" w14:textId="77777777" w:rsidR="00000000" w:rsidRDefault="001F1B20">
            <w:pPr>
              <w:pStyle w:val="a3"/>
              <w:spacing w:before="0" w:beforeAutospacing="0" w:after="0" w:afterAutospacing="0"/>
              <w:jc w:val="center"/>
              <w:rPr>
                <w:sz w:val="20"/>
                <w:szCs w:val="20"/>
              </w:rPr>
            </w:pPr>
            <w:r>
              <w:rPr>
                <w:b/>
                <w:bCs/>
                <w:sz w:val="16"/>
                <w:szCs w:val="16"/>
              </w:rPr>
              <w:t>​</w:t>
            </w:r>
          </w:p>
        </w:tc>
        <w:tc>
          <w:tcPr>
            <w:tcW w:w="463" w:type="pct"/>
            <w:gridSpan w:val="2"/>
            <w:noWrap/>
            <w:tcMar>
              <w:top w:w="0" w:type="dxa"/>
              <w:left w:w="0" w:type="dxa"/>
              <w:bottom w:w="0" w:type="dxa"/>
              <w:right w:w="0" w:type="dxa"/>
            </w:tcMar>
            <w:vAlign w:val="bottom"/>
            <w:hideMark/>
          </w:tcPr>
          <w:p w14:paraId="4397E95F" w14:textId="77777777" w:rsidR="00000000" w:rsidRDefault="001F1B20">
            <w:pPr>
              <w:pStyle w:val="a3"/>
              <w:spacing w:before="0" w:beforeAutospacing="0" w:after="0" w:afterAutospacing="0"/>
              <w:jc w:val="center"/>
              <w:rPr>
                <w:sz w:val="20"/>
                <w:szCs w:val="20"/>
              </w:rPr>
            </w:pPr>
            <w:r>
              <w:rPr>
                <w:b/>
                <w:bCs/>
                <w:sz w:val="16"/>
                <w:szCs w:val="16"/>
              </w:rPr>
              <w:t>​</w:t>
            </w:r>
          </w:p>
        </w:tc>
      </w:tr>
      <w:tr w:rsidR="00000000" w14:paraId="22D4FBAF" w14:textId="77777777">
        <w:trPr>
          <w:divId w:val="2145543437"/>
        </w:trPr>
        <w:tc>
          <w:tcPr>
            <w:tcW w:w="3366" w:type="pct"/>
            <w:tcMar>
              <w:top w:w="0" w:type="dxa"/>
              <w:left w:w="0" w:type="dxa"/>
              <w:bottom w:w="0" w:type="dxa"/>
              <w:right w:w="0" w:type="dxa"/>
            </w:tcMar>
            <w:vAlign w:val="bottom"/>
            <w:hideMark/>
          </w:tcPr>
          <w:p w14:paraId="0AAB2FEC" w14:textId="77777777" w:rsidR="00000000" w:rsidRDefault="001F1B20">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14:paraId="645A1D2A" w14:textId="77777777" w:rsidR="00000000" w:rsidRDefault="001F1B20">
            <w:pPr>
              <w:pStyle w:val="a3"/>
              <w:spacing w:before="0" w:beforeAutospacing="0" w:after="0" w:afterAutospacing="0"/>
              <w:jc w:val="center"/>
              <w:rPr>
                <w:sz w:val="20"/>
                <w:szCs w:val="20"/>
              </w:rPr>
            </w:pPr>
            <w:r>
              <w:rPr>
                <w:b/>
                <w:bCs/>
                <w:sz w:val="16"/>
                <w:szCs w:val="16"/>
              </w:rPr>
              <w:t>​</w:t>
            </w:r>
          </w:p>
        </w:tc>
        <w:tc>
          <w:tcPr>
            <w:tcW w:w="1006" w:type="pct"/>
            <w:gridSpan w:val="5"/>
            <w:tcBorders>
              <w:bottom w:val="single" w:sz="6" w:space="0" w:color="000000"/>
            </w:tcBorders>
            <w:noWrap/>
            <w:tcMar>
              <w:top w:w="0" w:type="dxa"/>
              <w:left w:w="0" w:type="dxa"/>
              <w:bottom w:w="0" w:type="dxa"/>
              <w:right w:w="0" w:type="dxa"/>
            </w:tcMar>
            <w:vAlign w:val="bottom"/>
            <w:hideMark/>
          </w:tcPr>
          <w:p w14:paraId="701DC971" w14:textId="77777777" w:rsidR="00000000" w:rsidRDefault="001F1B20">
            <w:pPr>
              <w:pStyle w:val="a3"/>
              <w:spacing w:before="0" w:beforeAutospacing="0" w:after="0" w:afterAutospacing="0"/>
              <w:jc w:val="center"/>
              <w:rPr>
                <w:sz w:val="16"/>
                <w:szCs w:val="16"/>
              </w:rPr>
            </w:pPr>
            <w:r>
              <w:rPr>
                <w:b/>
                <w:bCs/>
                <w:sz w:val="16"/>
                <w:szCs w:val="16"/>
              </w:rPr>
              <w:t>September 30, </w:t>
            </w:r>
          </w:p>
        </w:tc>
        <w:tc>
          <w:tcPr>
            <w:tcW w:w="79" w:type="pct"/>
            <w:noWrap/>
            <w:tcMar>
              <w:top w:w="0" w:type="dxa"/>
              <w:left w:w="0" w:type="dxa"/>
              <w:bottom w:w="0" w:type="dxa"/>
              <w:right w:w="0" w:type="dxa"/>
            </w:tcMar>
            <w:vAlign w:val="bottom"/>
            <w:hideMark/>
          </w:tcPr>
          <w:p w14:paraId="41C5F78D" w14:textId="77777777" w:rsidR="00000000" w:rsidRDefault="001F1B20">
            <w:pPr>
              <w:pStyle w:val="a3"/>
              <w:spacing w:before="0" w:beforeAutospacing="0" w:after="0" w:afterAutospacing="0"/>
              <w:jc w:val="center"/>
              <w:rPr>
                <w:sz w:val="20"/>
                <w:szCs w:val="20"/>
              </w:rPr>
            </w:pPr>
            <w:r>
              <w:rPr>
                <w:b/>
                <w:bCs/>
                <w:sz w:val="16"/>
                <w:szCs w:val="16"/>
              </w:rPr>
              <w:t>​</w:t>
            </w:r>
          </w:p>
        </w:tc>
        <w:tc>
          <w:tcPr>
            <w:tcW w:w="49" w:type="pct"/>
            <w:noWrap/>
            <w:tcMar>
              <w:top w:w="0" w:type="dxa"/>
              <w:left w:w="0" w:type="dxa"/>
              <w:bottom w:w="0" w:type="dxa"/>
              <w:right w:w="0" w:type="dxa"/>
            </w:tcMar>
            <w:vAlign w:val="bottom"/>
            <w:hideMark/>
          </w:tcPr>
          <w:p w14:paraId="62B6ADAB" w14:textId="77777777" w:rsidR="00000000" w:rsidRDefault="001F1B20">
            <w:pPr>
              <w:pStyle w:val="a3"/>
              <w:spacing w:before="0" w:beforeAutospacing="0" w:after="0" w:afterAutospacing="0"/>
              <w:jc w:val="center"/>
              <w:rPr>
                <w:sz w:val="20"/>
                <w:szCs w:val="20"/>
              </w:rPr>
            </w:pPr>
            <w:r>
              <w:rPr>
                <w:b/>
                <w:bCs/>
                <w:sz w:val="16"/>
                <w:szCs w:val="16"/>
              </w:rPr>
              <w:t>​</w:t>
            </w:r>
          </w:p>
        </w:tc>
        <w:tc>
          <w:tcPr>
            <w:tcW w:w="413" w:type="pct"/>
            <w:noWrap/>
            <w:tcMar>
              <w:top w:w="0" w:type="dxa"/>
              <w:left w:w="0" w:type="dxa"/>
              <w:bottom w:w="0" w:type="dxa"/>
              <w:right w:w="0" w:type="dxa"/>
            </w:tcMar>
            <w:vAlign w:val="bottom"/>
            <w:hideMark/>
          </w:tcPr>
          <w:p w14:paraId="153163F9" w14:textId="77777777" w:rsidR="00000000" w:rsidRDefault="001F1B20">
            <w:pPr>
              <w:pStyle w:val="a3"/>
              <w:spacing w:before="0" w:beforeAutospacing="0" w:after="0" w:afterAutospacing="0"/>
              <w:jc w:val="center"/>
              <w:rPr>
                <w:sz w:val="20"/>
                <w:szCs w:val="20"/>
              </w:rPr>
            </w:pPr>
            <w:r>
              <w:rPr>
                <w:b/>
                <w:bCs/>
                <w:sz w:val="16"/>
                <w:szCs w:val="16"/>
              </w:rPr>
              <w:t>​</w:t>
            </w:r>
          </w:p>
        </w:tc>
      </w:tr>
      <w:tr w:rsidR="00000000" w14:paraId="2B6E36B6" w14:textId="77777777">
        <w:trPr>
          <w:divId w:val="2145543437"/>
        </w:trPr>
        <w:tc>
          <w:tcPr>
            <w:tcW w:w="3366" w:type="pct"/>
            <w:tcBorders>
              <w:bottom w:val="single" w:sz="6" w:space="0" w:color="000000"/>
            </w:tcBorders>
            <w:tcMar>
              <w:top w:w="0" w:type="dxa"/>
              <w:left w:w="0" w:type="dxa"/>
              <w:bottom w:w="0" w:type="dxa"/>
              <w:right w:w="0" w:type="dxa"/>
            </w:tcMar>
            <w:vAlign w:val="bottom"/>
            <w:hideMark/>
          </w:tcPr>
          <w:p w14:paraId="5FC83334" w14:textId="77777777" w:rsidR="00000000" w:rsidRDefault="001F1B20">
            <w:pPr>
              <w:pStyle w:val="a3"/>
              <w:spacing w:before="0" w:beforeAutospacing="0" w:after="0" w:afterAutospacing="0"/>
              <w:rPr>
                <w:sz w:val="16"/>
                <w:szCs w:val="16"/>
              </w:rPr>
            </w:pPr>
            <w:r>
              <w:rPr>
                <w:b/>
                <w:bCs/>
                <w:sz w:val="16"/>
                <w:szCs w:val="16"/>
              </w:rPr>
              <w:t>(In thousands)</w:t>
            </w:r>
          </w:p>
        </w:tc>
        <w:tc>
          <w:tcPr>
            <w:tcW w:w="83" w:type="pct"/>
            <w:noWrap/>
            <w:tcMar>
              <w:top w:w="0" w:type="dxa"/>
              <w:left w:w="0" w:type="dxa"/>
              <w:bottom w:w="0" w:type="dxa"/>
              <w:right w:w="0" w:type="dxa"/>
            </w:tcMar>
            <w:vAlign w:val="bottom"/>
            <w:hideMark/>
          </w:tcPr>
          <w:p w14:paraId="1E61286F" w14:textId="77777777" w:rsidR="00000000" w:rsidRDefault="001F1B20">
            <w:pPr>
              <w:pStyle w:val="a3"/>
              <w:spacing w:before="0" w:beforeAutospacing="0" w:after="0" w:afterAutospacing="0"/>
              <w:jc w:val="center"/>
              <w:rPr>
                <w:sz w:val="16"/>
                <w:szCs w:val="16"/>
              </w:rPr>
            </w:pPr>
            <w:r>
              <w:rPr>
                <w:b/>
                <w:bCs/>
                <w:sz w:val="16"/>
                <w:szCs w:val="16"/>
              </w:rPr>
              <w:t>    </w:t>
            </w:r>
          </w:p>
        </w:tc>
        <w:tc>
          <w:tcPr>
            <w:tcW w:w="463" w:type="pct"/>
            <w:gridSpan w:val="2"/>
            <w:tcBorders>
              <w:bottom w:val="single" w:sz="6" w:space="0" w:color="000000"/>
            </w:tcBorders>
            <w:noWrap/>
            <w:tcMar>
              <w:top w:w="0" w:type="dxa"/>
              <w:left w:w="0" w:type="dxa"/>
              <w:bottom w:w="0" w:type="dxa"/>
              <w:right w:w="0" w:type="dxa"/>
            </w:tcMar>
            <w:vAlign w:val="bottom"/>
            <w:hideMark/>
          </w:tcPr>
          <w:p w14:paraId="1058FC4D" w14:textId="77777777" w:rsidR="00000000" w:rsidRDefault="001F1B20">
            <w:pPr>
              <w:pStyle w:val="a3"/>
              <w:spacing w:before="0" w:beforeAutospacing="0" w:after="0" w:afterAutospacing="0"/>
              <w:jc w:val="center"/>
              <w:rPr>
                <w:sz w:val="16"/>
                <w:szCs w:val="16"/>
              </w:rPr>
            </w:pPr>
            <w:r>
              <w:rPr>
                <w:b/>
                <w:bCs/>
                <w:sz w:val="16"/>
                <w:szCs w:val="16"/>
              </w:rPr>
              <w:t>2021</w:t>
            </w:r>
          </w:p>
        </w:tc>
        <w:tc>
          <w:tcPr>
            <w:tcW w:w="79" w:type="pct"/>
            <w:noWrap/>
            <w:tcMar>
              <w:top w:w="0" w:type="dxa"/>
              <w:left w:w="0" w:type="dxa"/>
              <w:bottom w:w="0" w:type="dxa"/>
              <w:right w:w="0" w:type="dxa"/>
            </w:tcMar>
            <w:vAlign w:val="bottom"/>
            <w:hideMark/>
          </w:tcPr>
          <w:p w14:paraId="40D3BE82" w14:textId="77777777" w:rsidR="00000000" w:rsidRDefault="001F1B20">
            <w:pPr>
              <w:pStyle w:val="a3"/>
              <w:spacing w:before="0" w:beforeAutospacing="0" w:after="0" w:afterAutospacing="0"/>
              <w:jc w:val="center"/>
              <w:rPr>
                <w:sz w:val="16"/>
                <w:szCs w:val="16"/>
              </w:rPr>
            </w:pPr>
            <w:r>
              <w:rPr>
                <w:b/>
                <w:bCs/>
                <w:sz w:val="16"/>
                <w:szCs w:val="16"/>
              </w:rPr>
              <w:t>    </w:t>
            </w:r>
          </w:p>
        </w:tc>
        <w:tc>
          <w:tcPr>
            <w:tcW w:w="463" w:type="pct"/>
            <w:gridSpan w:val="2"/>
            <w:tcBorders>
              <w:bottom w:val="single" w:sz="6" w:space="0" w:color="000000"/>
            </w:tcBorders>
            <w:noWrap/>
            <w:tcMar>
              <w:top w:w="0" w:type="dxa"/>
              <w:left w:w="0" w:type="dxa"/>
              <w:bottom w:w="0" w:type="dxa"/>
              <w:right w:w="0" w:type="dxa"/>
            </w:tcMar>
            <w:vAlign w:val="bottom"/>
            <w:hideMark/>
          </w:tcPr>
          <w:p w14:paraId="16406555" w14:textId="77777777" w:rsidR="00000000" w:rsidRDefault="001F1B20">
            <w:pPr>
              <w:pStyle w:val="a3"/>
              <w:spacing w:before="0" w:beforeAutospacing="0" w:after="0" w:afterAutospacing="0"/>
              <w:jc w:val="center"/>
              <w:rPr>
                <w:sz w:val="16"/>
                <w:szCs w:val="16"/>
              </w:rPr>
            </w:pPr>
            <w:r>
              <w:rPr>
                <w:b/>
                <w:bCs/>
                <w:sz w:val="16"/>
                <w:szCs w:val="16"/>
              </w:rPr>
              <w:t>2020</w:t>
            </w:r>
          </w:p>
        </w:tc>
        <w:tc>
          <w:tcPr>
            <w:tcW w:w="79" w:type="pct"/>
            <w:noWrap/>
            <w:tcMar>
              <w:top w:w="0" w:type="dxa"/>
              <w:left w:w="0" w:type="dxa"/>
              <w:bottom w:w="0" w:type="dxa"/>
              <w:right w:w="0" w:type="dxa"/>
            </w:tcMar>
            <w:vAlign w:val="bottom"/>
            <w:hideMark/>
          </w:tcPr>
          <w:p w14:paraId="3F7C3B21" w14:textId="77777777" w:rsidR="00000000" w:rsidRDefault="001F1B20">
            <w:pPr>
              <w:pStyle w:val="a3"/>
              <w:spacing w:before="0" w:beforeAutospacing="0" w:after="0" w:afterAutospacing="0"/>
              <w:jc w:val="center"/>
              <w:rPr>
                <w:sz w:val="16"/>
                <w:szCs w:val="16"/>
              </w:rPr>
            </w:pPr>
            <w:r>
              <w:rPr>
                <w:b/>
                <w:bCs/>
                <w:sz w:val="16"/>
                <w:szCs w:val="16"/>
              </w:rPr>
              <w:t>    </w:t>
            </w:r>
          </w:p>
        </w:tc>
        <w:tc>
          <w:tcPr>
            <w:tcW w:w="463" w:type="pct"/>
            <w:gridSpan w:val="2"/>
            <w:tcBorders>
              <w:bottom w:val="single" w:sz="6" w:space="0" w:color="000000"/>
            </w:tcBorders>
            <w:noWrap/>
            <w:tcMar>
              <w:top w:w="0" w:type="dxa"/>
              <w:left w:w="0" w:type="dxa"/>
              <w:bottom w:w="0" w:type="dxa"/>
              <w:right w:w="0" w:type="dxa"/>
            </w:tcMar>
            <w:vAlign w:val="bottom"/>
            <w:hideMark/>
          </w:tcPr>
          <w:p w14:paraId="1BF5453F" w14:textId="77777777" w:rsidR="00000000" w:rsidRDefault="001F1B20">
            <w:pPr>
              <w:pStyle w:val="a3"/>
              <w:spacing w:before="0" w:beforeAutospacing="0" w:after="0" w:afterAutospacing="0"/>
              <w:jc w:val="center"/>
              <w:rPr>
                <w:sz w:val="16"/>
                <w:szCs w:val="16"/>
              </w:rPr>
            </w:pPr>
            <w:r>
              <w:rPr>
                <w:b/>
                <w:bCs/>
                <w:sz w:val="16"/>
                <w:szCs w:val="16"/>
              </w:rPr>
              <w:t>Change</w:t>
            </w:r>
          </w:p>
        </w:tc>
      </w:tr>
      <w:tr w:rsidR="00000000" w14:paraId="4B340013" w14:textId="77777777">
        <w:trPr>
          <w:divId w:val="2145543437"/>
        </w:trPr>
        <w:tc>
          <w:tcPr>
            <w:tcW w:w="3366" w:type="pct"/>
            <w:shd w:val="clear" w:color="auto" w:fill="CCEEFF"/>
            <w:tcMar>
              <w:top w:w="0" w:type="dxa"/>
              <w:left w:w="0" w:type="dxa"/>
              <w:bottom w:w="0" w:type="dxa"/>
              <w:right w:w="0" w:type="dxa"/>
            </w:tcMar>
            <w:vAlign w:val="bottom"/>
            <w:hideMark/>
          </w:tcPr>
          <w:p w14:paraId="3E35C021" w14:textId="77777777" w:rsidR="00000000" w:rsidRDefault="001F1B20">
            <w:pPr>
              <w:pStyle w:val="a3"/>
              <w:spacing w:before="0" w:beforeAutospacing="0" w:after="0" w:afterAutospacing="0"/>
              <w:rPr>
                <w:sz w:val="20"/>
                <w:szCs w:val="20"/>
              </w:rPr>
            </w:pPr>
            <w:r>
              <w:rPr>
                <w:sz w:val="20"/>
                <w:szCs w:val="20"/>
              </w:rPr>
              <w:t>Net cash used in operating activities</w:t>
            </w:r>
          </w:p>
        </w:tc>
        <w:tc>
          <w:tcPr>
            <w:tcW w:w="83" w:type="pct"/>
            <w:shd w:val="clear" w:color="auto" w:fill="CCEEFF"/>
            <w:noWrap/>
            <w:tcMar>
              <w:top w:w="0" w:type="dxa"/>
              <w:left w:w="0" w:type="dxa"/>
              <w:bottom w:w="0" w:type="dxa"/>
              <w:right w:w="0" w:type="dxa"/>
            </w:tcMar>
            <w:vAlign w:val="bottom"/>
            <w:hideMark/>
          </w:tcPr>
          <w:p w14:paraId="2F188DED"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5C099211" w14:textId="77777777" w:rsidR="00000000" w:rsidRDefault="001F1B20">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76356F43" w14:textId="77777777" w:rsidR="00000000" w:rsidRDefault="001F1B20">
            <w:pPr>
              <w:pStyle w:val="a3"/>
              <w:spacing w:before="0" w:beforeAutospacing="0" w:after="0" w:afterAutospacing="0"/>
              <w:jc w:val="right"/>
              <w:rPr>
                <w:sz w:val="20"/>
                <w:szCs w:val="20"/>
              </w:rPr>
            </w:pPr>
            <w:r>
              <w:rPr>
                <w:sz w:val="20"/>
                <w:szCs w:val="20"/>
              </w:rPr>
              <w:t>(165,424</w:t>
            </w:r>
            <w:r>
              <w:rPr>
                <w:sz w:val="20"/>
                <w:szCs w:val="20"/>
              </w:rPr>
              <w:t>)</w:t>
            </w:r>
          </w:p>
        </w:tc>
        <w:tc>
          <w:tcPr>
            <w:tcW w:w="79" w:type="pct"/>
            <w:shd w:val="clear" w:color="auto" w:fill="CCEEFF"/>
            <w:noWrap/>
            <w:tcMar>
              <w:top w:w="0" w:type="dxa"/>
              <w:left w:w="0" w:type="dxa"/>
              <w:bottom w:w="0" w:type="dxa"/>
              <w:right w:w="0" w:type="dxa"/>
            </w:tcMar>
            <w:vAlign w:val="bottom"/>
            <w:hideMark/>
          </w:tcPr>
          <w:p w14:paraId="7AFA5C6A"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71B8511B" w14:textId="77777777" w:rsidR="00000000" w:rsidRDefault="001F1B20">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470C69BA" w14:textId="77777777" w:rsidR="00000000" w:rsidRDefault="001F1B20">
            <w:pPr>
              <w:pStyle w:val="a3"/>
              <w:spacing w:before="0" w:beforeAutospacing="0" w:after="0" w:afterAutospacing="0"/>
              <w:jc w:val="right"/>
              <w:rPr>
                <w:sz w:val="20"/>
                <w:szCs w:val="20"/>
              </w:rPr>
            </w:pPr>
            <w:r>
              <w:rPr>
                <w:sz w:val="20"/>
                <w:szCs w:val="20"/>
              </w:rPr>
              <w:t>(185,478</w:t>
            </w:r>
            <w:r>
              <w:rPr>
                <w:sz w:val="20"/>
                <w:szCs w:val="20"/>
              </w:rPr>
              <w:t>)</w:t>
            </w:r>
          </w:p>
        </w:tc>
        <w:tc>
          <w:tcPr>
            <w:tcW w:w="79" w:type="pct"/>
            <w:shd w:val="clear" w:color="auto" w:fill="CCEEFF"/>
            <w:noWrap/>
            <w:tcMar>
              <w:top w:w="0" w:type="dxa"/>
              <w:left w:w="0" w:type="dxa"/>
              <w:bottom w:w="0" w:type="dxa"/>
              <w:right w:w="0" w:type="dxa"/>
            </w:tcMar>
            <w:vAlign w:val="bottom"/>
            <w:hideMark/>
          </w:tcPr>
          <w:p w14:paraId="4240D438"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4C1A4567" w14:textId="77777777" w:rsidR="00000000" w:rsidRDefault="001F1B20">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14:paraId="26E57130" w14:textId="77777777" w:rsidR="00000000" w:rsidRDefault="001F1B20">
            <w:pPr>
              <w:pStyle w:val="a3"/>
              <w:spacing w:before="0" w:beforeAutospacing="0" w:after="0" w:afterAutospacing="0"/>
              <w:ind w:right="60"/>
              <w:jc w:val="right"/>
              <w:rPr>
                <w:sz w:val="20"/>
                <w:szCs w:val="20"/>
              </w:rPr>
            </w:pPr>
            <w:r>
              <w:rPr>
                <w:sz w:val="20"/>
                <w:szCs w:val="20"/>
              </w:rPr>
              <w:t>20,05</w:t>
            </w:r>
            <w:r>
              <w:rPr>
                <w:sz w:val="20"/>
                <w:szCs w:val="20"/>
              </w:rPr>
              <w:t>4</w:t>
            </w:r>
          </w:p>
        </w:tc>
      </w:tr>
      <w:tr w:rsidR="00000000" w14:paraId="4921EB69" w14:textId="77777777">
        <w:trPr>
          <w:divId w:val="2145543437"/>
        </w:trPr>
        <w:tc>
          <w:tcPr>
            <w:tcW w:w="3366" w:type="pct"/>
            <w:tcMar>
              <w:top w:w="0" w:type="dxa"/>
              <w:left w:w="0" w:type="dxa"/>
              <w:bottom w:w="0" w:type="dxa"/>
              <w:right w:w="0" w:type="dxa"/>
            </w:tcMar>
            <w:vAlign w:val="bottom"/>
            <w:hideMark/>
          </w:tcPr>
          <w:p w14:paraId="24F3B73D" w14:textId="77777777" w:rsidR="00000000" w:rsidRDefault="001F1B20">
            <w:pPr>
              <w:pStyle w:val="a3"/>
              <w:spacing w:before="0" w:beforeAutospacing="0" w:after="0" w:afterAutospacing="0"/>
              <w:rPr>
                <w:sz w:val="20"/>
                <w:szCs w:val="20"/>
              </w:rPr>
            </w:pPr>
            <w:r>
              <w:rPr>
                <w:sz w:val="20"/>
                <w:szCs w:val="20"/>
              </w:rPr>
              <w:t>Net cash provided by (used in) investing activities</w:t>
            </w:r>
          </w:p>
        </w:tc>
        <w:tc>
          <w:tcPr>
            <w:tcW w:w="83" w:type="pct"/>
            <w:noWrap/>
            <w:tcMar>
              <w:top w:w="0" w:type="dxa"/>
              <w:left w:w="0" w:type="dxa"/>
              <w:bottom w:w="0" w:type="dxa"/>
              <w:right w:w="0" w:type="dxa"/>
            </w:tcMar>
            <w:vAlign w:val="bottom"/>
            <w:hideMark/>
          </w:tcPr>
          <w:p w14:paraId="34C96CF0" w14:textId="77777777" w:rsidR="00000000" w:rsidRDefault="001F1B20">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2E64FB7F" w14:textId="77777777" w:rsidR="00000000" w:rsidRDefault="001F1B20">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14:paraId="7310F579" w14:textId="77777777" w:rsidR="00000000" w:rsidRDefault="001F1B20">
            <w:pPr>
              <w:pStyle w:val="a3"/>
              <w:spacing w:before="0" w:beforeAutospacing="0" w:after="0" w:afterAutospacing="0"/>
              <w:ind w:right="60"/>
              <w:jc w:val="right"/>
              <w:rPr>
                <w:sz w:val="20"/>
                <w:szCs w:val="20"/>
              </w:rPr>
            </w:pPr>
            <w:r>
              <w:rPr>
                <w:sz w:val="20"/>
                <w:szCs w:val="20"/>
              </w:rPr>
              <w:t>113,67</w:t>
            </w:r>
            <w:r>
              <w:rPr>
                <w:sz w:val="20"/>
                <w:szCs w:val="20"/>
              </w:rPr>
              <w:t>0</w:t>
            </w:r>
          </w:p>
        </w:tc>
        <w:tc>
          <w:tcPr>
            <w:tcW w:w="79" w:type="pct"/>
            <w:noWrap/>
            <w:tcMar>
              <w:top w:w="0" w:type="dxa"/>
              <w:left w:w="0" w:type="dxa"/>
              <w:bottom w:w="0" w:type="dxa"/>
              <w:right w:w="0" w:type="dxa"/>
            </w:tcMar>
            <w:vAlign w:val="bottom"/>
            <w:hideMark/>
          </w:tcPr>
          <w:p w14:paraId="6CA627F4" w14:textId="77777777" w:rsidR="00000000" w:rsidRDefault="001F1B20">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3D57A55D" w14:textId="77777777" w:rsidR="00000000" w:rsidRDefault="001F1B20">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14:paraId="666FC603" w14:textId="77777777" w:rsidR="00000000" w:rsidRDefault="001F1B20">
            <w:pPr>
              <w:pStyle w:val="a3"/>
              <w:spacing w:before="0" w:beforeAutospacing="0" w:after="0" w:afterAutospacing="0"/>
              <w:jc w:val="right"/>
              <w:rPr>
                <w:sz w:val="20"/>
                <w:szCs w:val="20"/>
              </w:rPr>
            </w:pPr>
            <w:r>
              <w:rPr>
                <w:sz w:val="20"/>
                <w:szCs w:val="20"/>
              </w:rPr>
              <w:t>(41,647</w:t>
            </w:r>
            <w:r>
              <w:rPr>
                <w:sz w:val="20"/>
                <w:szCs w:val="20"/>
              </w:rPr>
              <w:t>)</w:t>
            </w:r>
          </w:p>
        </w:tc>
        <w:tc>
          <w:tcPr>
            <w:tcW w:w="79" w:type="pct"/>
            <w:noWrap/>
            <w:tcMar>
              <w:top w:w="0" w:type="dxa"/>
              <w:left w:w="0" w:type="dxa"/>
              <w:bottom w:w="0" w:type="dxa"/>
              <w:right w:w="0" w:type="dxa"/>
            </w:tcMar>
            <w:vAlign w:val="bottom"/>
            <w:hideMark/>
          </w:tcPr>
          <w:p w14:paraId="690C4A23" w14:textId="77777777" w:rsidR="00000000" w:rsidRDefault="001F1B20">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14:paraId="178513E2" w14:textId="77777777" w:rsidR="00000000" w:rsidRDefault="001F1B20">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14:paraId="67587F8B" w14:textId="77777777" w:rsidR="00000000" w:rsidRDefault="001F1B20">
            <w:pPr>
              <w:pStyle w:val="a3"/>
              <w:spacing w:before="0" w:beforeAutospacing="0" w:after="0" w:afterAutospacing="0"/>
              <w:ind w:right="60"/>
              <w:jc w:val="right"/>
              <w:rPr>
                <w:sz w:val="20"/>
                <w:szCs w:val="20"/>
              </w:rPr>
            </w:pPr>
            <w:r>
              <w:rPr>
                <w:sz w:val="20"/>
                <w:szCs w:val="20"/>
              </w:rPr>
              <w:t>155,31</w:t>
            </w:r>
            <w:r>
              <w:rPr>
                <w:sz w:val="20"/>
                <w:szCs w:val="20"/>
              </w:rPr>
              <w:t>7</w:t>
            </w:r>
          </w:p>
        </w:tc>
      </w:tr>
      <w:tr w:rsidR="00000000" w14:paraId="0C707890" w14:textId="77777777">
        <w:trPr>
          <w:divId w:val="2145543437"/>
        </w:trPr>
        <w:tc>
          <w:tcPr>
            <w:tcW w:w="3366" w:type="pct"/>
            <w:shd w:val="clear" w:color="auto" w:fill="CCEEFF"/>
            <w:tcMar>
              <w:top w:w="0" w:type="dxa"/>
              <w:left w:w="0" w:type="dxa"/>
              <w:bottom w:w="0" w:type="dxa"/>
              <w:right w:w="0" w:type="dxa"/>
            </w:tcMar>
            <w:vAlign w:val="bottom"/>
            <w:hideMark/>
          </w:tcPr>
          <w:p w14:paraId="3550F4E9" w14:textId="77777777" w:rsidR="00000000" w:rsidRDefault="001F1B20">
            <w:pPr>
              <w:pStyle w:val="a3"/>
              <w:spacing w:before="0" w:beforeAutospacing="0" w:after="0" w:afterAutospacing="0"/>
              <w:rPr>
                <w:sz w:val="20"/>
                <w:szCs w:val="20"/>
              </w:rPr>
            </w:pPr>
            <w:r>
              <w:rPr>
                <w:sz w:val="20"/>
                <w:szCs w:val="20"/>
              </w:rPr>
              <w:t>Net cash provided by financing activities</w:t>
            </w:r>
          </w:p>
        </w:tc>
        <w:tc>
          <w:tcPr>
            <w:tcW w:w="83" w:type="pct"/>
            <w:shd w:val="clear" w:color="auto" w:fill="CCEEFF"/>
            <w:noWrap/>
            <w:tcMar>
              <w:top w:w="0" w:type="dxa"/>
              <w:left w:w="0" w:type="dxa"/>
              <w:bottom w:w="0" w:type="dxa"/>
              <w:right w:w="0" w:type="dxa"/>
            </w:tcMar>
            <w:vAlign w:val="bottom"/>
            <w:hideMark/>
          </w:tcPr>
          <w:p w14:paraId="7DD05958"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3D0088D8" w14:textId="77777777" w:rsidR="00000000" w:rsidRDefault="001F1B20">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588E9451" w14:textId="77777777" w:rsidR="00000000" w:rsidRDefault="001F1B20">
            <w:pPr>
              <w:pStyle w:val="a3"/>
              <w:spacing w:before="0" w:beforeAutospacing="0" w:after="0" w:afterAutospacing="0"/>
              <w:ind w:right="60"/>
              <w:jc w:val="right"/>
              <w:rPr>
                <w:sz w:val="20"/>
                <w:szCs w:val="20"/>
              </w:rPr>
            </w:pPr>
            <w:r>
              <w:rPr>
                <w:sz w:val="20"/>
                <w:szCs w:val="20"/>
              </w:rPr>
              <w:t>91,71</w:t>
            </w:r>
            <w:r>
              <w:rPr>
                <w:sz w:val="20"/>
                <w:szCs w:val="20"/>
              </w:rPr>
              <w:t>1</w:t>
            </w:r>
          </w:p>
        </w:tc>
        <w:tc>
          <w:tcPr>
            <w:tcW w:w="79" w:type="pct"/>
            <w:shd w:val="clear" w:color="auto" w:fill="CCEEFF"/>
            <w:noWrap/>
            <w:tcMar>
              <w:top w:w="0" w:type="dxa"/>
              <w:left w:w="0" w:type="dxa"/>
              <w:bottom w:w="0" w:type="dxa"/>
              <w:right w:w="0" w:type="dxa"/>
            </w:tcMar>
            <w:vAlign w:val="bottom"/>
            <w:hideMark/>
          </w:tcPr>
          <w:p w14:paraId="70DCDD0F"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64198F65" w14:textId="77777777" w:rsidR="00000000" w:rsidRDefault="001F1B20">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439EF4C7" w14:textId="77777777" w:rsidR="00000000" w:rsidRDefault="001F1B20">
            <w:pPr>
              <w:pStyle w:val="a3"/>
              <w:spacing w:before="0" w:beforeAutospacing="0" w:after="0" w:afterAutospacing="0"/>
              <w:ind w:right="60"/>
              <w:jc w:val="right"/>
              <w:rPr>
                <w:sz w:val="20"/>
                <w:szCs w:val="20"/>
              </w:rPr>
            </w:pPr>
            <w:r>
              <w:rPr>
                <w:sz w:val="20"/>
                <w:szCs w:val="20"/>
              </w:rPr>
              <w:t>262,34</w:t>
            </w:r>
            <w:r>
              <w:rPr>
                <w:sz w:val="20"/>
                <w:szCs w:val="20"/>
              </w:rPr>
              <w:t>2</w:t>
            </w:r>
          </w:p>
        </w:tc>
        <w:tc>
          <w:tcPr>
            <w:tcW w:w="79" w:type="pct"/>
            <w:shd w:val="clear" w:color="auto" w:fill="CCEEFF"/>
            <w:noWrap/>
            <w:tcMar>
              <w:top w:w="0" w:type="dxa"/>
              <w:left w:w="0" w:type="dxa"/>
              <w:bottom w:w="0" w:type="dxa"/>
              <w:right w:w="0" w:type="dxa"/>
            </w:tcMar>
            <w:vAlign w:val="bottom"/>
            <w:hideMark/>
          </w:tcPr>
          <w:p w14:paraId="44213D06" w14:textId="77777777" w:rsidR="00000000" w:rsidRDefault="001F1B20">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14:paraId="4A2EFB00" w14:textId="77777777" w:rsidR="00000000" w:rsidRDefault="001F1B20">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14:paraId="07601774" w14:textId="77777777" w:rsidR="00000000" w:rsidRDefault="001F1B20">
            <w:pPr>
              <w:pStyle w:val="a3"/>
              <w:spacing w:before="0" w:beforeAutospacing="0" w:after="0" w:afterAutospacing="0"/>
              <w:jc w:val="right"/>
              <w:rPr>
                <w:sz w:val="20"/>
                <w:szCs w:val="20"/>
              </w:rPr>
            </w:pPr>
            <w:r>
              <w:rPr>
                <w:sz w:val="20"/>
                <w:szCs w:val="20"/>
              </w:rPr>
              <w:t>(170,631</w:t>
            </w:r>
            <w:r>
              <w:rPr>
                <w:sz w:val="20"/>
                <w:szCs w:val="20"/>
              </w:rPr>
              <w:t>)</w:t>
            </w:r>
          </w:p>
        </w:tc>
      </w:tr>
    </w:tbl>
    <w:p w14:paraId="51CDE15C" w14:textId="77777777" w:rsidR="00000000" w:rsidRDefault="001F1B20">
      <w:pPr>
        <w:pStyle w:val="a3"/>
        <w:spacing w:before="0" w:beforeAutospacing="0" w:after="0" w:afterAutospacing="0"/>
        <w:divId w:val="2145543437"/>
        <w:rPr>
          <w:sz w:val="20"/>
          <w:szCs w:val="20"/>
        </w:rPr>
      </w:pPr>
      <w:r>
        <w:rPr>
          <w:sz w:val="20"/>
          <w:szCs w:val="20"/>
        </w:rPr>
        <w:t>​</w:t>
      </w:r>
    </w:p>
    <w:p w14:paraId="624B7756" w14:textId="77777777" w:rsidR="00000000" w:rsidRDefault="001F1B20">
      <w:pPr>
        <w:pStyle w:val="a3"/>
        <w:spacing w:before="0" w:beforeAutospacing="0" w:after="0" w:afterAutospacing="0"/>
        <w:divId w:val="2145543437"/>
        <w:rPr>
          <w:sz w:val="20"/>
          <w:szCs w:val="20"/>
        </w:rPr>
      </w:pPr>
      <w:r>
        <w:rPr>
          <w:i/>
          <w:iCs/>
          <w:sz w:val="20"/>
          <w:szCs w:val="20"/>
        </w:rPr>
        <w:t>Cash flows used in operating activities</w:t>
      </w:r>
    </w:p>
    <w:p w14:paraId="042E142F" w14:textId="77777777" w:rsidR="00000000" w:rsidRDefault="001F1B20">
      <w:pPr>
        <w:pStyle w:val="a3"/>
        <w:spacing w:before="0" w:beforeAutospacing="0" w:after="0" w:afterAutospacing="0"/>
        <w:divId w:val="2145543437"/>
        <w:rPr>
          <w:sz w:val="20"/>
          <w:szCs w:val="20"/>
        </w:rPr>
      </w:pPr>
      <w:r>
        <w:rPr>
          <w:sz w:val="20"/>
          <w:szCs w:val="20"/>
        </w:rPr>
        <w:t>​</w:t>
      </w:r>
    </w:p>
    <w:p w14:paraId="76C8FECD" w14:textId="77777777" w:rsidR="00000000" w:rsidRDefault="001F1B20">
      <w:pPr>
        <w:pStyle w:val="a3"/>
        <w:spacing w:before="0" w:beforeAutospacing="0" w:after="0" w:afterAutospacing="0"/>
        <w:ind w:firstLine="720"/>
        <w:divId w:val="2145543437"/>
        <w:rPr>
          <w:sz w:val="20"/>
          <w:szCs w:val="20"/>
        </w:rPr>
      </w:pPr>
      <w:r>
        <w:rPr>
          <w:sz w:val="20"/>
          <w:szCs w:val="20"/>
        </w:rPr>
        <w:t>Net cash used in operating activities was $165.4 million for the nine months ended September 30, 2021, consisting of a net loss of $167.4 million, a net increase in cash resulting from adjustments for non-cash and other reconciling items of $34.0 million a</w:t>
      </w:r>
      <w:r>
        <w:rPr>
          <w:sz w:val="20"/>
          <w:szCs w:val="20"/>
        </w:rPr>
        <w:t xml:space="preserve">nd a net decrease in cash resulting from changes in operating assets and liabilities of $32.0 million. </w:t>
      </w:r>
    </w:p>
    <w:p w14:paraId="17E3F35D" w14:textId="77777777" w:rsidR="00000000" w:rsidRDefault="001F1B20">
      <w:pPr>
        <w:pStyle w:val="a3"/>
        <w:spacing w:before="0" w:beforeAutospacing="0" w:after="0" w:afterAutospacing="0"/>
        <w:divId w:val="2145543437"/>
        <w:rPr>
          <w:sz w:val="20"/>
          <w:szCs w:val="20"/>
        </w:rPr>
      </w:pPr>
      <w:r>
        <w:rPr>
          <w:sz w:val="20"/>
          <w:szCs w:val="20"/>
        </w:rPr>
        <w:t>​</w:t>
      </w:r>
    </w:p>
    <w:p w14:paraId="1EFBF80D" w14:textId="77777777" w:rsidR="00000000" w:rsidRDefault="001F1B20">
      <w:pPr>
        <w:pStyle w:val="a3"/>
        <w:spacing w:before="0" w:beforeAutospacing="0" w:after="0" w:afterAutospacing="0"/>
        <w:ind w:firstLine="720"/>
        <w:divId w:val="2145543437"/>
        <w:rPr>
          <w:sz w:val="20"/>
          <w:szCs w:val="20"/>
        </w:rPr>
      </w:pPr>
      <w:r>
        <w:rPr>
          <w:sz w:val="20"/>
          <w:szCs w:val="20"/>
        </w:rPr>
        <w:t>Net cash used in operating activities was $185.5 million for the nine months ended September 30, 2020, consisting of a net loss of $219.6 million, a n</w:t>
      </w:r>
      <w:r>
        <w:rPr>
          <w:sz w:val="20"/>
          <w:szCs w:val="20"/>
        </w:rPr>
        <w:t xml:space="preserve">et increase in cash resulting from adjustments for non-cash and other reconciling items of $59.2 million and a net decrease in cash resulting from changes in operating assets and liabilities of $25.1 million. </w:t>
      </w:r>
    </w:p>
    <w:p w14:paraId="4367C637" w14:textId="77777777" w:rsidR="00000000" w:rsidRDefault="001F1B20">
      <w:pPr>
        <w:pStyle w:val="a3"/>
        <w:spacing w:before="0" w:beforeAutospacing="0" w:after="0" w:afterAutospacing="0"/>
        <w:divId w:val="2145543437"/>
        <w:rPr>
          <w:sz w:val="20"/>
          <w:szCs w:val="20"/>
        </w:rPr>
      </w:pPr>
      <w:r>
        <w:rPr>
          <w:sz w:val="20"/>
          <w:szCs w:val="20"/>
        </w:rPr>
        <w:t>​</w:t>
      </w:r>
    </w:p>
    <w:p w14:paraId="7F2C0E5C" w14:textId="77777777" w:rsidR="00000000" w:rsidRDefault="001F1B20">
      <w:pPr>
        <w:pStyle w:val="a3"/>
        <w:spacing w:before="0" w:beforeAutospacing="0" w:after="0" w:afterAutospacing="0"/>
        <w:divId w:val="2145543437"/>
        <w:rPr>
          <w:sz w:val="20"/>
          <w:szCs w:val="20"/>
        </w:rPr>
      </w:pPr>
      <w:r>
        <w:rPr>
          <w:i/>
          <w:iCs/>
          <w:sz w:val="20"/>
          <w:szCs w:val="20"/>
        </w:rPr>
        <w:t>Cash flows provided by (used in) investing a</w:t>
      </w:r>
      <w:r>
        <w:rPr>
          <w:i/>
          <w:iCs/>
          <w:sz w:val="20"/>
          <w:szCs w:val="20"/>
        </w:rPr>
        <w:t>ctivities</w:t>
      </w:r>
    </w:p>
    <w:p w14:paraId="582FCC37" w14:textId="77777777" w:rsidR="00000000" w:rsidRDefault="001F1B20">
      <w:pPr>
        <w:pStyle w:val="a3"/>
        <w:spacing w:before="0" w:beforeAutospacing="0" w:after="0" w:afterAutospacing="0"/>
        <w:divId w:val="2145543437"/>
        <w:rPr>
          <w:sz w:val="20"/>
          <w:szCs w:val="20"/>
        </w:rPr>
      </w:pPr>
      <w:r>
        <w:rPr>
          <w:sz w:val="20"/>
          <w:szCs w:val="20"/>
        </w:rPr>
        <w:t>​</w:t>
      </w:r>
    </w:p>
    <w:p w14:paraId="3CBA504B" w14:textId="77777777" w:rsidR="00000000" w:rsidRDefault="001F1B20">
      <w:pPr>
        <w:pStyle w:val="a3"/>
        <w:spacing w:before="0" w:beforeAutospacing="0" w:after="0" w:afterAutospacing="0"/>
        <w:ind w:firstLine="720"/>
        <w:divId w:val="2145543437"/>
        <w:rPr>
          <w:sz w:val="20"/>
          <w:szCs w:val="20"/>
        </w:rPr>
      </w:pPr>
      <w:r>
        <w:rPr>
          <w:sz w:val="20"/>
          <w:szCs w:val="20"/>
        </w:rPr>
        <w:t>Net cash provided by investing activities was $113.7 million for the nine months ended September 30, 2021, consisting primarily of cash inflows from the net purchase and maturities of marketable securities of $116.6 million and partially offset</w:t>
      </w:r>
      <w:r>
        <w:rPr>
          <w:sz w:val="20"/>
          <w:szCs w:val="20"/>
        </w:rPr>
        <w:t xml:space="preserve"> by $3.0 million used for the purchase of property and equipment. </w:t>
      </w:r>
    </w:p>
    <w:p w14:paraId="52A71FD1" w14:textId="77777777" w:rsidR="00000000" w:rsidRDefault="001F1B20">
      <w:pPr>
        <w:pStyle w:val="a3"/>
        <w:spacing w:before="0" w:beforeAutospacing="0" w:after="0" w:afterAutospacing="0"/>
        <w:divId w:val="2145543437"/>
        <w:rPr>
          <w:sz w:val="20"/>
          <w:szCs w:val="20"/>
        </w:rPr>
      </w:pPr>
      <w:r>
        <w:rPr>
          <w:sz w:val="20"/>
          <w:szCs w:val="20"/>
        </w:rPr>
        <w:t>​</w:t>
      </w:r>
    </w:p>
    <w:p w14:paraId="707C7535" w14:textId="77777777" w:rsidR="00000000" w:rsidRDefault="001F1B20">
      <w:pPr>
        <w:pStyle w:val="a3"/>
        <w:spacing w:before="0" w:beforeAutospacing="0" w:after="0" w:afterAutospacing="0"/>
        <w:ind w:firstLine="720"/>
        <w:divId w:val="2145543437"/>
        <w:rPr>
          <w:sz w:val="20"/>
          <w:szCs w:val="20"/>
        </w:rPr>
      </w:pPr>
      <w:r>
        <w:rPr>
          <w:sz w:val="20"/>
          <w:szCs w:val="20"/>
        </w:rPr>
        <w:t>Net cash used in investing activities was $41.6 million for the nine months ended September 30, 2020, consisting primarily of cash outflows from the net purchase and maturities of marketa</w:t>
      </w:r>
      <w:r>
        <w:rPr>
          <w:sz w:val="20"/>
          <w:szCs w:val="20"/>
        </w:rPr>
        <w:t xml:space="preserve">ble securities of $56.2 million and $5.4 million related to the purchase of property and equipment. The net cash outflow amounts above were partially offset by a $19.9 million cash inflow from the sale of marketable securities during the nine months ended </w:t>
      </w:r>
      <w:r>
        <w:rPr>
          <w:sz w:val="20"/>
          <w:szCs w:val="20"/>
        </w:rPr>
        <w:t>September 20, 2020.</w:t>
      </w:r>
    </w:p>
    <w:p w14:paraId="71A95BC0" w14:textId="77777777" w:rsidR="00000000" w:rsidRDefault="001F1B20">
      <w:pPr>
        <w:pStyle w:val="a3"/>
        <w:spacing w:before="0" w:beforeAutospacing="0" w:after="0" w:afterAutospacing="0"/>
        <w:divId w:val="2145543437"/>
        <w:rPr>
          <w:sz w:val="20"/>
          <w:szCs w:val="20"/>
        </w:rPr>
      </w:pPr>
      <w:r>
        <w:rPr>
          <w:sz w:val="20"/>
          <w:szCs w:val="20"/>
        </w:rPr>
        <w:t>​</w:t>
      </w:r>
    </w:p>
    <w:p w14:paraId="0931CB5D" w14:textId="77777777" w:rsidR="00000000" w:rsidRDefault="001F1B20">
      <w:pPr>
        <w:pStyle w:val="a3"/>
        <w:spacing w:before="0" w:beforeAutospacing="0" w:after="0" w:afterAutospacing="0"/>
        <w:divId w:val="2145543437"/>
        <w:rPr>
          <w:sz w:val="20"/>
          <w:szCs w:val="20"/>
        </w:rPr>
      </w:pPr>
      <w:r>
        <w:rPr>
          <w:i/>
          <w:iCs/>
          <w:sz w:val="20"/>
          <w:szCs w:val="20"/>
        </w:rPr>
        <w:t>Cash flows provided by financing activities</w:t>
      </w:r>
    </w:p>
    <w:p w14:paraId="565376F1" w14:textId="77777777" w:rsidR="00000000" w:rsidRDefault="001F1B20">
      <w:pPr>
        <w:pStyle w:val="a3"/>
        <w:spacing w:before="0" w:beforeAutospacing="0" w:after="0" w:afterAutospacing="0"/>
        <w:divId w:val="2145543437"/>
        <w:rPr>
          <w:sz w:val="20"/>
          <w:szCs w:val="20"/>
        </w:rPr>
      </w:pPr>
      <w:r>
        <w:rPr>
          <w:sz w:val="20"/>
          <w:szCs w:val="20"/>
        </w:rPr>
        <w:t>​</w:t>
      </w:r>
    </w:p>
    <w:p w14:paraId="5B06D251" w14:textId="77777777" w:rsidR="00000000" w:rsidRDefault="001F1B20">
      <w:pPr>
        <w:pStyle w:val="a3"/>
        <w:spacing w:before="0" w:beforeAutospacing="0" w:after="0" w:afterAutospacing="0"/>
        <w:ind w:firstLine="720"/>
        <w:divId w:val="2145543437"/>
        <w:rPr>
          <w:sz w:val="20"/>
          <w:szCs w:val="20"/>
        </w:rPr>
      </w:pPr>
      <w:r>
        <w:rPr>
          <w:sz w:val="20"/>
          <w:szCs w:val="20"/>
        </w:rPr>
        <w:t>Net cash provided by financing activities was $91.7 million for the nine months ended September 30, 2021, consisting of the sale of 7,705,000 ordinary shares for total net proceeds of $108</w:t>
      </w:r>
      <w:r>
        <w:rPr>
          <w:sz w:val="20"/>
          <w:szCs w:val="20"/>
        </w:rPr>
        <w:t>.2 million and $2.8 million in proceeds from ESPP and share option purchases. These proceeds were partially offset by $10.7 million in principal payments on the Non-Recourse 2035 Notes and $8.6 million related to the repurchase of shares to satisfy tax wit</w:t>
      </w:r>
      <w:r>
        <w:rPr>
          <w:sz w:val="20"/>
          <w:szCs w:val="20"/>
        </w:rPr>
        <w:t>hholding obligations.</w:t>
      </w:r>
    </w:p>
    <w:p w14:paraId="2FBF544E" w14:textId="77777777" w:rsidR="00000000" w:rsidRDefault="001F1B20">
      <w:pPr>
        <w:pStyle w:val="a3"/>
        <w:spacing w:before="0" w:beforeAutospacing="0" w:after="0" w:afterAutospacing="0"/>
        <w:divId w:val="2145543437"/>
        <w:rPr>
          <w:sz w:val="20"/>
          <w:szCs w:val="20"/>
        </w:rPr>
      </w:pPr>
      <w:r>
        <w:rPr>
          <w:sz w:val="20"/>
          <w:szCs w:val="20"/>
        </w:rPr>
        <w:t>​</w:t>
      </w:r>
    </w:p>
    <w:p w14:paraId="5A11F6DF" w14:textId="77777777" w:rsidR="00000000" w:rsidRDefault="001F1B20">
      <w:pPr>
        <w:pStyle w:val="a3"/>
        <w:spacing w:before="0" w:beforeAutospacing="0" w:after="0" w:afterAutospacing="0"/>
        <w:ind w:firstLine="720"/>
        <w:divId w:val="2145543437"/>
        <w:rPr>
          <w:sz w:val="20"/>
          <w:szCs w:val="20"/>
        </w:rPr>
      </w:pPr>
      <w:r>
        <w:rPr>
          <w:sz w:val="20"/>
          <w:szCs w:val="20"/>
        </w:rPr>
        <w:t>Net cash provided by financing activities was $262.3 million for the nine months ended September 30, 2020, consisting primarily of the sale of 5,500,000 ordinary shares for total net proceeds of $139.9 million and the issuance of ou</w:t>
      </w:r>
      <w:r>
        <w:rPr>
          <w:sz w:val="20"/>
          <w:szCs w:val="20"/>
        </w:rPr>
        <w:t>r Non-Recourse 2035 Notes for total net proceeds of $374.7 million. A portion of the of the Non-Recourse 2035 Notes proceeds were used to repay, in full, the remaining $235.3 million outstanding balance of our Non-Recourse 2033 Notes and an $11.5 million r</w:t>
      </w:r>
      <w:r>
        <w:rPr>
          <w:sz w:val="20"/>
          <w:szCs w:val="20"/>
        </w:rPr>
        <w:t>edemption premium related to the payoff of the Non-Recourse 2033 Notes. In addition to the above, net cash provided by financing activities was partially offset by the repurchase of shares to satisfy tax withholding obligations in the amount of $8.9 millio</w:t>
      </w:r>
      <w:r>
        <w:rPr>
          <w:sz w:val="20"/>
          <w:szCs w:val="20"/>
        </w:rPr>
        <w:t>n.</w:t>
      </w:r>
    </w:p>
    <w:p w14:paraId="7E38AE3D" w14:textId="77777777" w:rsidR="00000000" w:rsidRDefault="001F1B20">
      <w:pPr>
        <w:pStyle w:val="a3"/>
        <w:spacing w:before="0" w:beforeAutospacing="0" w:after="0" w:afterAutospacing="0"/>
        <w:divId w:val="2145543437"/>
        <w:rPr>
          <w:sz w:val="20"/>
          <w:szCs w:val="20"/>
        </w:rPr>
      </w:pPr>
      <w:r>
        <w:rPr>
          <w:sz w:val="20"/>
          <w:szCs w:val="20"/>
        </w:rPr>
        <w:t>​</w:t>
      </w:r>
    </w:p>
    <w:p w14:paraId="5F814335" w14:textId="77777777" w:rsidR="00000000" w:rsidRDefault="001F1B20">
      <w:pPr>
        <w:pStyle w:val="a3"/>
        <w:spacing w:before="0" w:beforeAutospacing="0" w:after="0" w:afterAutospacing="0"/>
        <w:divId w:val="2145543437"/>
        <w:rPr>
          <w:sz w:val="20"/>
          <w:szCs w:val="20"/>
        </w:rPr>
      </w:pPr>
      <w:r>
        <w:rPr>
          <w:b/>
          <w:bCs/>
          <w:i/>
          <w:iCs/>
          <w:sz w:val="20"/>
          <w:szCs w:val="20"/>
        </w:rPr>
        <w:t>Commitments and Contingencies</w:t>
      </w:r>
    </w:p>
    <w:p w14:paraId="7CFC3B91" w14:textId="77777777" w:rsidR="00000000" w:rsidRDefault="001F1B20">
      <w:pPr>
        <w:pStyle w:val="a3"/>
        <w:spacing w:before="0" w:beforeAutospacing="0" w:after="0" w:afterAutospacing="0"/>
        <w:divId w:val="2145543437"/>
        <w:rPr>
          <w:sz w:val="20"/>
          <w:szCs w:val="20"/>
        </w:rPr>
      </w:pPr>
      <w:r>
        <w:rPr>
          <w:sz w:val="20"/>
          <w:szCs w:val="20"/>
        </w:rPr>
        <w:t>​</w:t>
      </w:r>
    </w:p>
    <w:p w14:paraId="7386186B" w14:textId="77777777" w:rsidR="00000000" w:rsidRDefault="001F1B20">
      <w:pPr>
        <w:pStyle w:val="a3"/>
        <w:spacing w:before="0" w:beforeAutospacing="0" w:after="0" w:afterAutospacing="0"/>
        <w:ind w:firstLine="720"/>
        <w:divId w:val="2145543437"/>
        <w:rPr>
          <w:sz w:val="20"/>
          <w:szCs w:val="20"/>
        </w:rPr>
      </w:pPr>
      <w:r>
        <w:rPr>
          <w:sz w:val="20"/>
          <w:szCs w:val="20"/>
        </w:rPr>
        <w:t>We indemnify our officers and directors for certain events or occurrences, subject to certain limits. We believe the fair value of these indemnification agreements is minimal. Accordingly, we have not recognized any lia</w:t>
      </w:r>
      <w:r>
        <w:rPr>
          <w:sz w:val="20"/>
          <w:szCs w:val="20"/>
        </w:rPr>
        <w:t>bilities relating to these agreements as of September 30, 2021.</w:t>
      </w:r>
    </w:p>
    <w:p w14:paraId="7A63ACB1" w14:textId="77777777" w:rsidR="00000000" w:rsidRDefault="001F1B20">
      <w:pPr>
        <w:pStyle w:val="a3"/>
        <w:spacing w:before="360" w:beforeAutospacing="0" w:after="0" w:afterAutospacing="0"/>
        <w:jc w:val="center"/>
        <w:divId w:val="1058940445"/>
        <w:rPr>
          <w:sz w:val="20"/>
          <w:szCs w:val="20"/>
        </w:rPr>
      </w:pPr>
      <w:r>
        <w:rPr>
          <w:sz w:val="20"/>
          <w:szCs w:val="20"/>
        </w:rPr>
        <w:t>35</w:t>
      </w:r>
    </w:p>
    <w:p w14:paraId="5CE4EAD3" w14:textId="77777777" w:rsidR="00000000" w:rsidRDefault="001F1B20">
      <w:pPr>
        <w:pStyle w:val="a3"/>
        <w:spacing w:before="0" w:beforeAutospacing="0" w:after="600" w:afterAutospacing="0"/>
        <w:divId w:val="86390512"/>
        <w:rPr>
          <w:sz w:val="20"/>
          <w:szCs w:val="20"/>
        </w:rPr>
      </w:pPr>
      <w:hyperlink w:anchor="TOC" w:history="1">
        <w:r>
          <w:rPr>
            <w:rStyle w:val="a4"/>
            <w:sz w:val="20"/>
            <w:szCs w:val="20"/>
          </w:rPr>
          <w:t>Table of Contents</w:t>
        </w:r>
      </w:hyperlink>
    </w:p>
    <w:p w14:paraId="5511897A" w14:textId="77777777" w:rsidR="00000000" w:rsidRDefault="001F1B20">
      <w:pPr>
        <w:pStyle w:val="a3"/>
        <w:spacing w:before="0" w:beforeAutospacing="0" w:after="0" w:afterAutospacing="0"/>
        <w:divId w:val="1072774839"/>
        <w:rPr>
          <w:sz w:val="20"/>
          <w:szCs w:val="20"/>
        </w:rPr>
      </w:pPr>
      <w:r>
        <w:rPr>
          <w:sz w:val="20"/>
          <w:szCs w:val="20"/>
        </w:rPr>
        <w:t>​</w:t>
      </w:r>
    </w:p>
    <w:p w14:paraId="1CD3EB95" w14:textId="77777777" w:rsidR="00000000" w:rsidRDefault="001F1B20">
      <w:pPr>
        <w:pStyle w:val="a3"/>
        <w:spacing w:before="0" w:beforeAutospacing="0" w:after="0" w:afterAutospacing="0"/>
        <w:divId w:val="1072774839"/>
        <w:rPr>
          <w:sz w:val="20"/>
          <w:szCs w:val="20"/>
        </w:rPr>
      </w:pPr>
      <w:r>
        <w:rPr>
          <w:i/>
          <w:iCs/>
          <w:sz w:val="20"/>
          <w:szCs w:val="20"/>
        </w:rPr>
        <w:t>Performance-Contingent Awards</w:t>
      </w:r>
    </w:p>
    <w:p w14:paraId="090179F1" w14:textId="77777777" w:rsidR="00000000" w:rsidRDefault="001F1B20">
      <w:pPr>
        <w:pStyle w:val="a3"/>
        <w:spacing w:before="0" w:beforeAutospacing="0" w:after="0" w:afterAutospacing="0"/>
        <w:divId w:val="1072774839"/>
        <w:rPr>
          <w:sz w:val="20"/>
          <w:szCs w:val="20"/>
        </w:rPr>
      </w:pPr>
      <w:r>
        <w:rPr>
          <w:sz w:val="20"/>
          <w:szCs w:val="20"/>
        </w:rPr>
        <w:t>​</w:t>
      </w:r>
    </w:p>
    <w:p w14:paraId="18AFB89E" w14:textId="77777777" w:rsidR="00000000" w:rsidRDefault="001F1B20">
      <w:pPr>
        <w:pStyle w:val="a3"/>
        <w:spacing w:before="0" w:beforeAutospacing="0" w:after="0" w:afterAutospacing="0"/>
        <w:ind w:firstLine="720"/>
        <w:divId w:val="1072774839"/>
        <w:rPr>
          <w:sz w:val="20"/>
          <w:szCs w:val="20"/>
        </w:rPr>
      </w:pPr>
      <w:r>
        <w:rPr>
          <w:sz w:val="20"/>
          <w:szCs w:val="20"/>
        </w:rPr>
        <w:t>We periodically grant performance-contingent awards to our employees. For the nine months ended September 30, 2021, we recognized $0.7 million of aggregate share-based compensation expense and cash bonus expense related to these types of awards. As of Sept</w:t>
      </w:r>
      <w:r>
        <w:rPr>
          <w:sz w:val="20"/>
          <w:szCs w:val="20"/>
        </w:rPr>
        <w:t>ember 30, 2021, the maximum remaining expense related to outstanding performance-contingent awards was $0.5 million which had performance expiration dates through June 2022.</w:t>
      </w:r>
    </w:p>
    <w:p w14:paraId="284A435E" w14:textId="77777777" w:rsidR="00000000" w:rsidRDefault="001F1B20">
      <w:pPr>
        <w:pStyle w:val="a3"/>
        <w:spacing w:before="0" w:beforeAutospacing="0" w:after="0" w:afterAutospacing="0"/>
        <w:divId w:val="1072774839"/>
        <w:rPr>
          <w:sz w:val="20"/>
          <w:szCs w:val="20"/>
        </w:rPr>
      </w:pPr>
      <w:r>
        <w:rPr>
          <w:sz w:val="20"/>
          <w:szCs w:val="20"/>
        </w:rPr>
        <w:t>​</w:t>
      </w:r>
    </w:p>
    <w:p w14:paraId="440728F1" w14:textId="77777777" w:rsidR="00000000" w:rsidRDefault="001F1B20">
      <w:pPr>
        <w:pStyle w:val="a3"/>
        <w:spacing w:before="0" w:beforeAutospacing="0" w:after="0" w:afterAutospacing="0"/>
        <w:divId w:val="1072774839"/>
        <w:rPr>
          <w:sz w:val="20"/>
          <w:szCs w:val="20"/>
        </w:rPr>
      </w:pPr>
      <w:r>
        <w:rPr>
          <w:b/>
          <w:bCs/>
          <w:i/>
          <w:iCs/>
          <w:sz w:val="20"/>
          <w:szCs w:val="20"/>
        </w:rPr>
        <w:t>Off-Balance Sheet Arrangements</w:t>
      </w:r>
    </w:p>
    <w:p w14:paraId="61BA7D71" w14:textId="77777777" w:rsidR="00000000" w:rsidRDefault="001F1B20">
      <w:pPr>
        <w:pStyle w:val="a3"/>
        <w:spacing w:before="0" w:beforeAutospacing="0" w:after="0" w:afterAutospacing="0"/>
        <w:divId w:val="1072774839"/>
        <w:rPr>
          <w:sz w:val="20"/>
          <w:szCs w:val="20"/>
        </w:rPr>
      </w:pPr>
      <w:r>
        <w:rPr>
          <w:sz w:val="20"/>
          <w:szCs w:val="20"/>
        </w:rPr>
        <w:t>​</w:t>
      </w:r>
    </w:p>
    <w:p w14:paraId="4A6B345D" w14:textId="77777777" w:rsidR="00000000" w:rsidRDefault="001F1B20">
      <w:pPr>
        <w:pStyle w:val="a3"/>
        <w:spacing w:before="0" w:beforeAutospacing="0" w:after="0" w:afterAutospacing="0"/>
        <w:ind w:firstLine="720"/>
        <w:divId w:val="1072774839"/>
        <w:rPr>
          <w:sz w:val="20"/>
          <w:szCs w:val="20"/>
        </w:rPr>
      </w:pPr>
      <w:r>
        <w:rPr>
          <w:sz w:val="20"/>
          <w:szCs w:val="20"/>
        </w:rPr>
        <w:t>There have been no material changes in our off-</w:t>
      </w:r>
      <w:r>
        <w:rPr>
          <w:sz w:val="20"/>
          <w:szCs w:val="20"/>
        </w:rPr>
        <w:t>balance sheet arrangements from those set forth in our Annual Report on Form 10-K for the year ended December 31, 2020, filed with the SEC on February 26, 2021.</w:t>
      </w:r>
    </w:p>
    <w:p w14:paraId="0DC4A53C" w14:textId="77777777" w:rsidR="00000000" w:rsidRDefault="001F1B20">
      <w:pPr>
        <w:pStyle w:val="a3"/>
        <w:spacing w:before="0" w:beforeAutospacing="0" w:after="0" w:afterAutospacing="0"/>
        <w:divId w:val="1072774839"/>
        <w:rPr>
          <w:sz w:val="20"/>
          <w:szCs w:val="20"/>
        </w:rPr>
      </w:pPr>
      <w:r>
        <w:rPr>
          <w:sz w:val="20"/>
          <w:szCs w:val="20"/>
        </w:rPr>
        <w:t>​</w:t>
      </w:r>
    </w:p>
    <w:p w14:paraId="4C03B348" w14:textId="77777777" w:rsidR="00000000" w:rsidRDefault="001F1B20">
      <w:pPr>
        <w:pStyle w:val="a3"/>
        <w:spacing w:before="0" w:beforeAutospacing="0" w:after="0" w:afterAutospacing="0"/>
        <w:divId w:val="1072774839"/>
        <w:rPr>
          <w:sz w:val="20"/>
          <w:szCs w:val="20"/>
        </w:rPr>
      </w:pPr>
      <w:r>
        <w:rPr>
          <w:b/>
          <w:bCs/>
          <w:i/>
          <w:iCs/>
          <w:sz w:val="20"/>
          <w:szCs w:val="20"/>
        </w:rPr>
        <w:t>Contractual Obligations and Commercial Commitments</w:t>
      </w:r>
    </w:p>
    <w:p w14:paraId="4501ABBF" w14:textId="77777777" w:rsidR="00000000" w:rsidRDefault="001F1B20">
      <w:pPr>
        <w:pStyle w:val="a3"/>
        <w:spacing w:before="0" w:beforeAutospacing="0" w:after="0" w:afterAutospacing="0"/>
        <w:divId w:val="1072774839"/>
        <w:rPr>
          <w:sz w:val="20"/>
          <w:szCs w:val="20"/>
        </w:rPr>
      </w:pPr>
      <w:r>
        <w:rPr>
          <w:sz w:val="20"/>
          <w:szCs w:val="20"/>
        </w:rPr>
        <w:t>​</w:t>
      </w:r>
    </w:p>
    <w:p w14:paraId="6C268903" w14:textId="77777777" w:rsidR="00000000" w:rsidRDefault="001F1B20">
      <w:pPr>
        <w:pStyle w:val="a3"/>
        <w:spacing w:before="0" w:beforeAutospacing="0" w:after="0" w:afterAutospacing="0"/>
        <w:ind w:firstLine="720"/>
        <w:divId w:val="1072774839"/>
        <w:rPr>
          <w:sz w:val="20"/>
          <w:szCs w:val="20"/>
        </w:rPr>
      </w:pPr>
      <w:r>
        <w:rPr>
          <w:sz w:val="20"/>
          <w:szCs w:val="20"/>
        </w:rPr>
        <w:t>There have been no material changes in o</w:t>
      </w:r>
      <w:r>
        <w:rPr>
          <w:sz w:val="20"/>
          <w:szCs w:val="20"/>
        </w:rPr>
        <w:t>ur contractual obligations and commercial commitments from those set forth in our Annual Report on Form 10-K for the year ended December 31, 2020, filed with the SEC on February 26, 2021.</w:t>
      </w:r>
      <w:r>
        <w:rPr>
          <w:color w:val="FF0000"/>
          <w:sz w:val="20"/>
          <w:szCs w:val="20"/>
        </w:rPr>
        <w:t xml:space="preserve"> </w:t>
      </w:r>
      <w:r>
        <w:rPr>
          <w:sz w:val="20"/>
          <w:szCs w:val="20"/>
        </w:rPr>
        <w:t>However, as a result of the Restructuring, we anticipate that our fu</w:t>
      </w:r>
      <w:r>
        <w:rPr>
          <w:sz w:val="20"/>
          <w:szCs w:val="20"/>
        </w:rPr>
        <w:t>ture contractual obligations and commercial commitments will decrease significantly, and we will disclose updated information in our upcoming Annual Report on Form 10-K for the year ending December 31, 2021</w:t>
      </w:r>
      <w:r>
        <w:rPr>
          <w:color w:val="FF0000"/>
          <w:sz w:val="20"/>
          <w:szCs w:val="20"/>
        </w:rPr>
        <w:t>.</w:t>
      </w:r>
    </w:p>
    <w:p w14:paraId="1D6334FF" w14:textId="77777777" w:rsidR="00000000" w:rsidRDefault="001F1B20">
      <w:pPr>
        <w:pStyle w:val="a3"/>
        <w:spacing w:before="0" w:beforeAutospacing="0" w:after="0" w:afterAutospacing="0"/>
        <w:divId w:val="1072774839"/>
        <w:rPr>
          <w:sz w:val="20"/>
          <w:szCs w:val="20"/>
        </w:rPr>
      </w:pPr>
      <w:r>
        <w:rPr>
          <w:sz w:val="20"/>
          <w:szCs w:val="20"/>
        </w:rPr>
        <w:t>​</w:t>
      </w:r>
    </w:p>
    <w:p w14:paraId="01F4ECB0" w14:textId="77777777" w:rsidR="00000000" w:rsidRDefault="001F1B20">
      <w:pPr>
        <w:pStyle w:val="a3"/>
        <w:spacing w:before="0" w:beforeAutospacing="0" w:after="0" w:afterAutospacing="0"/>
        <w:divId w:val="1072774839"/>
        <w:rPr>
          <w:sz w:val="20"/>
          <w:szCs w:val="20"/>
        </w:rPr>
      </w:pPr>
      <w:r>
        <w:rPr>
          <w:b/>
          <w:bCs/>
          <w:sz w:val="20"/>
          <w:szCs w:val="20"/>
        </w:rPr>
        <w:t>ITEM 3.   QUANTITATIVE AND QUALITATIVE DISCLOS</w:t>
      </w:r>
      <w:r>
        <w:rPr>
          <w:b/>
          <w:bCs/>
          <w:sz w:val="20"/>
          <w:szCs w:val="20"/>
        </w:rPr>
        <w:t xml:space="preserve">URES ABOUT MARKET RISK </w:t>
      </w:r>
    </w:p>
    <w:p w14:paraId="2C28CB72" w14:textId="77777777" w:rsidR="00000000" w:rsidRDefault="001F1B20">
      <w:pPr>
        <w:pStyle w:val="a3"/>
        <w:spacing w:before="0" w:beforeAutospacing="0" w:after="0" w:afterAutospacing="0"/>
        <w:divId w:val="1072774839"/>
        <w:rPr>
          <w:sz w:val="20"/>
          <w:szCs w:val="20"/>
        </w:rPr>
      </w:pPr>
      <w:r>
        <w:rPr>
          <w:sz w:val="20"/>
          <w:szCs w:val="20"/>
        </w:rPr>
        <w:t>​</w:t>
      </w:r>
    </w:p>
    <w:p w14:paraId="34118E0A" w14:textId="77777777" w:rsidR="00000000" w:rsidRDefault="001F1B20">
      <w:pPr>
        <w:pStyle w:val="a3"/>
        <w:shd w:val="clear" w:color="auto" w:fill="FFFFFF"/>
        <w:spacing w:before="0" w:beforeAutospacing="0" w:after="0" w:afterAutospacing="0"/>
        <w:ind w:firstLine="720"/>
        <w:divId w:val="1072774839"/>
        <w:rPr>
          <w:sz w:val="20"/>
          <w:szCs w:val="20"/>
        </w:rPr>
      </w:pPr>
      <w:r>
        <w:rPr>
          <w:sz w:val="20"/>
          <w:szCs w:val="20"/>
        </w:rPr>
        <w:t xml:space="preserve">Our market risks, as of September 30, 2021, have not changed materially from those discussed in </w:t>
      </w:r>
      <w:r>
        <w:rPr>
          <w:i/>
          <w:iCs/>
          <w:sz w:val="20"/>
          <w:szCs w:val="20"/>
        </w:rPr>
        <w:t>“Item 7A. Quantitative and Qualitative Disclosures About Market Risk”</w:t>
      </w:r>
      <w:r>
        <w:rPr>
          <w:sz w:val="20"/>
          <w:szCs w:val="20"/>
        </w:rPr>
        <w:t xml:space="preserve"> of our Annual Report on Form 10-K for the year ended December 31</w:t>
      </w:r>
      <w:r>
        <w:rPr>
          <w:sz w:val="20"/>
          <w:szCs w:val="20"/>
        </w:rPr>
        <w:t xml:space="preserve">, 2020, filed with the SEC on February 26, 2021. </w:t>
      </w:r>
    </w:p>
    <w:p w14:paraId="2082D3E7" w14:textId="77777777" w:rsidR="00000000" w:rsidRDefault="001F1B20">
      <w:pPr>
        <w:pStyle w:val="a3"/>
        <w:spacing w:before="0" w:beforeAutospacing="0" w:after="0" w:afterAutospacing="0"/>
        <w:divId w:val="1072774839"/>
        <w:rPr>
          <w:sz w:val="20"/>
          <w:szCs w:val="20"/>
        </w:rPr>
      </w:pPr>
      <w:r>
        <w:rPr>
          <w:sz w:val="20"/>
          <w:szCs w:val="20"/>
        </w:rPr>
        <w:t>​</w:t>
      </w:r>
    </w:p>
    <w:p w14:paraId="5607F638" w14:textId="77777777" w:rsidR="00000000" w:rsidRDefault="001F1B20">
      <w:pPr>
        <w:pStyle w:val="a3"/>
        <w:spacing w:before="0" w:beforeAutospacing="0" w:after="0" w:afterAutospacing="0"/>
        <w:divId w:val="1072774839"/>
        <w:rPr>
          <w:sz w:val="20"/>
          <w:szCs w:val="20"/>
        </w:rPr>
      </w:pPr>
      <w:r>
        <w:rPr>
          <w:b/>
          <w:bCs/>
          <w:sz w:val="20"/>
          <w:szCs w:val="20"/>
        </w:rPr>
        <w:t>ITEM 4.   CONTROLS AND PROCEDURES</w:t>
      </w:r>
    </w:p>
    <w:p w14:paraId="0A7DB01E" w14:textId="77777777" w:rsidR="00000000" w:rsidRDefault="001F1B20">
      <w:pPr>
        <w:pStyle w:val="a3"/>
        <w:spacing w:before="0" w:beforeAutospacing="0" w:after="0" w:afterAutospacing="0"/>
        <w:divId w:val="1072774839"/>
        <w:rPr>
          <w:sz w:val="20"/>
          <w:szCs w:val="20"/>
        </w:rPr>
      </w:pPr>
      <w:r>
        <w:rPr>
          <w:sz w:val="20"/>
          <w:szCs w:val="20"/>
        </w:rPr>
        <w:t>​</w:t>
      </w:r>
    </w:p>
    <w:p w14:paraId="12DA2659" w14:textId="77777777" w:rsidR="00000000" w:rsidRDefault="001F1B20">
      <w:pPr>
        <w:pStyle w:val="a3"/>
        <w:spacing w:before="0" w:beforeAutospacing="0" w:after="0" w:afterAutospacing="0"/>
        <w:divId w:val="1072774839"/>
        <w:rPr>
          <w:sz w:val="20"/>
          <w:szCs w:val="20"/>
        </w:rPr>
      </w:pPr>
      <w:r>
        <w:rPr>
          <w:b/>
          <w:bCs/>
          <w:i/>
          <w:iCs/>
          <w:sz w:val="20"/>
          <w:szCs w:val="20"/>
        </w:rPr>
        <w:t>Evaluation of Disclosure Controls and Procedures</w:t>
      </w:r>
    </w:p>
    <w:p w14:paraId="55FDE7B1" w14:textId="77777777" w:rsidR="00000000" w:rsidRDefault="001F1B20">
      <w:pPr>
        <w:pStyle w:val="a3"/>
        <w:spacing w:before="0" w:beforeAutospacing="0" w:after="0" w:afterAutospacing="0"/>
        <w:divId w:val="1072774839"/>
        <w:rPr>
          <w:sz w:val="20"/>
          <w:szCs w:val="20"/>
        </w:rPr>
      </w:pPr>
      <w:r>
        <w:rPr>
          <w:sz w:val="20"/>
          <w:szCs w:val="20"/>
        </w:rPr>
        <w:t>​</w:t>
      </w:r>
    </w:p>
    <w:p w14:paraId="08AE5675" w14:textId="77777777" w:rsidR="00000000" w:rsidRDefault="001F1B20">
      <w:pPr>
        <w:pStyle w:val="a3"/>
        <w:spacing w:before="0" w:beforeAutospacing="0" w:after="0" w:afterAutospacing="0"/>
        <w:ind w:firstLine="720"/>
        <w:divId w:val="1072774839"/>
        <w:rPr>
          <w:sz w:val="20"/>
          <w:szCs w:val="20"/>
        </w:rPr>
      </w:pPr>
      <w:r>
        <w:rPr>
          <w:sz w:val="20"/>
          <w:szCs w:val="20"/>
        </w:rPr>
        <w:t>We conducted an evaluation required by paragraph (d) of Rule 13a-15 of the Exchange Act as of September 30, 2021, und</w:t>
      </w:r>
      <w:r>
        <w:rPr>
          <w:sz w:val="20"/>
          <w:szCs w:val="20"/>
        </w:rPr>
        <w:t xml:space="preserve">er the supervision and with the participation of our management, including our Chief Executive Officer and Chief Financial Officer, of the effectiveness of the design and operation of our disclosure controls and procedures (as defined under Rule 13a-15(e) </w:t>
      </w:r>
      <w:r>
        <w:rPr>
          <w:sz w:val="20"/>
          <w:szCs w:val="20"/>
        </w:rPr>
        <w:t>of the Exchange Act), which are controls and other procedures of a company that are designed to ensure that information required to be disclosed by a company in the reports that it files under the Exchange Act is recorded, processed, summarized and reporte</w:t>
      </w:r>
      <w:r>
        <w:rPr>
          <w:sz w:val="20"/>
          <w:szCs w:val="20"/>
        </w:rPr>
        <w:t>d within required time periods. Based upon that evaluation, our Chief Executive Officer and Chief Financial Officer concluded that, as of such date, our disclosure controls and procedures were effective at the reasonable assurance level.</w:t>
      </w:r>
    </w:p>
    <w:p w14:paraId="23378239" w14:textId="77777777" w:rsidR="00000000" w:rsidRDefault="001F1B20">
      <w:pPr>
        <w:pStyle w:val="a3"/>
        <w:spacing w:before="0" w:beforeAutospacing="0" w:after="0" w:afterAutospacing="0"/>
        <w:divId w:val="1072774839"/>
        <w:rPr>
          <w:sz w:val="20"/>
          <w:szCs w:val="20"/>
        </w:rPr>
      </w:pPr>
      <w:r>
        <w:rPr>
          <w:sz w:val="20"/>
          <w:szCs w:val="20"/>
        </w:rPr>
        <w:t>​</w:t>
      </w:r>
    </w:p>
    <w:p w14:paraId="238B95A2" w14:textId="77777777" w:rsidR="00000000" w:rsidRDefault="001F1B20">
      <w:pPr>
        <w:pStyle w:val="a3"/>
        <w:spacing w:before="0" w:beforeAutospacing="0" w:after="0" w:afterAutospacing="0"/>
        <w:divId w:val="1072774839"/>
        <w:rPr>
          <w:sz w:val="20"/>
          <w:szCs w:val="20"/>
        </w:rPr>
      </w:pPr>
      <w:r>
        <w:rPr>
          <w:b/>
          <w:bCs/>
          <w:i/>
          <w:iCs/>
          <w:sz w:val="20"/>
          <w:szCs w:val="20"/>
        </w:rPr>
        <w:t>Limitations on t</w:t>
      </w:r>
      <w:r>
        <w:rPr>
          <w:b/>
          <w:bCs/>
          <w:i/>
          <w:iCs/>
          <w:sz w:val="20"/>
          <w:szCs w:val="20"/>
        </w:rPr>
        <w:t>he Effectiveness of Controls</w:t>
      </w:r>
    </w:p>
    <w:p w14:paraId="3CF821EC" w14:textId="77777777" w:rsidR="00000000" w:rsidRDefault="001F1B20">
      <w:pPr>
        <w:pStyle w:val="a3"/>
        <w:spacing w:before="0" w:beforeAutospacing="0" w:after="0" w:afterAutospacing="0"/>
        <w:divId w:val="1072774839"/>
        <w:rPr>
          <w:sz w:val="20"/>
          <w:szCs w:val="20"/>
        </w:rPr>
      </w:pPr>
      <w:r>
        <w:rPr>
          <w:sz w:val="20"/>
          <w:szCs w:val="20"/>
        </w:rPr>
        <w:t>​</w:t>
      </w:r>
    </w:p>
    <w:p w14:paraId="163A2BCF" w14:textId="77777777" w:rsidR="00000000" w:rsidRDefault="001F1B20">
      <w:pPr>
        <w:pStyle w:val="a3"/>
        <w:spacing w:before="0" w:beforeAutospacing="0" w:after="0" w:afterAutospacing="0"/>
        <w:ind w:firstLine="720"/>
        <w:divId w:val="1072774839"/>
        <w:rPr>
          <w:sz w:val="20"/>
          <w:szCs w:val="20"/>
        </w:rPr>
      </w:pPr>
      <w:r>
        <w:rPr>
          <w:sz w:val="20"/>
          <w:szCs w:val="20"/>
        </w:rPr>
        <w:t>Our management, including our Chief Executive Officer and Chief Financial Officer, does not expect that our disclosure controls and procedures or our internal control over financial reporting will prevent all error and all fr</w:t>
      </w:r>
      <w:r>
        <w:rPr>
          <w:sz w:val="20"/>
          <w:szCs w:val="20"/>
        </w:rPr>
        <w:t xml:space="preserve">aud. A control system, no matter how well conceived and operated, can provide only reasonable, not absolute, assurance that the objectives of the control system are met. Further, the design of a control system must reflect the fact that there are resource </w:t>
      </w:r>
      <w:r>
        <w:rPr>
          <w:sz w:val="20"/>
          <w:szCs w:val="20"/>
        </w:rPr>
        <w:t>constraints, and the benefit of controls must be considered relative to their costs. Because of the inherent limitations in all control systems, no evaluation of controls can provide absolute assurance that all control issues and instances of fraud, if any</w:t>
      </w:r>
      <w:r>
        <w:rPr>
          <w:sz w:val="20"/>
          <w:szCs w:val="20"/>
        </w:rPr>
        <w:t>, within Theravance Biopharma have been detected. Also, projections of any evaluation of effectiveness to future periods are subject to the risk that controls may become inadequate because of changes in conditions, or that the degree of compliance with the</w:t>
      </w:r>
      <w:r>
        <w:rPr>
          <w:sz w:val="20"/>
          <w:szCs w:val="20"/>
        </w:rPr>
        <w:t xml:space="preserve"> policies or procedures may deteriorate.</w:t>
      </w:r>
    </w:p>
    <w:p w14:paraId="50AF6C34" w14:textId="77777777" w:rsidR="00000000" w:rsidRDefault="001F1B20">
      <w:pPr>
        <w:pStyle w:val="a3"/>
        <w:spacing w:before="0" w:beforeAutospacing="0" w:after="0" w:afterAutospacing="0"/>
        <w:divId w:val="1072774839"/>
        <w:rPr>
          <w:sz w:val="20"/>
          <w:szCs w:val="20"/>
        </w:rPr>
      </w:pPr>
      <w:r>
        <w:rPr>
          <w:sz w:val="20"/>
          <w:szCs w:val="20"/>
        </w:rPr>
        <w:t>​</w:t>
      </w:r>
    </w:p>
    <w:p w14:paraId="74D6F615" w14:textId="77777777" w:rsidR="00000000" w:rsidRDefault="001F1B20">
      <w:pPr>
        <w:pStyle w:val="a3"/>
        <w:spacing w:before="360" w:beforeAutospacing="0" w:after="0" w:afterAutospacing="0"/>
        <w:jc w:val="center"/>
        <w:divId w:val="408426325"/>
        <w:rPr>
          <w:sz w:val="20"/>
          <w:szCs w:val="20"/>
        </w:rPr>
      </w:pPr>
      <w:r>
        <w:rPr>
          <w:sz w:val="20"/>
          <w:szCs w:val="20"/>
        </w:rPr>
        <w:t>36</w:t>
      </w:r>
    </w:p>
    <w:p w14:paraId="75AB72BF" w14:textId="77777777" w:rsidR="00000000" w:rsidRDefault="001F1B20">
      <w:pPr>
        <w:pStyle w:val="a3"/>
        <w:spacing w:before="0" w:beforeAutospacing="0" w:after="600" w:afterAutospacing="0"/>
        <w:divId w:val="1092622156"/>
        <w:rPr>
          <w:sz w:val="20"/>
          <w:szCs w:val="20"/>
        </w:rPr>
      </w:pPr>
      <w:hyperlink w:anchor="TOC" w:history="1">
        <w:r>
          <w:rPr>
            <w:rStyle w:val="a4"/>
            <w:sz w:val="20"/>
            <w:szCs w:val="20"/>
          </w:rPr>
          <w:t>Table of Contents</w:t>
        </w:r>
      </w:hyperlink>
    </w:p>
    <w:p w14:paraId="4D5DF19D" w14:textId="77777777" w:rsidR="00000000" w:rsidRDefault="001F1B20">
      <w:pPr>
        <w:pStyle w:val="a3"/>
        <w:spacing w:before="0" w:beforeAutospacing="0" w:after="0" w:afterAutospacing="0"/>
        <w:divId w:val="1314681992"/>
        <w:rPr>
          <w:sz w:val="20"/>
          <w:szCs w:val="20"/>
        </w:rPr>
      </w:pPr>
      <w:r>
        <w:rPr>
          <w:b/>
          <w:bCs/>
          <w:i/>
          <w:iCs/>
          <w:sz w:val="20"/>
          <w:szCs w:val="20"/>
        </w:rPr>
        <w:t>Changes in Internal Control over Financial Reporting</w:t>
      </w:r>
    </w:p>
    <w:p w14:paraId="280AE0FD" w14:textId="77777777" w:rsidR="00000000" w:rsidRDefault="001F1B20">
      <w:pPr>
        <w:pStyle w:val="a3"/>
        <w:spacing w:before="0" w:beforeAutospacing="0" w:after="0" w:afterAutospacing="0"/>
        <w:divId w:val="1314681992"/>
        <w:rPr>
          <w:sz w:val="20"/>
          <w:szCs w:val="20"/>
        </w:rPr>
      </w:pPr>
      <w:r>
        <w:rPr>
          <w:sz w:val="20"/>
          <w:szCs w:val="20"/>
        </w:rPr>
        <w:t>​</w:t>
      </w:r>
    </w:p>
    <w:p w14:paraId="4466124A" w14:textId="77777777" w:rsidR="00000000" w:rsidRDefault="001F1B20">
      <w:pPr>
        <w:pStyle w:val="a3"/>
        <w:spacing w:before="0" w:beforeAutospacing="0" w:after="0" w:afterAutospacing="0"/>
        <w:ind w:firstLine="720"/>
        <w:divId w:val="1314681992"/>
        <w:rPr>
          <w:sz w:val="20"/>
          <w:szCs w:val="20"/>
        </w:rPr>
      </w:pPr>
      <w:r>
        <w:rPr>
          <w:sz w:val="20"/>
          <w:szCs w:val="20"/>
        </w:rPr>
        <w:t>There was no change in our internal control over financial reporting (as defined in Rule 13a-15(f) of the Exchange Act) identified in connection with the evaluation required by paragraph (d) of Rule 13a-15 of the Exchange Act, which occurred during the thi</w:t>
      </w:r>
      <w:r>
        <w:rPr>
          <w:sz w:val="20"/>
          <w:szCs w:val="20"/>
        </w:rPr>
        <w:t>rd quarter of the year ending December 31, 2021 which has materially affected, or is reasonably likely to materially affect, our internal control over financial reporting.</w:t>
      </w:r>
    </w:p>
    <w:p w14:paraId="1AD88C8F" w14:textId="77777777" w:rsidR="00000000" w:rsidRDefault="001F1B20">
      <w:pPr>
        <w:pStyle w:val="a3"/>
        <w:spacing w:before="0" w:beforeAutospacing="0" w:after="0" w:afterAutospacing="0"/>
        <w:divId w:val="1314681992"/>
        <w:rPr>
          <w:sz w:val="20"/>
          <w:szCs w:val="20"/>
        </w:rPr>
      </w:pPr>
      <w:r>
        <w:rPr>
          <w:sz w:val="20"/>
          <w:szCs w:val="20"/>
        </w:rPr>
        <w:t>​</w:t>
      </w:r>
    </w:p>
    <w:p w14:paraId="0094FE1A" w14:textId="77777777" w:rsidR="00000000" w:rsidRDefault="001F1B20">
      <w:pPr>
        <w:pStyle w:val="a3"/>
        <w:spacing w:before="0" w:beforeAutospacing="0" w:after="0" w:afterAutospacing="0"/>
        <w:divId w:val="1314681992"/>
        <w:rPr>
          <w:sz w:val="20"/>
          <w:szCs w:val="20"/>
        </w:rPr>
      </w:pPr>
      <w:r>
        <w:rPr>
          <w:b/>
          <w:bCs/>
          <w:sz w:val="20"/>
          <w:szCs w:val="20"/>
        </w:rPr>
        <w:t>PART II.  OTHER INFORMATION</w:t>
      </w:r>
    </w:p>
    <w:p w14:paraId="6EE4EF1A" w14:textId="77777777" w:rsidR="00000000" w:rsidRDefault="001F1B20">
      <w:pPr>
        <w:pStyle w:val="a3"/>
        <w:spacing w:before="0" w:beforeAutospacing="0" w:after="0" w:afterAutospacing="0"/>
        <w:divId w:val="1314681992"/>
        <w:rPr>
          <w:sz w:val="20"/>
          <w:szCs w:val="20"/>
        </w:rPr>
      </w:pPr>
      <w:r>
        <w:rPr>
          <w:sz w:val="20"/>
          <w:szCs w:val="20"/>
        </w:rPr>
        <w:t>​</w:t>
      </w:r>
    </w:p>
    <w:p w14:paraId="5FB5B979" w14:textId="77777777" w:rsidR="00000000" w:rsidRDefault="001F1B20">
      <w:pPr>
        <w:pStyle w:val="a3"/>
        <w:spacing w:before="0" w:beforeAutospacing="0" w:after="0" w:afterAutospacing="0"/>
        <w:divId w:val="1314681992"/>
        <w:rPr>
          <w:sz w:val="20"/>
          <w:szCs w:val="20"/>
        </w:rPr>
      </w:pPr>
      <w:r>
        <w:rPr>
          <w:b/>
          <w:bCs/>
          <w:sz w:val="20"/>
          <w:szCs w:val="20"/>
        </w:rPr>
        <w:t>ITEM 1.   LEGAL PROCEEDINGS</w:t>
      </w:r>
    </w:p>
    <w:p w14:paraId="59993417" w14:textId="77777777" w:rsidR="00000000" w:rsidRDefault="001F1B20">
      <w:pPr>
        <w:pStyle w:val="a3"/>
        <w:spacing w:before="0" w:beforeAutospacing="0" w:after="0" w:afterAutospacing="0"/>
        <w:divId w:val="1314681992"/>
        <w:rPr>
          <w:sz w:val="20"/>
          <w:szCs w:val="20"/>
        </w:rPr>
      </w:pPr>
      <w:r>
        <w:rPr>
          <w:sz w:val="20"/>
          <w:szCs w:val="20"/>
        </w:rPr>
        <w:t>​</w:t>
      </w:r>
    </w:p>
    <w:p w14:paraId="65704E17" w14:textId="77777777" w:rsidR="00000000" w:rsidRDefault="001F1B20">
      <w:pPr>
        <w:pStyle w:val="a3"/>
        <w:spacing w:before="0" w:beforeAutospacing="0" w:after="0" w:afterAutospacing="0"/>
        <w:ind w:firstLine="720"/>
        <w:divId w:val="1314681992"/>
        <w:rPr>
          <w:sz w:val="20"/>
          <w:szCs w:val="20"/>
        </w:rPr>
      </w:pPr>
      <w:r>
        <w:rPr>
          <w:sz w:val="20"/>
          <w:szCs w:val="20"/>
        </w:rPr>
        <w:t>On June 10, 2020, we d</w:t>
      </w:r>
      <w:r>
        <w:rPr>
          <w:sz w:val="20"/>
          <w:szCs w:val="20"/>
        </w:rPr>
        <w:t xml:space="preserve">isclosed in a Form 8-K that we had formally objected to TRC and Innoviva, as the manager of TRC, regarding their proposed plan to use TRELEGY royalties to invest in certain privately-held companies, funds that would otherwise be available for distribution </w:t>
      </w:r>
      <w:r>
        <w:rPr>
          <w:sz w:val="20"/>
          <w:szCs w:val="20"/>
        </w:rPr>
        <w:t xml:space="preserve">to us under the terms of the TRC LLC Agreement. In this regard, we initiated an arbitration proceeding in October 2020 against Innoviva and TRC, challenging the authority of Innoviva and TRC to pursue such a business plan rather than distribute such funds </w:t>
      </w:r>
      <w:r>
        <w:rPr>
          <w:sz w:val="20"/>
          <w:szCs w:val="20"/>
        </w:rPr>
        <w:t>to us in a manner that we believe is consistent with the TRC LLC Agreement and our 85% economic interest in TRC. The arbitration hearing was held during the week of February 16, 2021, with post-hearing briefing and arguments taking place over the following</w:t>
      </w:r>
      <w:r>
        <w:rPr>
          <w:sz w:val="20"/>
          <w:szCs w:val="20"/>
        </w:rPr>
        <w:t xml:space="preserve"> few weeks. </w:t>
      </w:r>
    </w:p>
    <w:p w14:paraId="2070AC3D" w14:textId="77777777" w:rsidR="00000000" w:rsidRDefault="001F1B20">
      <w:pPr>
        <w:pStyle w:val="a3"/>
        <w:spacing w:before="0" w:beforeAutospacing="0" w:after="0" w:afterAutospacing="0"/>
        <w:ind w:firstLine="720"/>
        <w:divId w:val="1314681992"/>
        <w:rPr>
          <w:sz w:val="20"/>
          <w:szCs w:val="20"/>
        </w:rPr>
      </w:pPr>
      <w:r>
        <w:rPr>
          <w:sz w:val="20"/>
          <w:szCs w:val="20"/>
        </w:rPr>
        <w:t>​</w:t>
      </w:r>
    </w:p>
    <w:p w14:paraId="1D8C5882" w14:textId="77777777" w:rsidR="00000000" w:rsidRDefault="001F1B20">
      <w:pPr>
        <w:pStyle w:val="a3"/>
        <w:spacing w:before="0" w:beforeAutospacing="0" w:after="0" w:afterAutospacing="0"/>
        <w:ind w:firstLine="720"/>
        <w:divId w:val="1314681992"/>
        <w:rPr>
          <w:sz w:val="20"/>
          <w:szCs w:val="20"/>
        </w:rPr>
      </w:pPr>
      <w:r>
        <w:rPr>
          <w:sz w:val="20"/>
          <w:szCs w:val="20"/>
        </w:rPr>
        <w:t>On March 30, 2021, the arbitrator ruled that, at its current levels of investment, Innoviva and TRC had not breached the LLC Agreement. The arbitrator further ruled that Innoviva and TRC had not breached the implied covenant of good faith an</w:t>
      </w:r>
      <w:r>
        <w:rPr>
          <w:sz w:val="20"/>
          <w:szCs w:val="20"/>
        </w:rPr>
        <w:t>d fair dealing; or their fiduciary duties. The arbitrator also ruled that (i) Innoviva is entitled to indemnification from TRC for all legal fees and expenses reasonably incurred in the arbitration and (ii) we are entitled to indemnification from TRC for l</w:t>
      </w:r>
      <w:r>
        <w:rPr>
          <w:sz w:val="20"/>
          <w:szCs w:val="20"/>
        </w:rPr>
        <w:t>egal fees and costs incurred in defending an action Innoviva brought against us in the Delaware Court of Chancery. The arbitrator noted in the ruling that although we failed to show that Innoviva’s investment activities, at the current levels of investment</w:t>
      </w:r>
      <w:r>
        <w:rPr>
          <w:sz w:val="20"/>
          <w:szCs w:val="20"/>
        </w:rPr>
        <w:t>, have or will have a material and adverse effect on our economic interest in TRC, this does not mean that any future investments or actions will not require our consent. The arbitrator noted in the ruling that we may, in the future, have a consent right o</w:t>
      </w:r>
      <w:r>
        <w:rPr>
          <w:sz w:val="20"/>
          <w:szCs w:val="20"/>
        </w:rPr>
        <w:t>ver the decision to continue this investment strategy or whether to make a particular investment if, for example, Innoviva develops a track record of poor investments, over allocates royalties to these investment activities, or fails to distribute sufficie</w:t>
      </w:r>
      <w:r>
        <w:rPr>
          <w:sz w:val="20"/>
          <w:szCs w:val="20"/>
        </w:rPr>
        <w:t>nt investment returns, and such facts cause the strategy or investment to have a material adverse effect on our economic interest in TRC.</w:t>
      </w:r>
    </w:p>
    <w:p w14:paraId="2C2C3D7B" w14:textId="77777777" w:rsidR="00000000" w:rsidRDefault="001F1B20">
      <w:pPr>
        <w:pStyle w:val="a3"/>
        <w:spacing w:before="0" w:beforeAutospacing="0" w:after="0" w:afterAutospacing="0"/>
        <w:ind w:firstLine="720"/>
        <w:divId w:val="1314681992"/>
        <w:rPr>
          <w:sz w:val="20"/>
          <w:szCs w:val="20"/>
        </w:rPr>
      </w:pPr>
      <w:r>
        <w:rPr>
          <w:sz w:val="20"/>
          <w:szCs w:val="20"/>
        </w:rPr>
        <w:t>​</w:t>
      </w:r>
    </w:p>
    <w:p w14:paraId="383F71C0" w14:textId="77777777" w:rsidR="00000000" w:rsidRDefault="001F1B20">
      <w:pPr>
        <w:pStyle w:val="a3"/>
        <w:spacing w:before="0" w:beforeAutospacing="0" w:after="0" w:afterAutospacing="0"/>
        <w:ind w:firstLine="720"/>
        <w:divId w:val="1314681992"/>
        <w:rPr>
          <w:sz w:val="20"/>
          <w:szCs w:val="20"/>
        </w:rPr>
      </w:pPr>
      <w:r>
        <w:rPr>
          <w:sz w:val="20"/>
          <w:szCs w:val="20"/>
          <w:shd w:val="clear" w:color="auto" w:fill="FFFFFF"/>
        </w:rPr>
        <w:t>On April 15, 2021, Innoviva filed a Verified Complaint in the Court of Chancery to confirm the arbitration award. On</w:t>
      </w:r>
      <w:r>
        <w:rPr>
          <w:sz w:val="20"/>
          <w:szCs w:val="20"/>
          <w:shd w:val="clear" w:color="auto" w:fill="FFFFFF"/>
        </w:rPr>
        <w:t xml:space="preserve"> May 19, 2021, we submitted an answer to the Verified Complaint and filed a Motion to Modify the Arbitral Award. The parties filed a proposed stipulation to remand the motion to the arbitrator for his consideration, which the Court of Chancery granted. The</w:t>
      </w:r>
      <w:r>
        <w:rPr>
          <w:sz w:val="20"/>
          <w:szCs w:val="20"/>
          <w:shd w:val="clear" w:color="auto" w:fill="FFFFFF"/>
        </w:rPr>
        <w:t xml:space="preserve"> parties submitted briefs to the arbitrator. On August 6, 2021, the arbitrator issued a modified final award, which did not materially affect any of the arbitrator’s ultimate conclusions. The modified award was confirmed by the Court of Chancery on Septemb</w:t>
      </w:r>
      <w:r>
        <w:rPr>
          <w:sz w:val="20"/>
          <w:szCs w:val="20"/>
          <w:shd w:val="clear" w:color="auto" w:fill="FFFFFF"/>
        </w:rPr>
        <w:t>er 16, 2021.</w:t>
      </w:r>
    </w:p>
    <w:p w14:paraId="74FB92F6" w14:textId="77777777" w:rsidR="00000000" w:rsidRDefault="001F1B20">
      <w:pPr>
        <w:pStyle w:val="a3"/>
        <w:spacing w:before="0" w:beforeAutospacing="0" w:after="0" w:afterAutospacing="0"/>
        <w:divId w:val="1314681992"/>
        <w:rPr>
          <w:sz w:val="20"/>
          <w:szCs w:val="20"/>
        </w:rPr>
      </w:pPr>
      <w:r>
        <w:rPr>
          <w:sz w:val="20"/>
          <w:szCs w:val="20"/>
        </w:rPr>
        <w:t>​</w:t>
      </w:r>
    </w:p>
    <w:p w14:paraId="7241DAC1" w14:textId="77777777" w:rsidR="00000000" w:rsidRDefault="001F1B20">
      <w:pPr>
        <w:pStyle w:val="a3"/>
        <w:spacing w:before="0" w:beforeAutospacing="0" w:after="0" w:afterAutospacing="0"/>
        <w:divId w:val="1314681992"/>
        <w:rPr>
          <w:sz w:val="20"/>
          <w:szCs w:val="20"/>
        </w:rPr>
      </w:pPr>
      <w:r>
        <w:rPr>
          <w:b/>
          <w:bCs/>
          <w:sz w:val="20"/>
          <w:szCs w:val="20"/>
        </w:rPr>
        <w:t>ITEM 1A.  RISK FACTORS</w:t>
      </w:r>
    </w:p>
    <w:p w14:paraId="637213D3" w14:textId="77777777" w:rsidR="00000000" w:rsidRDefault="001F1B20">
      <w:pPr>
        <w:pStyle w:val="a3"/>
        <w:spacing w:before="0" w:beforeAutospacing="0" w:after="0" w:afterAutospacing="0"/>
        <w:divId w:val="1314681992"/>
        <w:rPr>
          <w:sz w:val="20"/>
          <w:szCs w:val="20"/>
        </w:rPr>
      </w:pPr>
      <w:r>
        <w:rPr>
          <w:sz w:val="20"/>
          <w:szCs w:val="20"/>
        </w:rPr>
        <w:t>​</w:t>
      </w:r>
    </w:p>
    <w:p w14:paraId="2A6F6D48" w14:textId="77777777" w:rsidR="00000000" w:rsidRDefault="001F1B20">
      <w:pPr>
        <w:pStyle w:val="a3"/>
        <w:spacing w:before="0" w:beforeAutospacing="0" w:after="0" w:afterAutospacing="0"/>
        <w:ind w:firstLine="720"/>
        <w:divId w:val="1314681992"/>
        <w:rPr>
          <w:sz w:val="20"/>
          <w:szCs w:val="20"/>
        </w:rPr>
      </w:pPr>
      <w:r>
        <w:rPr>
          <w:sz w:val="20"/>
          <w:szCs w:val="20"/>
        </w:rPr>
        <w:t>The risks described below and elsewhere in this Quarterly Report on Form 10-Q and in our other public filings with the SEC are not the only risks facing the Company. Additional risks and uncertainties not currently k</w:t>
      </w:r>
      <w:r>
        <w:rPr>
          <w:sz w:val="20"/>
          <w:szCs w:val="20"/>
        </w:rPr>
        <w:t>nown to us or that we currently deem to be immaterial also may materially adversely affect our business, financial condition and/or operating results.</w:t>
      </w:r>
    </w:p>
    <w:p w14:paraId="0FC01EA7" w14:textId="77777777" w:rsidR="00000000" w:rsidRDefault="001F1B20">
      <w:pPr>
        <w:pStyle w:val="a3"/>
        <w:spacing w:before="0" w:beforeAutospacing="0" w:after="0" w:afterAutospacing="0"/>
        <w:ind w:firstLine="720"/>
        <w:divId w:val="1314681992"/>
        <w:rPr>
          <w:sz w:val="20"/>
          <w:szCs w:val="20"/>
        </w:rPr>
      </w:pPr>
      <w:r>
        <w:rPr>
          <w:sz w:val="20"/>
          <w:szCs w:val="20"/>
        </w:rPr>
        <w:t>​</w:t>
      </w:r>
    </w:p>
    <w:p w14:paraId="5864A8AF" w14:textId="77777777" w:rsidR="00000000" w:rsidRDefault="001F1B20">
      <w:pPr>
        <w:pStyle w:val="a3"/>
        <w:spacing w:before="0" w:beforeAutospacing="0" w:after="0" w:afterAutospacing="0"/>
        <w:ind w:firstLine="720"/>
        <w:divId w:val="1314681992"/>
        <w:rPr>
          <w:sz w:val="20"/>
          <w:szCs w:val="20"/>
        </w:rPr>
      </w:pPr>
      <w:r>
        <w:rPr>
          <w:b/>
          <w:bCs/>
          <w:sz w:val="20"/>
          <w:szCs w:val="20"/>
        </w:rPr>
        <w:t xml:space="preserve">Summary of Principal Risks Associated with Theravance Biopharma’s Business </w:t>
      </w:r>
    </w:p>
    <w:p w14:paraId="28A82E5F" w14:textId="77777777" w:rsidR="00000000" w:rsidRDefault="001F1B20">
      <w:pPr>
        <w:pStyle w:val="a3"/>
        <w:spacing w:before="0" w:beforeAutospacing="0" w:after="0" w:afterAutospacing="0"/>
        <w:ind w:firstLine="720"/>
        <w:divId w:val="131468199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13CF2E99" w14:textId="77777777">
        <w:trPr>
          <w:divId w:val="1314681992"/>
        </w:trPr>
        <w:tc>
          <w:tcPr>
            <w:tcW w:w="1080" w:type="dxa"/>
            <w:vAlign w:val="center"/>
            <w:hideMark/>
          </w:tcPr>
          <w:p w14:paraId="5707C276" w14:textId="77777777" w:rsidR="00000000" w:rsidRDefault="001F1B20">
            <w:pPr>
              <w:rPr>
                <w:sz w:val="20"/>
                <w:szCs w:val="20"/>
              </w:rPr>
            </w:pPr>
          </w:p>
        </w:tc>
        <w:tc>
          <w:tcPr>
            <w:tcW w:w="360" w:type="dxa"/>
            <w:noWrap/>
            <w:tcMar>
              <w:top w:w="0" w:type="dxa"/>
              <w:left w:w="0" w:type="dxa"/>
              <w:bottom w:w="0" w:type="dxa"/>
              <w:right w:w="0" w:type="dxa"/>
            </w:tcMar>
            <w:hideMark/>
          </w:tcPr>
          <w:p w14:paraId="5FBBFB70"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9A9D7F8" w14:textId="77777777" w:rsidR="00000000" w:rsidRDefault="001F1B20">
            <w:pPr>
              <w:spacing w:after="200"/>
              <w:rPr>
                <w:rFonts w:eastAsia="Times New Roman"/>
                <w:sz w:val="20"/>
                <w:szCs w:val="20"/>
              </w:rPr>
            </w:pPr>
            <w:r>
              <w:rPr>
                <w:rFonts w:eastAsia="Times New Roman"/>
                <w:sz w:val="20"/>
                <w:szCs w:val="20"/>
              </w:rPr>
              <w:t>We anticipate that we will incur losses for the foreseeable future. We may never achieve or sustain profitability;</w:t>
            </w:r>
          </w:p>
        </w:tc>
      </w:tr>
    </w:tbl>
    <w:p w14:paraId="0E3B4D78" w14:textId="77777777" w:rsidR="00000000" w:rsidRDefault="001F1B20">
      <w:pPr>
        <w:divId w:val="13146819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1FC1BBB7" w14:textId="77777777">
        <w:trPr>
          <w:divId w:val="1314681992"/>
        </w:trPr>
        <w:tc>
          <w:tcPr>
            <w:tcW w:w="1080" w:type="dxa"/>
            <w:vAlign w:val="center"/>
            <w:hideMark/>
          </w:tcPr>
          <w:p w14:paraId="1417BCAE" w14:textId="77777777" w:rsidR="00000000" w:rsidRDefault="001F1B20">
            <w:pPr>
              <w:rPr>
                <w:rFonts w:eastAsia="Times New Roman"/>
              </w:rPr>
            </w:pPr>
          </w:p>
        </w:tc>
        <w:tc>
          <w:tcPr>
            <w:tcW w:w="360" w:type="dxa"/>
            <w:noWrap/>
            <w:tcMar>
              <w:top w:w="0" w:type="dxa"/>
              <w:left w:w="0" w:type="dxa"/>
              <w:bottom w:w="0" w:type="dxa"/>
              <w:right w:w="0" w:type="dxa"/>
            </w:tcMar>
            <w:hideMark/>
          </w:tcPr>
          <w:p w14:paraId="6DAE08A5"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88E8CF0" w14:textId="77777777" w:rsidR="00000000" w:rsidRDefault="001F1B20">
            <w:pPr>
              <w:spacing w:after="200"/>
              <w:rPr>
                <w:rFonts w:eastAsia="Times New Roman"/>
                <w:sz w:val="20"/>
                <w:szCs w:val="20"/>
              </w:rPr>
            </w:pPr>
            <w:r>
              <w:rPr>
                <w:rFonts w:eastAsia="Times New Roman"/>
                <w:sz w:val="20"/>
                <w:szCs w:val="20"/>
              </w:rPr>
              <w:t>We face risks related to health epidemics, including the recent COVID-19 pandemic, which could have a material adverse effect on our bus</w:t>
            </w:r>
            <w:r>
              <w:rPr>
                <w:rFonts w:eastAsia="Times New Roman"/>
                <w:sz w:val="20"/>
                <w:szCs w:val="20"/>
              </w:rPr>
              <w:t>iness and results of operations;</w:t>
            </w:r>
          </w:p>
        </w:tc>
      </w:tr>
    </w:tbl>
    <w:p w14:paraId="664B1DDD" w14:textId="77777777" w:rsidR="00000000" w:rsidRDefault="001F1B20">
      <w:pPr>
        <w:pStyle w:val="a3"/>
        <w:spacing w:before="360" w:beforeAutospacing="0" w:after="0" w:afterAutospacing="0"/>
        <w:jc w:val="center"/>
        <w:divId w:val="1079251358"/>
        <w:rPr>
          <w:sz w:val="20"/>
          <w:szCs w:val="20"/>
        </w:rPr>
      </w:pPr>
      <w:r>
        <w:rPr>
          <w:sz w:val="20"/>
          <w:szCs w:val="20"/>
        </w:rPr>
        <w:t>37</w:t>
      </w:r>
    </w:p>
    <w:p w14:paraId="6AC5A4F0" w14:textId="77777777" w:rsidR="00000000" w:rsidRDefault="001F1B20">
      <w:pPr>
        <w:pStyle w:val="a3"/>
        <w:spacing w:before="0" w:beforeAutospacing="0" w:after="600" w:afterAutospacing="0"/>
        <w:divId w:val="162827021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56D8BC34" w14:textId="77777777">
        <w:trPr>
          <w:divId w:val="2142069819"/>
        </w:trPr>
        <w:tc>
          <w:tcPr>
            <w:tcW w:w="1080" w:type="dxa"/>
            <w:vAlign w:val="center"/>
            <w:hideMark/>
          </w:tcPr>
          <w:p w14:paraId="3B557C7B" w14:textId="77777777" w:rsidR="00000000" w:rsidRDefault="001F1B20">
            <w:pPr>
              <w:rPr>
                <w:sz w:val="20"/>
                <w:szCs w:val="20"/>
              </w:rPr>
            </w:pPr>
          </w:p>
        </w:tc>
        <w:tc>
          <w:tcPr>
            <w:tcW w:w="360" w:type="dxa"/>
            <w:noWrap/>
            <w:tcMar>
              <w:top w:w="0" w:type="dxa"/>
              <w:left w:w="0" w:type="dxa"/>
              <w:bottom w:w="0" w:type="dxa"/>
              <w:right w:w="0" w:type="dxa"/>
            </w:tcMar>
            <w:hideMark/>
          </w:tcPr>
          <w:p w14:paraId="599546BC"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EC78226" w14:textId="77777777" w:rsidR="00000000" w:rsidRDefault="001F1B20">
            <w:pPr>
              <w:spacing w:after="200"/>
              <w:rPr>
                <w:rFonts w:eastAsia="Times New Roman"/>
                <w:sz w:val="20"/>
                <w:szCs w:val="20"/>
              </w:rPr>
            </w:pPr>
            <w:r>
              <w:rPr>
                <w:rFonts w:eastAsia="Times New Roman"/>
                <w:sz w:val="20"/>
                <w:szCs w:val="20"/>
              </w:rPr>
              <w:t>We do not control TRC and, in particular, have no control over the GSK Partnered Respiratory Programs, including TRELEGY, or access to non-public information regarding the development of the GSK Partnered Respiratory Programs;</w:t>
            </w:r>
          </w:p>
        </w:tc>
      </w:tr>
    </w:tbl>
    <w:p w14:paraId="53B8ECE8" w14:textId="77777777" w:rsidR="00000000" w:rsidRDefault="001F1B20">
      <w:pPr>
        <w:divId w:val="2142069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0E06EC4B" w14:textId="77777777">
        <w:trPr>
          <w:divId w:val="2142069819"/>
        </w:trPr>
        <w:tc>
          <w:tcPr>
            <w:tcW w:w="1080" w:type="dxa"/>
            <w:vAlign w:val="center"/>
            <w:hideMark/>
          </w:tcPr>
          <w:p w14:paraId="78656E33" w14:textId="77777777" w:rsidR="00000000" w:rsidRDefault="001F1B20">
            <w:pPr>
              <w:rPr>
                <w:rFonts w:eastAsia="Times New Roman"/>
              </w:rPr>
            </w:pPr>
          </w:p>
        </w:tc>
        <w:tc>
          <w:tcPr>
            <w:tcW w:w="360" w:type="dxa"/>
            <w:noWrap/>
            <w:tcMar>
              <w:top w:w="0" w:type="dxa"/>
              <w:left w:w="0" w:type="dxa"/>
              <w:bottom w:w="0" w:type="dxa"/>
              <w:right w:w="0" w:type="dxa"/>
            </w:tcMar>
            <w:hideMark/>
          </w:tcPr>
          <w:p w14:paraId="66418646"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AC90D0F" w14:textId="77777777" w:rsidR="00000000" w:rsidRDefault="001F1B20">
            <w:pPr>
              <w:spacing w:after="200"/>
              <w:rPr>
                <w:rFonts w:eastAsia="Times New Roman"/>
                <w:sz w:val="20"/>
                <w:szCs w:val="20"/>
              </w:rPr>
            </w:pPr>
            <w:r>
              <w:rPr>
                <w:rFonts w:eastAsia="Times New Roman"/>
                <w:sz w:val="20"/>
                <w:szCs w:val="20"/>
              </w:rPr>
              <w:t>If there are any adverse</w:t>
            </w:r>
            <w:r>
              <w:rPr>
                <w:rFonts w:eastAsia="Times New Roman"/>
                <w:sz w:val="20"/>
                <w:szCs w:val="20"/>
              </w:rPr>
              <w:t xml:space="preserve"> developments or perceived adverse developments with respect to the GSK-Partnered Respiratory Programs in which we have a substantial economic interest, including TRELEGY, our business will be harmed, and the price of our securities could fall; </w:t>
            </w:r>
          </w:p>
        </w:tc>
      </w:tr>
    </w:tbl>
    <w:p w14:paraId="3AA3A5D4" w14:textId="77777777" w:rsidR="00000000" w:rsidRDefault="001F1B20">
      <w:pPr>
        <w:divId w:val="2142069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44455AC9" w14:textId="77777777">
        <w:trPr>
          <w:divId w:val="2142069819"/>
        </w:trPr>
        <w:tc>
          <w:tcPr>
            <w:tcW w:w="1080" w:type="dxa"/>
            <w:vAlign w:val="center"/>
            <w:hideMark/>
          </w:tcPr>
          <w:p w14:paraId="331D92C7" w14:textId="77777777" w:rsidR="00000000" w:rsidRDefault="001F1B20">
            <w:pPr>
              <w:rPr>
                <w:rFonts w:eastAsia="Times New Roman"/>
              </w:rPr>
            </w:pPr>
          </w:p>
        </w:tc>
        <w:tc>
          <w:tcPr>
            <w:tcW w:w="360" w:type="dxa"/>
            <w:noWrap/>
            <w:tcMar>
              <w:top w:w="0" w:type="dxa"/>
              <w:left w:w="0" w:type="dxa"/>
              <w:bottom w:w="0" w:type="dxa"/>
              <w:right w:w="0" w:type="dxa"/>
            </w:tcMar>
            <w:hideMark/>
          </w:tcPr>
          <w:p w14:paraId="1094B131"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35E508F" w14:textId="77777777" w:rsidR="00000000" w:rsidRDefault="001F1B20">
            <w:pPr>
              <w:spacing w:after="200"/>
              <w:rPr>
                <w:rFonts w:eastAsia="Times New Roman"/>
                <w:sz w:val="20"/>
                <w:szCs w:val="20"/>
              </w:rPr>
            </w:pPr>
            <w:r>
              <w:rPr>
                <w:rFonts w:eastAsia="Times New Roman"/>
                <w:sz w:val="20"/>
                <w:szCs w:val="20"/>
              </w:rPr>
              <w:t>Any delay in commencing or completing clinical studies for product candidates and any adverse results from clinical or non-clinical studies or regulatory obstacles product candidates may face, would harm our business and the price of our securities could f</w:t>
            </w:r>
            <w:r>
              <w:rPr>
                <w:rFonts w:eastAsia="Times New Roman"/>
                <w:sz w:val="20"/>
                <w:szCs w:val="20"/>
              </w:rPr>
              <w:t>all;</w:t>
            </w:r>
          </w:p>
        </w:tc>
      </w:tr>
    </w:tbl>
    <w:p w14:paraId="33B8ACE2" w14:textId="77777777" w:rsidR="00000000" w:rsidRDefault="001F1B20">
      <w:pPr>
        <w:divId w:val="2142069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434D0745" w14:textId="77777777">
        <w:trPr>
          <w:divId w:val="2142069819"/>
        </w:trPr>
        <w:tc>
          <w:tcPr>
            <w:tcW w:w="1080" w:type="dxa"/>
            <w:vAlign w:val="center"/>
            <w:hideMark/>
          </w:tcPr>
          <w:p w14:paraId="4ECD281A" w14:textId="77777777" w:rsidR="00000000" w:rsidRDefault="001F1B20">
            <w:pPr>
              <w:rPr>
                <w:rFonts w:eastAsia="Times New Roman"/>
              </w:rPr>
            </w:pPr>
          </w:p>
        </w:tc>
        <w:tc>
          <w:tcPr>
            <w:tcW w:w="360" w:type="dxa"/>
            <w:noWrap/>
            <w:tcMar>
              <w:top w:w="0" w:type="dxa"/>
              <w:left w:w="0" w:type="dxa"/>
              <w:bottom w:w="0" w:type="dxa"/>
              <w:right w:w="0" w:type="dxa"/>
            </w:tcMar>
            <w:hideMark/>
          </w:tcPr>
          <w:p w14:paraId="2F884AA8"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AA4E760" w14:textId="77777777" w:rsidR="00000000" w:rsidRDefault="001F1B20">
            <w:pPr>
              <w:spacing w:after="200"/>
              <w:rPr>
                <w:rFonts w:eastAsia="Times New Roman"/>
                <w:sz w:val="20"/>
                <w:szCs w:val="20"/>
              </w:rPr>
            </w:pPr>
            <w:r>
              <w:rPr>
                <w:rFonts w:eastAsia="Times New Roman"/>
                <w:sz w:val="20"/>
                <w:szCs w:val="20"/>
              </w:rPr>
              <w:t>If our product candidates are not approved by regulatory authorities, including the FDA, we will be unable to commercialize them;</w:t>
            </w:r>
          </w:p>
        </w:tc>
      </w:tr>
    </w:tbl>
    <w:p w14:paraId="7D1CC126" w14:textId="77777777" w:rsidR="00000000" w:rsidRDefault="001F1B20">
      <w:pPr>
        <w:divId w:val="2142069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555EF2EF" w14:textId="77777777">
        <w:trPr>
          <w:divId w:val="2142069819"/>
        </w:trPr>
        <w:tc>
          <w:tcPr>
            <w:tcW w:w="1080" w:type="dxa"/>
            <w:vAlign w:val="center"/>
            <w:hideMark/>
          </w:tcPr>
          <w:p w14:paraId="532ABBE6" w14:textId="77777777" w:rsidR="00000000" w:rsidRDefault="001F1B20">
            <w:pPr>
              <w:rPr>
                <w:rFonts w:eastAsia="Times New Roman"/>
              </w:rPr>
            </w:pPr>
          </w:p>
        </w:tc>
        <w:tc>
          <w:tcPr>
            <w:tcW w:w="360" w:type="dxa"/>
            <w:noWrap/>
            <w:tcMar>
              <w:top w:w="0" w:type="dxa"/>
              <w:left w:w="0" w:type="dxa"/>
              <w:bottom w:w="0" w:type="dxa"/>
              <w:right w:w="0" w:type="dxa"/>
            </w:tcMar>
            <w:hideMark/>
          </w:tcPr>
          <w:p w14:paraId="29775261"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1A01553" w14:textId="77777777" w:rsidR="00000000" w:rsidRDefault="001F1B20">
            <w:pPr>
              <w:spacing w:after="200"/>
              <w:rPr>
                <w:rFonts w:eastAsia="Times New Roman"/>
                <w:sz w:val="20"/>
                <w:szCs w:val="20"/>
              </w:rPr>
            </w:pPr>
            <w:r>
              <w:rPr>
                <w:rFonts w:eastAsia="Times New Roman"/>
                <w:sz w:val="20"/>
                <w:szCs w:val="20"/>
              </w:rPr>
              <w:t>If sufficient capital is not available, we may have to further curtail operations or we could be forced to shar</w:t>
            </w:r>
            <w:r>
              <w:rPr>
                <w:rFonts w:eastAsia="Times New Roman"/>
                <w:sz w:val="20"/>
                <w:szCs w:val="20"/>
              </w:rPr>
              <w:t>e our rights to commercialize our product candidates with third parties on terms that may not be favorable to us;</w:t>
            </w:r>
          </w:p>
        </w:tc>
      </w:tr>
    </w:tbl>
    <w:p w14:paraId="369A963D" w14:textId="77777777" w:rsidR="00000000" w:rsidRDefault="001F1B20">
      <w:pPr>
        <w:divId w:val="2142069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4BC9BE3C" w14:textId="77777777">
        <w:trPr>
          <w:divId w:val="2142069819"/>
        </w:trPr>
        <w:tc>
          <w:tcPr>
            <w:tcW w:w="1080" w:type="dxa"/>
            <w:vAlign w:val="center"/>
            <w:hideMark/>
          </w:tcPr>
          <w:p w14:paraId="63826CB6" w14:textId="77777777" w:rsidR="00000000" w:rsidRDefault="001F1B20">
            <w:pPr>
              <w:rPr>
                <w:rFonts w:eastAsia="Times New Roman"/>
              </w:rPr>
            </w:pPr>
          </w:p>
        </w:tc>
        <w:tc>
          <w:tcPr>
            <w:tcW w:w="360" w:type="dxa"/>
            <w:noWrap/>
            <w:tcMar>
              <w:top w:w="0" w:type="dxa"/>
              <w:left w:w="0" w:type="dxa"/>
              <w:bottom w:w="0" w:type="dxa"/>
              <w:right w:w="0" w:type="dxa"/>
            </w:tcMar>
            <w:hideMark/>
          </w:tcPr>
          <w:p w14:paraId="1D91780F"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0B7872D" w14:textId="77777777" w:rsidR="00000000" w:rsidRDefault="001F1B20">
            <w:pPr>
              <w:spacing w:after="200"/>
              <w:rPr>
                <w:rFonts w:eastAsia="Times New Roman"/>
                <w:sz w:val="20"/>
                <w:szCs w:val="20"/>
              </w:rPr>
            </w:pPr>
            <w:r>
              <w:rPr>
                <w:rFonts w:eastAsia="Times New Roman"/>
                <w:sz w:val="20"/>
                <w:szCs w:val="20"/>
              </w:rPr>
              <w:t xml:space="preserve">If our partners do not satisfy their obligations under our agreements with them, or if they terminate our partnerships with them, we may </w:t>
            </w:r>
            <w:r>
              <w:rPr>
                <w:rFonts w:eastAsia="Times New Roman"/>
                <w:sz w:val="20"/>
                <w:szCs w:val="20"/>
              </w:rPr>
              <w:t>not be able to develop or commercialize our partnered product candidates as planned; and</w:t>
            </w:r>
          </w:p>
        </w:tc>
      </w:tr>
    </w:tbl>
    <w:p w14:paraId="1593EB6D" w14:textId="77777777" w:rsidR="00000000" w:rsidRDefault="001F1B20">
      <w:pPr>
        <w:divId w:val="21420698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14:paraId="4DB3A1AB" w14:textId="77777777">
        <w:trPr>
          <w:divId w:val="2142069819"/>
        </w:trPr>
        <w:tc>
          <w:tcPr>
            <w:tcW w:w="1080" w:type="dxa"/>
            <w:vAlign w:val="center"/>
            <w:hideMark/>
          </w:tcPr>
          <w:p w14:paraId="66BB7017" w14:textId="77777777" w:rsidR="00000000" w:rsidRDefault="001F1B20">
            <w:pPr>
              <w:rPr>
                <w:rFonts w:eastAsia="Times New Roman"/>
              </w:rPr>
            </w:pPr>
          </w:p>
        </w:tc>
        <w:tc>
          <w:tcPr>
            <w:tcW w:w="360" w:type="dxa"/>
            <w:noWrap/>
            <w:tcMar>
              <w:top w:w="0" w:type="dxa"/>
              <w:left w:w="0" w:type="dxa"/>
              <w:bottom w:w="0" w:type="dxa"/>
              <w:right w:w="0" w:type="dxa"/>
            </w:tcMar>
            <w:hideMark/>
          </w:tcPr>
          <w:p w14:paraId="3FC804BD"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76A8D17" w14:textId="77777777" w:rsidR="00000000" w:rsidRDefault="001F1B20">
            <w:pPr>
              <w:rPr>
                <w:rFonts w:eastAsia="Times New Roman"/>
                <w:sz w:val="20"/>
                <w:szCs w:val="20"/>
              </w:rPr>
            </w:pPr>
            <w:r>
              <w:rPr>
                <w:rFonts w:eastAsia="Times New Roman"/>
                <w:sz w:val="20"/>
                <w:szCs w:val="20"/>
              </w:rPr>
              <w:t>Our ongoing drug discovery and development efforts might not generate additional successful product candidates or approvable drugs.</w:t>
            </w:r>
          </w:p>
        </w:tc>
      </w:tr>
    </w:tbl>
    <w:p w14:paraId="7F4DEFC3" w14:textId="77777777" w:rsidR="00000000" w:rsidRDefault="001F1B20">
      <w:pPr>
        <w:pStyle w:val="a3"/>
        <w:spacing w:before="0" w:beforeAutospacing="0" w:after="0" w:afterAutospacing="0"/>
        <w:divId w:val="2142069819"/>
        <w:rPr>
          <w:sz w:val="20"/>
          <w:szCs w:val="20"/>
        </w:rPr>
      </w:pPr>
      <w:r>
        <w:rPr>
          <w:sz w:val="20"/>
          <w:szCs w:val="20"/>
        </w:rPr>
        <w:t>​</w:t>
      </w:r>
    </w:p>
    <w:p w14:paraId="6BF41974" w14:textId="77777777" w:rsidR="00000000" w:rsidRDefault="001F1B20">
      <w:pPr>
        <w:pStyle w:val="a3"/>
        <w:spacing w:before="0" w:beforeAutospacing="0" w:after="0" w:afterAutospacing="0"/>
        <w:divId w:val="2142069819"/>
        <w:rPr>
          <w:sz w:val="20"/>
          <w:szCs w:val="20"/>
        </w:rPr>
      </w:pPr>
      <w:r>
        <w:rPr>
          <w:b/>
          <w:bCs/>
          <w:sz w:val="20"/>
          <w:szCs w:val="20"/>
        </w:rPr>
        <w:t xml:space="preserve">RISKS RELATING TO THE COMPANY </w:t>
      </w:r>
    </w:p>
    <w:p w14:paraId="0E815CAC" w14:textId="77777777" w:rsidR="00000000" w:rsidRDefault="001F1B20">
      <w:pPr>
        <w:pStyle w:val="a3"/>
        <w:spacing w:before="0" w:beforeAutospacing="0" w:after="0" w:afterAutospacing="0"/>
        <w:divId w:val="2142069819"/>
        <w:rPr>
          <w:sz w:val="20"/>
          <w:szCs w:val="20"/>
        </w:rPr>
      </w:pPr>
      <w:r>
        <w:rPr>
          <w:b/>
          <w:bCs/>
          <w:sz w:val="20"/>
          <w:szCs w:val="20"/>
        </w:rPr>
        <w:t>​</w:t>
      </w:r>
    </w:p>
    <w:p w14:paraId="13CCEAC2" w14:textId="77777777" w:rsidR="00000000" w:rsidRDefault="001F1B20">
      <w:pPr>
        <w:pStyle w:val="a3"/>
        <w:spacing w:before="0" w:beforeAutospacing="0" w:after="120" w:afterAutospacing="0"/>
        <w:divId w:val="2142069819"/>
        <w:rPr>
          <w:sz w:val="20"/>
          <w:szCs w:val="20"/>
        </w:rPr>
      </w:pPr>
      <w:r>
        <w:rPr>
          <w:b/>
          <w:bCs/>
          <w:i/>
          <w:iCs/>
          <w:sz w:val="20"/>
          <w:szCs w:val="20"/>
        </w:rPr>
        <w:t>We anticipate that we will incur losses for the foreseeable future. We may never achieve or sustain profitability.</w:t>
      </w:r>
    </w:p>
    <w:p w14:paraId="3756D7C3" w14:textId="77777777" w:rsidR="00000000" w:rsidRDefault="001F1B20">
      <w:pPr>
        <w:pStyle w:val="a3"/>
        <w:spacing w:before="0" w:beforeAutospacing="0" w:after="200" w:afterAutospacing="0"/>
        <w:ind w:firstLine="720"/>
        <w:divId w:val="2142069819"/>
        <w:rPr>
          <w:sz w:val="20"/>
          <w:szCs w:val="20"/>
        </w:rPr>
      </w:pPr>
      <w:r>
        <w:rPr>
          <w:sz w:val="20"/>
          <w:szCs w:val="20"/>
        </w:rPr>
        <w:t>First as part of Innoviva, Inc., and since June 2, 2014 as Theravance Biopharma, we have been engaged in dis</w:t>
      </w:r>
      <w:r>
        <w:rPr>
          <w:sz w:val="20"/>
          <w:szCs w:val="20"/>
        </w:rPr>
        <w:t>covery and development of compounds and product candidates since mid-1997. We may never generate sufficient revenue from the sale of medicines, royalties on sales by our partners or from our interest in Theravance Respiratory Company, LLC (“TRC”) to achiev</w:t>
      </w:r>
      <w:r>
        <w:rPr>
          <w:sz w:val="20"/>
          <w:szCs w:val="20"/>
        </w:rPr>
        <w:t>e profitability. During the three and nine months ended September 30, 2021 and years ended December 31, 2020 and 2019, we recognized net losses of $35.3 million, $167.4 million, $278.0 million and $236.5 million, respectively, which are reflected in the sh</w:t>
      </w:r>
      <w:r>
        <w:rPr>
          <w:sz w:val="20"/>
          <w:szCs w:val="20"/>
        </w:rPr>
        <w:t>areholders’ deficit on our condensed consolidated balance sheets. We reflect cumulative net loss incurred after June 2, 2014, the effective date of our spin-off from Innoviva, Inc. (the “Spin-Off”), as accumulated deficit on our condensed consolidated bala</w:t>
      </w:r>
      <w:r>
        <w:rPr>
          <w:sz w:val="20"/>
          <w:szCs w:val="20"/>
        </w:rPr>
        <w:t>nce sheets, which was $1.7 billion as of September 30, 2021. We expect to continue to incur net losses at least over the next several years as we continue our drug discovery and development efforts and incur preclinical and clinical development costs relat</w:t>
      </w:r>
      <w:r>
        <w:rPr>
          <w:sz w:val="20"/>
          <w:szCs w:val="20"/>
        </w:rPr>
        <w:t>ed to our current product candidates and commercialization and development costs relating to YUPELRI. In particular, to the extent we continue to advance our product candidates into and through additional clinical studies, we will incur substantial expense</w:t>
      </w:r>
      <w:r>
        <w:rPr>
          <w:sz w:val="20"/>
          <w:szCs w:val="20"/>
        </w:rPr>
        <w:t>s. For example, we initiated a Phase 2b/3 induction and maintenance study of izencitinib in ulcerative colitis, we initiated a Phase 2 induction study of izencitinib in Crohn’s disease, and we have progressed ampreloxetine (TD-9855) into a Phase 3 registra</w:t>
      </w:r>
      <w:r>
        <w:rPr>
          <w:sz w:val="20"/>
          <w:szCs w:val="20"/>
        </w:rPr>
        <w:t>tional program. The expenses associated with these clinical studies are substantial and, as there was the unfavorable outcome in two of the studies, the compounds are unlikely to generate substantial revenues. While our YUPELRI operations were profitable o</w:t>
      </w:r>
      <w:r>
        <w:rPr>
          <w:sz w:val="20"/>
          <w:szCs w:val="20"/>
        </w:rPr>
        <w:t>n a brand basis for the second half of 2020, we will continue to incur costs and expenses associated with the commercialization of YUPELRI in the United States (“US”), including the maintenance of an independent sales and marketing organization with approp</w:t>
      </w:r>
      <w:r>
        <w:rPr>
          <w:sz w:val="20"/>
          <w:szCs w:val="20"/>
        </w:rPr>
        <w:t>riate technical expertise, a medical affairs presence and consultant support, and post-marketing studies. Our commitment of resources to the continued development of our existing product candidates, our discovery programs, and YUPELRI will require signific</w:t>
      </w:r>
      <w:r>
        <w:rPr>
          <w:sz w:val="20"/>
          <w:szCs w:val="20"/>
        </w:rPr>
        <w:t>ant additional funding. Our operating expenses also will increase if,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7B23BC3" w14:textId="77777777">
        <w:trPr>
          <w:divId w:val="2142069819"/>
        </w:trPr>
        <w:tc>
          <w:tcPr>
            <w:tcW w:w="720" w:type="dxa"/>
            <w:vAlign w:val="center"/>
            <w:hideMark/>
          </w:tcPr>
          <w:p w14:paraId="19A03207" w14:textId="77777777" w:rsidR="00000000" w:rsidRDefault="001F1B20">
            <w:pPr>
              <w:rPr>
                <w:sz w:val="20"/>
                <w:szCs w:val="20"/>
              </w:rPr>
            </w:pPr>
          </w:p>
        </w:tc>
        <w:tc>
          <w:tcPr>
            <w:tcW w:w="360" w:type="dxa"/>
            <w:noWrap/>
            <w:tcMar>
              <w:top w:w="0" w:type="dxa"/>
              <w:left w:w="0" w:type="dxa"/>
              <w:bottom w:w="0" w:type="dxa"/>
              <w:right w:w="0" w:type="dxa"/>
            </w:tcMar>
            <w:hideMark/>
          </w:tcPr>
          <w:p w14:paraId="31ABF662"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D17DE27" w14:textId="77777777" w:rsidR="00000000" w:rsidRDefault="001F1B20">
            <w:pPr>
              <w:spacing w:after="200"/>
              <w:rPr>
                <w:rFonts w:eastAsia="Times New Roman"/>
                <w:sz w:val="20"/>
                <w:szCs w:val="20"/>
              </w:rPr>
            </w:pPr>
            <w:r>
              <w:rPr>
                <w:rFonts w:eastAsia="Times New Roman"/>
                <w:sz w:val="20"/>
                <w:szCs w:val="20"/>
              </w:rPr>
              <w:t>our earlier stage potential products move into later-stage clinical development, which is generally more expensive than early stage development;</w:t>
            </w:r>
          </w:p>
        </w:tc>
      </w:tr>
    </w:tbl>
    <w:p w14:paraId="5BAB6727" w14:textId="77777777" w:rsidR="00000000" w:rsidRDefault="001F1B20">
      <w:pPr>
        <w:pStyle w:val="a3"/>
        <w:spacing w:before="360" w:beforeAutospacing="0" w:after="0" w:afterAutospacing="0"/>
        <w:jc w:val="center"/>
        <w:divId w:val="1291979870"/>
        <w:rPr>
          <w:sz w:val="20"/>
          <w:szCs w:val="20"/>
        </w:rPr>
      </w:pPr>
      <w:r>
        <w:rPr>
          <w:sz w:val="20"/>
          <w:szCs w:val="20"/>
        </w:rPr>
        <w:t>38</w:t>
      </w:r>
    </w:p>
    <w:p w14:paraId="59A12FAA" w14:textId="77777777" w:rsidR="00000000" w:rsidRDefault="001F1B20">
      <w:pPr>
        <w:pStyle w:val="a3"/>
        <w:spacing w:before="0" w:beforeAutospacing="0" w:after="600" w:afterAutospacing="0"/>
        <w:divId w:val="481313330"/>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33A4635" w14:textId="77777777">
        <w:trPr>
          <w:divId w:val="1252005213"/>
        </w:trPr>
        <w:tc>
          <w:tcPr>
            <w:tcW w:w="720" w:type="dxa"/>
            <w:vAlign w:val="center"/>
            <w:hideMark/>
          </w:tcPr>
          <w:p w14:paraId="17AE6733" w14:textId="77777777" w:rsidR="00000000" w:rsidRDefault="001F1B20">
            <w:pPr>
              <w:rPr>
                <w:sz w:val="20"/>
                <w:szCs w:val="20"/>
              </w:rPr>
            </w:pPr>
          </w:p>
        </w:tc>
        <w:tc>
          <w:tcPr>
            <w:tcW w:w="360" w:type="dxa"/>
            <w:noWrap/>
            <w:tcMar>
              <w:top w:w="0" w:type="dxa"/>
              <w:left w:w="0" w:type="dxa"/>
              <w:bottom w:w="0" w:type="dxa"/>
              <w:right w:w="0" w:type="dxa"/>
            </w:tcMar>
            <w:hideMark/>
          </w:tcPr>
          <w:p w14:paraId="18B9CC39"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ADC5F21" w14:textId="77777777" w:rsidR="00000000" w:rsidRDefault="001F1B20">
            <w:pPr>
              <w:spacing w:after="200"/>
              <w:rPr>
                <w:rFonts w:eastAsia="Times New Roman"/>
                <w:sz w:val="20"/>
                <w:szCs w:val="20"/>
              </w:rPr>
            </w:pPr>
            <w:r>
              <w:rPr>
                <w:rFonts w:eastAsia="Times New Roman"/>
                <w:sz w:val="20"/>
                <w:szCs w:val="20"/>
              </w:rPr>
              <w:t>additional preclinical product candidates are selected for clinical development;</w:t>
            </w:r>
          </w:p>
        </w:tc>
      </w:tr>
    </w:tbl>
    <w:p w14:paraId="4DA45B8F" w14:textId="77777777" w:rsidR="00000000" w:rsidRDefault="001F1B20">
      <w:pPr>
        <w:divId w:val="12520052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E629107" w14:textId="77777777">
        <w:trPr>
          <w:divId w:val="1252005213"/>
        </w:trPr>
        <w:tc>
          <w:tcPr>
            <w:tcW w:w="720" w:type="dxa"/>
            <w:vAlign w:val="center"/>
            <w:hideMark/>
          </w:tcPr>
          <w:p w14:paraId="355963E7" w14:textId="77777777" w:rsidR="00000000" w:rsidRDefault="001F1B20">
            <w:pPr>
              <w:rPr>
                <w:rFonts w:eastAsia="Times New Roman"/>
              </w:rPr>
            </w:pPr>
          </w:p>
        </w:tc>
        <w:tc>
          <w:tcPr>
            <w:tcW w:w="360" w:type="dxa"/>
            <w:noWrap/>
            <w:tcMar>
              <w:top w:w="0" w:type="dxa"/>
              <w:left w:w="0" w:type="dxa"/>
              <w:bottom w:w="0" w:type="dxa"/>
              <w:right w:w="0" w:type="dxa"/>
            </w:tcMar>
            <w:hideMark/>
          </w:tcPr>
          <w:p w14:paraId="415A5E6C"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2E53657" w14:textId="77777777" w:rsidR="00000000" w:rsidRDefault="001F1B20">
            <w:pPr>
              <w:spacing w:after="200"/>
              <w:rPr>
                <w:rFonts w:eastAsia="Times New Roman"/>
                <w:sz w:val="20"/>
                <w:szCs w:val="20"/>
              </w:rPr>
            </w:pPr>
            <w:r>
              <w:rPr>
                <w:rFonts w:eastAsia="Times New Roman"/>
                <w:sz w:val="20"/>
                <w:szCs w:val="20"/>
              </w:rPr>
              <w:t>we pursue clinical development of our potential or current products in new indications;</w:t>
            </w:r>
          </w:p>
        </w:tc>
      </w:tr>
    </w:tbl>
    <w:p w14:paraId="5662A92F" w14:textId="77777777" w:rsidR="00000000" w:rsidRDefault="001F1B20">
      <w:pPr>
        <w:divId w:val="12520052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CC8807E" w14:textId="77777777">
        <w:trPr>
          <w:divId w:val="1252005213"/>
        </w:trPr>
        <w:tc>
          <w:tcPr>
            <w:tcW w:w="720" w:type="dxa"/>
            <w:vAlign w:val="center"/>
            <w:hideMark/>
          </w:tcPr>
          <w:p w14:paraId="220162CB" w14:textId="77777777" w:rsidR="00000000" w:rsidRDefault="001F1B20">
            <w:pPr>
              <w:rPr>
                <w:rFonts w:eastAsia="Times New Roman"/>
              </w:rPr>
            </w:pPr>
          </w:p>
        </w:tc>
        <w:tc>
          <w:tcPr>
            <w:tcW w:w="360" w:type="dxa"/>
            <w:noWrap/>
            <w:tcMar>
              <w:top w:w="0" w:type="dxa"/>
              <w:left w:w="0" w:type="dxa"/>
              <w:bottom w:w="0" w:type="dxa"/>
              <w:right w:w="0" w:type="dxa"/>
            </w:tcMar>
            <w:hideMark/>
          </w:tcPr>
          <w:p w14:paraId="2A37BCBF"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750AB4D" w14:textId="77777777" w:rsidR="00000000" w:rsidRDefault="001F1B20">
            <w:pPr>
              <w:spacing w:after="200"/>
              <w:rPr>
                <w:rFonts w:eastAsia="Times New Roman"/>
                <w:sz w:val="20"/>
                <w:szCs w:val="20"/>
              </w:rPr>
            </w:pPr>
            <w:r>
              <w:rPr>
                <w:rFonts w:eastAsia="Times New Roman"/>
                <w:sz w:val="20"/>
                <w:szCs w:val="20"/>
              </w:rPr>
              <w:t xml:space="preserve">our clinical trials become more complicated due to the COVID-19 pandemic or other external factors; </w:t>
            </w:r>
          </w:p>
        </w:tc>
      </w:tr>
    </w:tbl>
    <w:p w14:paraId="22F61B3F" w14:textId="77777777" w:rsidR="00000000" w:rsidRDefault="001F1B20">
      <w:pPr>
        <w:divId w:val="12520052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80BB579" w14:textId="77777777">
        <w:trPr>
          <w:divId w:val="1252005213"/>
        </w:trPr>
        <w:tc>
          <w:tcPr>
            <w:tcW w:w="720" w:type="dxa"/>
            <w:vAlign w:val="center"/>
            <w:hideMark/>
          </w:tcPr>
          <w:p w14:paraId="567FFF93" w14:textId="77777777" w:rsidR="00000000" w:rsidRDefault="001F1B20">
            <w:pPr>
              <w:rPr>
                <w:rFonts w:eastAsia="Times New Roman"/>
              </w:rPr>
            </w:pPr>
          </w:p>
        </w:tc>
        <w:tc>
          <w:tcPr>
            <w:tcW w:w="360" w:type="dxa"/>
            <w:noWrap/>
            <w:tcMar>
              <w:top w:w="0" w:type="dxa"/>
              <w:left w:w="0" w:type="dxa"/>
              <w:bottom w:w="0" w:type="dxa"/>
              <w:right w:w="0" w:type="dxa"/>
            </w:tcMar>
            <w:hideMark/>
          </w:tcPr>
          <w:p w14:paraId="077C9361"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12EB612" w14:textId="77777777" w:rsidR="00000000" w:rsidRDefault="001F1B20">
            <w:pPr>
              <w:spacing w:after="200"/>
              <w:rPr>
                <w:rFonts w:eastAsia="Times New Roman"/>
                <w:sz w:val="20"/>
                <w:szCs w:val="20"/>
              </w:rPr>
            </w:pPr>
            <w:r>
              <w:rPr>
                <w:rFonts w:eastAsia="Times New Roman"/>
                <w:sz w:val="20"/>
                <w:szCs w:val="20"/>
              </w:rPr>
              <w:t>we increase the number of patents we are prosecuting or otherwise expend additional resources on patent prosecution or defense; or</w:t>
            </w:r>
          </w:p>
        </w:tc>
      </w:tr>
    </w:tbl>
    <w:p w14:paraId="443D89C5" w14:textId="77777777" w:rsidR="00000000" w:rsidRDefault="001F1B20">
      <w:pPr>
        <w:divId w:val="12520052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B549B09" w14:textId="77777777">
        <w:trPr>
          <w:divId w:val="1252005213"/>
        </w:trPr>
        <w:tc>
          <w:tcPr>
            <w:tcW w:w="720" w:type="dxa"/>
            <w:vAlign w:val="center"/>
            <w:hideMark/>
          </w:tcPr>
          <w:p w14:paraId="07DB27DB" w14:textId="77777777" w:rsidR="00000000" w:rsidRDefault="001F1B20">
            <w:pPr>
              <w:rPr>
                <w:rFonts w:eastAsia="Times New Roman"/>
              </w:rPr>
            </w:pPr>
          </w:p>
        </w:tc>
        <w:tc>
          <w:tcPr>
            <w:tcW w:w="360" w:type="dxa"/>
            <w:noWrap/>
            <w:tcMar>
              <w:top w:w="0" w:type="dxa"/>
              <w:left w:w="0" w:type="dxa"/>
              <w:bottom w:w="0" w:type="dxa"/>
              <w:right w:w="0" w:type="dxa"/>
            </w:tcMar>
            <w:hideMark/>
          </w:tcPr>
          <w:p w14:paraId="7D94B580"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D03F180" w14:textId="77777777" w:rsidR="00000000" w:rsidRDefault="001F1B20">
            <w:pPr>
              <w:rPr>
                <w:rFonts w:eastAsia="Times New Roman"/>
                <w:sz w:val="20"/>
                <w:szCs w:val="20"/>
              </w:rPr>
            </w:pPr>
            <w:r>
              <w:rPr>
                <w:rFonts w:eastAsia="Times New Roman"/>
                <w:sz w:val="20"/>
                <w:szCs w:val="20"/>
              </w:rPr>
              <w:t xml:space="preserve">we acquire or </w:t>
            </w:r>
            <w:r>
              <w:rPr>
                <w:rFonts w:eastAsia="Times New Roman"/>
                <w:sz w:val="20"/>
                <w:szCs w:val="20"/>
              </w:rPr>
              <w:t>in-license additional technologies, product candidates, products or businesses.</w:t>
            </w:r>
          </w:p>
        </w:tc>
      </w:tr>
    </w:tbl>
    <w:p w14:paraId="67CC7272" w14:textId="77777777" w:rsidR="00000000" w:rsidRDefault="001F1B20">
      <w:pPr>
        <w:pStyle w:val="a3"/>
        <w:spacing w:before="0" w:beforeAutospacing="0" w:after="200" w:afterAutospacing="0"/>
        <w:ind w:firstLine="720"/>
        <w:divId w:val="1252005213"/>
        <w:rPr>
          <w:sz w:val="20"/>
          <w:szCs w:val="20"/>
        </w:rPr>
      </w:pPr>
      <w:r>
        <w:rPr>
          <w:sz w:val="20"/>
          <w:szCs w:val="20"/>
        </w:rPr>
        <w:t xml:space="preserve">While we are generating revenues from (i) sales of YUPELRI, (ii) our economic interest in royalties from net sales of TRELEGY paid to TRC (63.75% of which amounts are used to </w:t>
      </w:r>
      <w:r>
        <w:rPr>
          <w:sz w:val="20"/>
          <w:szCs w:val="20"/>
        </w:rPr>
        <w:t xml:space="preserve">make payments on the Non-Recourse 2035 Notes), (iii) payments under collaboration agreements, and (iv) minor royalties from the net sales of VIBATIV, we do not expect to generate significant revenues or become profitable in the near future. As a result of </w:t>
      </w:r>
      <w:r>
        <w:rPr>
          <w:sz w:val="20"/>
          <w:szCs w:val="20"/>
        </w:rPr>
        <w:t>the COVID-19 pandemic (defined below), we could experience declines in revenues from these sources. If we or our collaborators or licensees are not able to successfully develop additional products, obtain required regulatory approvals, manufacture products</w:t>
      </w:r>
      <w:r>
        <w:rPr>
          <w:sz w:val="20"/>
          <w:szCs w:val="20"/>
        </w:rPr>
        <w:t xml:space="preserve"> at an acceptable cost or with appropriate quality, or successfully market and sell such products with desired margins, our expenses will continue to exceed any revenues we may receive for the foreseeable future.</w:t>
      </w:r>
    </w:p>
    <w:p w14:paraId="294F78E0" w14:textId="77777777" w:rsidR="00000000" w:rsidRDefault="001F1B20">
      <w:pPr>
        <w:pStyle w:val="a3"/>
        <w:spacing w:before="0" w:beforeAutospacing="0" w:after="200" w:afterAutospacing="0"/>
        <w:ind w:firstLine="720"/>
        <w:divId w:val="1252005213"/>
        <w:rPr>
          <w:sz w:val="20"/>
          <w:szCs w:val="20"/>
        </w:rPr>
      </w:pPr>
      <w:r>
        <w:rPr>
          <w:sz w:val="20"/>
          <w:szCs w:val="20"/>
        </w:rPr>
        <w:t>In the absence of substantial licensing pay</w:t>
      </w:r>
      <w:r>
        <w:rPr>
          <w:sz w:val="20"/>
          <w:szCs w:val="20"/>
        </w:rPr>
        <w:t>ments, contingent payments or other revenues from third-party collaborators, royalties on sales of products licensed under our intellectual property rights, or other sources of revenues, we will continue to incur operating losses and will require additiona</w:t>
      </w:r>
      <w:r>
        <w:rPr>
          <w:sz w:val="20"/>
          <w:szCs w:val="20"/>
        </w:rPr>
        <w:t>l capital to execute our business strategy. The likelihood of reaching, and the time required to reach, and then to sustain, profitability are highly uncertain. As a result, we expect to continue to incur substantial losses for the foreseeable future. We a</w:t>
      </w:r>
      <w:r>
        <w:rPr>
          <w:sz w:val="20"/>
          <w:szCs w:val="20"/>
        </w:rPr>
        <w:t>re uncertain when or if we will ever be able to achieve or sustain profitability. Failure to become and remain profitable would adversely affect the price of our securities and our ability to raise capital and continue operations.</w:t>
      </w:r>
    </w:p>
    <w:p w14:paraId="68DCEDB5" w14:textId="77777777" w:rsidR="00000000" w:rsidRDefault="001F1B20">
      <w:pPr>
        <w:pStyle w:val="a3"/>
        <w:spacing w:before="0" w:beforeAutospacing="0" w:after="120" w:afterAutospacing="0"/>
        <w:divId w:val="1252005213"/>
        <w:rPr>
          <w:sz w:val="20"/>
          <w:szCs w:val="20"/>
        </w:rPr>
      </w:pPr>
      <w:r>
        <w:rPr>
          <w:b/>
          <w:bCs/>
          <w:i/>
          <w:iCs/>
          <w:sz w:val="20"/>
          <w:szCs w:val="20"/>
        </w:rPr>
        <w:t xml:space="preserve">We face risks related to </w:t>
      </w:r>
      <w:r>
        <w:rPr>
          <w:b/>
          <w:bCs/>
          <w:i/>
          <w:iCs/>
          <w:sz w:val="20"/>
          <w:szCs w:val="20"/>
        </w:rPr>
        <w:t>health epidemics, including the recent COVID-19 pandemic, which could have a material adverse effect on our business and results of operations.</w:t>
      </w:r>
    </w:p>
    <w:p w14:paraId="7E982BC4" w14:textId="77777777" w:rsidR="00000000" w:rsidRDefault="001F1B20">
      <w:pPr>
        <w:pStyle w:val="a3"/>
        <w:spacing w:before="0" w:beforeAutospacing="0" w:after="200" w:afterAutospacing="0"/>
        <w:ind w:firstLine="720"/>
        <w:divId w:val="1252005213"/>
        <w:rPr>
          <w:sz w:val="20"/>
          <w:szCs w:val="20"/>
        </w:rPr>
      </w:pPr>
      <w:r>
        <w:rPr>
          <w:sz w:val="20"/>
          <w:szCs w:val="20"/>
        </w:rPr>
        <w:t>Our business has been and will continue to be adversely affected by the recent widespread and contagious outbrea</w:t>
      </w:r>
      <w:r>
        <w:rPr>
          <w:sz w:val="20"/>
          <w:szCs w:val="20"/>
        </w:rPr>
        <w:t>k of respiratory illness caused by a novel strain of coronavirus, SARS-CoV-2, causing the Coronavirus Disease 2019, also known as COVID-19 (the “COVID-19 pandemic”). Global health concerns relating to the COVID-19 pandemic have weighed on the macroeconomic</w:t>
      </w:r>
      <w:r>
        <w:rPr>
          <w:sz w:val="20"/>
          <w:szCs w:val="20"/>
        </w:rPr>
        <w:t xml:space="preserve"> environment, and the pandemic has significantly increased economic volatility and uncertainty.</w:t>
      </w:r>
    </w:p>
    <w:p w14:paraId="2ED3F770" w14:textId="77777777" w:rsidR="00000000" w:rsidRDefault="001F1B20">
      <w:pPr>
        <w:pStyle w:val="a3"/>
        <w:spacing w:before="0" w:beforeAutospacing="0" w:after="200" w:afterAutospacing="0"/>
        <w:ind w:firstLine="720"/>
        <w:divId w:val="1252005213"/>
        <w:rPr>
          <w:sz w:val="20"/>
          <w:szCs w:val="20"/>
        </w:rPr>
      </w:pPr>
      <w:r>
        <w:rPr>
          <w:sz w:val="20"/>
          <w:szCs w:val="20"/>
        </w:rPr>
        <w:t>The pandemic resulted in government authorities implementing numerous measures to try to contain the virus, such as travel bans and restrictions, quarantines, s</w:t>
      </w:r>
      <w:r>
        <w:rPr>
          <w:sz w:val="20"/>
          <w:szCs w:val="20"/>
        </w:rPr>
        <w:t>helter-in-place or stay-at-home orders, and business shutdowns. These measures have adversely impacted and may further impact our employees and operations and the operations of our customers, suppliers and business partners, and may negatively impact spend</w:t>
      </w:r>
      <w:r>
        <w:rPr>
          <w:sz w:val="20"/>
          <w:szCs w:val="20"/>
        </w:rPr>
        <w:t>ing patterns, payment cycles and insurance coverage levels. In addition, certain aspects of our business, such as laboratory-based research, cannot be conducted remotely and other aspects of our business, like our hospital-based sales team, our field-based</w:t>
      </w:r>
      <w:r>
        <w:rPr>
          <w:sz w:val="20"/>
          <w:szCs w:val="20"/>
        </w:rPr>
        <w:t xml:space="preserve"> medical affairs team, and our support of sites in our clinical trials, cannot be accomplished as effectively or efficiently remotely. These measures by government authorities, as well as the precautions we will take in order to operate our business respon</w:t>
      </w:r>
      <w:r>
        <w:rPr>
          <w:sz w:val="20"/>
          <w:szCs w:val="20"/>
        </w:rPr>
        <w:t>sibly in light of the COVID-19 pandemic, may continue to remain in place for a significant period of time, and they are likely to continue to adversely affect our business and results of operations.</w:t>
      </w:r>
    </w:p>
    <w:p w14:paraId="14C859A2" w14:textId="77777777" w:rsidR="00000000" w:rsidRDefault="001F1B20">
      <w:pPr>
        <w:pStyle w:val="a3"/>
        <w:spacing w:before="0" w:beforeAutospacing="0" w:after="0" w:afterAutospacing="0"/>
        <w:ind w:firstLine="720"/>
        <w:divId w:val="1252005213"/>
        <w:rPr>
          <w:sz w:val="20"/>
          <w:szCs w:val="20"/>
        </w:rPr>
      </w:pPr>
      <w:r>
        <w:rPr>
          <w:sz w:val="20"/>
          <w:szCs w:val="20"/>
        </w:rPr>
        <w:t xml:space="preserve">In addition, we expect sales cycles, particularly for new customers, to continue to be impacted as a result of the COVID-19 pandemic, and we have observed continued volatility in YUPELRI sales. Sales momentum has been affected by COVID-19 and may continue </w:t>
      </w:r>
      <w:r>
        <w:rPr>
          <w:sz w:val="20"/>
          <w:szCs w:val="20"/>
        </w:rPr>
        <w:t xml:space="preserve">to be in the future. We market YUPELRI in the hospital setting, where healthcare workers are prioritizing the treatment of patients with or suspected of COVID-19 disease. In mid-March 2020, we suspended in-person sales calls to accounts in response to the </w:t>
      </w:r>
      <w:r>
        <w:rPr>
          <w:sz w:val="20"/>
          <w:szCs w:val="20"/>
        </w:rPr>
        <w:t>COVID-19 pandemic. In August 2020, we began reengaging with these customers in-person when certain criteria are met and remotely via telephone calls, electronic mail, digital outreach or video conferencing as we seek to continue to support healthcare profe</w:t>
      </w:r>
      <w:r>
        <w:rPr>
          <w:sz w:val="20"/>
          <w:szCs w:val="20"/>
        </w:rPr>
        <w:t xml:space="preserve">ssionals and patient care. Customer orders or new patient use of YUPELRI may decline as a result of, among other things, a shift in our marketing efforts to more remote communication </w:t>
      </w:r>
    </w:p>
    <w:p w14:paraId="65235C70" w14:textId="77777777" w:rsidR="00000000" w:rsidRDefault="001F1B20">
      <w:pPr>
        <w:pStyle w:val="a3"/>
        <w:spacing w:before="360" w:beforeAutospacing="0" w:after="0" w:afterAutospacing="0"/>
        <w:jc w:val="center"/>
        <w:divId w:val="298610425"/>
        <w:rPr>
          <w:sz w:val="20"/>
          <w:szCs w:val="20"/>
        </w:rPr>
      </w:pPr>
      <w:r>
        <w:rPr>
          <w:sz w:val="20"/>
          <w:szCs w:val="20"/>
        </w:rPr>
        <w:t>39</w:t>
      </w:r>
    </w:p>
    <w:p w14:paraId="189E248F" w14:textId="77777777" w:rsidR="00000000" w:rsidRDefault="001F1B20">
      <w:pPr>
        <w:pStyle w:val="a3"/>
        <w:spacing w:before="0" w:beforeAutospacing="0" w:after="600" w:afterAutospacing="0"/>
        <w:divId w:val="2103140718"/>
        <w:rPr>
          <w:sz w:val="20"/>
          <w:szCs w:val="20"/>
        </w:rPr>
      </w:pPr>
      <w:hyperlink w:anchor="TOC" w:history="1">
        <w:r>
          <w:rPr>
            <w:rStyle w:val="a4"/>
            <w:sz w:val="20"/>
            <w:szCs w:val="20"/>
          </w:rPr>
          <w:t>Table of Contents</w:t>
        </w:r>
      </w:hyperlink>
    </w:p>
    <w:p w14:paraId="05ED3CB2" w14:textId="77777777" w:rsidR="00000000" w:rsidRDefault="001F1B20">
      <w:pPr>
        <w:pStyle w:val="a3"/>
        <w:spacing w:before="0" w:beforeAutospacing="0" w:after="200" w:afterAutospacing="0"/>
        <w:divId w:val="1873109480"/>
        <w:rPr>
          <w:sz w:val="20"/>
          <w:szCs w:val="20"/>
        </w:rPr>
      </w:pPr>
      <w:r>
        <w:rPr>
          <w:sz w:val="20"/>
          <w:szCs w:val="20"/>
        </w:rPr>
        <w:t>methods, increased worklo</w:t>
      </w:r>
      <w:r>
        <w:rPr>
          <w:sz w:val="20"/>
          <w:szCs w:val="20"/>
        </w:rPr>
        <w:t>ad of healthcare providers, and the impact of the Center for Disease Control interim guidelines for limiting the exposure of health care workers to the virus that causes COVID-19, in which drug nebulization in COVID-19 positive patients is listed as a high</w:t>
      </w:r>
      <w:r>
        <w:rPr>
          <w:sz w:val="20"/>
          <w:szCs w:val="20"/>
        </w:rPr>
        <w:t>-risk procedure while present in the room for procedures when the healthcare providers’ eyes, nose, or mouth are not protected. We are preparing for continued volatility as disruptions of day-to-day operations of hospitals and clinics may continue. In addi</w:t>
      </w:r>
      <w:r>
        <w:rPr>
          <w:sz w:val="20"/>
          <w:szCs w:val="20"/>
        </w:rPr>
        <w:t>tion, while we do not currently anticipate any supply issues, the COVID-19 pandemic could impact our supply of YUPELRI in the future. At this stage, we are unable to predict with certainty the ultimate disruptive impact of the COVID-19 pandemic on both YUP</w:t>
      </w:r>
      <w:r>
        <w:rPr>
          <w:sz w:val="20"/>
          <w:szCs w:val="20"/>
        </w:rPr>
        <w:t xml:space="preserve">ELRI and the rest of our business. </w:t>
      </w:r>
    </w:p>
    <w:p w14:paraId="793E3BB9" w14:textId="77777777" w:rsidR="00000000" w:rsidRDefault="001F1B20">
      <w:pPr>
        <w:pStyle w:val="a3"/>
        <w:spacing w:before="0" w:beforeAutospacing="0" w:after="200" w:afterAutospacing="0"/>
        <w:ind w:firstLine="720"/>
        <w:divId w:val="1873109480"/>
        <w:rPr>
          <w:sz w:val="20"/>
          <w:szCs w:val="20"/>
        </w:rPr>
      </w:pPr>
      <w:r>
        <w:rPr>
          <w:sz w:val="20"/>
          <w:szCs w:val="20"/>
        </w:rPr>
        <w:t>In addition, the COVID-19 pandemic makes the conduct of clinical trials more challenging given the paramount importance of adequate safety monitoring, collection of data and distribution of study drug, all of which are t</w:t>
      </w:r>
      <w:r>
        <w:rPr>
          <w:sz w:val="20"/>
          <w:szCs w:val="20"/>
        </w:rPr>
        <w:t xml:space="preserve">raditionally achieved by in-person visits to our study sites. </w:t>
      </w:r>
      <w:r>
        <w:rPr>
          <w:sz w:val="20"/>
          <w:szCs w:val="20"/>
          <w:shd w:val="clear" w:color="auto" w:fill="FFFFFF"/>
        </w:rPr>
        <w:t xml:space="preserve">We expect challenges to continue to arise from </w:t>
      </w:r>
      <w:r>
        <w:rPr>
          <w:sz w:val="20"/>
          <w:szCs w:val="20"/>
        </w:rPr>
        <w:t>quarantines, shelter-in-place or stay-at-home orders</w:t>
      </w:r>
      <w:r>
        <w:rPr>
          <w:sz w:val="20"/>
          <w:szCs w:val="20"/>
          <w:shd w:val="clear" w:color="auto" w:fill="FFFFFF"/>
        </w:rPr>
        <w:t>, site closures, travel limitations, potential interruptions to the supply chain for investigat</w:t>
      </w:r>
      <w:r>
        <w:rPr>
          <w:sz w:val="20"/>
          <w:szCs w:val="20"/>
          <w:shd w:val="clear" w:color="auto" w:fill="FFFFFF"/>
        </w:rPr>
        <w:t xml:space="preserve">ional products, other measures to help prevent the spread of COVID-19 or other considerations if site personnel or trial participants become infected with COVID-19. These challenges may lead to difficulties in meeting protocol-specified procedures. </w:t>
      </w:r>
      <w:r>
        <w:rPr>
          <w:sz w:val="20"/>
          <w:szCs w:val="20"/>
        </w:rPr>
        <w:t>In ligh</w:t>
      </w:r>
      <w:r>
        <w:rPr>
          <w:sz w:val="20"/>
          <w:szCs w:val="20"/>
        </w:rPr>
        <w:t>t of the COVID-19 pandemic, the Company implemented mitigation plans to help ensure patients in the clinical trials have continued access to drug supply and regular visits with their physicians for study visits per trial protocols, but there is a risk that</w:t>
      </w:r>
      <w:r>
        <w:rPr>
          <w:sz w:val="20"/>
          <w:szCs w:val="20"/>
        </w:rPr>
        <w:t xml:space="preserve"> our trial data could be impacted if our efforts are insufficient. It is also possible that demand for products that we may pursue could be materially and adversely affected as a result of COVID-19 and any related economic impact. Furthermore, we cannot as</w:t>
      </w:r>
      <w:r>
        <w:rPr>
          <w:sz w:val="20"/>
          <w:szCs w:val="20"/>
        </w:rPr>
        <w:t>sure you that our publicly-announced initiatives addressing COVID-19 will result in commercially-viable products.</w:t>
      </w:r>
    </w:p>
    <w:p w14:paraId="638617D9" w14:textId="77777777" w:rsidR="00000000" w:rsidRDefault="001F1B20">
      <w:pPr>
        <w:pStyle w:val="a3"/>
        <w:spacing w:before="0" w:beforeAutospacing="0" w:after="200" w:afterAutospacing="0"/>
        <w:ind w:firstLine="720"/>
        <w:divId w:val="1873109480"/>
        <w:rPr>
          <w:sz w:val="20"/>
          <w:szCs w:val="20"/>
        </w:rPr>
      </w:pPr>
      <w:r>
        <w:rPr>
          <w:sz w:val="20"/>
          <w:szCs w:val="20"/>
        </w:rPr>
        <w:t>The spread of COVID-19 has caused us to modify our business practices and we may take further actions as may be required by government authori</w:t>
      </w:r>
      <w:r>
        <w:rPr>
          <w:sz w:val="20"/>
          <w:szCs w:val="20"/>
        </w:rPr>
        <w:t>ties or that we determine are in the best interests of our employees, customers and business partners. There is no certainty that such actions will be sufficient to mitigate the risks posed by the virus or otherwise be satisfactory to government authoritie</w:t>
      </w:r>
      <w:r>
        <w:rPr>
          <w:sz w:val="20"/>
          <w:szCs w:val="20"/>
        </w:rPr>
        <w:t xml:space="preserve">s. If significant portions of our workforce, and particularly our field-based teams and laboratory staff, are unable to work effectively, including due to illness, quarantines, social distancing, government actions or other restrictions in connection with </w:t>
      </w:r>
      <w:r>
        <w:rPr>
          <w:sz w:val="20"/>
          <w:szCs w:val="20"/>
        </w:rPr>
        <w:t xml:space="preserve">the COVID-19 pandemic, our operations will be impacted. The COVID-19 pandemic could limit the ability of our customers, suppliers and business partners to perform under their contracts with us, including third-party payers’ ability to make timely payments </w:t>
      </w:r>
      <w:r>
        <w:rPr>
          <w:sz w:val="20"/>
          <w:szCs w:val="20"/>
        </w:rPr>
        <w:t>to us during and following the pandemic. We may also experience a shortage of supplies and materials or a suspension of services from third parties. Additionally, while the potential economic impact brought by, and the duration of, the coronavirus pandemic</w:t>
      </w:r>
      <w:r>
        <w:rPr>
          <w:sz w:val="20"/>
          <w:szCs w:val="20"/>
        </w:rPr>
        <w:t xml:space="preserve"> is difficult to assess or predict, the impact of the coronavirus on the global financial markets may reduce our ability to access capital, which could negatively impact our long-term liquidity. Even after the COVID-19 pandemic subsides, we may continue to</w:t>
      </w:r>
      <w:r>
        <w:rPr>
          <w:sz w:val="20"/>
          <w:szCs w:val="20"/>
        </w:rPr>
        <w:t xml:space="preserve"> experience an adverse impact to our business as a result of its global economic impact.</w:t>
      </w:r>
    </w:p>
    <w:p w14:paraId="2A4DD28D" w14:textId="77777777" w:rsidR="00000000" w:rsidRDefault="001F1B20">
      <w:pPr>
        <w:pStyle w:val="a3"/>
        <w:spacing w:before="0" w:beforeAutospacing="0" w:after="200" w:afterAutospacing="0"/>
        <w:ind w:firstLine="720"/>
        <w:divId w:val="1873109480"/>
        <w:rPr>
          <w:sz w:val="20"/>
          <w:szCs w:val="20"/>
        </w:rPr>
      </w:pPr>
      <w:r>
        <w:rPr>
          <w:sz w:val="20"/>
          <w:szCs w:val="20"/>
        </w:rPr>
        <w:t>The extent to which the COVID-19 pandemic impacts our business, results of operations and financial condition will depend on future developments, which are highly unce</w:t>
      </w:r>
      <w:r>
        <w:rPr>
          <w:sz w:val="20"/>
          <w:szCs w:val="20"/>
        </w:rPr>
        <w:t>rtain and difficult to predict, including, but not limited to, the duration and spread of the pandemic, its severity, the actions to contain the virus or address its impact, vaccine rollout, distribution and acceptance, and how quickly and to what extent n</w:t>
      </w:r>
      <w:r>
        <w:rPr>
          <w:sz w:val="20"/>
          <w:szCs w:val="20"/>
        </w:rPr>
        <w:t>ormal economic and operating activities can resume. There are no comparable recent events which may provide guidance as to the effect of the spread of the COVID-19 pandemic, and, as a result, the ultimate impact of the COVID-19 pandemic or a similar health</w:t>
      </w:r>
      <w:r>
        <w:rPr>
          <w:sz w:val="20"/>
          <w:szCs w:val="20"/>
        </w:rPr>
        <w:t xml:space="preserve"> epidemic is highly uncertain and subject to change. We do not yet know the full extent of COVID-19’s impact on our business, our operations, or the global economy as a whole. However, the effects are likely to continue to have a material adverse impact on</w:t>
      </w:r>
      <w:r>
        <w:rPr>
          <w:sz w:val="20"/>
          <w:szCs w:val="20"/>
        </w:rPr>
        <w:t xml:space="preserve"> our future results of operations.</w:t>
      </w:r>
    </w:p>
    <w:p w14:paraId="06932239" w14:textId="77777777" w:rsidR="00000000" w:rsidRDefault="001F1B20">
      <w:pPr>
        <w:pStyle w:val="a3"/>
        <w:spacing w:before="0" w:beforeAutospacing="0" w:after="120" w:afterAutospacing="0"/>
        <w:divId w:val="1873109480"/>
        <w:rPr>
          <w:sz w:val="20"/>
          <w:szCs w:val="20"/>
        </w:rPr>
      </w:pPr>
      <w:r>
        <w:rPr>
          <w:b/>
          <w:bCs/>
          <w:i/>
          <w:iCs/>
          <w:sz w:val="20"/>
          <w:szCs w:val="20"/>
        </w:rPr>
        <w:t>We do not control TRC and, in particular, have no control over the GSK-Partnered Respiratory Programs or access to non-public information regarding the development of the GSK-Partnered Respiratory Programs.</w:t>
      </w:r>
    </w:p>
    <w:p w14:paraId="5594A49F" w14:textId="77777777" w:rsidR="00000000" w:rsidRDefault="001F1B20">
      <w:pPr>
        <w:pStyle w:val="a3"/>
        <w:spacing w:before="0" w:beforeAutospacing="0" w:after="0" w:afterAutospacing="0"/>
        <w:ind w:firstLine="720"/>
        <w:divId w:val="1873109480"/>
        <w:rPr>
          <w:sz w:val="20"/>
          <w:szCs w:val="20"/>
        </w:rPr>
      </w:pPr>
      <w:r>
        <w:rPr>
          <w:sz w:val="20"/>
          <w:szCs w:val="20"/>
        </w:rPr>
        <w:t>Innoviva assig</w:t>
      </w:r>
      <w:r>
        <w:rPr>
          <w:sz w:val="20"/>
          <w:szCs w:val="20"/>
        </w:rPr>
        <w:t>ned to TRC its strategic alliance agreement with GSK and all of its rights and obligations under its LABA collaboration agreement other than with respect to RELVAR ELLIPTA/BREO ELLIPTA, ANORO ELLIPTA and vilanterol monotherapy. Our equity interest in TRC e</w:t>
      </w:r>
      <w:r>
        <w:rPr>
          <w:sz w:val="20"/>
          <w:szCs w:val="20"/>
        </w:rPr>
        <w:t>ntitles us to an 85% economic interest in any future payments made by GSK under the strategic alliance agreement and under the portion of the collaboration agreement assigned to TRC (the “GSK Agreements”) (net of TRC expenses paid and the amount of cash, i</w:t>
      </w:r>
      <w:r>
        <w:rPr>
          <w:sz w:val="20"/>
          <w:szCs w:val="20"/>
        </w:rPr>
        <w:t>f any, expected to be used by TRC pursuant to the TRC LLC Agreement over the next four fiscal quarters), which agreements govern Innoviva’s and GSK’s respective interests in the GSK-Partnered Respiratory Programs. Our equity interest primarily covers TRELE</w:t>
      </w:r>
      <w:r>
        <w:rPr>
          <w:sz w:val="20"/>
          <w:szCs w:val="20"/>
        </w:rPr>
        <w:t xml:space="preserve">GY (the combination of fluticasone furoate, umeclidinium, and vilanterol in a single ELLIPTA inhaler) products. Our economic interest does not include any payments by GSK associated with RELVAR ELLIPTA/BREO ELLIPTA, ANORO ELLIPTA or vilanterol </w:t>
      </w:r>
    </w:p>
    <w:p w14:paraId="427C3F47" w14:textId="77777777" w:rsidR="00000000" w:rsidRDefault="001F1B20">
      <w:pPr>
        <w:pStyle w:val="a3"/>
        <w:spacing w:before="360" w:beforeAutospacing="0" w:after="0" w:afterAutospacing="0"/>
        <w:jc w:val="center"/>
        <w:divId w:val="518079237"/>
        <w:rPr>
          <w:sz w:val="20"/>
          <w:szCs w:val="20"/>
        </w:rPr>
      </w:pPr>
      <w:r>
        <w:rPr>
          <w:sz w:val="20"/>
          <w:szCs w:val="20"/>
        </w:rPr>
        <w:t>40</w:t>
      </w:r>
    </w:p>
    <w:p w14:paraId="339466A1" w14:textId="77777777" w:rsidR="00000000" w:rsidRDefault="001F1B20">
      <w:pPr>
        <w:pStyle w:val="a3"/>
        <w:spacing w:before="0" w:beforeAutospacing="0" w:after="600" w:afterAutospacing="0"/>
        <w:divId w:val="157112677"/>
        <w:rPr>
          <w:sz w:val="20"/>
          <w:szCs w:val="20"/>
        </w:rPr>
      </w:pPr>
      <w:hyperlink w:anchor="TOC" w:history="1">
        <w:r>
          <w:rPr>
            <w:rStyle w:val="a4"/>
            <w:sz w:val="20"/>
            <w:szCs w:val="20"/>
          </w:rPr>
          <w:t>Table of Contents</w:t>
        </w:r>
      </w:hyperlink>
    </w:p>
    <w:p w14:paraId="5F31EE2D" w14:textId="77777777" w:rsidR="00000000" w:rsidRDefault="001F1B20">
      <w:pPr>
        <w:pStyle w:val="a3"/>
        <w:spacing w:before="0" w:beforeAutospacing="0" w:after="200" w:afterAutospacing="0"/>
        <w:divId w:val="1705016791"/>
        <w:rPr>
          <w:sz w:val="20"/>
          <w:szCs w:val="20"/>
        </w:rPr>
      </w:pPr>
      <w:r>
        <w:rPr>
          <w:sz w:val="20"/>
          <w:szCs w:val="20"/>
        </w:rPr>
        <w:t>monotherapy. Innoviva controls TRC and, except for certain consent rights, we have no right to participate in the business and affairs of TRC. Innoviva has the exclusive right to appoint TRC’s manager who, among other th</w:t>
      </w:r>
      <w:r>
        <w:rPr>
          <w:sz w:val="20"/>
          <w:szCs w:val="20"/>
        </w:rPr>
        <w:t xml:space="preserve">ings, is responsible for the day-to-day management of the GSK-Partnered Respiratory Programs and exercises the rights relating to the GSK-Partnered Respiratory Programs. As a result, we have no rights to participate in, or access to non-public information </w:t>
      </w:r>
      <w:r>
        <w:rPr>
          <w:sz w:val="20"/>
          <w:szCs w:val="20"/>
        </w:rPr>
        <w:t>about, the development and commercialization work GSK and Innoviva are undertaking with respect to the GSK-Partnered Respiratory Programs and no right to enforce rights under the GSK Agreements assigned to TRC. We have had and may in the future have disagr</w:t>
      </w:r>
      <w:r>
        <w:rPr>
          <w:sz w:val="20"/>
          <w:szCs w:val="20"/>
        </w:rPr>
        <w:t>eements with Innoviva and TRC regarding Innoviva’s decisions regarding the management of TRC. The dispute resolution procedures set forth in the TRC LLC Agreement have been invoked two times to date. These procedures can divert management’s attention and r</w:t>
      </w:r>
      <w:r>
        <w:rPr>
          <w:sz w:val="20"/>
          <w:szCs w:val="20"/>
        </w:rPr>
        <w:t>equire us to incur significant costs. Further, if resolved in a manner adverse to our interests, these procedures and the actions that lead to them could have a material impact on our operations. See</w:t>
      </w:r>
      <w:r>
        <w:rPr>
          <w:i/>
          <w:iCs/>
          <w:sz w:val="20"/>
          <w:szCs w:val="20"/>
        </w:rPr>
        <w:t xml:space="preserve"> Part II, Item 1 “Legal Proceedings” </w:t>
      </w:r>
      <w:r>
        <w:rPr>
          <w:sz w:val="20"/>
          <w:szCs w:val="20"/>
        </w:rPr>
        <w:t xml:space="preserve">and the Risk Factor </w:t>
      </w:r>
      <w:r>
        <w:rPr>
          <w:sz w:val="20"/>
          <w:szCs w:val="20"/>
        </w:rPr>
        <w:t>entitled “</w:t>
      </w:r>
      <w:r>
        <w:rPr>
          <w:i/>
          <w:iCs/>
          <w:sz w:val="20"/>
          <w:szCs w:val="20"/>
        </w:rPr>
        <w:t>We do not control the commercialization of TRELEGY and we do not control TRC; accordingly the amount of royalties we receive will depend on, among other factors, GSK’s ability to further commercialize TRELEGY and TRC’s decisions concerning use of</w:t>
      </w:r>
      <w:r>
        <w:rPr>
          <w:i/>
          <w:iCs/>
          <w:sz w:val="20"/>
          <w:szCs w:val="20"/>
        </w:rPr>
        <w:t xml:space="preserve"> cash in accordance with the TRC LLC Agreement</w:t>
      </w:r>
      <w:r>
        <w:rPr>
          <w:sz w:val="20"/>
          <w:szCs w:val="20"/>
        </w:rPr>
        <w:t>” for more information. Moreover, we have many of the same risks with respect to our and TRC’s dependence on GSK as we have with respect to our dependence on our own partners, including any adverse impacts on G</w:t>
      </w:r>
      <w:r>
        <w:rPr>
          <w:sz w:val="20"/>
          <w:szCs w:val="20"/>
        </w:rPr>
        <w:t>SK’s operations as a result of the COVID-19 pandemic.</w:t>
      </w:r>
    </w:p>
    <w:p w14:paraId="198B1D53" w14:textId="77777777" w:rsidR="00000000" w:rsidRDefault="001F1B20">
      <w:pPr>
        <w:pStyle w:val="a3"/>
        <w:spacing w:before="0" w:beforeAutospacing="0" w:after="120" w:afterAutospacing="0"/>
        <w:divId w:val="1705016791"/>
        <w:rPr>
          <w:sz w:val="20"/>
          <w:szCs w:val="20"/>
        </w:rPr>
      </w:pPr>
      <w:r>
        <w:rPr>
          <w:b/>
          <w:bCs/>
          <w:i/>
          <w:iCs/>
          <w:sz w:val="20"/>
          <w:szCs w:val="20"/>
        </w:rPr>
        <w:t>If there are any adverse developments or perceived adverse developments with respect to the GSK-Partnered Respiratory Programs in which we have a substantial economic interest, including TRELEGY, our bu</w:t>
      </w:r>
      <w:r>
        <w:rPr>
          <w:b/>
          <w:bCs/>
          <w:i/>
          <w:iCs/>
          <w:sz w:val="20"/>
          <w:szCs w:val="20"/>
        </w:rPr>
        <w:t>siness will be harmed, and the price of our securities could fall.</w:t>
      </w:r>
    </w:p>
    <w:p w14:paraId="08F0BEFD" w14:textId="77777777" w:rsidR="00000000" w:rsidRDefault="001F1B20">
      <w:pPr>
        <w:pStyle w:val="a3"/>
        <w:spacing w:before="0" w:beforeAutospacing="0" w:after="200" w:afterAutospacing="0"/>
        <w:ind w:firstLine="720"/>
        <w:divId w:val="1705016791"/>
        <w:rPr>
          <w:sz w:val="20"/>
          <w:szCs w:val="20"/>
        </w:rPr>
      </w:pPr>
      <w:r>
        <w:rPr>
          <w:sz w:val="20"/>
          <w:szCs w:val="20"/>
        </w:rPr>
        <w:t>We have no access to non-public information regarding the development progress of, or plans for, the GSK-Partnered Respiratory Programs, including TRELEGY, and we have little, if any, abili</w:t>
      </w:r>
      <w:r>
        <w:rPr>
          <w:sz w:val="20"/>
          <w:szCs w:val="20"/>
        </w:rPr>
        <w:t>ty to influence the progress of those programs because our interest in these programs is only through our ownership interest in TRC, which is controlled by Innoviva. However, if any of the GSK-Partnered Respiratory Programs in which we have a substantial e</w:t>
      </w:r>
      <w:r>
        <w:rPr>
          <w:sz w:val="20"/>
          <w:szCs w:val="20"/>
        </w:rPr>
        <w:t>conomic interest encounter delays, do not demonstrate required quality, safety and efficacy, are terminated, or if there are any adverse developments or perceived adverse developments with respect to such programs, our business will be harmed, and the pric</w:t>
      </w:r>
      <w:r>
        <w:rPr>
          <w:sz w:val="20"/>
          <w:szCs w:val="20"/>
        </w:rPr>
        <w:t>e of our securities could fall. Examples of such adverse developments include, but are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6D4228C" w14:textId="77777777">
        <w:trPr>
          <w:divId w:val="1705016791"/>
        </w:trPr>
        <w:tc>
          <w:tcPr>
            <w:tcW w:w="720" w:type="dxa"/>
            <w:vAlign w:val="center"/>
            <w:hideMark/>
          </w:tcPr>
          <w:p w14:paraId="16DBAE7A" w14:textId="77777777" w:rsidR="00000000" w:rsidRDefault="001F1B20">
            <w:pPr>
              <w:rPr>
                <w:sz w:val="20"/>
                <w:szCs w:val="20"/>
              </w:rPr>
            </w:pPr>
          </w:p>
        </w:tc>
        <w:tc>
          <w:tcPr>
            <w:tcW w:w="360" w:type="dxa"/>
            <w:noWrap/>
            <w:tcMar>
              <w:top w:w="0" w:type="dxa"/>
              <w:left w:w="0" w:type="dxa"/>
              <w:bottom w:w="0" w:type="dxa"/>
              <w:right w:w="0" w:type="dxa"/>
            </w:tcMar>
            <w:hideMark/>
          </w:tcPr>
          <w:p w14:paraId="04C14B80"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67A246D" w14:textId="77777777" w:rsidR="00000000" w:rsidRDefault="001F1B20">
            <w:pPr>
              <w:spacing w:after="200"/>
              <w:rPr>
                <w:rFonts w:eastAsia="Times New Roman"/>
                <w:sz w:val="20"/>
                <w:szCs w:val="20"/>
              </w:rPr>
            </w:pPr>
            <w:r>
              <w:rPr>
                <w:rFonts w:eastAsia="Times New Roman"/>
                <w:sz w:val="20"/>
                <w:szCs w:val="20"/>
              </w:rPr>
              <w:t>disappointing or lower than expected sales of TRELEGY;</w:t>
            </w:r>
          </w:p>
        </w:tc>
      </w:tr>
    </w:tbl>
    <w:p w14:paraId="633E0A22" w14:textId="77777777" w:rsidR="00000000" w:rsidRDefault="001F1B20">
      <w:pPr>
        <w:divId w:val="17050167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027E7C5" w14:textId="77777777">
        <w:trPr>
          <w:divId w:val="1705016791"/>
        </w:trPr>
        <w:tc>
          <w:tcPr>
            <w:tcW w:w="720" w:type="dxa"/>
            <w:vAlign w:val="center"/>
            <w:hideMark/>
          </w:tcPr>
          <w:p w14:paraId="5E1799CF" w14:textId="77777777" w:rsidR="00000000" w:rsidRDefault="001F1B20">
            <w:pPr>
              <w:rPr>
                <w:rFonts w:eastAsia="Times New Roman"/>
              </w:rPr>
            </w:pPr>
          </w:p>
        </w:tc>
        <w:tc>
          <w:tcPr>
            <w:tcW w:w="360" w:type="dxa"/>
            <w:noWrap/>
            <w:tcMar>
              <w:top w:w="0" w:type="dxa"/>
              <w:left w:w="0" w:type="dxa"/>
              <w:bottom w:w="0" w:type="dxa"/>
              <w:right w:w="0" w:type="dxa"/>
            </w:tcMar>
            <w:hideMark/>
          </w:tcPr>
          <w:p w14:paraId="4A7483C6"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2F01A25" w14:textId="77777777" w:rsidR="00000000" w:rsidRDefault="001F1B20">
            <w:pPr>
              <w:spacing w:after="200"/>
              <w:rPr>
                <w:rFonts w:eastAsia="Times New Roman"/>
                <w:sz w:val="20"/>
                <w:szCs w:val="20"/>
              </w:rPr>
            </w:pPr>
            <w:r>
              <w:rPr>
                <w:rFonts w:eastAsia="Times New Roman"/>
                <w:sz w:val="20"/>
                <w:szCs w:val="20"/>
              </w:rPr>
              <w:t>the emergence of new closed triple or other alternative therapies or any developments regarding competitive therapies, including comparative price or efficacy of competitive therapies;</w:t>
            </w:r>
          </w:p>
        </w:tc>
      </w:tr>
    </w:tbl>
    <w:p w14:paraId="15F31A74" w14:textId="77777777" w:rsidR="00000000" w:rsidRDefault="001F1B20">
      <w:pPr>
        <w:divId w:val="17050167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70801F3" w14:textId="77777777">
        <w:trPr>
          <w:divId w:val="1705016791"/>
        </w:trPr>
        <w:tc>
          <w:tcPr>
            <w:tcW w:w="720" w:type="dxa"/>
            <w:vAlign w:val="center"/>
            <w:hideMark/>
          </w:tcPr>
          <w:p w14:paraId="2A4A9C3A" w14:textId="77777777" w:rsidR="00000000" w:rsidRDefault="001F1B20">
            <w:pPr>
              <w:rPr>
                <w:rFonts w:eastAsia="Times New Roman"/>
              </w:rPr>
            </w:pPr>
          </w:p>
        </w:tc>
        <w:tc>
          <w:tcPr>
            <w:tcW w:w="360" w:type="dxa"/>
            <w:noWrap/>
            <w:tcMar>
              <w:top w:w="0" w:type="dxa"/>
              <w:left w:w="0" w:type="dxa"/>
              <w:bottom w:w="0" w:type="dxa"/>
              <w:right w:w="0" w:type="dxa"/>
            </w:tcMar>
            <w:hideMark/>
          </w:tcPr>
          <w:p w14:paraId="0B5814E0"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D259D15" w14:textId="77777777" w:rsidR="00000000" w:rsidRDefault="001F1B20">
            <w:pPr>
              <w:spacing w:after="200"/>
              <w:rPr>
                <w:rFonts w:eastAsia="Times New Roman"/>
                <w:sz w:val="20"/>
                <w:szCs w:val="20"/>
              </w:rPr>
            </w:pPr>
            <w:r>
              <w:rPr>
                <w:rFonts w:eastAsia="Times New Roman"/>
                <w:sz w:val="20"/>
                <w:szCs w:val="20"/>
              </w:rPr>
              <w:t>disputes between GSK and Innoviva or between us and Innoviva, such</w:t>
            </w:r>
            <w:r>
              <w:rPr>
                <w:rFonts w:eastAsia="Times New Roman"/>
                <w:sz w:val="20"/>
                <w:szCs w:val="20"/>
              </w:rPr>
              <w:t xml:space="preserve"> as our 2019 arbitration and the arbitration with Innoviva that was completed in early 2021 (See </w:t>
            </w:r>
            <w:r>
              <w:rPr>
                <w:rFonts w:eastAsia="Times New Roman"/>
                <w:i/>
                <w:iCs/>
                <w:sz w:val="20"/>
                <w:szCs w:val="20"/>
              </w:rPr>
              <w:t>Part II, Item 1 “Legal Proceedings”</w:t>
            </w:r>
            <w:r>
              <w:rPr>
                <w:rFonts w:eastAsia="Times New Roman"/>
                <w:sz w:val="20"/>
                <w:szCs w:val="20"/>
              </w:rPr>
              <w:t>), each of which concern the withholding of royalty payments we believe are due to us under the TRC LLC Agreement;</w:t>
            </w:r>
          </w:p>
        </w:tc>
      </w:tr>
    </w:tbl>
    <w:p w14:paraId="493FA084" w14:textId="77777777" w:rsidR="00000000" w:rsidRDefault="001F1B20">
      <w:pPr>
        <w:divId w:val="17050167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4D32F3D" w14:textId="77777777">
        <w:trPr>
          <w:divId w:val="1705016791"/>
        </w:trPr>
        <w:tc>
          <w:tcPr>
            <w:tcW w:w="720" w:type="dxa"/>
            <w:vAlign w:val="center"/>
            <w:hideMark/>
          </w:tcPr>
          <w:p w14:paraId="28FDCE9B" w14:textId="77777777" w:rsidR="00000000" w:rsidRDefault="001F1B20">
            <w:pPr>
              <w:rPr>
                <w:rFonts w:eastAsia="Times New Roman"/>
              </w:rPr>
            </w:pPr>
          </w:p>
        </w:tc>
        <w:tc>
          <w:tcPr>
            <w:tcW w:w="360" w:type="dxa"/>
            <w:noWrap/>
            <w:tcMar>
              <w:top w:w="0" w:type="dxa"/>
              <w:left w:w="0" w:type="dxa"/>
              <w:bottom w:w="0" w:type="dxa"/>
              <w:right w:w="0" w:type="dxa"/>
            </w:tcMar>
            <w:hideMark/>
          </w:tcPr>
          <w:p w14:paraId="2BEBE44E"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3A24F91" w14:textId="77777777" w:rsidR="00000000" w:rsidRDefault="001F1B20">
            <w:pPr>
              <w:spacing w:after="200"/>
              <w:rPr>
                <w:rFonts w:eastAsia="Times New Roman"/>
                <w:sz w:val="20"/>
                <w:szCs w:val="20"/>
              </w:rPr>
            </w:pPr>
            <w:r>
              <w:rPr>
                <w:rFonts w:eastAsia="Times New Roman"/>
                <w:sz w:val="20"/>
                <w:szCs w:val="20"/>
              </w:rPr>
              <w:t>GSK deciding to modify, delay or halt the TRELEGY program;</w:t>
            </w:r>
          </w:p>
        </w:tc>
      </w:tr>
    </w:tbl>
    <w:p w14:paraId="44C80E87" w14:textId="77777777" w:rsidR="00000000" w:rsidRDefault="001F1B20">
      <w:pPr>
        <w:divId w:val="17050167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BC56C86" w14:textId="77777777">
        <w:trPr>
          <w:divId w:val="1705016791"/>
        </w:trPr>
        <w:tc>
          <w:tcPr>
            <w:tcW w:w="720" w:type="dxa"/>
            <w:vAlign w:val="center"/>
            <w:hideMark/>
          </w:tcPr>
          <w:p w14:paraId="49E222F0" w14:textId="77777777" w:rsidR="00000000" w:rsidRDefault="001F1B20">
            <w:pPr>
              <w:rPr>
                <w:rFonts w:eastAsia="Times New Roman"/>
              </w:rPr>
            </w:pPr>
          </w:p>
        </w:tc>
        <w:tc>
          <w:tcPr>
            <w:tcW w:w="360" w:type="dxa"/>
            <w:noWrap/>
            <w:tcMar>
              <w:top w:w="0" w:type="dxa"/>
              <w:left w:w="0" w:type="dxa"/>
              <w:bottom w:w="0" w:type="dxa"/>
              <w:right w:w="0" w:type="dxa"/>
            </w:tcMar>
            <w:hideMark/>
          </w:tcPr>
          <w:p w14:paraId="03633F7C"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18739E9" w14:textId="77777777" w:rsidR="00000000" w:rsidRDefault="001F1B20">
            <w:pPr>
              <w:spacing w:after="200"/>
              <w:rPr>
                <w:rFonts w:eastAsia="Times New Roman"/>
                <w:sz w:val="20"/>
                <w:szCs w:val="20"/>
              </w:rPr>
            </w:pPr>
            <w:r>
              <w:rPr>
                <w:rFonts w:eastAsia="Times New Roman"/>
                <w:sz w:val="20"/>
                <w:szCs w:val="20"/>
              </w:rPr>
              <w:t>the FDA and/or other national or foreign regulatory authorities determin</w:t>
            </w:r>
            <w:r>
              <w:rPr>
                <w:rFonts w:eastAsia="Times New Roman"/>
                <w:sz w:val="20"/>
                <w:szCs w:val="20"/>
              </w:rPr>
              <w:t>ing that any of the studies under the TRELEGY program does not demonstrate the required quality, safety or efficacy, or that additional non-clinical or clinical studies are required with respect to the program;</w:t>
            </w:r>
          </w:p>
        </w:tc>
      </w:tr>
    </w:tbl>
    <w:p w14:paraId="2FE11218" w14:textId="77777777" w:rsidR="00000000" w:rsidRDefault="001F1B20">
      <w:pPr>
        <w:divId w:val="17050167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99145FC" w14:textId="77777777">
        <w:trPr>
          <w:divId w:val="1705016791"/>
        </w:trPr>
        <w:tc>
          <w:tcPr>
            <w:tcW w:w="720" w:type="dxa"/>
            <w:vAlign w:val="center"/>
            <w:hideMark/>
          </w:tcPr>
          <w:p w14:paraId="687FEC25" w14:textId="77777777" w:rsidR="00000000" w:rsidRDefault="001F1B20">
            <w:pPr>
              <w:rPr>
                <w:rFonts w:eastAsia="Times New Roman"/>
              </w:rPr>
            </w:pPr>
          </w:p>
        </w:tc>
        <w:tc>
          <w:tcPr>
            <w:tcW w:w="360" w:type="dxa"/>
            <w:noWrap/>
            <w:tcMar>
              <w:top w:w="0" w:type="dxa"/>
              <w:left w:w="0" w:type="dxa"/>
              <w:bottom w:w="0" w:type="dxa"/>
              <w:right w:w="0" w:type="dxa"/>
            </w:tcMar>
            <w:hideMark/>
          </w:tcPr>
          <w:p w14:paraId="0E9347F2"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33BD619" w14:textId="77777777" w:rsidR="00000000" w:rsidRDefault="001F1B20">
            <w:pPr>
              <w:spacing w:after="200"/>
              <w:rPr>
                <w:rFonts w:eastAsia="Times New Roman"/>
                <w:sz w:val="20"/>
                <w:szCs w:val="20"/>
              </w:rPr>
            </w:pPr>
            <w:r>
              <w:rPr>
                <w:rFonts w:eastAsia="Times New Roman"/>
                <w:sz w:val="20"/>
                <w:szCs w:val="20"/>
              </w:rPr>
              <w:t>any adverse effects resulting from the C</w:t>
            </w:r>
            <w:r>
              <w:rPr>
                <w:rFonts w:eastAsia="Times New Roman"/>
                <w:sz w:val="20"/>
                <w:szCs w:val="20"/>
              </w:rPr>
              <w:t>OVID-19 pandemic;</w:t>
            </w:r>
          </w:p>
        </w:tc>
      </w:tr>
    </w:tbl>
    <w:p w14:paraId="0536CAA3" w14:textId="77777777" w:rsidR="00000000" w:rsidRDefault="001F1B20">
      <w:pPr>
        <w:divId w:val="17050167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ADFACA2" w14:textId="77777777">
        <w:trPr>
          <w:divId w:val="1705016791"/>
        </w:trPr>
        <w:tc>
          <w:tcPr>
            <w:tcW w:w="720" w:type="dxa"/>
            <w:vAlign w:val="center"/>
            <w:hideMark/>
          </w:tcPr>
          <w:p w14:paraId="22088CE2" w14:textId="77777777" w:rsidR="00000000" w:rsidRDefault="001F1B20">
            <w:pPr>
              <w:rPr>
                <w:rFonts w:eastAsia="Times New Roman"/>
              </w:rPr>
            </w:pPr>
          </w:p>
        </w:tc>
        <w:tc>
          <w:tcPr>
            <w:tcW w:w="360" w:type="dxa"/>
            <w:noWrap/>
            <w:tcMar>
              <w:top w:w="0" w:type="dxa"/>
              <w:left w:w="0" w:type="dxa"/>
              <w:bottom w:w="0" w:type="dxa"/>
              <w:right w:w="0" w:type="dxa"/>
            </w:tcMar>
            <w:hideMark/>
          </w:tcPr>
          <w:p w14:paraId="3D118063"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37717FA" w14:textId="77777777" w:rsidR="00000000" w:rsidRDefault="001F1B20">
            <w:pPr>
              <w:spacing w:after="200"/>
              <w:rPr>
                <w:rFonts w:eastAsia="Times New Roman"/>
                <w:sz w:val="20"/>
                <w:szCs w:val="20"/>
              </w:rPr>
            </w:pPr>
            <w:r>
              <w:rPr>
                <w:rFonts w:eastAsia="Times New Roman"/>
                <w:sz w:val="20"/>
                <w:szCs w:val="20"/>
              </w:rPr>
              <w:t>any safety, efficacy or other concerns regarding the TRELEGY program or any GSK-Partnered Respiratory Program in which we have a substantial economic interest; or</w:t>
            </w:r>
          </w:p>
        </w:tc>
      </w:tr>
    </w:tbl>
    <w:p w14:paraId="21EEA263" w14:textId="77777777" w:rsidR="00000000" w:rsidRDefault="001F1B20">
      <w:pPr>
        <w:divId w:val="170501679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6D9B272" w14:textId="77777777">
        <w:trPr>
          <w:divId w:val="1705016791"/>
        </w:trPr>
        <w:tc>
          <w:tcPr>
            <w:tcW w:w="720" w:type="dxa"/>
            <w:vAlign w:val="center"/>
            <w:hideMark/>
          </w:tcPr>
          <w:p w14:paraId="5AD87A38" w14:textId="77777777" w:rsidR="00000000" w:rsidRDefault="001F1B20">
            <w:pPr>
              <w:rPr>
                <w:rFonts w:eastAsia="Times New Roman"/>
              </w:rPr>
            </w:pPr>
          </w:p>
        </w:tc>
        <w:tc>
          <w:tcPr>
            <w:tcW w:w="360" w:type="dxa"/>
            <w:noWrap/>
            <w:tcMar>
              <w:top w:w="0" w:type="dxa"/>
              <w:left w:w="0" w:type="dxa"/>
              <w:bottom w:w="0" w:type="dxa"/>
              <w:right w:w="0" w:type="dxa"/>
            </w:tcMar>
            <w:hideMark/>
          </w:tcPr>
          <w:p w14:paraId="3DD59068"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511CC5C" w14:textId="77777777" w:rsidR="00000000" w:rsidRDefault="001F1B20">
            <w:pPr>
              <w:rPr>
                <w:rFonts w:eastAsia="Times New Roman"/>
                <w:sz w:val="20"/>
                <w:szCs w:val="20"/>
              </w:rPr>
            </w:pPr>
            <w:r>
              <w:rPr>
                <w:rFonts w:eastAsia="Times New Roman"/>
                <w:sz w:val="20"/>
                <w:szCs w:val="20"/>
              </w:rPr>
              <w:t>any particular FDA requirements or changes in FDA policy or guidance regarding the TRELE</w:t>
            </w:r>
            <w:r>
              <w:rPr>
                <w:rFonts w:eastAsia="Times New Roman"/>
                <w:sz w:val="20"/>
                <w:szCs w:val="20"/>
              </w:rPr>
              <w:t>GY program or any other GSK-Partnered Respiratory Program or any particular regulatory requirements in other jurisdictions or changes in the policies or guidance adopted by foreign regulatory authorities.</w:t>
            </w:r>
          </w:p>
        </w:tc>
      </w:tr>
    </w:tbl>
    <w:p w14:paraId="789FB520" w14:textId="77777777" w:rsidR="00000000" w:rsidRDefault="001F1B20">
      <w:pPr>
        <w:pStyle w:val="a3"/>
        <w:spacing w:before="360" w:beforeAutospacing="0" w:after="0" w:afterAutospacing="0"/>
        <w:jc w:val="center"/>
        <w:divId w:val="1628193265"/>
        <w:rPr>
          <w:sz w:val="20"/>
          <w:szCs w:val="20"/>
        </w:rPr>
      </w:pPr>
      <w:r>
        <w:rPr>
          <w:sz w:val="20"/>
          <w:szCs w:val="20"/>
        </w:rPr>
        <w:t>41</w:t>
      </w:r>
    </w:p>
    <w:p w14:paraId="21F4742E" w14:textId="77777777" w:rsidR="00000000" w:rsidRDefault="001F1B20">
      <w:pPr>
        <w:pStyle w:val="a3"/>
        <w:spacing w:before="0" w:beforeAutospacing="0" w:after="600" w:afterAutospacing="0"/>
        <w:divId w:val="98064834"/>
        <w:rPr>
          <w:sz w:val="20"/>
          <w:szCs w:val="20"/>
        </w:rPr>
      </w:pPr>
      <w:hyperlink w:anchor="TOC" w:history="1">
        <w:r>
          <w:rPr>
            <w:rStyle w:val="a4"/>
            <w:sz w:val="20"/>
            <w:szCs w:val="20"/>
          </w:rPr>
          <w:t>Table of Contents</w:t>
        </w:r>
      </w:hyperlink>
    </w:p>
    <w:p w14:paraId="3A19BD63" w14:textId="77777777" w:rsidR="00000000" w:rsidRDefault="001F1B20">
      <w:pPr>
        <w:pStyle w:val="a3"/>
        <w:spacing w:before="0" w:beforeAutospacing="0" w:after="120" w:afterAutospacing="0"/>
        <w:divId w:val="2009093364"/>
        <w:rPr>
          <w:sz w:val="20"/>
          <w:szCs w:val="20"/>
        </w:rPr>
      </w:pPr>
      <w:r>
        <w:rPr>
          <w:b/>
          <w:bCs/>
          <w:i/>
          <w:iCs/>
          <w:sz w:val="20"/>
          <w:szCs w:val="20"/>
        </w:rPr>
        <w:t>Bec</w:t>
      </w:r>
      <w:r>
        <w:rPr>
          <w:b/>
          <w:bCs/>
          <w:i/>
          <w:iCs/>
          <w:sz w:val="20"/>
          <w:szCs w:val="20"/>
        </w:rPr>
        <w:t>ause GSK is a strategic partner of Innoviva, a strategic partner of TRC and a significant shareholder of us, it may take actions that in certain cases are materially harmful to our business and to our other shareholders.</w:t>
      </w:r>
    </w:p>
    <w:p w14:paraId="08834D0B" w14:textId="77777777" w:rsidR="00000000" w:rsidRDefault="001F1B20">
      <w:pPr>
        <w:pStyle w:val="a3"/>
        <w:spacing w:before="0" w:beforeAutospacing="0" w:after="200" w:afterAutospacing="0"/>
        <w:ind w:firstLine="720"/>
        <w:divId w:val="2009093364"/>
        <w:rPr>
          <w:sz w:val="20"/>
          <w:szCs w:val="20"/>
        </w:rPr>
      </w:pPr>
      <w:r>
        <w:rPr>
          <w:sz w:val="20"/>
          <w:szCs w:val="20"/>
        </w:rPr>
        <w:t>Based on our review of publicly ava</w:t>
      </w:r>
      <w:r>
        <w:rPr>
          <w:sz w:val="20"/>
          <w:szCs w:val="20"/>
        </w:rPr>
        <w:t>ilable filings, as of September 30, 2021, GSK beneficially owned 13.1% of our outstanding ordinary shares (although GSK, through a subsidiary, has issued $280,336,000 of exchangeable senior notes due 2023 (the “GSK Notes”), initially exchangeable into 9,64</w:t>
      </w:r>
      <w:r>
        <w:rPr>
          <w:sz w:val="20"/>
          <w:szCs w:val="20"/>
        </w:rPr>
        <w:t>4,792 of our ordinary shares which, as of September 30, 2021, represented 13.1% of our outstanding ordinary shares). GSK is also a strategic partner to Innoviva with rights and obligations under the GSK Agreements, which include the strategic alliance agre</w:t>
      </w:r>
      <w:r>
        <w:rPr>
          <w:sz w:val="20"/>
          <w:szCs w:val="20"/>
        </w:rPr>
        <w:t>ement and the collaboration agreement assigned to TRC, that may cause GSK’s interests to differ from our interests and those of our other shareholders. For example, GSK’s commercialization efforts are guided by a portfolio approach across products in which</w:t>
      </w:r>
      <w:r>
        <w:rPr>
          <w:sz w:val="20"/>
          <w:szCs w:val="20"/>
        </w:rPr>
        <w:t xml:space="preserve"> we have an indirect interest through TRC and products in which we have no interest. Accordingly, GSK’s commercialization efforts may have the effect of reducing the value of our interest in TRC. Furthermore, GSK has a substantial respiratory product portf</w:t>
      </w:r>
      <w:r>
        <w:rPr>
          <w:sz w:val="20"/>
          <w:szCs w:val="20"/>
        </w:rPr>
        <w:t xml:space="preserve">olio in addition to the products covered by the GSK Agreements. GSK may make respiratory product portfolio decisions or statements about its portfolio which may be, or may be perceived to be, harmful to the respiratory products partnered with Innoviva and </w:t>
      </w:r>
      <w:r>
        <w:rPr>
          <w:sz w:val="20"/>
          <w:szCs w:val="20"/>
        </w:rPr>
        <w:t>TRC. For example, GSK could promote its own respiratory products and/or delay or terminate the development or commercialization of the respiratory programs covered by the GSK Agreements, which include TRELEGY. Also, given the potential future royalty payme</w:t>
      </w:r>
      <w:r>
        <w:rPr>
          <w:sz w:val="20"/>
          <w:szCs w:val="20"/>
        </w:rPr>
        <w:t>nts GSK may be obligated to pay under the GSK Agreements, GSK may seek to acquire us or acquire our interests in TRC in order to effectively reduce those payment obligations and the price at which GSK might seek to acquire us may not reflect our true value</w:t>
      </w:r>
      <w:r>
        <w:rPr>
          <w:sz w:val="20"/>
          <w:szCs w:val="20"/>
        </w:rPr>
        <w:t xml:space="preserve">. As a result of these differing interests, GSK may take actions that it believes are in its best interest but which might not be in the best interests of either us or our other shareholders. In addition, GSK could also seek to challenge our or Innoviva’s </w:t>
      </w:r>
      <w:r>
        <w:rPr>
          <w:sz w:val="20"/>
          <w:szCs w:val="20"/>
        </w:rPr>
        <w:t>post-Spin-Off operations as violating or allowing it to terminate the GSK Agreements, including by violating the confidentiality provisions of those agreements or the master agreement between GSK, Innoviva and us entered into in connection with the Spin-Of</w:t>
      </w:r>
      <w:r>
        <w:rPr>
          <w:sz w:val="20"/>
          <w:szCs w:val="20"/>
        </w:rPr>
        <w:t xml:space="preserve">f (the “Master Agreement”), or otherwise violating its legal rights. While we believe our operations fully comply with the GSK Agreements, the Master Agreement and applicable law, there can be no assurance that we or Innoviva will prevail against any such </w:t>
      </w:r>
      <w:r>
        <w:rPr>
          <w:sz w:val="20"/>
          <w:szCs w:val="20"/>
        </w:rPr>
        <w:t>claims by GSK. Moreover, regardless of the merit of any claims by GSK, we may incur significant cost and diversion of resources in defending them. In addition, any other action or inaction by either GSK or Innoviva that results in a material dispute, alleg</w:t>
      </w:r>
      <w:r>
        <w:rPr>
          <w:sz w:val="20"/>
          <w:szCs w:val="20"/>
        </w:rPr>
        <w:t>ation of breach, litigation, arbitration, or significant disagreement between those parties or between us and either of those parties may be interpreted negatively by the market or by our investors, could harm our business and cause the price of our securi</w:t>
      </w:r>
      <w:r>
        <w:rPr>
          <w:sz w:val="20"/>
          <w:szCs w:val="20"/>
        </w:rPr>
        <w:t>ties to fall. Other examples of these kinds of issues include but are not limited to non-performance of other contractual obligations and allegations of non-performance, disagreements over the relative marketing and sales efforts for Innoviva’s partnered p</w:t>
      </w:r>
      <w:r>
        <w:rPr>
          <w:sz w:val="20"/>
          <w:szCs w:val="20"/>
        </w:rPr>
        <w:t>roducts and other GSK respiratory products, disputes over public statements, and similar matters. In general, any uncertainty about respiratory programs partnered with GSK, the enforceability of the GSK Agreements or the relationship/partnership between In</w:t>
      </w:r>
      <w:r>
        <w:rPr>
          <w:sz w:val="20"/>
          <w:szCs w:val="20"/>
        </w:rPr>
        <w:t>noviva and GSK or between us and Innoviva could result in significant reduction in the market price of our securities and other material harm to our business.</w:t>
      </w:r>
    </w:p>
    <w:p w14:paraId="302F5CD0" w14:textId="77777777" w:rsidR="00000000" w:rsidRDefault="001F1B20">
      <w:pPr>
        <w:pStyle w:val="a3"/>
        <w:spacing w:before="0" w:beforeAutospacing="0" w:after="120" w:afterAutospacing="0"/>
        <w:divId w:val="2009093364"/>
        <w:rPr>
          <w:sz w:val="20"/>
          <w:szCs w:val="20"/>
        </w:rPr>
      </w:pPr>
      <w:r>
        <w:rPr>
          <w:b/>
          <w:bCs/>
          <w:i/>
          <w:iCs/>
          <w:sz w:val="20"/>
          <w:szCs w:val="20"/>
        </w:rPr>
        <w:t>We do not control the commercialization of TRELEGY and we do not control TRC; accordingly the amo</w:t>
      </w:r>
      <w:r>
        <w:rPr>
          <w:b/>
          <w:bCs/>
          <w:i/>
          <w:iCs/>
          <w:sz w:val="20"/>
          <w:szCs w:val="20"/>
        </w:rPr>
        <w:t>unt of royalties we receive will depend on, among other factors, GSK’s ability to further commercialize TRELEGY and TRC’s decisions concerning use of cash in accordance with the TRC LLC Agreement.</w:t>
      </w:r>
    </w:p>
    <w:p w14:paraId="24086BC9" w14:textId="77777777" w:rsidR="00000000" w:rsidRDefault="001F1B20">
      <w:pPr>
        <w:pStyle w:val="a3"/>
        <w:spacing w:before="0" w:beforeAutospacing="0" w:after="0" w:afterAutospacing="0"/>
        <w:ind w:firstLine="720"/>
        <w:divId w:val="2009093364"/>
        <w:rPr>
          <w:sz w:val="20"/>
          <w:szCs w:val="20"/>
        </w:rPr>
      </w:pPr>
      <w:r>
        <w:rPr>
          <w:sz w:val="20"/>
          <w:szCs w:val="20"/>
        </w:rPr>
        <w:t>We only receive revenues from TRELEGY based on the amount o</w:t>
      </w:r>
      <w:r>
        <w:rPr>
          <w:sz w:val="20"/>
          <w:szCs w:val="20"/>
        </w:rPr>
        <w:t>f sales of this product by GSK in the form of our economic interest in the royalties paid by GSK to TRC, which is managed by Innoviva. There are no required minimum future payments associated with the product and any royalties we receive will depend on GSK</w:t>
      </w:r>
      <w:r>
        <w:rPr>
          <w:sz w:val="20"/>
          <w:szCs w:val="20"/>
        </w:rPr>
        <w:t xml:space="preserve">’s ability to commercialize the product, the future payments, if any, made by GSK to TRC, TRC’s expenses, and the amount of cash, if any, expected to be used by TRC pursuant to the TRC LLC Agreement. Following our 2019 arbitration with Innoviva concerning </w:t>
      </w:r>
      <w:r>
        <w:rPr>
          <w:sz w:val="20"/>
          <w:szCs w:val="20"/>
        </w:rPr>
        <w:t xml:space="preserve">its withholding of certain royalty distributions to the TRC members, the arbitrator ruled, among other things, that in the future if Innoviva desires to invest TRC funds in any initiatives that require the consent of GSK under the collaboration agreement, </w:t>
      </w:r>
      <w:r>
        <w:rPr>
          <w:sz w:val="20"/>
          <w:szCs w:val="20"/>
        </w:rPr>
        <w:t>Innoviva must first obtain the consent of GSK. The timeframe for seeking GSK’s consent for these initiatives and the associated dates by which GSK’s consent must be received means that royalty distributions could be delayed for several quarters (if GSK ult</w:t>
      </w:r>
      <w:r>
        <w:rPr>
          <w:sz w:val="20"/>
          <w:szCs w:val="20"/>
        </w:rPr>
        <w:t xml:space="preserve">imately does not consent) or perhaps not made at all until the completion of the initiatives (to the extent that GSK does consent and agrees with TRC that TRC funding will be used for such initiatives). On June 10, 2020, we disclosed in a Form 8-K that we </w:t>
      </w:r>
      <w:r>
        <w:rPr>
          <w:sz w:val="20"/>
          <w:szCs w:val="20"/>
        </w:rPr>
        <w:t>had formally objected to TRC and Innoviva, as the manager of TRC, regarding their proposed plan to use TRELEGY royalties to invest in certain privately-held companies, funds that would otherwise be available for distribution to us under the terms of the TR</w:t>
      </w:r>
      <w:r>
        <w:rPr>
          <w:sz w:val="20"/>
          <w:szCs w:val="20"/>
        </w:rPr>
        <w:t xml:space="preserve">C LLC Agreement. In this regard, we initiated an arbitration proceeding in October 2020 against Innoviva and TRC, challenging the authority of Innoviva and TRC to pursue such a business plan rather than distribute such </w:t>
      </w:r>
    </w:p>
    <w:p w14:paraId="721BB7C9" w14:textId="77777777" w:rsidR="00000000" w:rsidRDefault="001F1B20">
      <w:pPr>
        <w:pStyle w:val="a3"/>
        <w:spacing w:before="360" w:beforeAutospacing="0" w:after="0" w:afterAutospacing="0"/>
        <w:jc w:val="center"/>
        <w:divId w:val="920867013"/>
        <w:rPr>
          <w:sz w:val="20"/>
          <w:szCs w:val="20"/>
        </w:rPr>
      </w:pPr>
      <w:r>
        <w:rPr>
          <w:sz w:val="20"/>
          <w:szCs w:val="20"/>
        </w:rPr>
        <w:t>42</w:t>
      </w:r>
    </w:p>
    <w:p w14:paraId="2C669BF2" w14:textId="77777777" w:rsidR="00000000" w:rsidRDefault="001F1B20">
      <w:pPr>
        <w:pStyle w:val="a3"/>
        <w:spacing w:before="0" w:beforeAutospacing="0" w:after="600" w:afterAutospacing="0"/>
        <w:divId w:val="570894942"/>
        <w:rPr>
          <w:sz w:val="20"/>
          <w:szCs w:val="20"/>
        </w:rPr>
      </w:pPr>
      <w:hyperlink w:anchor="TOC" w:history="1">
        <w:r>
          <w:rPr>
            <w:rStyle w:val="a4"/>
            <w:sz w:val="20"/>
            <w:szCs w:val="20"/>
          </w:rPr>
          <w:t>Table of Contents</w:t>
        </w:r>
      </w:hyperlink>
    </w:p>
    <w:p w14:paraId="77796B8D" w14:textId="77777777" w:rsidR="00000000" w:rsidRDefault="001F1B20">
      <w:pPr>
        <w:pStyle w:val="a3"/>
        <w:spacing w:before="0" w:beforeAutospacing="0" w:after="200" w:afterAutospacing="0"/>
        <w:divId w:val="2096323066"/>
        <w:rPr>
          <w:sz w:val="20"/>
          <w:szCs w:val="20"/>
        </w:rPr>
      </w:pPr>
      <w:r>
        <w:rPr>
          <w:sz w:val="20"/>
          <w:szCs w:val="20"/>
        </w:rPr>
        <w:t>funds to us in a manner that we believe is consistent with the TRC LLC Agreement and our 85% economic interest in TRC. The arbitration hearing was held during the week of February 16, 2021, with post-hearing brie</w:t>
      </w:r>
      <w:r>
        <w:rPr>
          <w:sz w:val="20"/>
          <w:szCs w:val="20"/>
        </w:rPr>
        <w:t>fing and arguments taking place over the following few weeks. On March 30, 2021, the arbitrator ruled that, at its current levels of investment, Innoviva and TRC had not breached the LLC Agreement. The arbitrator further ruled that Innoviva and TRC had not</w:t>
      </w:r>
      <w:r>
        <w:rPr>
          <w:sz w:val="20"/>
          <w:szCs w:val="20"/>
        </w:rPr>
        <w:t xml:space="preserve"> breached the implied covenant of good faith and fair dealing; or their fiduciary duties. The arbitrator also ruled that (i) Innoviva is entitled to indemnification from TRC for all legal fees and expenses reasonably incurred in the arbitration and (ii) we</w:t>
      </w:r>
      <w:r>
        <w:rPr>
          <w:sz w:val="20"/>
          <w:szCs w:val="20"/>
        </w:rPr>
        <w:t xml:space="preserve"> are entitled to indemnification from TRC for legal fees and costs incurred in defending an action Innoviva brought against us in the Delaware Court of Chancery. The arbitrator noted in the ruling that although we failed to show that Innoviva’s investment </w:t>
      </w:r>
      <w:r>
        <w:rPr>
          <w:sz w:val="20"/>
          <w:szCs w:val="20"/>
        </w:rPr>
        <w:t>activities, at the current levels of investment, have or will have a material and adverse effect on our economic interest in TRC, this does not mean that any future investments or actions will not require our consent. The arbitrator noted in the ruling tha</w:t>
      </w:r>
      <w:r>
        <w:rPr>
          <w:sz w:val="20"/>
          <w:szCs w:val="20"/>
        </w:rPr>
        <w:t>t we may, in the future, have a consent right over the decision to continue this investment strategy or whether to make a particular investment if, for example, Innoviva develops a track record of poor investments, over allocates royalties to these investm</w:t>
      </w:r>
      <w:r>
        <w:rPr>
          <w:sz w:val="20"/>
          <w:szCs w:val="20"/>
        </w:rPr>
        <w:t xml:space="preserve">ent activities, or fails to distribute sufficient investment returns, and such facts cause the strategy or investment to have a material adverse effect on our economic interest in TRC. </w:t>
      </w:r>
    </w:p>
    <w:p w14:paraId="081FFBDC" w14:textId="77777777" w:rsidR="00000000" w:rsidRDefault="001F1B20">
      <w:pPr>
        <w:pStyle w:val="a3"/>
        <w:spacing w:before="0" w:beforeAutospacing="0" w:after="200" w:afterAutospacing="0"/>
        <w:ind w:firstLine="720"/>
        <w:divId w:val="2096323066"/>
        <w:rPr>
          <w:sz w:val="20"/>
          <w:szCs w:val="20"/>
        </w:rPr>
      </w:pPr>
      <w:r>
        <w:rPr>
          <w:sz w:val="20"/>
          <w:szCs w:val="20"/>
        </w:rPr>
        <w:t>Accordingly, our economic interest in TRC LLC involves a number of ris</w:t>
      </w:r>
      <w:r>
        <w:rPr>
          <w:sz w:val="20"/>
          <w:szCs w:val="20"/>
        </w:rPr>
        <w:t>ks and uncertainties,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105D197" w14:textId="77777777">
        <w:trPr>
          <w:divId w:val="2096323066"/>
        </w:trPr>
        <w:tc>
          <w:tcPr>
            <w:tcW w:w="720" w:type="dxa"/>
            <w:tcMar>
              <w:top w:w="0" w:type="dxa"/>
              <w:left w:w="0" w:type="dxa"/>
              <w:bottom w:w="0" w:type="dxa"/>
              <w:right w:w="0" w:type="dxa"/>
            </w:tcMar>
            <w:vAlign w:val="center"/>
            <w:hideMark/>
          </w:tcPr>
          <w:p w14:paraId="4E0DCF4F" w14:textId="77777777" w:rsidR="00000000" w:rsidRDefault="001F1B20">
            <w:pPr>
              <w:rPr>
                <w:sz w:val="20"/>
                <w:szCs w:val="20"/>
              </w:rPr>
            </w:pPr>
          </w:p>
        </w:tc>
        <w:tc>
          <w:tcPr>
            <w:tcW w:w="360" w:type="dxa"/>
            <w:noWrap/>
            <w:tcMar>
              <w:top w:w="0" w:type="dxa"/>
              <w:left w:w="0" w:type="dxa"/>
              <w:bottom w:w="0" w:type="dxa"/>
              <w:right w:w="0" w:type="dxa"/>
            </w:tcMar>
            <w:hideMark/>
          </w:tcPr>
          <w:p w14:paraId="02D6DFDF"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8571D25" w14:textId="77777777" w:rsidR="00000000" w:rsidRDefault="001F1B20">
            <w:pPr>
              <w:pStyle w:val="a3"/>
              <w:spacing w:before="0" w:beforeAutospacing="0" w:after="200" w:afterAutospacing="0"/>
              <w:rPr>
                <w:sz w:val="20"/>
                <w:szCs w:val="20"/>
              </w:rPr>
            </w:pPr>
            <w:r>
              <w:rPr>
                <w:sz w:val="20"/>
                <w:szCs w:val="20"/>
              </w:rPr>
              <w:t>any future withholding by Innoviva or TRC of royalty distributions and decisions made by Innoviva, as TRC’s manager, regarding the timing and amount of distributions;</w:t>
            </w:r>
          </w:p>
        </w:tc>
      </w:tr>
    </w:tbl>
    <w:p w14:paraId="27463A5B"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94179D1" w14:textId="77777777">
        <w:trPr>
          <w:divId w:val="2096323066"/>
        </w:trPr>
        <w:tc>
          <w:tcPr>
            <w:tcW w:w="720" w:type="dxa"/>
            <w:tcMar>
              <w:top w:w="0" w:type="dxa"/>
              <w:left w:w="0" w:type="dxa"/>
              <w:bottom w:w="0" w:type="dxa"/>
              <w:right w:w="0" w:type="dxa"/>
            </w:tcMar>
            <w:vAlign w:val="center"/>
            <w:hideMark/>
          </w:tcPr>
          <w:p w14:paraId="4C397B9A" w14:textId="77777777" w:rsidR="00000000" w:rsidRDefault="001F1B20">
            <w:pPr>
              <w:rPr>
                <w:rFonts w:eastAsia="Times New Roman"/>
              </w:rPr>
            </w:pPr>
          </w:p>
        </w:tc>
        <w:tc>
          <w:tcPr>
            <w:tcW w:w="360" w:type="dxa"/>
            <w:noWrap/>
            <w:tcMar>
              <w:top w:w="0" w:type="dxa"/>
              <w:left w:w="0" w:type="dxa"/>
              <w:bottom w:w="0" w:type="dxa"/>
              <w:right w:w="0" w:type="dxa"/>
            </w:tcMar>
            <w:hideMark/>
          </w:tcPr>
          <w:p w14:paraId="5447B087"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D4C0AA6" w14:textId="77777777" w:rsidR="00000000" w:rsidRDefault="001F1B20">
            <w:pPr>
              <w:pStyle w:val="a3"/>
              <w:spacing w:before="0" w:beforeAutospacing="0" w:after="200" w:afterAutospacing="0"/>
              <w:rPr>
                <w:sz w:val="20"/>
                <w:szCs w:val="20"/>
              </w:rPr>
            </w:pPr>
            <w:r>
              <w:rPr>
                <w:sz w:val="20"/>
                <w:szCs w:val="20"/>
              </w:rPr>
              <w:t>the amount of cash associated with any additiona</w:t>
            </w:r>
            <w:r>
              <w:rPr>
                <w:sz w:val="20"/>
                <w:szCs w:val="20"/>
              </w:rPr>
              <w:t>l future investments for which Innoviva expends TRC funds;</w:t>
            </w:r>
          </w:p>
        </w:tc>
      </w:tr>
    </w:tbl>
    <w:p w14:paraId="6FEB15E6"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16"/>
      </w:tblGrid>
      <w:tr w:rsidR="00000000" w14:paraId="2125581A" w14:textId="77777777">
        <w:trPr>
          <w:divId w:val="2096323066"/>
        </w:trPr>
        <w:tc>
          <w:tcPr>
            <w:tcW w:w="720" w:type="dxa"/>
            <w:tcMar>
              <w:top w:w="0" w:type="dxa"/>
              <w:left w:w="0" w:type="dxa"/>
              <w:bottom w:w="0" w:type="dxa"/>
              <w:right w:w="0" w:type="dxa"/>
            </w:tcMar>
            <w:vAlign w:val="center"/>
            <w:hideMark/>
          </w:tcPr>
          <w:p w14:paraId="28B403A1" w14:textId="77777777" w:rsidR="00000000" w:rsidRDefault="001F1B20">
            <w:pPr>
              <w:rPr>
                <w:rFonts w:eastAsia="Times New Roman"/>
              </w:rPr>
            </w:pPr>
          </w:p>
        </w:tc>
        <w:tc>
          <w:tcPr>
            <w:tcW w:w="360" w:type="dxa"/>
            <w:noWrap/>
            <w:tcMar>
              <w:top w:w="0" w:type="dxa"/>
              <w:left w:w="0" w:type="dxa"/>
              <w:bottom w:w="0" w:type="dxa"/>
              <w:right w:w="0" w:type="dxa"/>
            </w:tcMar>
            <w:hideMark/>
          </w:tcPr>
          <w:p w14:paraId="1CFC00B2"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AB371E7" w14:textId="77777777" w:rsidR="00000000" w:rsidRDefault="001F1B20">
            <w:pPr>
              <w:pStyle w:val="a3"/>
              <w:spacing w:before="0" w:beforeAutospacing="0" w:after="200" w:afterAutospacing="0"/>
              <w:rPr>
                <w:sz w:val="20"/>
                <w:szCs w:val="20"/>
              </w:rPr>
            </w:pPr>
            <w:r>
              <w:rPr>
                <w:sz w:val="20"/>
                <w:szCs w:val="20"/>
              </w:rPr>
              <w:t>GSK’s ability to have an adequate supply of TRELEGY product;</w:t>
            </w:r>
          </w:p>
        </w:tc>
      </w:tr>
    </w:tbl>
    <w:p w14:paraId="30B1A53A"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A5E905F" w14:textId="77777777">
        <w:trPr>
          <w:divId w:val="2096323066"/>
        </w:trPr>
        <w:tc>
          <w:tcPr>
            <w:tcW w:w="720" w:type="dxa"/>
            <w:tcMar>
              <w:top w:w="0" w:type="dxa"/>
              <w:left w:w="0" w:type="dxa"/>
              <w:bottom w:w="0" w:type="dxa"/>
              <w:right w:w="0" w:type="dxa"/>
            </w:tcMar>
            <w:vAlign w:val="center"/>
            <w:hideMark/>
          </w:tcPr>
          <w:p w14:paraId="2A1C7C5C" w14:textId="77777777" w:rsidR="00000000" w:rsidRDefault="001F1B20">
            <w:pPr>
              <w:rPr>
                <w:rFonts w:eastAsia="Times New Roman"/>
              </w:rPr>
            </w:pPr>
          </w:p>
        </w:tc>
        <w:tc>
          <w:tcPr>
            <w:tcW w:w="360" w:type="dxa"/>
            <w:noWrap/>
            <w:tcMar>
              <w:top w:w="0" w:type="dxa"/>
              <w:left w:w="0" w:type="dxa"/>
              <w:bottom w:w="0" w:type="dxa"/>
              <w:right w:w="0" w:type="dxa"/>
            </w:tcMar>
            <w:hideMark/>
          </w:tcPr>
          <w:p w14:paraId="21DBAA8B"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032A572A" w14:textId="77777777" w:rsidR="00000000" w:rsidRDefault="001F1B20">
            <w:pPr>
              <w:pStyle w:val="a3"/>
              <w:spacing w:before="0" w:beforeAutospacing="0" w:after="200" w:afterAutospacing="0"/>
              <w:rPr>
                <w:sz w:val="20"/>
                <w:szCs w:val="20"/>
              </w:rPr>
            </w:pPr>
            <w:r>
              <w:rPr>
                <w:sz w:val="20"/>
                <w:szCs w:val="20"/>
              </w:rPr>
              <w:t>ongoing compliance by GSK or its suppliers with the FDA’</w:t>
            </w:r>
            <w:r>
              <w:rPr>
                <w:sz w:val="20"/>
                <w:szCs w:val="20"/>
              </w:rPr>
              <w:t>s current Good Manufacturing Practice;</w:t>
            </w:r>
          </w:p>
        </w:tc>
      </w:tr>
    </w:tbl>
    <w:p w14:paraId="68D54322"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A6FE943" w14:textId="77777777">
        <w:trPr>
          <w:divId w:val="2096323066"/>
        </w:trPr>
        <w:tc>
          <w:tcPr>
            <w:tcW w:w="720" w:type="dxa"/>
            <w:tcMar>
              <w:top w:w="0" w:type="dxa"/>
              <w:left w:w="0" w:type="dxa"/>
              <w:bottom w:w="0" w:type="dxa"/>
              <w:right w:w="0" w:type="dxa"/>
            </w:tcMar>
            <w:vAlign w:val="center"/>
            <w:hideMark/>
          </w:tcPr>
          <w:p w14:paraId="587D7025" w14:textId="77777777" w:rsidR="00000000" w:rsidRDefault="001F1B20">
            <w:pPr>
              <w:rPr>
                <w:rFonts w:eastAsia="Times New Roman"/>
              </w:rPr>
            </w:pPr>
          </w:p>
        </w:tc>
        <w:tc>
          <w:tcPr>
            <w:tcW w:w="360" w:type="dxa"/>
            <w:noWrap/>
            <w:tcMar>
              <w:top w:w="0" w:type="dxa"/>
              <w:left w:w="0" w:type="dxa"/>
              <w:bottom w:w="0" w:type="dxa"/>
              <w:right w:w="0" w:type="dxa"/>
            </w:tcMar>
            <w:hideMark/>
          </w:tcPr>
          <w:p w14:paraId="5F440F36"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5108674E" w14:textId="77777777" w:rsidR="00000000" w:rsidRDefault="001F1B20">
            <w:pPr>
              <w:pStyle w:val="a3"/>
              <w:spacing w:before="0" w:beforeAutospacing="0" w:after="200" w:afterAutospacing="0"/>
              <w:rPr>
                <w:sz w:val="20"/>
                <w:szCs w:val="20"/>
              </w:rPr>
            </w:pPr>
            <w:r>
              <w:rPr>
                <w:sz w:val="20"/>
                <w:szCs w:val="20"/>
              </w:rPr>
              <w:t>compliance with other applicable FDA and other regulatory requirements in the US or other foreign jurisdictions, including those described elsewhere in this report;</w:t>
            </w:r>
          </w:p>
        </w:tc>
      </w:tr>
    </w:tbl>
    <w:p w14:paraId="42548595"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9216D8B" w14:textId="77777777">
        <w:trPr>
          <w:divId w:val="2096323066"/>
        </w:trPr>
        <w:tc>
          <w:tcPr>
            <w:tcW w:w="720" w:type="dxa"/>
            <w:tcMar>
              <w:top w:w="0" w:type="dxa"/>
              <w:left w:w="0" w:type="dxa"/>
              <w:bottom w:w="0" w:type="dxa"/>
              <w:right w:w="0" w:type="dxa"/>
            </w:tcMar>
            <w:vAlign w:val="center"/>
            <w:hideMark/>
          </w:tcPr>
          <w:p w14:paraId="3F958197" w14:textId="77777777" w:rsidR="00000000" w:rsidRDefault="001F1B20">
            <w:pPr>
              <w:rPr>
                <w:rFonts w:eastAsia="Times New Roman"/>
              </w:rPr>
            </w:pPr>
          </w:p>
        </w:tc>
        <w:tc>
          <w:tcPr>
            <w:tcW w:w="360" w:type="dxa"/>
            <w:noWrap/>
            <w:tcMar>
              <w:top w:w="0" w:type="dxa"/>
              <w:left w:w="0" w:type="dxa"/>
              <w:bottom w:w="0" w:type="dxa"/>
              <w:right w:w="0" w:type="dxa"/>
            </w:tcMar>
            <w:hideMark/>
          </w:tcPr>
          <w:p w14:paraId="65995D3D"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479ACFC4" w14:textId="77777777" w:rsidR="00000000" w:rsidRDefault="001F1B20">
            <w:pPr>
              <w:pStyle w:val="a3"/>
              <w:spacing w:before="0" w:beforeAutospacing="0" w:after="200" w:afterAutospacing="0"/>
              <w:rPr>
                <w:sz w:val="20"/>
                <w:szCs w:val="20"/>
              </w:rPr>
            </w:pPr>
            <w:r>
              <w:rPr>
                <w:sz w:val="20"/>
                <w:szCs w:val="20"/>
              </w:rPr>
              <w:t>competition, whether from current competit</w:t>
            </w:r>
            <w:r>
              <w:rPr>
                <w:sz w:val="20"/>
                <w:szCs w:val="20"/>
              </w:rPr>
              <w:t>ors or new products developed by others in the future;</w:t>
            </w:r>
          </w:p>
        </w:tc>
      </w:tr>
    </w:tbl>
    <w:p w14:paraId="32743115"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11"/>
      </w:tblGrid>
      <w:tr w:rsidR="00000000" w14:paraId="0F1C4952" w14:textId="77777777">
        <w:trPr>
          <w:divId w:val="2096323066"/>
        </w:trPr>
        <w:tc>
          <w:tcPr>
            <w:tcW w:w="720" w:type="dxa"/>
            <w:tcMar>
              <w:top w:w="0" w:type="dxa"/>
              <w:left w:w="0" w:type="dxa"/>
              <w:bottom w:w="0" w:type="dxa"/>
              <w:right w:w="0" w:type="dxa"/>
            </w:tcMar>
            <w:vAlign w:val="center"/>
            <w:hideMark/>
          </w:tcPr>
          <w:p w14:paraId="2E8BC653" w14:textId="77777777" w:rsidR="00000000" w:rsidRDefault="001F1B20">
            <w:pPr>
              <w:rPr>
                <w:rFonts w:eastAsia="Times New Roman"/>
              </w:rPr>
            </w:pPr>
          </w:p>
        </w:tc>
        <w:tc>
          <w:tcPr>
            <w:tcW w:w="360" w:type="dxa"/>
            <w:noWrap/>
            <w:tcMar>
              <w:top w:w="0" w:type="dxa"/>
              <w:left w:w="0" w:type="dxa"/>
              <w:bottom w:w="0" w:type="dxa"/>
              <w:right w:w="0" w:type="dxa"/>
            </w:tcMar>
            <w:hideMark/>
          </w:tcPr>
          <w:p w14:paraId="434433DF"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A86C40F" w14:textId="77777777" w:rsidR="00000000" w:rsidRDefault="001F1B20">
            <w:pPr>
              <w:pStyle w:val="a3"/>
              <w:spacing w:before="0" w:beforeAutospacing="0" w:after="200" w:afterAutospacing="0"/>
              <w:rPr>
                <w:sz w:val="20"/>
                <w:szCs w:val="20"/>
              </w:rPr>
            </w:pPr>
            <w:r>
              <w:rPr>
                <w:sz w:val="20"/>
                <w:szCs w:val="20"/>
              </w:rPr>
              <w:t>claims relating to intellectual property;</w:t>
            </w:r>
          </w:p>
        </w:tc>
      </w:tr>
    </w:tbl>
    <w:p w14:paraId="4B358869"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8720078" w14:textId="77777777">
        <w:trPr>
          <w:divId w:val="2096323066"/>
        </w:trPr>
        <w:tc>
          <w:tcPr>
            <w:tcW w:w="720" w:type="dxa"/>
            <w:tcMar>
              <w:top w:w="0" w:type="dxa"/>
              <w:left w:w="0" w:type="dxa"/>
              <w:bottom w:w="0" w:type="dxa"/>
              <w:right w:w="0" w:type="dxa"/>
            </w:tcMar>
            <w:vAlign w:val="center"/>
            <w:hideMark/>
          </w:tcPr>
          <w:p w14:paraId="5FBEF1C5" w14:textId="77777777" w:rsidR="00000000" w:rsidRDefault="001F1B20">
            <w:pPr>
              <w:rPr>
                <w:rFonts w:eastAsia="Times New Roman"/>
              </w:rPr>
            </w:pPr>
          </w:p>
        </w:tc>
        <w:tc>
          <w:tcPr>
            <w:tcW w:w="360" w:type="dxa"/>
            <w:noWrap/>
            <w:tcMar>
              <w:top w:w="0" w:type="dxa"/>
              <w:left w:w="0" w:type="dxa"/>
              <w:bottom w:w="0" w:type="dxa"/>
              <w:right w:w="0" w:type="dxa"/>
            </w:tcMar>
            <w:hideMark/>
          </w:tcPr>
          <w:p w14:paraId="3B4DF34D"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87B978E" w14:textId="77777777" w:rsidR="00000000" w:rsidRDefault="001F1B20">
            <w:pPr>
              <w:pStyle w:val="a3"/>
              <w:spacing w:before="0" w:beforeAutospacing="0" w:after="200" w:afterAutospacing="0"/>
              <w:rPr>
                <w:sz w:val="20"/>
                <w:szCs w:val="20"/>
              </w:rPr>
            </w:pPr>
            <w:r>
              <w:rPr>
                <w:sz w:val="20"/>
                <w:szCs w:val="20"/>
              </w:rPr>
              <w:t>any future disruptions in GSK’</w:t>
            </w:r>
            <w:r>
              <w:rPr>
                <w:sz w:val="20"/>
                <w:szCs w:val="20"/>
              </w:rPr>
              <w:t>s business which would affect its ability to commercialize TRELEGY, including, disruptions due to the COVID-19 pandemic;</w:t>
            </w:r>
          </w:p>
        </w:tc>
      </w:tr>
    </w:tbl>
    <w:p w14:paraId="4888EC49"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8EACEDE" w14:textId="77777777">
        <w:trPr>
          <w:divId w:val="2096323066"/>
        </w:trPr>
        <w:tc>
          <w:tcPr>
            <w:tcW w:w="720" w:type="dxa"/>
            <w:tcMar>
              <w:top w:w="0" w:type="dxa"/>
              <w:left w:w="0" w:type="dxa"/>
              <w:bottom w:w="0" w:type="dxa"/>
              <w:right w:w="0" w:type="dxa"/>
            </w:tcMar>
            <w:vAlign w:val="center"/>
            <w:hideMark/>
          </w:tcPr>
          <w:p w14:paraId="47DD8D8D" w14:textId="77777777" w:rsidR="00000000" w:rsidRDefault="001F1B20">
            <w:pPr>
              <w:rPr>
                <w:rFonts w:eastAsia="Times New Roman"/>
              </w:rPr>
            </w:pPr>
          </w:p>
        </w:tc>
        <w:tc>
          <w:tcPr>
            <w:tcW w:w="360" w:type="dxa"/>
            <w:noWrap/>
            <w:tcMar>
              <w:top w:w="0" w:type="dxa"/>
              <w:left w:w="0" w:type="dxa"/>
              <w:bottom w:w="0" w:type="dxa"/>
              <w:right w:w="0" w:type="dxa"/>
            </w:tcMar>
            <w:hideMark/>
          </w:tcPr>
          <w:p w14:paraId="198C3CAE"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3400AC9D" w14:textId="77777777" w:rsidR="00000000" w:rsidRDefault="001F1B20">
            <w:pPr>
              <w:pStyle w:val="a3"/>
              <w:spacing w:before="0" w:beforeAutospacing="0" w:after="200" w:afterAutospacing="0"/>
              <w:rPr>
                <w:sz w:val="20"/>
                <w:szCs w:val="20"/>
              </w:rPr>
            </w:pPr>
            <w:r>
              <w:rPr>
                <w:sz w:val="20"/>
                <w:szCs w:val="20"/>
              </w:rPr>
              <w:t>the ability of TRELEGY to achieve wider acceptance among physicians, patients, third-party payors, or the medical community in gen</w:t>
            </w:r>
            <w:r>
              <w:rPr>
                <w:sz w:val="20"/>
                <w:szCs w:val="20"/>
              </w:rPr>
              <w:t>eral;</w:t>
            </w:r>
          </w:p>
        </w:tc>
      </w:tr>
    </w:tbl>
    <w:p w14:paraId="030EC73C"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9FE8940" w14:textId="77777777">
        <w:trPr>
          <w:divId w:val="2096323066"/>
        </w:trPr>
        <w:tc>
          <w:tcPr>
            <w:tcW w:w="720" w:type="dxa"/>
            <w:tcMar>
              <w:top w:w="0" w:type="dxa"/>
              <w:left w:w="0" w:type="dxa"/>
              <w:bottom w:w="0" w:type="dxa"/>
              <w:right w:w="0" w:type="dxa"/>
            </w:tcMar>
            <w:vAlign w:val="center"/>
            <w:hideMark/>
          </w:tcPr>
          <w:p w14:paraId="68FDFF31" w14:textId="77777777" w:rsidR="00000000" w:rsidRDefault="001F1B20">
            <w:pPr>
              <w:rPr>
                <w:rFonts w:eastAsia="Times New Roman"/>
              </w:rPr>
            </w:pPr>
          </w:p>
        </w:tc>
        <w:tc>
          <w:tcPr>
            <w:tcW w:w="360" w:type="dxa"/>
            <w:noWrap/>
            <w:tcMar>
              <w:top w:w="0" w:type="dxa"/>
              <w:left w:w="0" w:type="dxa"/>
              <w:bottom w:w="0" w:type="dxa"/>
              <w:right w:w="0" w:type="dxa"/>
            </w:tcMar>
            <w:hideMark/>
          </w:tcPr>
          <w:p w14:paraId="7333F60F"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2B738693" w14:textId="77777777" w:rsidR="00000000" w:rsidRDefault="001F1B20">
            <w:pPr>
              <w:pStyle w:val="a3"/>
              <w:spacing w:before="0" w:beforeAutospacing="0" w:after="200" w:afterAutospacing="0"/>
              <w:rPr>
                <w:sz w:val="20"/>
                <w:szCs w:val="20"/>
              </w:rPr>
            </w:pPr>
            <w:r>
              <w:rPr>
                <w:sz w:val="20"/>
                <w:szCs w:val="20"/>
              </w:rPr>
              <w:t>the amount of cash associated with any additional future TRELEGY commercialization initiatives that Innoviva proposes to GSK for TRC to pursue, the time it may take to present those initiatives to GSK for approval and the time it takes for GSK t</w:t>
            </w:r>
            <w:r>
              <w:rPr>
                <w:sz w:val="20"/>
                <w:szCs w:val="20"/>
              </w:rPr>
              <w:t>o consent or not consent;</w:t>
            </w:r>
          </w:p>
        </w:tc>
      </w:tr>
    </w:tbl>
    <w:p w14:paraId="04E4198C"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267"/>
      </w:tblGrid>
      <w:tr w:rsidR="00000000" w14:paraId="096730E4" w14:textId="77777777">
        <w:trPr>
          <w:divId w:val="2096323066"/>
        </w:trPr>
        <w:tc>
          <w:tcPr>
            <w:tcW w:w="720" w:type="dxa"/>
            <w:tcMar>
              <w:top w:w="0" w:type="dxa"/>
              <w:left w:w="0" w:type="dxa"/>
              <w:bottom w:w="0" w:type="dxa"/>
              <w:right w:w="0" w:type="dxa"/>
            </w:tcMar>
            <w:vAlign w:val="center"/>
            <w:hideMark/>
          </w:tcPr>
          <w:p w14:paraId="3DB4B34D" w14:textId="77777777" w:rsidR="00000000" w:rsidRDefault="001F1B20">
            <w:pPr>
              <w:rPr>
                <w:rFonts w:eastAsia="Times New Roman"/>
              </w:rPr>
            </w:pPr>
          </w:p>
        </w:tc>
        <w:tc>
          <w:tcPr>
            <w:tcW w:w="360" w:type="dxa"/>
            <w:noWrap/>
            <w:tcMar>
              <w:top w:w="0" w:type="dxa"/>
              <w:left w:w="0" w:type="dxa"/>
              <w:bottom w:w="0" w:type="dxa"/>
              <w:right w:w="0" w:type="dxa"/>
            </w:tcMar>
            <w:hideMark/>
          </w:tcPr>
          <w:p w14:paraId="584F6797"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7945E4CB" w14:textId="77777777" w:rsidR="00000000" w:rsidRDefault="001F1B20">
            <w:pPr>
              <w:pStyle w:val="a3"/>
              <w:spacing w:before="0" w:beforeAutospacing="0" w:after="200" w:afterAutospacing="0"/>
              <w:rPr>
                <w:sz w:val="20"/>
                <w:szCs w:val="20"/>
              </w:rPr>
            </w:pPr>
            <w:r>
              <w:rPr>
                <w:sz w:val="20"/>
                <w:szCs w:val="20"/>
              </w:rPr>
              <w:t>global economic conditions;</w:t>
            </w:r>
          </w:p>
        </w:tc>
      </w:tr>
    </w:tbl>
    <w:p w14:paraId="56CB5918"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409C383" w14:textId="77777777">
        <w:trPr>
          <w:divId w:val="2096323066"/>
        </w:trPr>
        <w:tc>
          <w:tcPr>
            <w:tcW w:w="720" w:type="dxa"/>
            <w:tcMar>
              <w:top w:w="0" w:type="dxa"/>
              <w:left w:w="0" w:type="dxa"/>
              <w:bottom w:w="0" w:type="dxa"/>
              <w:right w:w="0" w:type="dxa"/>
            </w:tcMar>
            <w:vAlign w:val="center"/>
            <w:hideMark/>
          </w:tcPr>
          <w:p w14:paraId="5225C562" w14:textId="77777777" w:rsidR="00000000" w:rsidRDefault="001F1B20">
            <w:pPr>
              <w:rPr>
                <w:rFonts w:eastAsia="Times New Roman"/>
              </w:rPr>
            </w:pPr>
          </w:p>
        </w:tc>
        <w:tc>
          <w:tcPr>
            <w:tcW w:w="360" w:type="dxa"/>
            <w:noWrap/>
            <w:tcMar>
              <w:top w:w="0" w:type="dxa"/>
              <w:left w:w="0" w:type="dxa"/>
              <w:bottom w:w="0" w:type="dxa"/>
              <w:right w:w="0" w:type="dxa"/>
            </w:tcMar>
            <w:hideMark/>
          </w:tcPr>
          <w:p w14:paraId="0E122E60"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A89D052" w14:textId="77777777" w:rsidR="00000000" w:rsidRDefault="001F1B20">
            <w:pPr>
              <w:pStyle w:val="a3"/>
              <w:spacing w:before="0" w:beforeAutospacing="0" w:after="200" w:afterAutospacing="0"/>
              <w:rPr>
                <w:sz w:val="20"/>
                <w:szCs w:val="20"/>
              </w:rPr>
            </w:pPr>
            <w:r>
              <w:rPr>
                <w:sz w:val="20"/>
                <w:szCs w:val="20"/>
              </w:rPr>
              <w:t>the resolution of any disputes between Innoviva and TRC, on the one hand, and us, on the other, regarding the timing of distributions, the amount of distributions, and the proper business acti</w:t>
            </w:r>
            <w:r>
              <w:rPr>
                <w:sz w:val="20"/>
                <w:szCs w:val="20"/>
              </w:rPr>
              <w:t>vities of TRC; and</w:t>
            </w:r>
          </w:p>
        </w:tc>
      </w:tr>
    </w:tbl>
    <w:p w14:paraId="459E5DBE" w14:textId="77777777" w:rsidR="00000000" w:rsidRDefault="001F1B20">
      <w:pPr>
        <w:divId w:val="209632306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321"/>
      </w:tblGrid>
      <w:tr w:rsidR="00000000" w14:paraId="675EE538" w14:textId="77777777">
        <w:trPr>
          <w:divId w:val="2096323066"/>
        </w:trPr>
        <w:tc>
          <w:tcPr>
            <w:tcW w:w="720" w:type="dxa"/>
            <w:tcMar>
              <w:top w:w="0" w:type="dxa"/>
              <w:left w:w="0" w:type="dxa"/>
              <w:bottom w:w="0" w:type="dxa"/>
              <w:right w:w="0" w:type="dxa"/>
            </w:tcMar>
            <w:vAlign w:val="center"/>
            <w:hideMark/>
          </w:tcPr>
          <w:p w14:paraId="677F241A" w14:textId="77777777" w:rsidR="00000000" w:rsidRDefault="001F1B20">
            <w:pPr>
              <w:rPr>
                <w:rFonts w:eastAsia="Times New Roman"/>
              </w:rPr>
            </w:pPr>
          </w:p>
        </w:tc>
        <w:tc>
          <w:tcPr>
            <w:tcW w:w="360" w:type="dxa"/>
            <w:noWrap/>
            <w:tcMar>
              <w:top w:w="0" w:type="dxa"/>
              <w:left w:w="0" w:type="dxa"/>
              <w:bottom w:w="0" w:type="dxa"/>
              <w:right w:w="0" w:type="dxa"/>
            </w:tcMar>
            <w:hideMark/>
          </w:tcPr>
          <w:p w14:paraId="1398F0BC" w14:textId="77777777" w:rsidR="00000000" w:rsidRDefault="001F1B20">
            <w:pPr>
              <w:pStyle w:val="a3"/>
              <w:spacing w:before="0" w:beforeAutospacing="0" w:after="200" w:afterAutospacing="0"/>
              <w:rPr>
                <w:sz w:val="20"/>
                <w:szCs w:val="20"/>
              </w:rPr>
            </w:pPr>
            <w:r>
              <w:rPr>
                <w:sz w:val="20"/>
                <w:szCs w:val="20"/>
              </w:rPr>
              <w:t>•</w:t>
            </w:r>
          </w:p>
        </w:tc>
        <w:tc>
          <w:tcPr>
            <w:tcW w:w="0" w:type="auto"/>
            <w:tcMar>
              <w:top w:w="0" w:type="dxa"/>
              <w:left w:w="0" w:type="dxa"/>
              <w:bottom w:w="0" w:type="dxa"/>
              <w:right w:w="0" w:type="dxa"/>
            </w:tcMar>
            <w:vAlign w:val="center"/>
            <w:hideMark/>
          </w:tcPr>
          <w:p w14:paraId="6D58165D" w14:textId="77777777" w:rsidR="00000000" w:rsidRDefault="001F1B20">
            <w:pPr>
              <w:pStyle w:val="a3"/>
              <w:spacing w:before="0" w:beforeAutospacing="0" w:after="200" w:afterAutospacing="0"/>
              <w:rPr>
                <w:sz w:val="20"/>
                <w:szCs w:val="20"/>
              </w:rPr>
            </w:pPr>
            <w:r>
              <w:rPr>
                <w:sz w:val="20"/>
                <w:szCs w:val="20"/>
              </w:rPr>
              <w:t>any of the other risks relating to commercialization of TRELEGY.</w:t>
            </w:r>
          </w:p>
        </w:tc>
      </w:tr>
    </w:tbl>
    <w:p w14:paraId="3E8C83DD" w14:textId="77777777" w:rsidR="00000000" w:rsidRDefault="001F1B20">
      <w:pPr>
        <w:pStyle w:val="a3"/>
        <w:spacing w:before="0" w:beforeAutospacing="0" w:after="200" w:afterAutospacing="0"/>
        <w:ind w:firstLine="720"/>
        <w:divId w:val="2096323066"/>
        <w:rPr>
          <w:sz w:val="20"/>
          <w:szCs w:val="20"/>
        </w:rPr>
      </w:pPr>
      <w:r>
        <w:rPr>
          <w:sz w:val="20"/>
          <w:szCs w:val="20"/>
        </w:rPr>
        <w:t>These risks and uncertainties could materially impact the amount and timing of future royalties or other revenues we may receive from sales of TRELEGY, which could have a material adverse effect on our future revenues, other financial results and our finan</w:t>
      </w:r>
      <w:r>
        <w:rPr>
          <w:sz w:val="20"/>
          <w:szCs w:val="20"/>
        </w:rPr>
        <w:t>cial position and cause the price of our securities to fall.</w:t>
      </w:r>
      <w:r>
        <w:rPr>
          <w:i/>
          <w:iCs/>
          <w:sz w:val="20"/>
          <w:szCs w:val="20"/>
        </w:rPr>
        <w:t xml:space="preserve"> </w:t>
      </w:r>
    </w:p>
    <w:p w14:paraId="2FAB8C0E" w14:textId="77777777" w:rsidR="00000000" w:rsidRDefault="001F1B20">
      <w:pPr>
        <w:pStyle w:val="a3"/>
        <w:spacing w:before="0" w:beforeAutospacing="0" w:after="0" w:afterAutospacing="0"/>
        <w:divId w:val="2096323066"/>
        <w:rPr>
          <w:sz w:val="20"/>
          <w:szCs w:val="20"/>
        </w:rPr>
      </w:pPr>
      <w:r>
        <w:rPr>
          <w:sz w:val="20"/>
          <w:szCs w:val="20"/>
        </w:rPr>
        <w:t xml:space="preserve">In the future, Innoviva may cause TRC to withhold funds from distribution to its members, including our affiliates, for purposes consistent with the 2019 and 2021 arbitration rulings, or otherwise. Accordingly, we cannot predict the amount </w:t>
      </w:r>
    </w:p>
    <w:p w14:paraId="6328B599" w14:textId="77777777" w:rsidR="00000000" w:rsidRDefault="001F1B20">
      <w:pPr>
        <w:pStyle w:val="a3"/>
        <w:spacing w:before="360" w:beforeAutospacing="0" w:after="0" w:afterAutospacing="0"/>
        <w:jc w:val="center"/>
        <w:divId w:val="1739666253"/>
        <w:rPr>
          <w:sz w:val="20"/>
          <w:szCs w:val="20"/>
        </w:rPr>
      </w:pPr>
      <w:r>
        <w:rPr>
          <w:sz w:val="20"/>
          <w:szCs w:val="20"/>
        </w:rPr>
        <w:t>43</w:t>
      </w:r>
    </w:p>
    <w:p w14:paraId="2BCB977C" w14:textId="77777777" w:rsidR="00000000" w:rsidRDefault="001F1B20">
      <w:pPr>
        <w:pStyle w:val="a3"/>
        <w:spacing w:before="0" w:beforeAutospacing="0" w:after="600" w:afterAutospacing="0"/>
        <w:divId w:val="171338660"/>
        <w:rPr>
          <w:sz w:val="20"/>
          <w:szCs w:val="20"/>
        </w:rPr>
      </w:pPr>
      <w:hyperlink w:anchor="TOC" w:history="1">
        <w:r>
          <w:rPr>
            <w:rStyle w:val="a4"/>
            <w:sz w:val="20"/>
            <w:szCs w:val="20"/>
          </w:rPr>
          <w:t>Table of Contents</w:t>
        </w:r>
      </w:hyperlink>
    </w:p>
    <w:p w14:paraId="3C7F2EEA" w14:textId="77777777" w:rsidR="00000000" w:rsidRDefault="001F1B20">
      <w:pPr>
        <w:pStyle w:val="a3"/>
        <w:spacing w:before="0" w:beforeAutospacing="0" w:after="200" w:afterAutospacing="0"/>
        <w:divId w:val="116684911"/>
        <w:rPr>
          <w:sz w:val="20"/>
          <w:szCs w:val="20"/>
        </w:rPr>
      </w:pPr>
      <w:r>
        <w:rPr>
          <w:sz w:val="20"/>
          <w:szCs w:val="20"/>
        </w:rPr>
        <w:t>of the funds that our affiliates would otherwise expect to receive from TRC that TRC may withhold in the future, or the timing of any such withholding.</w:t>
      </w:r>
    </w:p>
    <w:p w14:paraId="763789B1" w14:textId="77777777" w:rsidR="00000000" w:rsidRDefault="001F1B20">
      <w:pPr>
        <w:pStyle w:val="a3"/>
        <w:spacing w:before="0" w:beforeAutospacing="0" w:after="200" w:afterAutospacing="0"/>
        <w:ind w:firstLine="720"/>
        <w:divId w:val="116684911"/>
        <w:rPr>
          <w:sz w:val="20"/>
          <w:szCs w:val="20"/>
        </w:rPr>
      </w:pPr>
      <w:r>
        <w:rPr>
          <w:sz w:val="20"/>
          <w:szCs w:val="20"/>
        </w:rPr>
        <w:t>We may object to the withholding of funds in the future on the basis tha</w:t>
      </w:r>
      <w:r>
        <w:rPr>
          <w:sz w:val="20"/>
          <w:szCs w:val="20"/>
        </w:rPr>
        <w:t>t such withholding is in violation of the terms of the TRC LLC Agreement, as interpreted by the 2019 and 2021 arbitration rulings, or otherwise, and such objection could result in additional legal proceedings between us, TRC and Innoviva. Any such legal pr</w:t>
      </w:r>
      <w:r>
        <w:rPr>
          <w:sz w:val="20"/>
          <w:szCs w:val="20"/>
        </w:rPr>
        <w:t xml:space="preserve">oceedings could divert the attention of management and cause us to incur significant costs, regardless of the outcome, which we cannot predict. An adverse result could materially and adversely affect the funds that our affiliates would otherwise expect to </w:t>
      </w:r>
      <w:r>
        <w:rPr>
          <w:sz w:val="20"/>
          <w:szCs w:val="20"/>
        </w:rPr>
        <w:t>receive from TRC in the future and thus have a material adverse effect on our business, financial condition, and results of operations..</w:t>
      </w:r>
    </w:p>
    <w:p w14:paraId="4BAA3E77" w14:textId="77777777" w:rsidR="00000000" w:rsidRDefault="001F1B20">
      <w:pPr>
        <w:pStyle w:val="a3"/>
        <w:spacing w:before="0" w:beforeAutospacing="0" w:after="120" w:afterAutospacing="0"/>
        <w:divId w:val="116684911"/>
        <w:rPr>
          <w:sz w:val="20"/>
          <w:szCs w:val="20"/>
        </w:rPr>
      </w:pPr>
      <w:r>
        <w:rPr>
          <w:b/>
          <w:bCs/>
          <w:i/>
          <w:iCs/>
          <w:sz w:val="20"/>
          <w:szCs w:val="20"/>
        </w:rPr>
        <w:t xml:space="preserve">Any delay in commencing or completing clinical studies for product candidates and any adverse results from clinical or </w:t>
      </w:r>
      <w:r>
        <w:rPr>
          <w:b/>
          <w:bCs/>
          <w:i/>
          <w:iCs/>
          <w:sz w:val="20"/>
          <w:szCs w:val="20"/>
        </w:rPr>
        <w:t>non-clinical studies or regulatory obstacles product candidates may face, would harm our business and the price of our securities could fall.</w:t>
      </w:r>
    </w:p>
    <w:p w14:paraId="5D2B3C1C" w14:textId="77777777" w:rsidR="00000000" w:rsidRDefault="001F1B20">
      <w:pPr>
        <w:pStyle w:val="a3"/>
        <w:spacing w:before="0" w:beforeAutospacing="0" w:after="200" w:afterAutospacing="0"/>
        <w:ind w:firstLine="720"/>
        <w:divId w:val="116684911"/>
        <w:rPr>
          <w:sz w:val="20"/>
          <w:szCs w:val="20"/>
        </w:rPr>
      </w:pPr>
      <w:r>
        <w:rPr>
          <w:sz w:val="20"/>
          <w:szCs w:val="20"/>
        </w:rPr>
        <w:t>Each of our product candidates must undergo extensive non-clinical and clinical studies as a condition to regulato</w:t>
      </w:r>
      <w:r>
        <w:rPr>
          <w:sz w:val="20"/>
          <w:szCs w:val="20"/>
        </w:rPr>
        <w:t>ry approval. Non-clinical and clinical studies are expensive, take many years to complete and study results may lead to delays in further studies, new requirements for conducting future studies or decisions to terminate programs. The commencement and compl</w:t>
      </w:r>
      <w:r>
        <w:rPr>
          <w:sz w:val="20"/>
          <w:szCs w:val="20"/>
        </w:rPr>
        <w:t>etion of clinical studies for our product candidates may be delayed and programs may be terminated due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D43F514" w14:textId="77777777">
        <w:trPr>
          <w:divId w:val="116684911"/>
        </w:trPr>
        <w:tc>
          <w:tcPr>
            <w:tcW w:w="720" w:type="dxa"/>
            <w:vAlign w:val="center"/>
            <w:hideMark/>
          </w:tcPr>
          <w:p w14:paraId="5EADF90D" w14:textId="77777777" w:rsidR="00000000" w:rsidRDefault="001F1B20">
            <w:pPr>
              <w:rPr>
                <w:sz w:val="20"/>
                <w:szCs w:val="20"/>
              </w:rPr>
            </w:pPr>
          </w:p>
        </w:tc>
        <w:tc>
          <w:tcPr>
            <w:tcW w:w="360" w:type="dxa"/>
            <w:noWrap/>
            <w:tcMar>
              <w:top w:w="0" w:type="dxa"/>
              <w:left w:w="0" w:type="dxa"/>
              <w:bottom w:w="0" w:type="dxa"/>
              <w:right w:w="0" w:type="dxa"/>
            </w:tcMar>
            <w:hideMark/>
          </w:tcPr>
          <w:p w14:paraId="533863BA"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556C803" w14:textId="77777777" w:rsidR="00000000" w:rsidRDefault="001F1B20">
            <w:pPr>
              <w:spacing w:after="200"/>
              <w:rPr>
                <w:rFonts w:eastAsia="Times New Roman"/>
                <w:sz w:val="20"/>
                <w:szCs w:val="20"/>
              </w:rPr>
            </w:pPr>
            <w:r>
              <w:rPr>
                <w:rFonts w:eastAsia="Times New Roman"/>
                <w:sz w:val="20"/>
                <w:szCs w:val="20"/>
              </w:rPr>
              <w:t>lack of effectiveness of product candidates during clinical studies;</w:t>
            </w:r>
          </w:p>
        </w:tc>
      </w:tr>
    </w:tbl>
    <w:p w14:paraId="131DDFE1"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5BAC2E6" w14:textId="77777777">
        <w:trPr>
          <w:divId w:val="116684911"/>
        </w:trPr>
        <w:tc>
          <w:tcPr>
            <w:tcW w:w="720" w:type="dxa"/>
            <w:vAlign w:val="center"/>
            <w:hideMark/>
          </w:tcPr>
          <w:p w14:paraId="7C226585" w14:textId="77777777" w:rsidR="00000000" w:rsidRDefault="001F1B20">
            <w:pPr>
              <w:rPr>
                <w:rFonts w:eastAsia="Times New Roman"/>
              </w:rPr>
            </w:pPr>
          </w:p>
        </w:tc>
        <w:tc>
          <w:tcPr>
            <w:tcW w:w="360" w:type="dxa"/>
            <w:noWrap/>
            <w:tcMar>
              <w:top w:w="0" w:type="dxa"/>
              <w:left w:w="0" w:type="dxa"/>
              <w:bottom w:w="0" w:type="dxa"/>
              <w:right w:w="0" w:type="dxa"/>
            </w:tcMar>
            <w:hideMark/>
          </w:tcPr>
          <w:p w14:paraId="4E9D94A7"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E5CB5E5" w14:textId="77777777" w:rsidR="00000000" w:rsidRDefault="001F1B20">
            <w:pPr>
              <w:spacing w:after="200"/>
              <w:rPr>
                <w:rFonts w:eastAsia="Times New Roman"/>
                <w:sz w:val="20"/>
                <w:szCs w:val="20"/>
              </w:rPr>
            </w:pPr>
            <w:r>
              <w:rPr>
                <w:rFonts w:eastAsia="Times New Roman"/>
                <w:sz w:val="20"/>
                <w:szCs w:val="20"/>
              </w:rPr>
              <w:t>adverse events, safety issues or side effects (or perceived adverse developments or results) relating to the product candidates or their formulation into medicines;</w:t>
            </w:r>
          </w:p>
        </w:tc>
      </w:tr>
    </w:tbl>
    <w:p w14:paraId="38D3A794"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2E0DCC6" w14:textId="77777777">
        <w:trPr>
          <w:divId w:val="116684911"/>
        </w:trPr>
        <w:tc>
          <w:tcPr>
            <w:tcW w:w="720" w:type="dxa"/>
            <w:vAlign w:val="center"/>
            <w:hideMark/>
          </w:tcPr>
          <w:p w14:paraId="2AD0B12F" w14:textId="77777777" w:rsidR="00000000" w:rsidRDefault="001F1B20">
            <w:pPr>
              <w:rPr>
                <w:rFonts w:eastAsia="Times New Roman"/>
              </w:rPr>
            </w:pPr>
          </w:p>
        </w:tc>
        <w:tc>
          <w:tcPr>
            <w:tcW w:w="360" w:type="dxa"/>
            <w:noWrap/>
            <w:tcMar>
              <w:top w:w="0" w:type="dxa"/>
              <w:left w:w="0" w:type="dxa"/>
              <w:bottom w:w="0" w:type="dxa"/>
              <w:right w:w="0" w:type="dxa"/>
            </w:tcMar>
            <w:hideMark/>
          </w:tcPr>
          <w:p w14:paraId="232A1871"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0F85BA7" w14:textId="77777777" w:rsidR="00000000" w:rsidRDefault="001F1B20">
            <w:pPr>
              <w:spacing w:after="200"/>
              <w:rPr>
                <w:rFonts w:eastAsia="Times New Roman"/>
                <w:sz w:val="20"/>
                <w:szCs w:val="20"/>
              </w:rPr>
            </w:pPr>
            <w:r>
              <w:rPr>
                <w:rFonts w:eastAsia="Times New Roman"/>
                <w:sz w:val="20"/>
                <w:szCs w:val="20"/>
              </w:rPr>
              <w:t>insufficient capital to continue our development programs, some of which are which are</w:t>
            </w:r>
            <w:r>
              <w:rPr>
                <w:rFonts w:eastAsia="Times New Roman"/>
                <w:sz w:val="20"/>
                <w:szCs w:val="20"/>
              </w:rPr>
              <w:t xml:space="preserve"> expensive;</w:t>
            </w:r>
          </w:p>
        </w:tc>
      </w:tr>
    </w:tbl>
    <w:p w14:paraId="3782803B"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FFBD1BE" w14:textId="77777777">
        <w:trPr>
          <w:divId w:val="116684911"/>
        </w:trPr>
        <w:tc>
          <w:tcPr>
            <w:tcW w:w="720" w:type="dxa"/>
            <w:vAlign w:val="center"/>
            <w:hideMark/>
          </w:tcPr>
          <w:p w14:paraId="247E2B48" w14:textId="77777777" w:rsidR="00000000" w:rsidRDefault="001F1B20">
            <w:pPr>
              <w:rPr>
                <w:rFonts w:eastAsia="Times New Roman"/>
              </w:rPr>
            </w:pPr>
          </w:p>
        </w:tc>
        <w:tc>
          <w:tcPr>
            <w:tcW w:w="360" w:type="dxa"/>
            <w:noWrap/>
            <w:tcMar>
              <w:top w:w="0" w:type="dxa"/>
              <w:left w:w="0" w:type="dxa"/>
              <w:bottom w:w="0" w:type="dxa"/>
              <w:right w:w="0" w:type="dxa"/>
            </w:tcMar>
            <w:hideMark/>
          </w:tcPr>
          <w:p w14:paraId="174F2673"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282D395" w14:textId="77777777" w:rsidR="00000000" w:rsidRDefault="001F1B20">
            <w:pPr>
              <w:spacing w:after="200"/>
              <w:rPr>
                <w:rFonts w:eastAsia="Times New Roman"/>
                <w:sz w:val="20"/>
                <w:szCs w:val="20"/>
              </w:rPr>
            </w:pPr>
            <w:r>
              <w:rPr>
                <w:rFonts w:eastAsia="Times New Roman"/>
                <w:sz w:val="20"/>
                <w:szCs w:val="20"/>
              </w:rPr>
              <w:t>inability to enter into partnering arrangements relating to the development and commercialization of our programs and product candidates or partner decisions not to maintain a partnership with us;</w:t>
            </w:r>
          </w:p>
        </w:tc>
      </w:tr>
    </w:tbl>
    <w:p w14:paraId="7AAA6553"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ADE9B96" w14:textId="77777777">
        <w:trPr>
          <w:divId w:val="116684911"/>
        </w:trPr>
        <w:tc>
          <w:tcPr>
            <w:tcW w:w="720" w:type="dxa"/>
            <w:vAlign w:val="center"/>
            <w:hideMark/>
          </w:tcPr>
          <w:p w14:paraId="75FE125E" w14:textId="77777777" w:rsidR="00000000" w:rsidRDefault="001F1B20">
            <w:pPr>
              <w:rPr>
                <w:rFonts w:eastAsia="Times New Roman"/>
              </w:rPr>
            </w:pPr>
          </w:p>
        </w:tc>
        <w:tc>
          <w:tcPr>
            <w:tcW w:w="360" w:type="dxa"/>
            <w:noWrap/>
            <w:tcMar>
              <w:top w:w="0" w:type="dxa"/>
              <w:left w:w="0" w:type="dxa"/>
              <w:bottom w:w="0" w:type="dxa"/>
              <w:right w:w="0" w:type="dxa"/>
            </w:tcMar>
            <w:hideMark/>
          </w:tcPr>
          <w:p w14:paraId="2F138BAC"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BE21223" w14:textId="77777777" w:rsidR="00000000" w:rsidRDefault="001F1B20">
            <w:pPr>
              <w:spacing w:after="200"/>
              <w:rPr>
                <w:rFonts w:eastAsia="Times New Roman"/>
                <w:sz w:val="20"/>
                <w:szCs w:val="20"/>
              </w:rPr>
            </w:pPr>
            <w:r>
              <w:rPr>
                <w:rFonts w:eastAsia="Times New Roman"/>
                <w:sz w:val="20"/>
                <w:szCs w:val="20"/>
              </w:rPr>
              <w:t>delays in patient enrollment and vari</w:t>
            </w:r>
            <w:r>
              <w:rPr>
                <w:rFonts w:eastAsia="Times New Roman"/>
                <w:sz w:val="20"/>
                <w:szCs w:val="20"/>
              </w:rPr>
              <w:t>ability in the number and types of patients available for clinical studies;</w:t>
            </w:r>
          </w:p>
        </w:tc>
      </w:tr>
    </w:tbl>
    <w:p w14:paraId="59039F49"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A394C09" w14:textId="77777777">
        <w:trPr>
          <w:divId w:val="116684911"/>
        </w:trPr>
        <w:tc>
          <w:tcPr>
            <w:tcW w:w="720" w:type="dxa"/>
            <w:vAlign w:val="center"/>
            <w:hideMark/>
          </w:tcPr>
          <w:p w14:paraId="7B028C88" w14:textId="77777777" w:rsidR="00000000" w:rsidRDefault="001F1B20">
            <w:pPr>
              <w:rPr>
                <w:rFonts w:eastAsia="Times New Roman"/>
              </w:rPr>
            </w:pPr>
          </w:p>
        </w:tc>
        <w:tc>
          <w:tcPr>
            <w:tcW w:w="360" w:type="dxa"/>
            <w:noWrap/>
            <w:tcMar>
              <w:top w:w="0" w:type="dxa"/>
              <w:left w:w="0" w:type="dxa"/>
              <w:bottom w:w="0" w:type="dxa"/>
              <w:right w:w="0" w:type="dxa"/>
            </w:tcMar>
            <w:hideMark/>
          </w:tcPr>
          <w:p w14:paraId="2BD63585"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3CFE963" w14:textId="77777777" w:rsidR="00000000" w:rsidRDefault="001F1B20">
            <w:pPr>
              <w:spacing w:after="200"/>
              <w:rPr>
                <w:rFonts w:eastAsia="Times New Roman"/>
                <w:sz w:val="20"/>
                <w:szCs w:val="20"/>
              </w:rPr>
            </w:pPr>
            <w:r>
              <w:rPr>
                <w:rFonts w:eastAsia="Times New Roman"/>
                <w:sz w:val="20"/>
                <w:szCs w:val="20"/>
              </w:rPr>
              <w:t>the need to sequence clinical studies as opposed to conducting them concomitantly in order to conserve resources;</w:t>
            </w:r>
          </w:p>
        </w:tc>
      </w:tr>
    </w:tbl>
    <w:p w14:paraId="3326E3A4"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A010B89" w14:textId="77777777">
        <w:trPr>
          <w:divId w:val="116684911"/>
        </w:trPr>
        <w:tc>
          <w:tcPr>
            <w:tcW w:w="720" w:type="dxa"/>
            <w:vAlign w:val="center"/>
            <w:hideMark/>
          </w:tcPr>
          <w:p w14:paraId="75F7D368" w14:textId="77777777" w:rsidR="00000000" w:rsidRDefault="001F1B20">
            <w:pPr>
              <w:rPr>
                <w:rFonts w:eastAsia="Times New Roman"/>
              </w:rPr>
            </w:pPr>
          </w:p>
        </w:tc>
        <w:tc>
          <w:tcPr>
            <w:tcW w:w="360" w:type="dxa"/>
            <w:noWrap/>
            <w:tcMar>
              <w:top w:w="0" w:type="dxa"/>
              <w:left w:w="0" w:type="dxa"/>
              <w:bottom w:w="0" w:type="dxa"/>
              <w:right w:w="0" w:type="dxa"/>
            </w:tcMar>
            <w:hideMark/>
          </w:tcPr>
          <w:p w14:paraId="3F762BE6"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37EFEC8" w14:textId="77777777" w:rsidR="00000000" w:rsidRDefault="001F1B20">
            <w:pPr>
              <w:spacing w:after="200"/>
              <w:rPr>
                <w:rFonts w:eastAsia="Times New Roman"/>
                <w:sz w:val="20"/>
                <w:szCs w:val="20"/>
              </w:rPr>
            </w:pPr>
            <w:r>
              <w:rPr>
                <w:rFonts w:eastAsia="Times New Roman"/>
                <w:sz w:val="20"/>
                <w:szCs w:val="20"/>
              </w:rPr>
              <w:t>our inability or the inability of our collaborators or licensees to manufacture or obtain from third parties materials sufficient for use in non-clinical and clinical studies;</w:t>
            </w:r>
          </w:p>
        </w:tc>
      </w:tr>
    </w:tbl>
    <w:p w14:paraId="05244830"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693AFEB" w14:textId="77777777">
        <w:trPr>
          <w:divId w:val="116684911"/>
        </w:trPr>
        <w:tc>
          <w:tcPr>
            <w:tcW w:w="720" w:type="dxa"/>
            <w:vAlign w:val="center"/>
            <w:hideMark/>
          </w:tcPr>
          <w:p w14:paraId="5BF1FC81" w14:textId="77777777" w:rsidR="00000000" w:rsidRDefault="001F1B20">
            <w:pPr>
              <w:rPr>
                <w:rFonts w:eastAsia="Times New Roman"/>
              </w:rPr>
            </w:pPr>
          </w:p>
        </w:tc>
        <w:tc>
          <w:tcPr>
            <w:tcW w:w="360" w:type="dxa"/>
            <w:noWrap/>
            <w:tcMar>
              <w:top w:w="0" w:type="dxa"/>
              <w:left w:w="0" w:type="dxa"/>
              <w:bottom w:w="0" w:type="dxa"/>
              <w:right w:w="0" w:type="dxa"/>
            </w:tcMar>
            <w:hideMark/>
          </w:tcPr>
          <w:p w14:paraId="6D70BB00"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8C2DC8C" w14:textId="77777777" w:rsidR="00000000" w:rsidRDefault="001F1B20">
            <w:pPr>
              <w:spacing w:after="200"/>
              <w:rPr>
                <w:rFonts w:eastAsia="Times New Roman"/>
                <w:sz w:val="20"/>
                <w:szCs w:val="20"/>
              </w:rPr>
            </w:pPr>
            <w:r>
              <w:rPr>
                <w:rFonts w:eastAsia="Times New Roman"/>
                <w:sz w:val="20"/>
                <w:szCs w:val="20"/>
              </w:rPr>
              <w:t>governmental or regulatory delays or suspensions of the conduct of the clin</w:t>
            </w:r>
            <w:r>
              <w:rPr>
                <w:rFonts w:eastAsia="Times New Roman"/>
                <w:sz w:val="20"/>
                <w:szCs w:val="20"/>
              </w:rPr>
              <w:t>ical trials and changes in regulatory requirements, policy and guidelines, including as a result of any class-based risks that emerge as an area of FDA or other regulatory agency focus;</w:t>
            </w:r>
          </w:p>
        </w:tc>
      </w:tr>
    </w:tbl>
    <w:p w14:paraId="6AD081AA"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71EAD90" w14:textId="77777777">
        <w:trPr>
          <w:divId w:val="116684911"/>
        </w:trPr>
        <w:tc>
          <w:tcPr>
            <w:tcW w:w="720" w:type="dxa"/>
            <w:vAlign w:val="center"/>
            <w:hideMark/>
          </w:tcPr>
          <w:p w14:paraId="5C0B58E8" w14:textId="77777777" w:rsidR="00000000" w:rsidRDefault="001F1B20">
            <w:pPr>
              <w:rPr>
                <w:rFonts w:eastAsia="Times New Roman"/>
              </w:rPr>
            </w:pPr>
          </w:p>
        </w:tc>
        <w:tc>
          <w:tcPr>
            <w:tcW w:w="360" w:type="dxa"/>
            <w:noWrap/>
            <w:tcMar>
              <w:top w:w="0" w:type="dxa"/>
              <w:left w:w="0" w:type="dxa"/>
              <w:bottom w:w="0" w:type="dxa"/>
              <w:right w:w="0" w:type="dxa"/>
            </w:tcMar>
            <w:hideMark/>
          </w:tcPr>
          <w:p w14:paraId="3A5EA9C1"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CA3130C" w14:textId="77777777" w:rsidR="00000000" w:rsidRDefault="001F1B20">
            <w:pPr>
              <w:spacing w:after="200"/>
              <w:rPr>
                <w:rFonts w:eastAsia="Times New Roman"/>
                <w:sz w:val="20"/>
                <w:szCs w:val="20"/>
              </w:rPr>
            </w:pPr>
            <w:r>
              <w:rPr>
                <w:rFonts w:eastAsia="Times New Roman"/>
                <w:sz w:val="20"/>
                <w:szCs w:val="20"/>
              </w:rPr>
              <w:t>challenges related to the COVID-19 pandemic, including with recru</w:t>
            </w:r>
            <w:r>
              <w:rPr>
                <w:rFonts w:eastAsia="Times New Roman"/>
                <w:sz w:val="20"/>
                <w:szCs w:val="20"/>
              </w:rPr>
              <w:t>itment and/or progressing patients through studies;</w:t>
            </w:r>
          </w:p>
        </w:tc>
      </w:tr>
    </w:tbl>
    <w:p w14:paraId="6EF57754"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170131A" w14:textId="77777777">
        <w:trPr>
          <w:divId w:val="116684911"/>
        </w:trPr>
        <w:tc>
          <w:tcPr>
            <w:tcW w:w="720" w:type="dxa"/>
            <w:vAlign w:val="center"/>
            <w:hideMark/>
          </w:tcPr>
          <w:p w14:paraId="59EFC1D5" w14:textId="77777777" w:rsidR="00000000" w:rsidRDefault="001F1B20">
            <w:pPr>
              <w:rPr>
                <w:rFonts w:eastAsia="Times New Roman"/>
              </w:rPr>
            </w:pPr>
          </w:p>
        </w:tc>
        <w:tc>
          <w:tcPr>
            <w:tcW w:w="360" w:type="dxa"/>
            <w:noWrap/>
            <w:tcMar>
              <w:top w:w="0" w:type="dxa"/>
              <w:left w:w="0" w:type="dxa"/>
              <w:bottom w:w="0" w:type="dxa"/>
              <w:right w:w="0" w:type="dxa"/>
            </w:tcMar>
            <w:hideMark/>
          </w:tcPr>
          <w:p w14:paraId="5DEBED02"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EF03D65" w14:textId="77777777" w:rsidR="00000000" w:rsidRDefault="001F1B20">
            <w:pPr>
              <w:spacing w:after="200"/>
              <w:rPr>
                <w:rFonts w:eastAsia="Times New Roman"/>
                <w:sz w:val="20"/>
                <w:szCs w:val="20"/>
              </w:rPr>
            </w:pPr>
            <w:r>
              <w:rPr>
                <w:rFonts w:eastAsia="Times New Roman"/>
                <w:sz w:val="20"/>
                <w:szCs w:val="20"/>
              </w:rPr>
              <w:t>failure of our partners to advance our product candidates through clinical development;</w:t>
            </w:r>
          </w:p>
        </w:tc>
      </w:tr>
    </w:tbl>
    <w:p w14:paraId="639983E4"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5EA48EE" w14:textId="77777777">
        <w:trPr>
          <w:divId w:val="116684911"/>
        </w:trPr>
        <w:tc>
          <w:tcPr>
            <w:tcW w:w="720" w:type="dxa"/>
            <w:vAlign w:val="center"/>
            <w:hideMark/>
          </w:tcPr>
          <w:p w14:paraId="1365AB8E" w14:textId="77777777" w:rsidR="00000000" w:rsidRDefault="001F1B20">
            <w:pPr>
              <w:rPr>
                <w:rFonts w:eastAsia="Times New Roman"/>
              </w:rPr>
            </w:pPr>
          </w:p>
        </w:tc>
        <w:tc>
          <w:tcPr>
            <w:tcW w:w="360" w:type="dxa"/>
            <w:noWrap/>
            <w:tcMar>
              <w:top w:w="0" w:type="dxa"/>
              <w:left w:w="0" w:type="dxa"/>
              <w:bottom w:w="0" w:type="dxa"/>
              <w:right w:w="0" w:type="dxa"/>
            </w:tcMar>
            <w:hideMark/>
          </w:tcPr>
          <w:p w14:paraId="3E732560"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26DB5F4" w14:textId="77777777" w:rsidR="00000000" w:rsidRDefault="001F1B20">
            <w:pPr>
              <w:spacing w:after="200"/>
              <w:rPr>
                <w:rFonts w:eastAsia="Times New Roman"/>
                <w:sz w:val="20"/>
                <w:szCs w:val="20"/>
              </w:rPr>
            </w:pPr>
            <w:r>
              <w:rPr>
                <w:rFonts w:eastAsia="Times New Roman"/>
                <w:sz w:val="20"/>
                <w:szCs w:val="20"/>
              </w:rPr>
              <w:t>difficulty in maintaining contact with patients after treatment, resulting in incomplete data;</w:t>
            </w:r>
          </w:p>
        </w:tc>
      </w:tr>
    </w:tbl>
    <w:p w14:paraId="27FC8C88"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CAB401B" w14:textId="77777777">
        <w:trPr>
          <w:divId w:val="116684911"/>
        </w:trPr>
        <w:tc>
          <w:tcPr>
            <w:tcW w:w="720" w:type="dxa"/>
            <w:vAlign w:val="center"/>
            <w:hideMark/>
          </w:tcPr>
          <w:p w14:paraId="1EA80E7B" w14:textId="77777777" w:rsidR="00000000" w:rsidRDefault="001F1B20">
            <w:pPr>
              <w:rPr>
                <w:rFonts w:eastAsia="Times New Roman"/>
              </w:rPr>
            </w:pPr>
          </w:p>
        </w:tc>
        <w:tc>
          <w:tcPr>
            <w:tcW w:w="360" w:type="dxa"/>
            <w:noWrap/>
            <w:tcMar>
              <w:top w:w="0" w:type="dxa"/>
              <w:left w:w="0" w:type="dxa"/>
              <w:bottom w:w="0" w:type="dxa"/>
              <w:right w:w="0" w:type="dxa"/>
            </w:tcMar>
            <w:hideMark/>
          </w:tcPr>
          <w:p w14:paraId="30404CB1"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DCAEB22" w14:textId="77777777" w:rsidR="00000000" w:rsidRDefault="001F1B20">
            <w:pPr>
              <w:spacing w:after="200"/>
              <w:rPr>
                <w:rFonts w:eastAsia="Times New Roman"/>
                <w:sz w:val="20"/>
                <w:szCs w:val="20"/>
              </w:rPr>
            </w:pPr>
            <w:r>
              <w:rPr>
                <w:rFonts w:eastAsia="Times New Roman"/>
                <w:sz w:val="20"/>
                <w:szCs w:val="20"/>
              </w:rPr>
              <w:t>varying regulatory requirements or interpretations of data among the FDA and foreign regulatory authorities; and</w:t>
            </w:r>
          </w:p>
        </w:tc>
      </w:tr>
    </w:tbl>
    <w:p w14:paraId="30C733F6" w14:textId="77777777" w:rsidR="00000000" w:rsidRDefault="001F1B20">
      <w:pPr>
        <w:divId w:val="11668491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CD084B4" w14:textId="77777777">
        <w:trPr>
          <w:divId w:val="116684911"/>
        </w:trPr>
        <w:tc>
          <w:tcPr>
            <w:tcW w:w="720" w:type="dxa"/>
            <w:vAlign w:val="center"/>
            <w:hideMark/>
          </w:tcPr>
          <w:p w14:paraId="65212A46" w14:textId="77777777" w:rsidR="00000000" w:rsidRDefault="001F1B20">
            <w:pPr>
              <w:rPr>
                <w:rFonts w:eastAsia="Times New Roman"/>
              </w:rPr>
            </w:pPr>
          </w:p>
        </w:tc>
        <w:tc>
          <w:tcPr>
            <w:tcW w:w="360" w:type="dxa"/>
            <w:noWrap/>
            <w:tcMar>
              <w:top w:w="0" w:type="dxa"/>
              <w:left w:w="0" w:type="dxa"/>
              <w:bottom w:w="0" w:type="dxa"/>
              <w:right w:w="0" w:type="dxa"/>
            </w:tcMar>
            <w:hideMark/>
          </w:tcPr>
          <w:p w14:paraId="445FAB54"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53C7E93" w14:textId="77777777" w:rsidR="00000000" w:rsidRDefault="001F1B20">
            <w:pPr>
              <w:rPr>
                <w:rFonts w:eastAsia="Times New Roman"/>
                <w:sz w:val="20"/>
                <w:szCs w:val="20"/>
              </w:rPr>
            </w:pPr>
            <w:r>
              <w:rPr>
                <w:rFonts w:eastAsia="Times New Roman"/>
                <w:sz w:val="20"/>
                <w:szCs w:val="20"/>
              </w:rPr>
              <w:t>a disturbance where we or our collabor</w:t>
            </w:r>
            <w:r>
              <w:rPr>
                <w:rFonts w:eastAsia="Times New Roman"/>
                <w:sz w:val="20"/>
                <w:szCs w:val="20"/>
              </w:rPr>
              <w:t>ative partners are enrolling patients in clinical trials, such as a pandemic, terrorist activities or war, political unrest or a natural disaster.</w:t>
            </w:r>
          </w:p>
        </w:tc>
      </w:tr>
    </w:tbl>
    <w:p w14:paraId="067FA2D1" w14:textId="77777777" w:rsidR="00000000" w:rsidRDefault="001F1B20">
      <w:pPr>
        <w:pStyle w:val="a3"/>
        <w:spacing w:before="360" w:beforeAutospacing="0" w:after="0" w:afterAutospacing="0"/>
        <w:jc w:val="center"/>
        <w:divId w:val="1892879612"/>
        <w:rPr>
          <w:sz w:val="20"/>
          <w:szCs w:val="20"/>
        </w:rPr>
      </w:pPr>
      <w:r>
        <w:rPr>
          <w:sz w:val="20"/>
          <w:szCs w:val="20"/>
        </w:rPr>
        <w:t>44</w:t>
      </w:r>
    </w:p>
    <w:p w14:paraId="6995F2F5" w14:textId="77777777" w:rsidR="00000000" w:rsidRDefault="001F1B20">
      <w:pPr>
        <w:pStyle w:val="a3"/>
        <w:spacing w:before="0" w:beforeAutospacing="0" w:after="600" w:afterAutospacing="0"/>
        <w:divId w:val="1378699327"/>
        <w:rPr>
          <w:sz w:val="20"/>
          <w:szCs w:val="20"/>
        </w:rPr>
      </w:pPr>
      <w:hyperlink w:anchor="TOC" w:history="1">
        <w:r>
          <w:rPr>
            <w:rStyle w:val="a4"/>
            <w:sz w:val="20"/>
            <w:szCs w:val="20"/>
          </w:rPr>
          <w:t>Table of Contents</w:t>
        </w:r>
      </w:hyperlink>
    </w:p>
    <w:p w14:paraId="38968256" w14:textId="77777777" w:rsidR="00000000" w:rsidRDefault="001F1B20">
      <w:pPr>
        <w:pStyle w:val="a3"/>
        <w:spacing w:before="0" w:beforeAutospacing="0" w:after="200" w:afterAutospacing="0"/>
        <w:ind w:firstLine="720"/>
        <w:divId w:val="1543791040"/>
        <w:rPr>
          <w:sz w:val="20"/>
          <w:szCs w:val="20"/>
        </w:rPr>
      </w:pPr>
      <w:r>
        <w:rPr>
          <w:sz w:val="20"/>
          <w:szCs w:val="20"/>
        </w:rPr>
        <w:t>Any adverse developments or results or perceived adverse deve</w:t>
      </w:r>
      <w:r>
        <w:rPr>
          <w:sz w:val="20"/>
          <w:szCs w:val="20"/>
        </w:rPr>
        <w:t>lopments or results with respect to our clinical programs including, without limitation, any delays in development in our programs, any halting of development in our programs, any difficulties or delays encountered with regard to the FDA or other third cou</w:t>
      </w:r>
      <w:r>
        <w:rPr>
          <w:sz w:val="20"/>
          <w:szCs w:val="20"/>
        </w:rPr>
        <w:t>ntry regulatory authorities with respect to our programs, or any indication from clinical or non-clinical studies that the compounds in our programs are not safe or efficacious, could have a material adverse effect on our business and cause the price of ou</w:t>
      </w:r>
      <w:r>
        <w:rPr>
          <w:sz w:val="20"/>
          <w:szCs w:val="20"/>
        </w:rPr>
        <w:t>r securities to fall. For example, in August 2021 we announced that our Phase 2b study of izencitinib in ulcerative colitis did not meet its primary endpoint and in September 2021 we announced that our Phase 3 study for ampreloxetine did not meet its prima</w:t>
      </w:r>
      <w:r>
        <w:rPr>
          <w:sz w:val="20"/>
          <w:szCs w:val="20"/>
        </w:rPr>
        <w:t>ry endpoint.</w:t>
      </w:r>
    </w:p>
    <w:p w14:paraId="0112F536" w14:textId="77777777" w:rsidR="00000000" w:rsidRDefault="001F1B20">
      <w:pPr>
        <w:pStyle w:val="a3"/>
        <w:spacing w:before="0" w:beforeAutospacing="0" w:after="200" w:afterAutospacing="0"/>
        <w:ind w:firstLine="720"/>
        <w:divId w:val="1543791040"/>
        <w:rPr>
          <w:sz w:val="20"/>
          <w:szCs w:val="20"/>
        </w:rPr>
      </w:pPr>
      <w:r>
        <w:rPr>
          <w:sz w:val="20"/>
          <w:szCs w:val="20"/>
        </w:rPr>
        <w:t>In July 2019, the FDA issued a Boxed Warning for a systemically active pan-JAK inhibitor, calling out an increased risk of pulmonary embolism and death following the results of a safety study in patients with rheumatoid arthritis. We are plann</w:t>
      </w:r>
      <w:r>
        <w:rPr>
          <w:sz w:val="20"/>
          <w:szCs w:val="20"/>
        </w:rPr>
        <w:t>ing to develop certain pan-JAK inhibitors that are designed to remain organ-selective so that they do not become systemically active in order to minimize the risk of side effects. It is unknown at this time what, if any, additional requirements the FDA may</w:t>
      </w:r>
      <w:r>
        <w:rPr>
          <w:sz w:val="20"/>
          <w:szCs w:val="20"/>
        </w:rPr>
        <w:t xml:space="preserve"> put in place with respect to the development of JAK inhibitors generally or what other future FDA actions may have on the prospects for JAK inhibitors. Delays or adverse developments or results or perceived adverse developments or results relating to JAK </w:t>
      </w:r>
      <w:r>
        <w:rPr>
          <w:sz w:val="20"/>
          <w:szCs w:val="20"/>
        </w:rPr>
        <w:t>inhibitors could harm our business and could cause the price of our securities to fall. Examples of such adverse developments include, but are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35C3DD4" w14:textId="77777777">
        <w:trPr>
          <w:divId w:val="1543791040"/>
        </w:trPr>
        <w:tc>
          <w:tcPr>
            <w:tcW w:w="720" w:type="dxa"/>
            <w:vAlign w:val="center"/>
            <w:hideMark/>
          </w:tcPr>
          <w:p w14:paraId="4F55D589" w14:textId="77777777" w:rsidR="00000000" w:rsidRDefault="001F1B20">
            <w:pPr>
              <w:rPr>
                <w:sz w:val="20"/>
                <w:szCs w:val="20"/>
              </w:rPr>
            </w:pPr>
          </w:p>
        </w:tc>
        <w:tc>
          <w:tcPr>
            <w:tcW w:w="360" w:type="dxa"/>
            <w:noWrap/>
            <w:tcMar>
              <w:top w:w="0" w:type="dxa"/>
              <w:left w:w="0" w:type="dxa"/>
              <w:bottom w:w="0" w:type="dxa"/>
              <w:right w:w="0" w:type="dxa"/>
            </w:tcMar>
            <w:hideMark/>
          </w:tcPr>
          <w:p w14:paraId="2AEDB619"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C6FAD67" w14:textId="77777777" w:rsidR="00000000" w:rsidRDefault="001F1B20">
            <w:pPr>
              <w:spacing w:after="200"/>
              <w:rPr>
                <w:rFonts w:eastAsia="Times New Roman"/>
                <w:sz w:val="20"/>
                <w:szCs w:val="20"/>
              </w:rPr>
            </w:pPr>
            <w:r>
              <w:rPr>
                <w:rFonts w:eastAsia="Times New Roman"/>
                <w:sz w:val="20"/>
                <w:szCs w:val="20"/>
              </w:rPr>
              <w:t>the FDA and/or other regulatory authorities determining that additional non-clinical or clinic</w:t>
            </w:r>
            <w:r>
              <w:rPr>
                <w:rFonts w:eastAsia="Times New Roman"/>
                <w:sz w:val="20"/>
                <w:szCs w:val="20"/>
              </w:rPr>
              <w:t>al studies are required with respect to our JAK inhibitor programs;</w:t>
            </w:r>
          </w:p>
        </w:tc>
      </w:tr>
    </w:tbl>
    <w:p w14:paraId="64BCE021" w14:textId="77777777" w:rsidR="00000000" w:rsidRDefault="001F1B20">
      <w:pPr>
        <w:divId w:val="154379104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74D290C" w14:textId="77777777">
        <w:trPr>
          <w:divId w:val="1543791040"/>
        </w:trPr>
        <w:tc>
          <w:tcPr>
            <w:tcW w:w="720" w:type="dxa"/>
            <w:vAlign w:val="center"/>
            <w:hideMark/>
          </w:tcPr>
          <w:p w14:paraId="3CEF4454" w14:textId="77777777" w:rsidR="00000000" w:rsidRDefault="001F1B20">
            <w:pPr>
              <w:rPr>
                <w:rFonts w:eastAsia="Times New Roman"/>
              </w:rPr>
            </w:pPr>
          </w:p>
        </w:tc>
        <w:tc>
          <w:tcPr>
            <w:tcW w:w="360" w:type="dxa"/>
            <w:noWrap/>
            <w:tcMar>
              <w:top w:w="0" w:type="dxa"/>
              <w:left w:w="0" w:type="dxa"/>
              <w:bottom w:w="0" w:type="dxa"/>
              <w:right w:w="0" w:type="dxa"/>
            </w:tcMar>
            <w:hideMark/>
          </w:tcPr>
          <w:p w14:paraId="421D2B66"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416BC92" w14:textId="77777777" w:rsidR="00000000" w:rsidRDefault="001F1B20">
            <w:pPr>
              <w:spacing w:after="200"/>
              <w:rPr>
                <w:rFonts w:eastAsia="Times New Roman"/>
                <w:sz w:val="20"/>
                <w:szCs w:val="20"/>
              </w:rPr>
            </w:pPr>
            <w:r>
              <w:rPr>
                <w:rFonts w:eastAsia="Times New Roman"/>
                <w:sz w:val="20"/>
                <w:szCs w:val="20"/>
              </w:rPr>
              <w:t>safety, efficacy or other concerns relating to our JAK inhibitor programs or JAK inhibitors under development or commercialized by other companies;</w:t>
            </w:r>
          </w:p>
        </w:tc>
      </w:tr>
    </w:tbl>
    <w:p w14:paraId="562C7C83" w14:textId="77777777" w:rsidR="00000000" w:rsidRDefault="001F1B20">
      <w:pPr>
        <w:divId w:val="154379104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B6E9404" w14:textId="77777777">
        <w:trPr>
          <w:divId w:val="1543791040"/>
        </w:trPr>
        <w:tc>
          <w:tcPr>
            <w:tcW w:w="720" w:type="dxa"/>
            <w:vAlign w:val="center"/>
            <w:hideMark/>
          </w:tcPr>
          <w:p w14:paraId="03B18E8D" w14:textId="77777777" w:rsidR="00000000" w:rsidRDefault="001F1B20">
            <w:pPr>
              <w:rPr>
                <w:rFonts w:eastAsia="Times New Roman"/>
              </w:rPr>
            </w:pPr>
          </w:p>
        </w:tc>
        <w:tc>
          <w:tcPr>
            <w:tcW w:w="360" w:type="dxa"/>
            <w:noWrap/>
            <w:tcMar>
              <w:top w:w="0" w:type="dxa"/>
              <w:left w:w="0" w:type="dxa"/>
              <w:bottom w:w="0" w:type="dxa"/>
              <w:right w:w="0" w:type="dxa"/>
            </w:tcMar>
            <w:hideMark/>
          </w:tcPr>
          <w:p w14:paraId="4DB66C59"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A6763DA" w14:textId="77777777" w:rsidR="00000000" w:rsidRDefault="001F1B20">
            <w:pPr>
              <w:spacing w:after="200"/>
              <w:rPr>
                <w:rFonts w:eastAsia="Times New Roman"/>
                <w:sz w:val="20"/>
                <w:szCs w:val="20"/>
              </w:rPr>
            </w:pPr>
            <w:r>
              <w:rPr>
                <w:rFonts w:eastAsia="Times New Roman"/>
                <w:sz w:val="20"/>
                <w:szCs w:val="20"/>
              </w:rPr>
              <w:t>the FDA determining that class-based warnings are required for JAK inhibitors generally; or</w:t>
            </w:r>
          </w:p>
        </w:tc>
      </w:tr>
    </w:tbl>
    <w:p w14:paraId="7C310D8E" w14:textId="77777777" w:rsidR="00000000" w:rsidRDefault="001F1B20">
      <w:pPr>
        <w:divId w:val="154379104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AF37CD3" w14:textId="77777777">
        <w:trPr>
          <w:divId w:val="1543791040"/>
        </w:trPr>
        <w:tc>
          <w:tcPr>
            <w:tcW w:w="720" w:type="dxa"/>
            <w:vAlign w:val="center"/>
            <w:hideMark/>
          </w:tcPr>
          <w:p w14:paraId="00E1F1F5" w14:textId="77777777" w:rsidR="00000000" w:rsidRDefault="001F1B20">
            <w:pPr>
              <w:rPr>
                <w:rFonts w:eastAsia="Times New Roman"/>
              </w:rPr>
            </w:pPr>
          </w:p>
        </w:tc>
        <w:tc>
          <w:tcPr>
            <w:tcW w:w="360" w:type="dxa"/>
            <w:noWrap/>
            <w:tcMar>
              <w:top w:w="0" w:type="dxa"/>
              <w:left w:w="0" w:type="dxa"/>
              <w:bottom w:w="0" w:type="dxa"/>
              <w:right w:w="0" w:type="dxa"/>
            </w:tcMar>
            <w:hideMark/>
          </w:tcPr>
          <w:p w14:paraId="770BF0BC"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01F4700" w14:textId="77777777" w:rsidR="00000000" w:rsidRDefault="001F1B20">
            <w:pPr>
              <w:rPr>
                <w:rFonts w:eastAsia="Times New Roman"/>
                <w:sz w:val="20"/>
                <w:szCs w:val="20"/>
              </w:rPr>
            </w:pPr>
            <w:r>
              <w:rPr>
                <w:rFonts w:eastAsia="Times New Roman"/>
                <w:sz w:val="20"/>
                <w:szCs w:val="20"/>
              </w:rPr>
              <w:t>any ch</w:t>
            </w:r>
            <w:r>
              <w:rPr>
                <w:rFonts w:eastAsia="Times New Roman"/>
                <w:sz w:val="20"/>
                <w:szCs w:val="20"/>
              </w:rPr>
              <w:t>ange in FDA policy or guidance regarding JAK inhibitors.</w:t>
            </w:r>
          </w:p>
        </w:tc>
      </w:tr>
    </w:tbl>
    <w:p w14:paraId="1A08A2D7" w14:textId="77777777" w:rsidR="00000000" w:rsidRDefault="001F1B20">
      <w:pPr>
        <w:pStyle w:val="a3"/>
        <w:spacing w:before="0" w:beforeAutospacing="0" w:after="120" w:afterAutospacing="0"/>
        <w:divId w:val="1543791040"/>
        <w:rPr>
          <w:sz w:val="20"/>
          <w:szCs w:val="20"/>
        </w:rPr>
      </w:pPr>
      <w:r>
        <w:rPr>
          <w:b/>
          <w:bCs/>
          <w:i/>
          <w:iCs/>
          <w:sz w:val="20"/>
          <w:szCs w:val="20"/>
        </w:rPr>
        <w:t>If our product candidates are not approved by regulatory authorities, including the FDA, we will be unable to commercialize them.</w:t>
      </w:r>
    </w:p>
    <w:p w14:paraId="585BD311" w14:textId="77777777" w:rsidR="00000000" w:rsidRDefault="001F1B20">
      <w:pPr>
        <w:pStyle w:val="a3"/>
        <w:spacing w:before="0" w:beforeAutospacing="0" w:after="200" w:afterAutospacing="0"/>
        <w:ind w:firstLine="720"/>
        <w:divId w:val="1543791040"/>
        <w:rPr>
          <w:sz w:val="20"/>
          <w:szCs w:val="20"/>
        </w:rPr>
      </w:pPr>
      <w:r>
        <w:rPr>
          <w:sz w:val="20"/>
          <w:szCs w:val="20"/>
        </w:rPr>
        <w:t xml:space="preserve">The FDA must approve any new medicine before it can be marketed and </w:t>
      </w:r>
      <w:r>
        <w:rPr>
          <w:sz w:val="20"/>
          <w:szCs w:val="20"/>
        </w:rPr>
        <w:t>sold in the US. We will not obtain this approval for a product candidate unless and until the FDA approves an NDA. We, or our collaborative partners, must provide the FDA and similar foreign regulatory authorities with data from preclinical and clinical st</w:t>
      </w:r>
      <w:r>
        <w:rPr>
          <w:sz w:val="20"/>
          <w:szCs w:val="20"/>
        </w:rPr>
        <w:t>udies that demonstrate that our product candidates comply with the regulatory requirements for the quality of medicinal products and are safe and effective for a defined indication before they can be approved for commercial distribution. FDA or foreign reg</w:t>
      </w:r>
      <w:r>
        <w:rPr>
          <w:sz w:val="20"/>
          <w:szCs w:val="20"/>
        </w:rPr>
        <w:t xml:space="preserve">ulatory authorities may disagree with our trial design and our interpretation of data from preclinical studies and clinical trials. The processes by which regulatory approvals are obtained from the FDA and foreign regulatory authorities to market and sell </w:t>
      </w:r>
      <w:r>
        <w:rPr>
          <w:sz w:val="20"/>
          <w:szCs w:val="20"/>
        </w:rPr>
        <w:t>a new product are complex, require a number of years, depend upon the type, complexity and novelty of the product candidate and involve the expenditure of substantial resources for research, development and testing. The FDA has substantial discretion in th</w:t>
      </w:r>
      <w:r>
        <w:rPr>
          <w:sz w:val="20"/>
          <w:szCs w:val="20"/>
        </w:rPr>
        <w:t>e drug approval process and may require us to conduct additional non-clinical and clinical testing or to perform post-marketing studies. Further, the implementation of new laws and regulations, and revisions to FDA clinical trial design guidance may lead t</w:t>
      </w:r>
      <w:r>
        <w:rPr>
          <w:sz w:val="20"/>
          <w:szCs w:val="20"/>
        </w:rPr>
        <w:t>o increased uncertainty regarding the approvability of new drugs. See the risk factor entitled “</w:t>
      </w:r>
      <w:r>
        <w:rPr>
          <w:i/>
          <w:iCs/>
          <w:sz w:val="20"/>
          <w:szCs w:val="20"/>
        </w:rPr>
        <w:t>Any delay in commencing or completing clinical studies for product candidates and any adverse results from clinical or non-clinical studies or regulatory obstac</w:t>
      </w:r>
      <w:r>
        <w:rPr>
          <w:i/>
          <w:iCs/>
          <w:sz w:val="20"/>
          <w:szCs w:val="20"/>
        </w:rPr>
        <w:t>les product candidates may face, would harm our business and the price of our securities could fall</w:t>
      </w:r>
      <w:r>
        <w:rPr>
          <w:sz w:val="20"/>
          <w:szCs w:val="20"/>
        </w:rPr>
        <w:t>” above for additional information. The rapidly shifting environment surrounding the collective response to the COVID-19 pandemic has led to additional guida</w:t>
      </w:r>
      <w:r>
        <w:rPr>
          <w:sz w:val="20"/>
          <w:szCs w:val="20"/>
        </w:rPr>
        <w:t>nce from US and foreign regulatory agencies with respect to numerous matters regarding the conduct of clinical trials in general and the development of COVID-19 related therapies, which is subject to the risk of further change, misinterpretation or non-com</w:t>
      </w:r>
      <w:r>
        <w:rPr>
          <w:sz w:val="20"/>
          <w:szCs w:val="20"/>
        </w:rPr>
        <w:t>pliance due to the rapidly changing regulatory landscape. In addition, the FDA has additional standards for approval of new drugs, including recommended advisory committee meetings for certain new molecular entities, and formal risk evaluation and mitigati</w:t>
      </w:r>
      <w:r>
        <w:rPr>
          <w:sz w:val="20"/>
          <w:szCs w:val="20"/>
        </w:rPr>
        <w:t>on requirements at the FDA’s discretion. Even if we receive regulatory approval of a product, the approval may limit the indicated uses for which the drug may be marketed or impose significant restrictions or limitations on the use and/or distribution of s</w:t>
      </w:r>
      <w:r>
        <w:rPr>
          <w:sz w:val="20"/>
          <w:szCs w:val="20"/>
        </w:rPr>
        <w:t>uch product.</w:t>
      </w:r>
    </w:p>
    <w:p w14:paraId="55BD1F85" w14:textId="77777777" w:rsidR="00000000" w:rsidRDefault="001F1B20">
      <w:pPr>
        <w:pStyle w:val="a3"/>
        <w:spacing w:before="0" w:beforeAutospacing="0" w:after="0" w:afterAutospacing="0"/>
        <w:ind w:firstLine="720"/>
        <w:divId w:val="1543791040"/>
        <w:rPr>
          <w:sz w:val="20"/>
          <w:szCs w:val="20"/>
        </w:rPr>
      </w:pPr>
      <w:r>
        <w:rPr>
          <w:sz w:val="20"/>
          <w:szCs w:val="20"/>
        </w:rPr>
        <w:t xml:space="preserve">In addition, in order to market our medicines in foreign jurisdictions, we or our collaborative partners must obtain separate regulatory approvals in each country. The approval procedure varies among countries and can involve additional </w:t>
      </w:r>
    </w:p>
    <w:p w14:paraId="536F242E" w14:textId="77777777" w:rsidR="00000000" w:rsidRDefault="001F1B20">
      <w:pPr>
        <w:pStyle w:val="a3"/>
        <w:spacing w:before="360" w:beforeAutospacing="0" w:after="0" w:afterAutospacing="0"/>
        <w:jc w:val="center"/>
        <w:divId w:val="465440616"/>
        <w:rPr>
          <w:sz w:val="20"/>
          <w:szCs w:val="20"/>
        </w:rPr>
      </w:pPr>
      <w:r>
        <w:rPr>
          <w:sz w:val="20"/>
          <w:szCs w:val="20"/>
        </w:rPr>
        <w:t>45</w:t>
      </w:r>
    </w:p>
    <w:p w14:paraId="69CBE402" w14:textId="77777777" w:rsidR="00000000" w:rsidRDefault="001F1B20">
      <w:pPr>
        <w:pStyle w:val="a3"/>
        <w:spacing w:before="0" w:beforeAutospacing="0" w:after="600" w:afterAutospacing="0"/>
        <w:divId w:val="1095129973"/>
        <w:rPr>
          <w:sz w:val="20"/>
          <w:szCs w:val="20"/>
        </w:rPr>
      </w:pPr>
      <w:hyperlink w:anchor="TOC" w:history="1">
        <w:r>
          <w:rPr>
            <w:rStyle w:val="a4"/>
            <w:sz w:val="20"/>
            <w:szCs w:val="20"/>
          </w:rPr>
          <w:t>Table of Contents</w:t>
        </w:r>
      </w:hyperlink>
    </w:p>
    <w:p w14:paraId="4DF6FEC3" w14:textId="77777777" w:rsidR="00000000" w:rsidRDefault="001F1B20">
      <w:pPr>
        <w:pStyle w:val="a3"/>
        <w:spacing w:before="0" w:beforeAutospacing="0" w:after="200" w:afterAutospacing="0"/>
        <w:divId w:val="467745650"/>
        <w:rPr>
          <w:sz w:val="20"/>
          <w:szCs w:val="20"/>
        </w:rPr>
      </w:pPr>
      <w:r>
        <w:rPr>
          <w:sz w:val="20"/>
          <w:szCs w:val="20"/>
        </w:rPr>
        <w:t>testing, and the time required to obtain approval may differ from that required to obtain FDA approval. Approval by the FDA does not ensure approval by regulatory authorities in other countries, and approval by o</w:t>
      </w:r>
      <w:r>
        <w:rPr>
          <w:sz w:val="20"/>
          <w:szCs w:val="20"/>
        </w:rPr>
        <w:t xml:space="preserve">ne foreign regulatory authority does not ensure approval by regulatory authorities in other foreign countries or by the FDA. Conversely, failure to obtain approval in one or more jurisdictions may make approval in other jurisdictions more difficult. These </w:t>
      </w:r>
      <w:r>
        <w:rPr>
          <w:sz w:val="20"/>
          <w:szCs w:val="20"/>
        </w:rPr>
        <w:t>laws, regulations, additional requirements and changes in interpretation could cause non-approval or further delays in the FDA’s or other regulatory authorities’ review and approval of our and our collaborative partner’s product candidates, which would mat</w:t>
      </w:r>
      <w:r>
        <w:rPr>
          <w:sz w:val="20"/>
          <w:szCs w:val="20"/>
        </w:rPr>
        <w:t>erially harm our business and financial condition and could cause the price of our securities to fall.</w:t>
      </w:r>
    </w:p>
    <w:p w14:paraId="1798571C" w14:textId="77777777" w:rsidR="00000000" w:rsidRDefault="001F1B20">
      <w:pPr>
        <w:pStyle w:val="a3"/>
        <w:spacing w:before="0" w:beforeAutospacing="0" w:after="120" w:afterAutospacing="0"/>
        <w:divId w:val="467745650"/>
        <w:rPr>
          <w:sz w:val="20"/>
          <w:szCs w:val="20"/>
        </w:rPr>
      </w:pPr>
      <w:r>
        <w:rPr>
          <w:b/>
          <w:bCs/>
          <w:i/>
          <w:iCs/>
          <w:sz w:val="20"/>
          <w:szCs w:val="20"/>
        </w:rPr>
        <w:t xml:space="preserve">If sufficient capital is not available, we may have to further curtail operations or we could be forced to share our rights to commercialize our product </w:t>
      </w:r>
      <w:r>
        <w:rPr>
          <w:b/>
          <w:bCs/>
          <w:i/>
          <w:iCs/>
          <w:sz w:val="20"/>
          <w:szCs w:val="20"/>
        </w:rPr>
        <w:t>candidates with third parties on terms that may not be favorable to us.</w:t>
      </w:r>
    </w:p>
    <w:p w14:paraId="4A527F99" w14:textId="77777777" w:rsidR="00000000" w:rsidRDefault="001F1B20">
      <w:pPr>
        <w:pStyle w:val="a3"/>
        <w:spacing w:before="0" w:beforeAutospacing="0" w:after="200" w:afterAutospacing="0"/>
        <w:ind w:firstLine="720"/>
        <w:divId w:val="467745650"/>
        <w:rPr>
          <w:sz w:val="20"/>
          <w:szCs w:val="20"/>
        </w:rPr>
      </w:pPr>
      <w:r>
        <w:rPr>
          <w:sz w:val="20"/>
          <w:szCs w:val="20"/>
        </w:rPr>
        <w:t>Based on our current operating plans and financial forecasts, we believe that our existing cash, cash equivalents and marketable securities will be sufficient to meet our anticipated o</w:t>
      </w:r>
      <w:r>
        <w:rPr>
          <w:sz w:val="20"/>
          <w:szCs w:val="20"/>
        </w:rPr>
        <w:t>perating needs for at least the next twelve months. However, our current operating plans or financial forecasts occasionally change. For example, in August 2017, we announced an increase in our anticipated operating loss for 2017, primarily driven by our d</w:t>
      </w:r>
      <w:r>
        <w:rPr>
          <w:sz w:val="20"/>
          <w:szCs w:val="20"/>
        </w:rPr>
        <w:t>ecision to accelerate funding associated with the next phase of development of izencitinib in our JAK inhibitor program. In addition, following unfavorable results from our late-stage development programs, in September 2021, we announced a strategic update</w:t>
      </w:r>
      <w:r>
        <w:rPr>
          <w:sz w:val="20"/>
          <w:szCs w:val="20"/>
        </w:rPr>
        <w:t xml:space="preserve"> and corporate restructuring (the “Restructuring”) to focus on leveraging our expertise in developing and commercializing respiratory therapeutics, including a reduction in headcount by approximately 75% through a reduction in our workforce of regular and </w:t>
      </w:r>
      <w:r>
        <w:rPr>
          <w:sz w:val="20"/>
          <w:szCs w:val="20"/>
        </w:rPr>
        <w:t>contingent workers. If our current operating plans or financial forecasts change, we may require or seek additional funding sooner in the form of public or private equity or equity-linked offerings, debt financings or additional collaborations and licensin</w:t>
      </w:r>
      <w:r>
        <w:rPr>
          <w:sz w:val="20"/>
          <w:szCs w:val="20"/>
        </w:rPr>
        <w:t>g arrangements.</w:t>
      </w:r>
    </w:p>
    <w:p w14:paraId="59F5F3C9" w14:textId="77777777" w:rsidR="00000000" w:rsidRDefault="001F1B20">
      <w:pPr>
        <w:pStyle w:val="a3"/>
        <w:spacing w:before="0" w:beforeAutospacing="0" w:after="200" w:afterAutospacing="0"/>
        <w:ind w:firstLine="720"/>
        <w:divId w:val="467745650"/>
        <w:rPr>
          <w:sz w:val="20"/>
          <w:szCs w:val="20"/>
        </w:rPr>
      </w:pPr>
      <w:r>
        <w:rPr>
          <w:sz w:val="20"/>
          <w:szCs w:val="20"/>
        </w:rPr>
        <w:t>We may need to raise additional capital in the future to,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3734DFE" w14:textId="77777777">
        <w:trPr>
          <w:divId w:val="467745650"/>
        </w:trPr>
        <w:tc>
          <w:tcPr>
            <w:tcW w:w="720" w:type="dxa"/>
            <w:vAlign w:val="center"/>
            <w:hideMark/>
          </w:tcPr>
          <w:p w14:paraId="4B9652BD" w14:textId="77777777" w:rsidR="00000000" w:rsidRDefault="001F1B20">
            <w:pPr>
              <w:rPr>
                <w:sz w:val="20"/>
                <w:szCs w:val="20"/>
              </w:rPr>
            </w:pPr>
          </w:p>
        </w:tc>
        <w:tc>
          <w:tcPr>
            <w:tcW w:w="360" w:type="dxa"/>
            <w:noWrap/>
            <w:tcMar>
              <w:top w:w="0" w:type="dxa"/>
              <w:left w:w="0" w:type="dxa"/>
              <w:bottom w:w="0" w:type="dxa"/>
              <w:right w:w="0" w:type="dxa"/>
            </w:tcMar>
            <w:hideMark/>
          </w:tcPr>
          <w:p w14:paraId="60F10C00"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A66590F" w14:textId="77777777" w:rsidR="00000000" w:rsidRDefault="001F1B20">
            <w:pPr>
              <w:spacing w:after="200"/>
              <w:rPr>
                <w:rFonts w:eastAsia="Times New Roman"/>
                <w:sz w:val="20"/>
                <w:szCs w:val="20"/>
              </w:rPr>
            </w:pPr>
            <w:r>
              <w:rPr>
                <w:rFonts w:eastAsia="Times New Roman"/>
                <w:sz w:val="20"/>
                <w:szCs w:val="20"/>
              </w:rPr>
              <w:t>fund our discovery efforts and research and development programs;</w:t>
            </w:r>
          </w:p>
        </w:tc>
      </w:tr>
    </w:tbl>
    <w:p w14:paraId="5983F64B"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058C2D7" w14:textId="77777777">
        <w:trPr>
          <w:divId w:val="467745650"/>
        </w:trPr>
        <w:tc>
          <w:tcPr>
            <w:tcW w:w="720" w:type="dxa"/>
            <w:vAlign w:val="center"/>
            <w:hideMark/>
          </w:tcPr>
          <w:p w14:paraId="368C801A" w14:textId="77777777" w:rsidR="00000000" w:rsidRDefault="001F1B20">
            <w:pPr>
              <w:rPr>
                <w:rFonts w:eastAsia="Times New Roman"/>
              </w:rPr>
            </w:pPr>
          </w:p>
        </w:tc>
        <w:tc>
          <w:tcPr>
            <w:tcW w:w="360" w:type="dxa"/>
            <w:noWrap/>
            <w:tcMar>
              <w:top w:w="0" w:type="dxa"/>
              <w:left w:w="0" w:type="dxa"/>
              <w:bottom w:w="0" w:type="dxa"/>
              <w:right w:w="0" w:type="dxa"/>
            </w:tcMar>
            <w:hideMark/>
          </w:tcPr>
          <w:p w14:paraId="471B2BA7"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8668712" w14:textId="77777777" w:rsidR="00000000" w:rsidRDefault="001F1B20">
            <w:pPr>
              <w:spacing w:after="200"/>
              <w:rPr>
                <w:rFonts w:eastAsia="Times New Roman"/>
                <w:sz w:val="20"/>
                <w:szCs w:val="20"/>
              </w:rPr>
            </w:pPr>
            <w:r>
              <w:rPr>
                <w:rFonts w:eastAsia="Times New Roman"/>
                <w:sz w:val="20"/>
                <w:szCs w:val="20"/>
              </w:rPr>
              <w:t>fund our commercialization strategies for any approved products and to prepare for poten</w:t>
            </w:r>
            <w:r>
              <w:rPr>
                <w:rFonts w:eastAsia="Times New Roman"/>
                <w:sz w:val="20"/>
                <w:szCs w:val="20"/>
              </w:rPr>
              <w:t>tial product approvals;</w:t>
            </w:r>
          </w:p>
        </w:tc>
      </w:tr>
    </w:tbl>
    <w:p w14:paraId="38376AFA"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1C9C2EA" w14:textId="77777777">
        <w:trPr>
          <w:divId w:val="467745650"/>
        </w:trPr>
        <w:tc>
          <w:tcPr>
            <w:tcW w:w="720" w:type="dxa"/>
            <w:vAlign w:val="center"/>
            <w:hideMark/>
          </w:tcPr>
          <w:p w14:paraId="410FCD7D" w14:textId="77777777" w:rsidR="00000000" w:rsidRDefault="001F1B20">
            <w:pPr>
              <w:rPr>
                <w:rFonts w:eastAsia="Times New Roman"/>
              </w:rPr>
            </w:pPr>
          </w:p>
        </w:tc>
        <w:tc>
          <w:tcPr>
            <w:tcW w:w="360" w:type="dxa"/>
            <w:noWrap/>
            <w:tcMar>
              <w:top w:w="0" w:type="dxa"/>
              <w:left w:w="0" w:type="dxa"/>
              <w:bottom w:w="0" w:type="dxa"/>
              <w:right w:w="0" w:type="dxa"/>
            </w:tcMar>
            <w:hideMark/>
          </w:tcPr>
          <w:p w14:paraId="164B17FE"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9E42E1C" w14:textId="77777777" w:rsidR="00000000" w:rsidRDefault="001F1B20">
            <w:pPr>
              <w:spacing w:after="200"/>
              <w:rPr>
                <w:rFonts w:eastAsia="Times New Roman"/>
                <w:sz w:val="20"/>
                <w:szCs w:val="20"/>
              </w:rPr>
            </w:pPr>
            <w:r>
              <w:rPr>
                <w:rFonts w:eastAsia="Times New Roman"/>
                <w:sz w:val="20"/>
                <w:szCs w:val="20"/>
              </w:rPr>
              <w:t>support our independent sales and marketing organization and medical affairs team;</w:t>
            </w:r>
          </w:p>
        </w:tc>
      </w:tr>
    </w:tbl>
    <w:p w14:paraId="54473D35"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573E8A9" w14:textId="77777777">
        <w:trPr>
          <w:divId w:val="467745650"/>
        </w:trPr>
        <w:tc>
          <w:tcPr>
            <w:tcW w:w="720" w:type="dxa"/>
            <w:vAlign w:val="center"/>
            <w:hideMark/>
          </w:tcPr>
          <w:p w14:paraId="4C040EEB" w14:textId="77777777" w:rsidR="00000000" w:rsidRDefault="001F1B20">
            <w:pPr>
              <w:rPr>
                <w:rFonts w:eastAsia="Times New Roman"/>
              </w:rPr>
            </w:pPr>
          </w:p>
        </w:tc>
        <w:tc>
          <w:tcPr>
            <w:tcW w:w="360" w:type="dxa"/>
            <w:noWrap/>
            <w:tcMar>
              <w:top w:w="0" w:type="dxa"/>
              <w:left w:w="0" w:type="dxa"/>
              <w:bottom w:w="0" w:type="dxa"/>
              <w:right w:w="0" w:type="dxa"/>
            </w:tcMar>
            <w:hideMark/>
          </w:tcPr>
          <w:p w14:paraId="52BD2017"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C850093" w14:textId="77777777" w:rsidR="00000000" w:rsidRDefault="001F1B20">
            <w:pPr>
              <w:spacing w:after="200"/>
              <w:rPr>
                <w:rFonts w:eastAsia="Times New Roman"/>
                <w:sz w:val="20"/>
                <w:szCs w:val="20"/>
              </w:rPr>
            </w:pPr>
            <w:r>
              <w:rPr>
                <w:rFonts w:eastAsia="Times New Roman"/>
                <w:sz w:val="20"/>
                <w:szCs w:val="20"/>
              </w:rPr>
              <w:t>support our additional investments in YUPELRI, including post-marketing clinical studies;</w:t>
            </w:r>
          </w:p>
        </w:tc>
      </w:tr>
    </w:tbl>
    <w:p w14:paraId="5AB16C64"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8BCE323" w14:textId="77777777">
        <w:trPr>
          <w:divId w:val="467745650"/>
        </w:trPr>
        <w:tc>
          <w:tcPr>
            <w:tcW w:w="720" w:type="dxa"/>
            <w:vAlign w:val="center"/>
            <w:hideMark/>
          </w:tcPr>
          <w:p w14:paraId="63981FBA" w14:textId="77777777" w:rsidR="00000000" w:rsidRDefault="001F1B20">
            <w:pPr>
              <w:rPr>
                <w:rFonts w:eastAsia="Times New Roman"/>
              </w:rPr>
            </w:pPr>
          </w:p>
        </w:tc>
        <w:tc>
          <w:tcPr>
            <w:tcW w:w="360" w:type="dxa"/>
            <w:noWrap/>
            <w:tcMar>
              <w:top w:w="0" w:type="dxa"/>
              <w:left w:w="0" w:type="dxa"/>
              <w:bottom w:w="0" w:type="dxa"/>
              <w:right w:w="0" w:type="dxa"/>
            </w:tcMar>
            <w:hideMark/>
          </w:tcPr>
          <w:p w14:paraId="5E0615E2"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A826DD9" w14:textId="77777777" w:rsidR="00000000" w:rsidRDefault="001F1B20">
            <w:pPr>
              <w:spacing w:after="200"/>
              <w:rPr>
                <w:rFonts w:eastAsia="Times New Roman"/>
                <w:sz w:val="20"/>
                <w:szCs w:val="20"/>
              </w:rPr>
            </w:pPr>
            <w:r>
              <w:rPr>
                <w:rFonts w:eastAsia="Times New Roman"/>
                <w:sz w:val="20"/>
                <w:szCs w:val="20"/>
              </w:rPr>
              <w:t>progress any additional product candidates into later-stage development without funding from a collaboration partner;</w:t>
            </w:r>
          </w:p>
        </w:tc>
      </w:tr>
    </w:tbl>
    <w:p w14:paraId="3162B698"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FA3F2E0" w14:textId="77777777">
        <w:trPr>
          <w:divId w:val="467745650"/>
        </w:trPr>
        <w:tc>
          <w:tcPr>
            <w:tcW w:w="720" w:type="dxa"/>
            <w:vAlign w:val="center"/>
            <w:hideMark/>
          </w:tcPr>
          <w:p w14:paraId="3303A8E1" w14:textId="77777777" w:rsidR="00000000" w:rsidRDefault="001F1B20">
            <w:pPr>
              <w:rPr>
                <w:rFonts w:eastAsia="Times New Roman"/>
              </w:rPr>
            </w:pPr>
          </w:p>
        </w:tc>
        <w:tc>
          <w:tcPr>
            <w:tcW w:w="360" w:type="dxa"/>
            <w:noWrap/>
            <w:tcMar>
              <w:top w:w="0" w:type="dxa"/>
              <w:left w:w="0" w:type="dxa"/>
              <w:bottom w:w="0" w:type="dxa"/>
              <w:right w:w="0" w:type="dxa"/>
            </w:tcMar>
            <w:hideMark/>
          </w:tcPr>
          <w:p w14:paraId="2E729A67"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D9A3303" w14:textId="77777777" w:rsidR="00000000" w:rsidRDefault="001F1B20">
            <w:pPr>
              <w:spacing w:after="200"/>
              <w:rPr>
                <w:rFonts w:eastAsia="Times New Roman"/>
                <w:sz w:val="20"/>
                <w:szCs w:val="20"/>
              </w:rPr>
            </w:pPr>
            <w:r>
              <w:rPr>
                <w:rFonts w:eastAsia="Times New Roman"/>
                <w:sz w:val="20"/>
                <w:szCs w:val="20"/>
              </w:rPr>
              <w:t>progress mid-to-late stage product can</w:t>
            </w:r>
            <w:r>
              <w:rPr>
                <w:rFonts w:eastAsia="Times New Roman"/>
                <w:sz w:val="20"/>
                <w:szCs w:val="20"/>
              </w:rPr>
              <w:t>didates into later-stage development, if warranted;</w:t>
            </w:r>
          </w:p>
        </w:tc>
      </w:tr>
    </w:tbl>
    <w:p w14:paraId="6FA94DB8"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AF4B47C" w14:textId="77777777">
        <w:trPr>
          <w:divId w:val="467745650"/>
        </w:trPr>
        <w:tc>
          <w:tcPr>
            <w:tcW w:w="720" w:type="dxa"/>
            <w:vAlign w:val="center"/>
            <w:hideMark/>
          </w:tcPr>
          <w:p w14:paraId="4D177D96" w14:textId="77777777" w:rsidR="00000000" w:rsidRDefault="001F1B20">
            <w:pPr>
              <w:rPr>
                <w:rFonts w:eastAsia="Times New Roman"/>
              </w:rPr>
            </w:pPr>
          </w:p>
        </w:tc>
        <w:tc>
          <w:tcPr>
            <w:tcW w:w="360" w:type="dxa"/>
            <w:noWrap/>
            <w:tcMar>
              <w:top w:w="0" w:type="dxa"/>
              <w:left w:w="0" w:type="dxa"/>
              <w:bottom w:w="0" w:type="dxa"/>
              <w:right w:w="0" w:type="dxa"/>
            </w:tcMar>
            <w:hideMark/>
          </w:tcPr>
          <w:p w14:paraId="1939B325"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59A4923" w14:textId="77777777" w:rsidR="00000000" w:rsidRDefault="001F1B20">
            <w:pPr>
              <w:spacing w:after="200"/>
              <w:rPr>
                <w:rFonts w:eastAsia="Times New Roman"/>
                <w:sz w:val="20"/>
                <w:szCs w:val="20"/>
              </w:rPr>
            </w:pPr>
            <w:r>
              <w:rPr>
                <w:rFonts w:eastAsia="Times New Roman"/>
                <w:sz w:val="20"/>
                <w:szCs w:val="20"/>
              </w:rPr>
              <w:t>respond to competitive pressures; and</w:t>
            </w:r>
          </w:p>
        </w:tc>
      </w:tr>
    </w:tbl>
    <w:p w14:paraId="38BCBAAF"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44612EA" w14:textId="77777777">
        <w:trPr>
          <w:divId w:val="467745650"/>
        </w:trPr>
        <w:tc>
          <w:tcPr>
            <w:tcW w:w="720" w:type="dxa"/>
            <w:vAlign w:val="center"/>
            <w:hideMark/>
          </w:tcPr>
          <w:p w14:paraId="3B52A9E9" w14:textId="77777777" w:rsidR="00000000" w:rsidRDefault="001F1B20">
            <w:pPr>
              <w:rPr>
                <w:rFonts w:eastAsia="Times New Roman"/>
              </w:rPr>
            </w:pPr>
          </w:p>
        </w:tc>
        <w:tc>
          <w:tcPr>
            <w:tcW w:w="360" w:type="dxa"/>
            <w:noWrap/>
            <w:tcMar>
              <w:top w:w="0" w:type="dxa"/>
              <w:left w:w="0" w:type="dxa"/>
              <w:bottom w:w="0" w:type="dxa"/>
              <w:right w:w="0" w:type="dxa"/>
            </w:tcMar>
            <w:hideMark/>
          </w:tcPr>
          <w:p w14:paraId="6D4D1D6B"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26E808A" w14:textId="77777777" w:rsidR="00000000" w:rsidRDefault="001F1B20">
            <w:pPr>
              <w:rPr>
                <w:rFonts w:eastAsia="Times New Roman"/>
                <w:sz w:val="20"/>
                <w:szCs w:val="20"/>
              </w:rPr>
            </w:pPr>
            <w:r>
              <w:rPr>
                <w:rFonts w:eastAsia="Times New Roman"/>
                <w:sz w:val="20"/>
                <w:szCs w:val="20"/>
              </w:rPr>
              <w:t>acquire complementary businesses or technologies.</w:t>
            </w:r>
          </w:p>
        </w:tc>
      </w:tr>
    </w:tbl>
    <w:p w14:paraId="2F505A40" w14:textId="77777777" w:rsidR="00000000" w:rsidRDefault="001F1B20">
      <w:pPr>
        <w:pStyle w:val="a3"/>
        <w:spacing w:before="0" w:beforeAutospacing="0" w:after="200" w:afterAutospacing="0"/>
        <w:ind w:firstLine="720"/>
        <w:divId w:val="467745650"/>
        <w:rPr>
          <w:sz w:val="20"/>
          <w:szCs w:val="20"/>
        </w:rPr>
      </w:pPr>
      <w:r>
        <w:rPr>
          <w:sz w:val="20"/>
          <w:szCs w:val="20"/>
        </w:rPr>
        <w:t>Our future capital needs depend on many factors,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E9C5ADD" w14:textId="77777777">
        <w:trPr>
          <w:divId w:val="467745650"/>
        </w:trPr>
        <w:tc>
          <w:tcPr>
            <w:tcW w:w="720" w:type="dxa"/>
            <w:vAlign w:val="center"/>
            <w:hideMark/>
          </w:tcPr>
          <w:p w14:paraId="38A3086A" w14:textId="77777777" w:rsidR="00000000" w:rsidRDefault="001F1B20">
            <w:pPr>
              <w:rPr>
                <w:sz w:val="20"/>
                <w:szCs w:val="20"/>
              </w:rPr>
            </w:pPr>
          </w:p>
        </w:tc>
        <w:tc>
          <w:tcPr>
            <w:tcW w:w="360" w:type="dxa"/>
            <w:noWrap/>
            <w:tcMar>
              <w:top w:w="0" w:type="dxa"/>
              <w:left w:w="0" w:type="dxa"/>
              <w:bottom w:w="0" w:type="dxa"/>
              <w:right w:w="0" w:type="dxa"/>
            </w:tcMar>
            <w:hideMark/>
          </w:tcPr>
          <w:p w14:paraId="6186A911"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610D3DC" w14:textId="77777777" w:rsidR="00000000" w:rsidRDefault="001F1B20">
            <w:pPr>
              <w:spacing w:after="200"/>
              <w:rPr>
                <w:rFonts w:eastAsia="Times New Roman"/>
                <w:sz w:val="20"/>
                <w:szCs w:val="20"/>
              </w:rPr>
            </w:pPr>
            <w:r>
              <w:rPr>
                <w:rFonts w:eastAsia="Times New Roman"/>
                <w:sz w:val="20"/>
                <w:szCs w:val="20"/>
              </w:rPr>
              <w:t>the scope, duration and expenditures associated with our discovery efforts and research and development programs;</w:t>
            </w:r>
          </w:p>
        </w:tc>
      </w:tr>
    </w:tbl>
    <w:p w14:paraId="5F56B61C"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D0EADDD" w14:textId="77777777">
        <w:trPr>
          <w:divId w:val="467745650"/>
        </w:trPr>
        <w:tc>
          <w:tcPr>
            <w:tcW w:w="720" w:type="dxa"/>
            <w:vAlign w:val="center"/>
            <w:hideMark/>
          </w:tcPr>
          <w:p w14:paraId="1C954A9B" w14:textId="77777777" w:rsidR="00000000" w:rsidRDefault="001F1B20">
            <w:pPr>
              <w:rPr>
                <w:rFonts w:eastAsia="Times New Roman"/>
              </w:rPr>
            </w:pPr>
          </w:p>
        </w:tc>
        <w:tc>
          <w:tcPr>
            <w:tcW w:w="360" w:type="dxa"/>
            <w:noWrap/>
            <w:tcMar>
              <w:top w:w="0" w:type="dxa"/>
              <w:left w:w="0" w:type="dxa"/>
              <w:bottom w:w="0" w:type="dxa"/>
              <w:right w:w="0" w:type="dxa"/>
            </w:tcMar>
            <w:hideMark/>
          </w:tcPr>
          <w:p w14:paraId="265BEE82"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FD9AEAB" w14:textId="77777777" w:rsidR="00000000" w:rsidRDefault="001F1B20">
            <w:pPr>
              <w:spacing w:after="200"/>
              <w:rPr>
                <w:rFonts w:eastAsia="Times New Roman"/>
                <w:sz w:val="20"/>
                <w:szCs w:val="20"/>
              </w:rPr>
            </w:pPr>
            <w:r>
              <w:rPr>
                <w:rFonts w:eastAsia="Times New Roman"/>
                <w:sz w:val="20"/>
                <w:szCs w:val="20"/>
              </w:rPr>
              <w:t>continued scientific progress in these programs;</w:t>
            </w:r>
          </w:p>
        </w:tc>
      </w:tr>
    </w:tbl>
    <w:p w14:paraId="4730C5A9"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132325E" w14:textId="77777777">
        <w:trPr>
          <w:divId w:val="467745650"/>
        </w:trPr>
        <w:tc>
          <w:tcPr>
            <w:tcW w:w="720" w:type="dxa"/>
            <w:vAlign w:val="center"/>
            <w:hideMark/>
          </w:tcPr>
          <w:p w14:paraId="351BBE16" w14:textId="77777777" w:rsidR="00000000" w:rsidRDefault="001F1B20">
            <w:pPr>
              <w:rPr>
                <w:rFonts w:eastAsia="Times New Roman"/>
              </w:rPr>
            </w:pPr>
          </w:p>
        </w:tc>
        <w:tc>
          <w:tcPr>
            <w:tcW w:w="360" w:type="dxa"/>
            <w:noWrap/>
            <w:tcMar>
              <w:top w:w="0" w:type="dxa"/>
              <w:left w:w="0" w:type="dxa"/>
              <w:bottom w:w="0" w:type="dxa"/>
              <w:right w:w="0" w:type="dxa"/>
            </w:tcMar>
            <w:hideMark/>
          </w:tcPr>
          <w:p w14:paraId="045815BB"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2466234" w14:textId="77777777" w:rsidR="00000000" w:rsidRDefault="001F1B20">
            <w:pPr>
              <w:spacing w:after="200"/>
              <w:rPr>
                <w:rFonts w:eastAsia="Times New Roman"/>
                <w:sz w:val="20"/>
                <w:szCs w:val="20"/>
              </w:rPr>
            </w:pPr>
            <w:r>
              <w:rPr>
                <w:rFonts w:eastAsia="Times New Roman"/>
                <w:sz w:val="20"/>
                <w:szCs w:val="20"/>
              </w:rPr>
              <w:t xml:space="preserve">the extent to which </w:t>
            </w:r>
            <w:r>
              <w:rPr>
                <w:rFonts w:eastAsia="Times New Roman"/>
                <w:sz w:val="20"/>
                <w:szCs w:val="20"/>
              </w:rPr>
              <w:t>we encounter technical obstacles in our research and development programs;</w:t>
            </w:r>
          </w:p>
        </w:tc>
      </w:tr>
    </w:tbl>
    <w:p w14:paraId="1DC312F2"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3223C8F" w14:textId="77777777">
        <w:trPr>
          <w:divId w:val="467745650"/>
        </w:trPr>
        <w:tc>
          <w:tcPr>
            <w:tcW w:w="720" w:type="dxa"/>
            <w:vAlign w:val="center"/>
            <w:hideMark/>
          </w:tcPr>
          <w:p w14:paraId="5FBA9CBD" w14:textId="77777777" w:rsidR="00000000" w:rsidRDefault="001F1B20">
            <w:pPr>
              <w:rPr>
                <w:rFonts w:eastAsia="Times New Roman"/>
              </w:rPr>
            </w:pPr>
          </w:p>
        </w:tc>
        <w:tc>
          <w:tcPr>
            <w:tcW w:w="360" w:type="dxa"/>
            <w:noWrap/>
            <w:tcMar>
              <w:top w:w="0" w:type="dxa"/>
              <w:left w:w="0" w:type="dxa"/>
              <w:bottom w:w="0" w:type="dxa"/>
              <w:right w:w="0" w:type="dxa"/>
            </w:tcMar>
            <w:hideMark/>
          </w:tcPr>
          <w:p w14:paraId="151BDBCD"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8CBF27B" w14:textId="77777777" w:rsidR="00000000" w:rsidRDefault="001F1B20">
            <w:pPr>
              <w:spacing w:after="200"/>
              <w:rPr>
                <w:rFonts w:eastAsia="Times New Roman"/>
                <w:sz w:val="20"/>
                <w:szCs w:val="20"/>
              </w:rPr>
            </w:pPr>
            <w:r>
              <w:rPr>
                <w:rFonts w:eastAsia="Times New Roman"/>
                <w:sz w:val="20"/>
                <w:szCs w:val="20"/>
              </w:rPr>
              <w:t>the outcome of potential licensing or partnering transactions, if any;</w:t>
            </w:r>
          </w:p>
        </w:tc>
      </w:tr>
    </w:tbl>
    <w:p w14:paraId="037A3F07"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3BA2899" w14:textId="77777777">
        <w:trPr>
          <w:divId w:val="467745650"/>
        </w:trPr>
        <w:tc>
          <w:tcPr>
            <w:tcW w:w="720" w:type="dxa"/>
            <w:vAlign w:val="center"/>
            <w:hideMark/>
          </w:tcPr>
          <w:p w14:paraId="03D09370" w14:textId="77777777" w:rsidR="00000000" w:rsidRDefault="001F1B20">
            <w:pPr>
              <w:rPr>
                <w:rFonts w:eastAsia="Times New Roman"/>
              </w:rPr>
            </w:pPr>
          </w:p>
        </w:tc>
        <w:tc>
          <w:tcPr>
            <w:tcW w:w="360" w:type="dxa"/>
            <w:noWrap/>
            <w:tcMar>
              <w:top w:w="0" w:type="dxa"/>
              <w:left w:w="0" w:type="dxa"/>
              <w:bottom w:w="0" w:type="dxa"/>
              <w:right w:w="0" w:type="dxa"/>
            </w:tcMar>
            <w:hideMark/>
          </w:tcPr>
          <w:p w14:paraId="73B4E363"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D84338A" w14:textId="77777777" w:rsidR="00000000" w:rsidRDefault="001F1B20">
            <w:pPr>
              <w:spacing w:after="200"/>
              <w:rPr>
                <w:rFonts w:eastAsia="Times New Roman"/>
                <w:sz w:val="20"/>
                <w:szCs w:val="20"/>
              </w:rPr>
            </w:pPr>
            <w:r>
              <w:rPr>
                <w:rFonts w:eastAsia="Times New Roman"/>
                <w:sz w:val="20"/>
                <w:szCs w:val="20"/>
              </w:rPr>
              <w:t>competing technological developments;</w:t>
            </w:r>
          </w:p>
        </w:tc>
      </w:tr>
    </w:tbl>
    <w:p w14:paraId="27B44BFA" w14:textId="77777777" w:rsidR="00000000" w:rsidRDefault="001F1B20">
      <w:pPr>
        <w:divId w:val="4677456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916E6E6" w14:textId="77777777">
        <w:trPr>
          <w:divId w:val="467745650"/>
        </w:trPr>
        <w:tc>
          <w:tcPr>
            <w:tcW w:w="720" w:type="dxa"/>
            <w:vAlign w:val="center"/>
            <w:hideMark/>
          </w:tcPr>
          <w:p w14:paraId="4AD379DB" w14:textId="77777777" w:rsidR="00000000" w:rsidRDefault="001F1B20">
            <w:pPr>
              <w:rPr>
                <w:rFonts w:eastAsia="Times New Roman"/>
              </w:rPr>
            </w:pPr>
          </w:p>
        </w:tc>
        <w:tc>
          <w:tcPr>
            <w:tcW w:w="360" w:type="dxa"/>
            <w:noWrap/>
            <w:tcMar>
              <w:top w:w="0" w:type="dxa"/>
              <w:left w:w="0" w:type="dxa"/>
              <w:bottom w:w="0" w:type="dxa"/>
              <w:right w:w="0" w:type="dxa"/>
            </w:tcMar>
            <w:hideMark/>
          </w:tcPr>
          <w:p w14:paraId="2DF69DB4"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90CBF61" w14:textId="77777777" w:rsidR="00000000" w:rsidRDefault="001F1B20">
            <w:pPr>
              <w:spacing w:after="200"/>
              <w:rPr>
                <w:rFonts w:eastAsia="Times New Roman"/>
                <w:sz w:val="20"/>
                <w:szCs w:val="20"/>
              </w:rPr>
            </w:pPr>
            <w:r>
              <w:rPr>
                <w:rFonts w:eastAsia="Times New Roman"/>
                <w:sz w:val="20"/>
                <w:szCs w:val="20"/>
              </w:rPr>
              <w:t>the extent of our proprietary patent position in any approved products and our product candidates;</w:t>
            </w:r>
          </w:p>
        </w:tc>
      </w:tr>
    </w:tbl>
    <w:p w14:paraId="6EA4C64A" w14:textId="77777777" w:rsidR="00000000" w:rsidRDefault="001F1B20">
      <w:pPr>
        <w:pStyle w:val="a3"/>
        <w:spacing w:before="360" w:beforeAutospacing="0" w:after="0" w:afterAutospacing="0"/>
        <w:jc w:val="center"/>
        <w:divId w:val="331299696"/>
        <w:rPr>
          <w:sz w:val="20"/>
          <w:szCs w:val="20"/>
        </w:rPr>
      </w:pPr>
      <w:r>
        <w:rPr>
          <w:sz w:val="20"/>
          <w:szCs w:val="20"/>
        </w:rPr>
        <w:t>46</w:t>
      </w:r>
    </w:p>
    <w:p w14:paraId="425802B0" w14:textId="77777777" w:rsidR="00000000" w:rsidRDefault="001F1B20">
      <w:pPr>
        <w:pStyle w:val="a3"/>
        <w:spacing w:before="0" w:beforeAutospacing="0" w:after="600" w:afterAutospacing="0"/>
        <w:divId w:val="1577858239"/>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12DB40E" w14:textId="77777777">
        <w:trPr>
          <w:divId w:val="1398868522"/>
        </w:trPr>
        <w:tc>
          <w:tcPr>
            <w:tcW w:w="720" w:type="dxa"/>
            <w:vAlign w:val="center"/>
            <w:hideMark/>
          </w:tcPr>
          <w:p w14:paraId="456BF2E1" w14:textId="77777777" w:rsidR="00000000" w:rsidRDefault="001F1B20">
            <w:pPr>
              <w:rPr>
                <w:sz w:val="20"/>
                <w:szCs w:val="20"/>
              </w:rPr>
            </w:pPr>
          </w:p>
        </w:tc>
        <w:tc>
          <w:tcPr>
            <w:tcW w:w="360" w:type="dxa"/>
            <w:noWrap/>
            <w:tcMar>
              <w:top w:w="0" w:type="dxa"/>
              <w:left w:w="0" w:type="dxa"/>
              <w:bottom w:w="0" w:type="dxa"/>
              <w:right w:w="0" w:type="dxa"/>
            </w:tcMar>
            <w:hideMark/>
          </w:tcPr>
          <w:p w14:paraId="59516C84"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3BCE86F" w14:textId="77777777" w:rsidR="00000000" w:rsidRDefault="001F1B20">
            <w:pPr>
              <w:spacing w:after="200"/>
              <w:rPr>
                <w:rFonts w:eastAsia="Times New Roman"/>
                <w:sz w:val="20"/>
                <w:szCs w:val="20"/>
              </w:rPr>
            </w:pPr>
            <w:r>
              <w:rPr>
                <w:rFonts w:eastAsia="Times New Roman"/>
                <w:sz w:val="20"/>
                <w:szCs w:val="20"/>
              </w:rPr>
              <w:t>our facilities expenses, which will vary depending on the time and terms of any facility lease or sublease</w:t>
            </w:r>
            <w:r>
              <w:rPr>
                <w:rFonts w:eastAsia="Times New Roman"/>
                <w:sz w:val="20"/>
                <w:szCs w:val="20"/>
              </w:rPr>
              <w:t xml:space="preserve"> we may enter into, and other operating expenses;</w:t>
            </w:r>
          </w:p>
        </w:tc>
      </w:tr>
    </w:tbl>
    <w:p w14:paraId="71614CBB" w14:textId="77777777" w:rsidR="00000000" w:rsidRDefault="001F1B20">
      <w:pPr>
        <w:divId w:val="13988685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E000AC9" w14:textId="77777777">
        <w:trPr>
          <w:divId w:val="1398868522"/>
        </w:trPr>
        <w:tc>
          <w:tcPr>
            <w:tcW w:w="720" w:type="dxa"/>
            <w:vAlign w:val="center"/>
            <w:hideMark/>
          </w:tcPr>
          <w:p w14:paraId="3CC9A55C" w14:textId="77777777" w:rsidR="00000000" w:rsidRDefault="001F1B20">
            <w:pPr>
              <w:rPr>
                <w:rFonts w:eastAsia="Times New Roman"/>
              </w:rPr>
            </w:pPr>
          </w:p>
        </w:tc>
        <w:tc>
          <w:tcPr>
            <w:tcW w:w="360" w:type="dxa"/>
            <w:noWrap/>
            <w:tcMar>
              <w:top w:w="0" w:type="dxa"/>
              <w:left w:w="0" w:type="dxa"/>
              <w:bottom w:w="0" w:type="dxa"/>
              <w:right w:w="0" w:type="dxa"/>
            </w:tcMar>
            <w:hideMark/>
          </w:tcPr>
          <w:p w14:paraId="1ED984FA"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9CF3A66" w14:textId="77777777" w:rsidR="00000000" w:rsidRDefault="001F1B20">
            <w:pPr>
              <w:spacing w:after="200"/>
              <w:rPr>
                <w:rFonts w:eastAsia="Times New Roman"/>
                <w:sz w:val="20"/>
                <w:szCs w:val="20"/>
              </w:rPr>
            </w:pPr>
            <w:r>
              <w:rPr>
                <w:rFonts w:eastAsia="Times New Roman"/>
                <w:sz w:val="20"/>
                <w:szCs w:val="20"/>
              </w:rPr>
              <w:t>the scope and extent of the expansion of our sales and marketing efforts;</w:t>
            </w:r>
          </w:p>
        </w:tc>
      </w:tr>
    </w:tbl>
    <w:p w14:paraId="22AA8F8C" w14:textId="77777777" w:rsidR="00000000" w:rsidRDefault="001F1B20">
      <w:pPr>
        <w:divId w:val="13988685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28C3798" w14:textId="77777777">
        <w:trPr>
          <w:divId w:val="1398868522"/>
        </w:trPr>
        <w:tc>
          <w:tcPr>
            <w:tcW w:w="720" w:type="dxa"/>
            <w:vAlign w:val="center"/>
            <w:hideMark/>
          </w:tcPr>
          <w:p w14:paraId="0451AF20" w14:textId="77777777" w:rsidR="00000000" w:rsidRDefault="001F1B20">
            <w:pPr>
              <w:rPr>
                <w:rFonts w:eastAsia="Times New Roman"/>
              </w:rPr>
            </w:pPr>
          </w:p>
        </w:tc>
        <w:tc>
          <w:tcPr>
            <w:tcW w:w="360" w:type="dxa"/>
            <w:noWrap/>
            <w:tcMar>
              <w:top w:w="0" w:type="dxa"/>
              <w:left w:w="0" w:type="dxa"/>
              <w:bottom w:w="0" w:type="dxa"/>
              <w:right w:w="0" w:type="dxa"/>
            </w:tcMar>
            <w:hideMark/>
          </w:tcPr>
          <w:p w14:paraId="4CB81A1E"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DCED347" w14:textId="77777777" w:rsidR="00000000" w:rsidRDefault="001F1B20">
            <w:pPr>
              <w:spacing w:after="200"/>
              <w:rPr>
                <w:rFonts w:eastAsia="Times New Roman"/>
                <w:sz w:val="20"/>
                <w:szCs w:val="20"/>
              </w:rPr>
            </w:pPr>
            <w:r>
              <w:rPr>
                <w:rFonts w:eastAsia="Times New Roman"/>
                <w:sz w:val="20"/>
                <w:szCs w:val="20"/>
              </w:rPr>
              <w:t>potential litigation and other contingencies; and</w:t>
            </w:r>
          </w:p>
        </w:tc>
      </w:tr>
    </w:tbl>
    <w:p w14:paraId="283D6BCE" w14:textId="77777777" w:rsidR="00000000" w:rsidRDefault="001F1B20">
      <w:pPr>
        <w:divId w:val="13988685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92CF650" w14:textId="77777777">
        <w:trPr>
          <w:divId w:val="1398868522"/>
        </w:trPr>
        <w:tc>
          <w:tcPr>
            <w:tcW w:w="720" w:type="dxa"/>
            <w:vAlign w:val="center"/>
            <w:hideMark/>
          </w:tcPr>
          <w:p w14:paraId="575D9068" w14:textId="77777777" w:rsidR="00000000" w:rsidRDefault="001F1B20">
            <w:pPr>
              <w:rPr>
                <w:rFonts w:eastAsia="Times New Roman"/>
              </w:rPr>
            </w:pPr>
          </w:p>
        </w:tc>
        <w:tc>
          <w:tcPr>
            <w:tcW w:w="360" w:type="dxa"/>
            <w:noWrap/>
            <w:tcMar>
              <w:top w:w="0" w:type="dxa"/>
              <w:left w:w="0" w:type="dxa"/>
              <w:bottom w:w="0" w:type="dxa"/>
              <w:right w:w="0" w:type="dxa"/>
            </w:tcMar>
            <w:hideMark/>
          </w:tcPr>
          <w:p w14:paraId="3B79C611"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9B03D50" w14:textId="77777777" w:rsidR="00000000" w:rsidRDefault="001F1B20">
            <w:pPr>
              <w:rPr>
                <w:rFonts w:eastAsia="Times New Roman"/>
                <w:sz w:val="20"/>
                <w:szCs w:val="20"/>
              </w:rPr>
            </w:pPr>
            <w:r>
              <w:rPr>
                <w:rFonts w:eastAsia="Times New Roman"/>
                <w:sz w:val="20"/>
                <w:szCs w:val="20"/>
              </w:rPr>
              <w:t>the regulatory approval process for our product candidates.</w:t>
            </w:r>
          </w:p>
        </w:tc>
      </w:tr>
    </w:tbl>
    <w:p w14:paraId="1CF22325" w14:textId="77777777" w:rsidR="00000000" w:rsidRDefault="001F1B20">
      <w:pPr>
        <w:pStyle w:val="a3"/>
        <w:spacing w:before="0" w:beforeAutospacing="0" w:after="200" w:afterAutospacing="0"/>
        <w:ind w:firstLine="720"/>
        <w:divId w:val="1398868522"/>
        <w:rPr>
          <w:sz w:val="20"/>
          <w:szCs w:val="20"/>
        </w:rPr>
      </w:pPr>
      <w:r>
        <w:rPr>
          <w:sz w:val="20"/>
          <w:szCs w:val="20"/>
        </w:rPr>
        <w:t>We may seek to raise additional capital or obtain future funding through public or private equity offerings, debt financings or additional collaborations and licensing arrangements to meet our ca</w:t>
      </w:r>
      <w:r>
        <w:rPr>
          <w:sz w:val="20"/>
          <w:szCs w:val="20"/>
        </w:rPr>
        <w:t>pital needs or to take advantage of opportunistic market conditions. We may not be able to obtain additional financing on terms favorable to us, if at all. General market conditions may make it difficult for us to seek financing from the capital markets. W</w:t>
      </w:r>
      <w:r>
        <w:rPr>
          <w:sz w:val="20"/>
          <w:szCs w:val="20"/>
        </w:rPr>
        <w:t>e may be required to relinquish rights to our technologies, product candidates or territories, or grant licenses on terms that are not favorable to us, in order to raise additional funds through collaborations or licensing arrangements. We may sequence pre</w:t>
      </w:r>
      <w:r>
        <w:rPr>
          <w:sz w:val="20"/>
          <w:szCs w:val="20"/>
        </w:rPr>
        <w:t>clinical and clinical studies as opposed to conducting them concomitantly in order to conserve resources, or delay, reduce or eliminate one or more of our research or development programs and reduce overall overhead expenses. If we are unable to raise addi</w:t>
      </w:r>
      <w:r>
        <w:rPr>
          <w:sz w:val="20"/>
          <w:szCs w:val="20"/>
        </w:rPr>
        <w:t>tional capital or obtain future funding in sufficient amounts or on terms acceptable to us, we may have to make reductions in our workforce and may be prevented from continuing our discovery, development and commercialization efforts and exploiting other c</w:t>
      </w:r>
      <w:r>
        <w:rPr>
          <w:sz w:val="20"/>
          <w:szCs w:val="20"/>
        </w:rPr>
        <w:t>orporate opportunities. This would likely harm our business, prospects and financial condition and cause the price of our securities to fall.</w:t>
      </w:r>
    </w:p>
    <w:p w14:paraId="103B123E" w14:textId="77777777" w:rsidR="00000000" w:rsidRDefault="001F1B20">
      <w:pPr>
        <w:pStyle w:val="a3"/>
        <w:spacing w:before="0" w:beforeAutospacing="0" w:after="140" w:afterAutospacing="0"/>
        <w:divId w:val="1398868522"/>
        <w:rPr>
          <w:sz w:val="20"/>
          <w:szCs w:val="20"/>
        </w:rPr>
      </w:pPr>
      <w:r>
        <w:rPr>
          <w:b/>
          <w:bCs/>
          <w:i/>
          <w:iCs/>
          <w:sz w:val="20"/>
          <w:szCs w:val="20"/>
        </w:rPr>
        <w:t>We may seek to obtain future financing through the issuance of debt or equity, which may have an adverse effect on</w:t>
      </w:r>
      <w:r>
        <w:rPr>
          <w:b/>
          <w:bCs/>
          <w:i/>
          <w:iCs/>
          <w:sz w:val="20"/>
          <w:szCs w:val="20"/>
        </w:rPr>
        <w:t xml:space="preserve"> our shareholders or may otherwise adversely affect our business. </w:t>
      </w:r>
    </w:p>
    <w:p w14:paraId="45379928" w14:textId="77777777" w:rsidR="00000000" w:rsidRDefault="001F1B20">
      <w:pPr>
        <w:pStyle w:val="a3"/>
        <w:spacing w:before="0" w:beforeAutospacing="0" w:after="200" w:afterAutospacing="0"/>
        <w:ind w:firstLine="720"/>
        <w:divId w:val="1398868522"/>
        <w:rPr>
          <w:sz w:val="20"/>
          <w:szCs w:val="20"/>
        </w:rPr>
      </w:pPr>
      <w:r>
        <w:rPr>
          <w:sz w:val="20"/>
          <w:szCs w:val="20"/>
        </w:rPr>
        <w:t>We may in the future need to raise additional funds to continue to progress our business. If we raise funds through the issuance of additional debt, including convertible debt or debt secur</w:t>
      </w:r>
      <w:r>
        <w:rPr>
          <w:sz w:val="20"/>
          <w:szCs w:val="20"/>
        </w:rPr>
        <w:t>ed by some or all of our assets, or equity, any debt securities or preferred shares issued will have rights, preferences and privileges senior to those of holders of our ordinary shares in the event of liquidation. Neither the terms of our $230.0 million o</w:t>
      </w:r>
      <w:r>
        <w:rPr>
          <w:sz w:val="20"/>
          <w:szCs w:val="20"/>
        </w:rPr>
        <w:t xml:space="preserve">f 3.25% convertible senior notes, due 2023 (the “Convertible Senior 2023 Notes”) nor the terms of the Issuer II’s 9.5% Fixed Rate Term Notes due on or before 2035 (the “Non-Recourse 2035 Notes”) restrict our ability to issue additional debt. If additional </w:t>
      </w:r>
      <w:r>
        <w:rPr>
          <w:sz w:val="20"/>
          <w:szCs w:val="20"/>
        </w:rPr>
        <w:t>debt is issued or we otherwise borrow additional funds, there is a possibility that once all senior claims are settled, there may be no assets remaining to pay out to the holders of ordinary shares. Moreover, 75% of the income from our investment in TRC, a</w:t>
      </w:r>
      <w:r>
        <w:rPr>
          <w:sz w:val="20"/>
          <w:szCs w:val="20"/>
        </w:rPr>
        <w:t>s evidenced by the Issuer II Class C Units, is currently available only for payment of the Non</w:t>
      </w:r>
      <w:r>
        <w:rPr>
          <w:sz w:val="20"/>
          <w:szCs w:val="20"/>
        </w:rPr>
        <w:t>-</w:t>
      </w:r>
      <w:r>
        <w:rPr>
          <w:sz w:val="20"/>
          <w:szCs w:val="20"/>
        </w:rPr>
        <w:t>Recourse 2035 Notes and is not available to pay our other obligations or the claims of our other creditors. Additionally, the conversion price of our Convertible</w:t>
      </w:r>
      <w:r>
        <w:rPr>
          <w:sz w:val="20"/>
          <w:szCs w:val="20"/>
        </w:rPr>
        <w:t xml:space="preserve"> Senior 2023 Notes is $34.45 per share. If the trading price of our ordinary shares does not exceed this amount, we would be required to repay or refinance the Convertible Senior 2023 Notes, and we can’t assure you that we would be able to do so. In additi</w:t>
      </w:r>
      <w:r>
        <w:rPr>
          <w:sz w:val="20"/>
          <w:szCs w:val="20"/>
        </w:rPr>
        <w:t>on, if we raise funds through the issuance of additional equity, whether through private placements or public offerings, such an issuance would dilute ownership of our current shareholders that do not participate in the issuance. If we are unable to obtain</w:t>
      </w:r>
      <w:r>
        <w:rPr>
          <w:sz w:val="20"/>
          <w:szCs w:val="20"/>
        </w:rPr>
        <w:t xml:space="preserve"> any needed additional funding, we may be required to reduce the scope of, delay, or eliminate some or all of, our planned research, development and commercialization activities or to license to third parties the rights to develop and/or commercialize prod</w:t>
      </w:r>
      <w:r>
        <w:rPr>
          <w:sz w:val="20"/>
          <w:szCs w:val="20"/>
        </w:rPr>
        <w:t>ucts or technologies that we would otherwise seek to develop and/or commercialize ourselves or on terms that are less attractive than they might otherwise be, any of which could materially harm our business</w:t>
      </w:r>
      <w:r>
        <w:rPr>
          <w:sz w:val="20"/>
          <w:szCs w:val="20"/>
        </w:rPr>
        <w:t>.</w:t>
      </w:r>
    </w:p>
    <w:p w14:paraId="00FB7C0F" w14:textId="77777777" w:rsidR="00000000" w:rsidRDefault="001F1B20">
      <w:pPr>
        <w:pStyle w:val="a3"/>
        <w:spacing w:before="0" w:beforeAutospacing="0" w:after="200" w:afterAutospacing="0"/>
        <w:ind w:firstLine="720"/>
        <w:divId w:val="1398868522"/>
        <w:rPr>
          <w:sz w:val="20"/>
          <w:szCs w:val="20"/>
        </w:rPr>
      </w:pPr>
      <w:r>
        <w:rPr>
          <w:sz w:val="20"/>
          <w:szCs w:val="20"/>
        </w:rPr>
        <w:t>Furthermore, the terms of any additional debt se</w:t>
      </w:r>
      <w:r>
        <w:rPr>
          <w:sz w:val="20"/>
          <w:szCs w:val="20"/>
        </w:rPr>
        <w:t>curities we may issue in the future may impose restrictions on our operations, which may include limiting our ability to incur additional indebtedness, pay dividends on or repurchase our share capital, or make certain acquisitions or investments. In additi</w:t>
      </w:r>
      <w:r>
        <w:rPr>
          <w:sz w:val="20"/>
          <w:szCs w:val="20"/>
        </w:rPr>
        <w:t>on, we may be subject to covenants requiring us to satisfy certain financial tests and ratios, and our ability to satisfy such covenants may be affected by events outside of our control.</w:t>
      </w:r>
    </w:p>
    <w:p w14:paraId="4AD30DD6" w14:textId="77777777" w:rsidR="00000000" w:rsidRDefault="001F1B20">
      <w:pPr>
        <w:pStyle w:val="a3"/>
        <w:spacing w:before="0" w:beforeAutospacing="0" w:after="140" w:afterAutospacing="0"/>
        <w:divId w:val="1398868522"/>
        <w:rPr>
          <w:sz w:val="20"/>
          <w:szCs w:val="20"/>
        </w:rPr>
      </w:pPr>
      <w:r>
        <w:rPr>
          <w:b/>
          <w:bCs/>
          <w:i/>
          <w:iCs/>
          <w:sz w:val="20"/>
          <w:szCs w:val="20"/>
        </w:rPr>
        <w:t>If our partners do not satisfy their obligations under our agreements</w:t>
      </w:r>
      <w:r>
        <w:rPr>
          <w:b/>
          <w:bCs/>
          <w:i/>
          <w:iCs/>
          <w:sz w:val="20"/>
          <w:szCs w:val="20"/>
        </w:rPr>
        <w:t xml:space="preserve"> with them, or if they terminate our partnerships with them, we may not be able to develop or commercialize our partnered product candidates as planned.</w:t>
      </w:r>
    </w:p>
    <w:p w14:paraId="1DC6A20A" w14:textId="77777777" w:rsidR="00000000" w:rsidRDefault="001F1B20">
      <w:pPr>
        <w:pStyle w:val="a3"/>
        <w:spacing w:before="0" w:beforeAutospacing="0" w:after="0" w:afterAutospacing="0"/>
        <w:ind w:firstLine="720"/>
        <w:divId w:val="1398868522"/>
        <w:rPr>
          <w:sz w:val="20"/>
          <w:szCs w:val="20"/>
        </w:rPr>
      </w:pPr>
      <w:r>
        <w:rPr>
          <w:sz w:val="20"/>
          <w:szCs w:val="20"/>
        </w:rPr>
        <w:t>In January 2015, we entered into a collaboration agreement with Viatris for the development and commerc</w:t>
      </w:r>
      <w:r>
        <w:rPr>
          <w:sz w:val="20"/>
          <w:szCs w:val="20"/>
        </w:rPr>
        <w:t>ialization of a nebulized formulation of our LAMA revefenacin, including YUPELRI. Under the terms of the agreement, we and Viatris will co-develop nebulized revefenacin, including YUPELRI, for COPD and other respiratory diseases. In June 2016, we entered i</w:t>
      </w:r>
      <w:r>
        <w:rPr>
          <w:sz w:val="20"/>
          <w:szCs w:val="20"/>
        </w:rPr>
        <w:t xml:space="preserve">nto a License and Collaboration Agreement with Millennium Pharmaceuticals, Inc., an indirect wholly-owned </w:t>
      </w:r>
    </w:p>
    <w:p w14:paraId="684309A9" w14:textId="77777777" w:rsidR="00000000" w:rsidRDefault="001F1B20">
      <w:pPr>
        <w:pStyle w:val="a3"/>
        <w:spacing w:before="360" w:beforeAutospacing="0" w:after="0" w:afterAutospacing="0"/>
        <w:jc w:val="center"/>
        <w:divId w:val="1771470246"/>
        <w:rPr>
          <w:sz w:val="20"/>
          <w:szCs w:val="20"/>
        </w:rPr>
      </w:pPr>
      <w:r>
        <w:rPr>
          <w:sz w:val="20"/>
          <w:szCs w:val="20"/>
        </w:rPr>
        <w:t>47</w:t>
      </w:r>
    </w:p>
    <w:p w14:paraId="6ED682CA" w14:textId="77777777" w:rsidR="00000000" w:rsidRDefault="001F1B20">
      <w:pPr>
        <w:pStyle w:val="a3"/>
        <w:spacing w:before="0" w:beforeAutospacing="0" w:after="600" w:afterAutospacing="0"/>
        <w:divId w:val="1247154986"/>
        <w:rPr>
          <w:sz w:val="20"/>
          <w:szCs w:val="20"/>
        </w:rPr>
      </w:pPr>
      <w:hyperlink w:anchor="TOC" w:history="1">
        <w:r>
          <w:rPr>
            <w:rStyle w:val="a4"/>
            <w:sz w:val="20"/>
            <w:szCs w:val="20"/>
          </w:rPr>
          <w:t>Table of Contents</w:t>
        </w:r>
      </w:hyperlink>
    </w:p>
    <w:p w14:paraId="36647CE3" w14:textId="77777777" w:rsidR="00000000" w:rsidRDefault="001F1B20">
      <w:pPr>
        <w:pStyle w:val="a3"/>
        <w:spacing w:before="0" w:beforeAutospacing="0" w:after="200" w:afterAutospacing="0"/>
        <w:divId w:val="1356541721"/>
        <w:rPr>
          <w:sz w:val="20"/>
          <w:szCs w:val="20"/>
        </w:rPr>
      </w:pPr>
      <w:r>
        <w:rPr>
          <w:sz w:val="20"/>
          <w:szCs w:val="20"/>
        </w:rPr>
        <w:t xml:space="preserve">subsidiary of Takeda Pharmaceutical Company Limited (collectively with Millennium, “Takeda”) in order to establish a collaboration for the development and commercialization of TD-8954, a selective 5-HT4 receptor agonist in development for gastrointestinal </w:t>
      </w:r>
      <w:r>
        <w:rPr>
          <w:sz w:val="20"/>
          <w:szCs w:val="20"/>
        </w:rPr>
        <w:t xml:space="preserve">motility disorders. Under the terms of the agreement, Takeda is responsible for worldwide development and commercialization of TD-8954. In February 2018, we announced a global co-development and commercialization agreement with Janssen for izencitinib and </w:t>
      </w:r>
      <w:r>
        <w:rPr>
          <w:sz w:val="20"/>
          <w:szCs w:val="20"/>
        </w:rPr>
        <w:t>related back-up compounds for inflammatory intestinal diseases, including ulcerative colitis and Crohn’s disease. In December 2019, we entered into a License Agreement with Pfizer Inc. (“Pfizer”). Under the license agreement, we provide Pfizer with an excl</w:t>
      </w:r>
      <w:r>
        <w:rPr>
          <w:sz w:val="20"/>
          <w:szCs w:val="20"/>
        </w:rPr>
        <w:t>usive global license to develop, manufacture and commercialize compounds from our preclinical program for skin-targeted, locally-acting pan-Janus kinase (JAK) inhibitors that can be rapidly metabolized. We also have an exclusive development and commerciali</w:t>
      </w:r>
      <w:r>
        <w:rPr>
          <w:sz w:val="20"/>
          <w:szCs w:val="20"/>
        </w:rPr>
        <w:t>zation agreement with Alfasigma for velusetrag, our internally discovered 5-HT4 agonist for the treatment of gastromotility disorders, under which we have transferred to Alfasigma global rights for velusetrag. In connection with these agreements, these par</w:t>
      </w:r>
      <w:r>
        <w:rPr>
          <w:sz w:val="20"/>
          <w:szCs w:val="20"/>
        </w:rPr>
        <w:t>ties have certain rights regarding the use of patents and technology with respect to the compounds in our development programs, including development and marketing rights.</w:t>
      </w:r>
    </w:p>
    <w:p w14:paraId="4817F3E5" w14:textId="77777777" w:rsidR="00000000" w:rsidRDefault="001F1B20">
      <w:pPr>
        <w:pStyle w:val="a3"/>
        <w:spacing w:before="0" w:beforeAutospacing="0" w:after="200" w:afterAutospacing="0"/>
        <w:ind w:firstLine="720"/>
        <w:divId w:val="1356541721"/>
        <w:rPr>
          <w:sz w:val="20"/>
          <w:szCs w:val="20"/>
        </w:rPr>
      </w:pPr>
      <w:r>
        <w:rPr>
          <w:sz w:val="20"/>
          <w:szCs w:val="20"/>
        </w:rPr>
        <w:t>Our partners have in the past and may in the future not fulfill all of their obligat</w:t>
      </w:r>
      <w:r>
        <w:rPr>
          <w:sz w:val="20"/>
          <w:szCs w:val="20"/>
        </w:rPr>
        <w:t>ions under these agreements, and, in certain circumstances, they or we may terminate our partnership with them. In addition, our partners may also be facing significant business interruptions as a result of the COVID-19 pandemic. In either event, we may be</w:t>
      </w:r>
      <w:r>
        <w:rPr>
          <w:sz w:val="20"/>
          <w:szCs w:val="20"/>
        </w:rPr>
        <w:t xml:space="preserve"> unable to assume the development and commercialization responsibilities covered by the agreements or enter into alternative arrangements with a third-party to develop and commercialize such product candidates. If a partner elected to promote alternative p</w:t>
      </w:r>
      <w:r>
        <w:rPr>
          <w:sz w:val="20"/>
          <w:szCs w:val="20"/>
        </w:rPr>
        <w:t>roducts and product candidates such as its own products and product candidates in preference to those licensed from us, does not devote an adequate amount of time and resources to our product candidates or is otherwise unsuccessful in its efforts with resp</w:t>
      </w:r>
      <w:r>
        <w:rPr>
          <w:sz w:val="20"/>
          <w:szCs w:val="20"/>
        </w:rPr>
        <w:t>ect to our products or product candidates, the development and commercialization of product candidates covered by the agreements could be delayed or terminated, and future payments to us could be delayed, reduced or eliminated and our business and financia</w:t>
      </w:r>
      <w:r>
        <w:rPr>
          <w:sz w:val="20"/>
          <w:szCs w:val="20"/>
        </w:rPr>
        <w:t xml:space="preserve">l condition could be materially and adversely affected. Accordingly, our ability to receive any revenue from the product candidates covered by these agreements is dependent on the efforts of our partners. If a partner terminates or breaches its agreements </w:t>
      </w:r>
      <w:r>
        <w:rPr>
          <w:sz w:val="20"/>
          <w:szCs w:val="20"/>
        </w:rPr>
        <w:t>with us, otherwise fails to complete its obligations in a timely manner or alleges that we have breached our contractual obligations under these agreements, the chances of successfully developing or commercializing product candidates under the collaboratio</w:t>
      </w:r>
      <w:r>
        <w:rPr>
          <w:sz w:val="20"/>
          <w:szCs w:val="20"/>
        </w:rPr>
        <w:t>n could be materially and adversely affected. In addition, effective collaboration with a partner requires coordination to achieve complex and detail-intensive goals between entities that potentially have different priorities, capabilities and processes an</w:t>
      </w:r>
      <w:r>
        <w:rPr>
          <w:sz w:val="20"/>
          <w:szCs w:val="20"/>
        </w:rPr>
        <w:t>d successful navigation of the challenges such coordination entails. We could also become involved in disputes with a partner, which could lead to delays in or termination of our development and commercialization programs and time-consuming and expensive l</w:t>
      </w:r>
      <w:r>
        <w:rPr>
          <w:sz w:val="20"/>
          <w:szCs w:val="20"/>
        </w:rPr>
        <w:t>itigation or arbitration. Furthermore, termination of an agreement by a partner could have an adverse effect on the price of our ordinary shares or other securities even if not material to our business.</w:t>
      </w:r>
    </w:p>
    <w:p w14:paraId="59F47374" w14:textId="77777777" w:rsidR="00000000" w:rsidRDefault="001F1B20">
      <w:pPr>
        <w:pStyle w:val="a3"/>
        <w:spacing w:before="0" w:beforeAutospacing="0" w:after="120" w:afterAutospacing="0"/>
        <w:divId w:val="1356541721"/>
        <w:rPr>
          <w:sz w:val="20"/>
          <w:szCs w:val="20"/>
        </w:rPr>
      </w:pPr>
      <w:r>
        <w:rPr>
          <w:b/>
          <w:bCs/>
          <w:i/>
          <w:iCs/>
          <w:sz w:val="20"/>
          <w:szCs w:val="20"/>
        </w:rPr>
        <w:t>Our ongoing drug discovery and development efforts mi</w:t>
      </w:r>
      <w:r>
        <w:rPr>
          <w:b/>
          <w:bCs/>
          <w:i/>
          <w:iCs/>
          <w:sz w:val="20"/>
          <w:szCs w:val="20"/>
        </w:rPr>
        <w:t>ght not generate additional successful product candidates or approvable drugs.</w:t>
      </w:r>
    </w:p>
    <w:p w14:paraId="11FE0C20" w14:textId="77777777" w:rsidR="00000000" w:rsidRDefault="001F1B20">
      <w:pPr>
        <w:pStyle w:val="a3"/>
        <w:spacing w:before="0" w:beforeAutospacing="0" w:after="200" w:afterAutospacing="0"/>
        <w:ind w:firstLine="720"/>
        <w:divId w:val="1356541721"/>
        <w:rPr>
          <w:sz w:val="20"/>
          <w:szCs w:val="20"/>
        </w:rPr>
      </w:pPr>
      <w:r>
        <w:rPr>
          <w:sz w:val="20"/>
          <w:szCs w:val="20"/>
        </w:rPr>
        <w:t xml:space="preserve">Our compounds in clinical trials and our future leads for potential drug compounds are subject to the risks and failures inherent in the development of pharmaceutical products. </w:t>
      </w:r>
      <w:r>
        <w:rPr>
          <w:sz w:val="20"/>
          <w:szCs w:val="20"/>
        </w:rPr>
        <w:t>These risks include, but are not limited to, the inherent difficulty in selecting the right drug and drug target and avoiding unwanted side effects, as well as unanticipated problems relating to product development, testing, enrollment, obtaining regulator</w:t>
      </w:r>
      <w:r>
        <w:rPr>
          <w:sz w:val="20"/>
          <w:szCs w:val="20"/>
        </w:rPr>
        <w:t>y approvals, maintaining regulatory compliance, manufacturing, competition and costs and expenses that may exceed current estimates.</w:t>
      </w:r>
    </w:p>
    <w:p w14:paraId="5A23D914" w14:textId="77777777" w:rsidR="00000000" w:rsidRDefault="001F1B20">
      <w:pPr>
        <w:pStyle w:val="a3"/>
        <w:spacing w:before="0" w:beforeAutospacing="0" w:after="200" w:afterAutospacing="0"/>
        <w:ind w:firstLine="720"/>
        <w:divId w:val="1356541721"/>
        <w:rPr>
          <w:sz w:val="20"/>
          <w:szCs w:val="20"/>
        </w:rPr>
      </w:pPr>
      <w:r>
        <w:rPr>
          <w:sz w:val="20"/>
          <w:szCs w:val="20"/>
        </w:rPr>
        <w:t>Clinical studies involving our product candidates may reveal that those candidates are ineffective, inferior to existing ap</w:t>
      </w:r>
      <w:r>
        <w:rPr>
          <w:sz w:val="20"/>
          <w:szCs w:val="20"/>
        </w:rPr>
        <w:t>proved medicines, unacceptably toxic, or that they have other unacceptable side effects. In addition, the results of preclinical studies do not necessarily predict clinical success, and larger and later-stage clinical studies may not produce the same resul</w:t>
      </w:r>
      <w:r>
        <w:rPr>
          <w:sz w:val="20"/>
          <w:szCs w:val="20"/>
        </w:rPr>
        <w:t>ts as earlier-stage clinical studies. For example, despite promising early stage studies, we recently announced that two late stage clinical programs failed to meet their primary endpoints and we now no longer plan to continue to pursue the development pro</w:t>
      </w:r>
      <w:r>
        <w:rPr>
          <w:sz w:val="20"/>
          <w:szCs w:val="20"/>
        </w:rPr>
        <w:t>grams for those compounds as planned.</w:t>
      </w:r>
    </w:p>
    <w:p w14:paraId="2C4BA99C" w14:textId="77777777" w:rsidR="00000000" w:rsidRDefault="001F1B20">
      <w:pPr>
        <w:pStyle w:val="a3"/>
        <w:spacing w:before="0" w:beforeAutospacing="0" w:after="0" w:afterAutospacing="0"/>
        <w:ind w:firstLine="720"/>
        <w:divId w:val="1356541721"/>
        <w:rPr>
          <w:sz w:val="20"/>
          <w:szCs w:val="20"/>
        </w:rPr>
      </w:pPr>
      <w:r>
        <w:rPr>
          <w:sz w:val="20"/>
          <w:szCs w:val="20"/>
        </w:rPr>
        <w:t>Frequently, product candidates that have shown promising results in early preclinical or clinical studies have subsequently suffered significant setbacks or failed in later non-clinical or clinical studies. In some ins</w:t>
      </w:r>
      <w:r>
        <w:rPr>
          <w:sz w:val="20"/>
          <w:szCs w:val="20"/>
        </w:rPr>
        <w:t>tances, there can be significant variability in safety and/or efficacy results between different trials of the same product candidate due to numerous factors, including changes in trial protocols, differences in size and type of the patient populations, va</w:t>
      </w:r>
      <w:r>
        <w:rPr>
          <w:sz w:val="20"/>
          <w:szCs w:val="20"/>
        </w:rPr>
        <w:t xml:space="preserve">rying levels of adherence to the dosing regimen and other trial protocols and the rate of dropout among clinical trial participants. Clinical </w:t>
      </w:r>
    </w:p>
    <w:p w14:paraId="6DB69B3D" w14:textId="77777777" w:rsidR="00000000" w:rsidRDefault="001F1B20">
      <w:pPr>
        <w:pStyle w:val="a3"/>
        <w:spacing w:before="360" w:beforeAutospacing="0" w:after="0" w:afterAutospacing="0"/>
        <w:jc w:val="center"/>
        <w:divId w:val="1999848510"/>
        <w:rPr>
          <w:sz w:val="20"/>
          <w:szCs w:val="20"/>
        </w:rPr>
      </w:pPr>
      <w:r>
        <w:rPr>
          <w:sz w:val="20"/>
          <w:szCs w:val="20"/>
        </w:rPr>
        <w:t>48</w:t>
      </w:r>
    </w:p>
    <w:p w14:paraId="116E5DA3" w14:textId="77777777" w:rsidR="00000000" w:rsidRDefault="001F1B20">
      <w:pPr>
        <w:pStyle w:val="a3"/>
        <w:spacing w:before="0" w:beforeAutospacing="0" w:after="600" w:afterAutospacing="0"/>
        <w:divId w:val="140002154"/>
        <w:rPr>
          <w:sz w:val="20"/>
          <w:szCs w:val="20"/>
        </w:rPr>
      </w:pPr>
      <w:hyperlink w:anchor="TOC" w:history="1">
        <w:r>
          <w:rPr>
            <w:rStyle w:val="a4"/>
            <w:sz w:val="20"/>
            <w:szCs w:val="20"/>
          </w:rPr>
          <w:t>Table of Contents</w:t>
        </w:r>
      </w:hyperlink>
    </w:p>
    <w:p w14:paraId="520AEE09" w14:textId="77777777" w:rsidR="00000000" w:rsidRDefault="001F1B20">
      <w:pPr>
        <w:pStyle w:val="a3"/>
        <w:spacing w:before="0" w:beforeAutospacing="0" w:after="200" w:afterAutospacing="0"/>
        <w:divId w:val="1048141883"/>
        <w:rPr>
          <w:sz w:val="20"/>
          <w:szCs w:val="20"/>
        </w:rPr>
      </w:pPr>
      <w:r>
        <w:rPr>
          <w:sz w:val="20"/>
          <w:szCs w:val="20"/>
        </w:rPr>
        <w:t>and non-clinical studies of product candidates often reveal that i</w:t>
      </w:r>
      <w:r>
        <w:rPr>
          <w:sz w:val="20"/>
          <w:szCs w:val="20"/>
        </w:rPr>
        <w:t xml:space="preserve">t is not possible or practical to continue development efforts for these product candidates. In addition, the design of a clinical trial can determine whether its results will support regulatory approval and flaws in the design of a clinical trial may not </w:t>
      </w:r>
      <w:r>
        <w:rPr>
          <w:sz w:val="20"/>
          <w:szCs w:val="20"/>
        </w:rPr>
        <w:t>become apparent until the clinical trial is well underway or completed. As our clinical studies for two of our current product candidates suggested that our product candidates were not efficacious in the indications we were investigating, we choose to ceas</w:t>
      </w:r>
      <w:r>
        <w:rPr>
          <w:sz w:val="20"/>
          <w:szCs w:val="20"/>
        </w:rPr>
        <w:t>e development of these product candidates and are currently winding down our development programs for these product candidates. In addition, our product candidates may have undesirable side effects or other unexpected characteristics that could cause us or</w:t>
      </w:r>
      <w:r>
        <w:rPr>
          <w:sz w:val="20"/>
          <w:szCs w:val="20"/>
        </w:rPr>
        <w:t xml:space="preserve"> regulatory authorities to interrupt, delay or halt clinical trials and could result in a more restricted label or the delay or denial of regulatory approval by regulatory authorities.</w:t>
      </w:r>
    </w:p>
    <w:p w14:paraId="085AB57A" w14:textId="77777777" w:rsidR="00000000" w:rsidRDefault="001F1B20">
      <w:pPr>
        <w:pStyle w:val="a3"/>
        <w:spacing w:before="0" w:beforeAutospacing="0" w:after="120" w:afterAutospacing="0"/>
        <w:divId w:val="1048141883"/>
        <w:rPr>
          <w:sz w:val="20"/>
          <w:szCs w:val="20"/>
        </w:rPr>
      </w:pPr>
      <w:r>
        <w:rPr>
          <w:b/>
          <w:bCs/>
          <w:i/>
          <w:iCs/>
          <w:sz w:val="20"/>
          <w:szCs w:val="20"/>
        </w:rPr>
        <w:t xml:space="preserve">We face substantial competition from companies with more resources and </w:t>
      </w:r>
      <w:r>
        <w:rPr>
          <w:b/>
          <w:bCs/>
          <w:i/>
          <w:iCs/>
          <w:sz w:val="20"/>
          <w:szCs w:val="20"/>
        </w:rPr>
        <w:t>experience than we have, which may result in others discovering, developing, receiving approval for or commercializing products before or more successfully than we do.</w:t>
      </w:r>
    </w:p>
    <w:p w14:paraId="1AF0B382" w14:textId="77777777" w:rsidR="00000000" w:rsidRDefault="001F1B20">
      <w:pPr>
        <w:pStyle w:val="a3"/>
        <w:spacing w:before="0" w:beforeAutospacing="0" w:after="200" w:afterAutospacing="0"/>
        <w:ind w:firstLine="720"/>
        <w:divId w:val="1048141883"/>
        <w:rPr>
          <w:sz w:val="20"/>
          <w:szCs w:val="20"/>
        </w:rPr>
      </w:pPr>
      <w:r>
        <w:rPr>
          <w:sz w:val="20"/>
          <w:szCs w:val="20"/>
        </w:rPr>
        <w:t xml:space="preserve">Our ability to succeed in the future depends on our ability to demonstrate and maintain </w:t>
      </w:r>
      <w:r>
        <w:rPr>
          <w:sz w:val="20"/>
          <w:szCs w:val="20"/>
        </w:rPr>
        <w:t>a competitive advantage with respect to our approach to the discovery, development and commercialization of medicines. Our objective is to discover, develop and commercialize new small molecule medicines with superior efficacy, convenience, tolerability an</w:t>
      </w:r>
      <w:r>
        <w:rPr>
          <w:sz w:val="20"/>
          <w:szCs w:val="20"/>
        </w:rPr>
        <w:t>d/or safety using our proprietary insight in chemistry, biology and multivalency, where applicable. We expect that any medicines that we commercialize with or without our collaborative partners will compete with existing or future market-leading medicines.</w:t>
      </w:r>
    </w:p>
    <w:p w14:paraId="1F233FD2" w14:textId="77777777" w:rsidR="00000000" w:rsidRDefault="001F1B20">
      <w:pPr>
        <w:pStyle w:val="a3"/>
        <w:spacing w:before="0" w:beforeAutospacing="0" w:after="200" w:afterAutospacing="0"/>
        <w:ind w:firstLine="720"/>
        <w:divId w:val="1048141883"/>
        <w:rPr>
          <w:sz w:val="20"/>
          <w:szCs w:val="20"/>
        </w:rPr>
      </w:pPr>
      <w:r>
        <w:rPr>
          <w:sz w:val="20"/>
          <w:szCs w:val="20"/>
        </w:rPr>
        <w:t>Many of our current and potential competitors have substantially greater financial, technical and personnel resources than we have. In addition, many of these competitors have significantly greater commercial infrastructures than we have. Our ability to c</w:t>
      </w:r>
      <w:r>
        <w:rPr>
          <w:sz w:val="20"/>
          <w:szCs w:val="20"/>
        </w:rPr>
        <w:t>ompete successfully will depend largely on our ability to leverage our experience in drug discovery and development, and, more recently, commercialization,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6002578" w14:textId="77777777">
        <w:trPr>
          <w:divId w:val="1048141883"/>
        </w:trPr>
        <w:tc>
          <w:tcPr>
            <w:tcW w:w="720" w:type="dxa"/>
            <w:vAlign w:val="center"/>
            <w:hideMark/>
          </w:tcPr>
          <w:p w14:paraId="26541A9B" w14:textId="77777777" w:rsidR="00000000" w:rsidRDefault="001F1B20">
            <w:pPr>
              <w:rPr>
                <w:sz w:val="20"/>
                <w:szCs w:val="20"/>
              </w:rPr>
            </w:pPr>
          </w:p>
        </w:tc>
        <w:tc>
          <w:tcPr>
            <w:tcW w:w="360" w:type="dxa"/>
            <w:noWrap/>
            <w:tcMar>
              <w:top w:w="0" w:type="dxa"/>
              <w:left w:w="0" w:type="dxa"/>
              <w:bottom w:w="0" w:type="dxa"/>
              <w:right w:w="0" w:type="dxa"/>
            </w:tcMar>
            <w:hideMark/>
          </w:tcPr>
          <w:p w14:paraId="038D7272"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46C337D" w14:textId="77777777" w:rsidR="00000000" w:rsidRDefault="001F1B20">
            <w:pPr>
              <w:spacing w:after="200"/>
              <w:rPr>
                <w:rFonts w:eastAsia="Times New Roman"/>
                <w:sz w:val="20"/>
                <w:szCs w:val="20"/>
              </w:rPr>
            </w:pPr>
            <w:r>
              <w:rPr>
                <w:rFonts w:eastAsia="Times New Roman"/>
                <w:sz w:val="20"/>
                <w:szCs w:val="20"/>
              </w:rPr>
              <w:t>discover and develop medicines that are superior to other products in the market;</w:t>
            </w:r>
          </w:p>
        </w:tc>
      </w:tr>
    </w:tbl>
    <w:p w14:paraId="6EAA2503" w14:textId="77777777" w:rsidR="00000000" w:rsidRDefault="001F1B20">
      <w:pPr>
        <w:divId w:val="10481418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CD741BF" w14:textId="77777777">
        <w:trPr>
          <w:divId w:val="1048141883"/>
        </w:trPr>
        <w:tc>
          <w:tcPr>
            <w:tcW w:w="720" w:type="dxa"/>
            <w:vAlign w:val="center"/>
            <w:hideMark/>
          </w:tcPr>
          <w:p w14:paraId="105ADBAE" w14:textId="77777777" w:rsidR="00000000" w:rsidRDefault="001F1B20">
            <w:pPr>
              <w:rPr>
                <w:rFonts w:eastAsia="Times New Roman"/>
              </w:rPr>
            </w:pPr>
          </w:p>
        </w:tc>
        <w:tc>
          <w:tcPr>
            <w:tcW w:w="360" w:type="dxa"/>
            <w:noWrap/>
            <w:tcMar>
              <w:top w:w="0" w:type="dxa"/>
              <w:left w:w="0" w:type="dxa"/>
              <w:bottom w:w="0" w:type="dxa"/>
              <w:right w:w="0" w:type="dxa"/>
            </w:tcMar>
            <w:hideMark/>
          </w:tcPr>
          <w:p w14:paraId="08AA51CB"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9109957" w14:textId="77777777" w:rsidR="00000000" w:rsidRDefault="001F1B20">
            <w:pPr>
              <w:spacing w:after="200"/>
              <w:rPr>
                <w:rFonts w:eastAsia="Times New Roman"/>
                <w:sz w:val="20"/>
                <w:szCs w:val="20"/>
              </w:rPr>
            </w:pPr>
            <w:r>
              <w:rPr>
                <w:rFonts w:eastAsia="Times New Roman"/>
                <w:sz w:val="20"/>
                <w:szCs w:val="20"/>
              </w:rPr>
              <w:t>attract and retain qualified personnel;</w:t>
            </w:r>
          </w:p>
        </w:tc>
      </w:tr>
    </w:tbl>
    <w:p w14:paraId="49021D7E" w14:textId="77777777" w:rsidR="00000000" w:rsidRDefault="001F1B20">
      <w:pPr>
        <w:divId w:val="10481418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9312495" w14:textId="77777777">
        <w:trPr>
          <w:divId w:val="1048141883"/>
        </w:trPr>
        <w:tc>
          <w:tcPr>
            <w:tcW w:w="720" w:type="dxa"/>
            <w:vAlign w:val="center"/>
            <w:hideMark/>
          </w:tcPr>
          <w:p w14:paraId="71325432" w14:textId="77777777" w:rsidR="00000000" w:rsidRDefault="001F1B20">
            <w:pPr>
              <w:rPr>
                <w:rFonts w:eastAsia="Times New Roman"/>
              </w:rPr>
            </w:pPr>
          </w:p>
        </w:tc>
        <w:tc>
          <w:tcPr>
            <w:tcW w:w="360" w:type="dxa"/>
            <w:noWrap/>
            <w:tcMar>
              <w:top w:w="0" w:type="dxa"/>
              <w:left w:w="0" w:type="dxa"/>
              <w:bottom w:w="0" w:type="dxa"/>
              <w:right w:w="0" w:type="dxa"/>
            </w:tcMar>
            <w:hideMark/>
          </w:tcPr>
          <w:p w14:paraId="32D4F1CF"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E4D5E8D" w14:textId="77777777" w:rsidR="00000000" w:rsidRDefault="001F1B20">
            <w:pPr>
              <w:spacing w:after="200"/>
              <w:rPr>
                <w:rFonts w:eastAsia="Times New Roman"/>
                <w:sz w:val="20"/>
                <w:szCs w:val="20"/>
              </w:rPr>
            </w:pPr>
            <w:r>
              <w:rPr>
                <w:rFonts w:eastAsia="Times New Roman"/>
                <w:sz w:val="20"/>
                <w:szCs w:val="20"/>
              </w:rPr>
              <w:t>obtain and enforce patent and/or other proprietary protection for our medicines and technologies;</w:t>
            </w:r>
          </w:p>
        </w:tc>
      </w:tr>
    </w:tbl>
    <w:p w14:paraId="1D554E69" w14:textId="77777777" w:rsidR="00000000" w:rsidRDefault="001F1B20">
      <w:pPr>
        <w:divId w:val="10481418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7C8794B" w14:textId="77777777">
        <w:trPr>
          <w:divId w:val="1048141883"/>
        </w:trPr>
        <w:tc>
          <w:tcPr>
            <w:tcW w:w="720" w:type="dxa"/>
            <w:vAlign w:val="center"/>
            <w:hideMark/>
          </w:tcPr>
          <w:p w14:paraId="6CADC34C" w14:textId="77777777" w:rsidR="00000000" w:rsidRDefault="001F1B20">
            <w:pPr>
              <w:rPr>
                <w:rFonts w:eastAsia="Times New Roman"/>
              </w:rPr>
            </w:pPr>
          </w:p>
        </w:tc>
        <w:tc>
          <w:tcPr>
            <w:tcW w:w="360" w:type="dxa"/>
            <w:noWrap/>
            <w:tcMar>
              <w:top w:w="0" w:type="dxa"/>
              <w:left w:w="0" w:type="dxa"/>
              <w:bottom w:w="0" w:type="dxa"/>
              <w:right w:w="0" w:type="dxa"/>
            </w:tcMar>
            <w:hideMark/>
          </w:tcPr>
          <w:p w14:paraId="612A1A71"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745472E" w14:textId="77777777" w:rsidR="00000000" w:rsidRDefault="001F1B20">
            <w:pPr>
              <w:spacing w:after="200"/>
              <w:rPr>
                <w:rFonts w:eastAsia="Times New Roman"/>
                <w:sz w:val="20"/>
                <w:szCs w:val="20"/>
              </w:rPr>
            </w:pPr>
            <w:r>
              <w:rPr>
                <w:rFonts w:eastAsia="Times New Roman"/>
                <w:sz w:val="20"/>
                <w:szCs w:val="20"/>
              </w:rPr>
              <w:t>conduct effective clinical trials and obtain required regulatory approvals;</w:t>
            </w:r>
          </w:p>
        </w:tc>
      </w:tr>
    </w:tbl>
    <w:p w14:paraId="50E1F3F5" w14:textId="77777777" w:rsidR="00000000" w:rsidRDefault="001F1B20">
      <w:pPr>
        <w:divId w:val="10481418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32E21FD" w14:textId="77777777">
        <w:trPr>
          <w:divId w:val="1048141883"/>
        </w:trPr>
        <w:tc>
          <w:tcPr>
            <w:tcW w:w="720" w:type="dxa"/>
            <w:vAlign w:val="center"/>
            <w:hideMark/>
          </w:tcPr>
          <w:p w14:paraId="0758E350" w14:textId="77777777" w:rsidR="00000000" w:rsidRDefault="001F1B20">
            <w:pPr>
              <w:rPr>
                <w:rFonts w:eastAsia="Times New Roman"/>
              </w:rPr>
            </w:pPr>
          </w:p>
        </w:tc>
        <w:tc>
          <w:tcPr>
            <w:tcW w:w="360" w:type="dxa"/>
            <w:noWrap/>
            <w:tcMar>
              <w:top w:w="0" w:type="dxa"/>
              <w:left w:w="0" w:type="dxa"/>
              <w:bottom w:w="0" w:type="dxa"/>
              <w:right w:w="0" w:type="dxa"/>
            </w:tcMar>
            <w:hideMark/>
          </w:tcPr>
          <w:p w14:paraId="7815175A"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C2DC6BD" w14:textId="77777777" w:rsidR="00000000" w:rsidRDefault="001F1B20">
            <w:pPr>
              <w:spacing w:after="200"/>
              <w:rPr>
                <w:rFonts w:eastAsia="Times New Roman"/>
                <w:sz w:val="20"/>
                <w:szCs w:val="20"/>
              </w:rPr>
            </w:pPr>
            <w:r>
              <w:rPr>
                <w:rFonts w:eastAsia="Times New Roman"/>
                <w:sz w:val="20"/>
                <w:szCs w:val="20"/>
              </w:rPr>
              <w:t>develop and effectively imp</w:t>
            </w:r>
            <w:r>
              <w:rPr>
                <w:rFonts w:eastAsia="Times New Roman"/>
                <w:sz w:val="20"/>
                <w:szCs w:val="20"/>
              </w:rPr>
              <w:t>lement commercialization strategies, with or without collaborative partners; and</w:t>
            </w:r>
          </w:p>
        </w:tc>
      </w:tr>
    </w:tbl>
    <w:p w14:paraId="7BDAE53C" w14:textId="77777777" w:rsidR="00000000" w:rsidRDefault="001F1B20">
      <w:pPr>
        <w:divId w:val="104814188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3B90A0A" w14:textId="77777777">
        <w:trPr>
          <w:divId w:val="1048141883"/>
        </w:trPr>
        <w:tc>
          <w:tcPr>
            <w:tcW w:w="720" w:type="dxa"/>
            <w:vAlign w:val="center"/>
            <w:hideMark/>
          </w:tcPr>
          <w:p w14:paraId="17993871" w14:textId="77777777" w:rsidR="00000000" w:rsidRDefault="001F1B20">
            <w:pPr>
              <w:rPr>
                <w:rFonts w:eastAsia="Times New Roman"/>
              </w:rPr>
            </w:pPr>
          </w:p>
        </w:tc>
        <w:tc>
          <w:tcPr>
            <w:tcW w:w="360" w:type="dxa"/>
            <w:noWrap/>
            <w:tcMar>
              <w:top w:w="0" w:type="dxa"/>
              <w:left w:w="0" w:type="dxa"/>
              <w:bottom w:w="0" w:type="dxa"/>
              <w:right w:w="0" w:type="dxa"/>
            </w:tcMar>
            <w:hideMark/>
          </w:tcPr>
          <w:p w14:paraId="6C171473"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C7871F8" w14:textId="77777777" w:rsidR="00000000" w:rsidRDefault="001F1B20">
            <w:pPr>
              <w:rPr>
                <w:rFonts w:eastAsia="Times New Roman"/>
                <w:sz w:val="20"/>
                <w:szCs w:val="20"/>
              </w:rPr>
            </w:pPr>
            <w:r>
              <w:rPr>
                <w:rFonts w:eastAsia="Times New Roman"/>
                <w:sz w:val="20"/>
                <w:szCs w:val="20"/>
              </w:rPr>
              <w:t>successfully collaborate with pharmaceutical companies in the discovery, development and commercialization of new medicines.</w:t>
            </w:r>
          </w:p>
        </w:tc>
      </w:tr>
    </w:tbl>
    <w:p w14:paraId="2CC2FE65" w14:textId="77777777" w:rsidR="00000000" w:rsidRDefault="001F1B20">
      <w:pPr>
        <w:pStyle w:val="a3"/>
        <w:spacing w:before="0" w:beforeAutospacing="0" w:after="200" w:afterAutospacing="0"/>
        <w:ind w:firstLine="720"/>
        <w:divId w:val="1048141883"/>
        <w:rPr>
          <w:sz w:val="20"/>
          <w:szCs w:val="20"/>
        </w:rPr>
      </w:pPr>
      <w:r>
        <w:rPr>
          <w:sz w:val="20"/>
          <w:szCs w:val="20"/>
        </w:rPr>
        <w:t>Pharmaceutical companies, including companies with which we collaborate, may invest heavily to quickly discover and develop or in-license novel compounds that could make our product candidates obsolete. Accordingly, our competitors may succeed in obtaining</w:t>
      </w:r>
      <w:r>
        <w:rPr>
          <w:sz w:val="20"/>
          <w:szCs w:val="20"/>
        </w:rPr>
        <w:t xml:space="preserve"> patent protection, receiving FDA or equivalent regulatory approval outside the US or discovering, developing and commercializing medicines before we do. Other companies are engaged in the discovery of medicines that would compete with the product candidat</w:t>
      </w:r>
      <w:r>
        <w:rPr>
          <w:sz w:val="20"/>
          <w:szCs w:val="20"/>
        </w:rPr>
        <w:t>es that we are developing.</w:t>
      </w:r>
    </w:p>
    <w:p w14:paraId="4FA63D96" w14:textId="77777777" w:rsidR="00000000" w:rsidRDefault="001F1B20">
      <w:pPr>
        <w:pStyle w:val="a3"/>
        <w:spacing w:before="0" w:beforeAutospacing="0" w:after="200" w:afterAutospacing="0"/>
        <w:ind w:firstLine="720"/>
        <w:divId w:val="1048141883"/>
        <w:rPr>
          <w:sz w:val="20"/>
          <w:szCs w:val="20"/>
        </w:rPr>
      </w:pPr>
      <w:r>
        <w:rPr>
          <w:sz w:val="20"/>
          <w:szCs w:val="20"/>
        </w:rPr>
        <w:t>Any new medicine that competes with a generic or proprietary market leading medicine must demonstrate compelling advantages in efficacy, convenience, tolerability and/or safety in order to overcome severe price competition and be</w:t>
      </w:r>
      <w:r>
        <w:rPr>
          <w:sz w:val="20"/>
          <w:szCs w:val="20"/>
        </w:rPr>
        <w:t xml:space="preserve"> commercially successful. For example,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bronchodilators that are dosed three to four times per day. If we are n</w:t>
      </w:r>
      <w:r>
        <w:rPr>
          <w:sz w:val="20"/>
          <w:szCs w:val="20"/>
        </w:rPr>
        <w:t>ot able to compete effectively against our current and future competitors, our business will not grow, our financial condition and operations will suffer and the price of our securities could fall.</w:t>
      </w:r>
    </w:p>
    <w:p w14:paraId="3795759D" w14:textId="77777777" w:rsidR="00000000" w:rsidRDefault="001F1B20">
      <w:pPr>
        <w:pStyle w:val="a3"/>
        <w:spacing w:before="360" w:beforeAutospacing="0" w:after="0" w:afterAutospacing="0"/>
        <w:jc w:val="center"/>
        <w:divId w:val="1225994782"/>
        <w:rPr>
          <w:sz w:val="20"/>
          <w:szCs w:val="20"/>
        </w:rPr>
      </w:pPr>
      <w:r>
        <w:rPr>
          <w:sz w:val="20"/>
          <w:szCs w:val="20"/>
        </w:rPr>
        <w:t>49</w:t>
      </w:r>
    </w:p>
    <w:p w14:paraId="7BCDE4DE" w14:textId="77777777" w:rsidR="00000000" w:rsidRDefault="001F1B20">
      <w:pPr>
        <w:pStyle w:val="a3"/>
        <w:spacing w:before="0" w:beforeAutospacing="0" w:after="600" w:afterAutospacing="0"/>
        <w:divId w:val="1177305008"/>
        <w:rPr>
          <w:sz w:val="20"/>
          <w:szCs w:val="20"/>
        </w:rPr>
      </w:pPr>
      <w:hyperlink w:anchor="TOC" w:history="1">
        <w:r>
          <w:rPr>
            <w:rStyle w:val="a4"/>
            <w:sz w:val="20"/>
            <w:szCs w:val="20"/>
          </w:rPr>
          <w:t>Table of Contents</w:t>
        </w:r>
      </w:hyperlink>
    </w:p>
    <w:p w14:paraId="24D21AE0" w14:textId="77777777" w:rsidR="00000000" w:rsidRDefault="001F1B20">
      <w:pPr>
        <w:pStyle w:val="a3"/>
        <w:spacing w:before="0" w:beforeAutospacing="0" w:after="120" w:afterAutospacing="0"/>
        <w:divId w:val="1815827297"/>
        <w:rPr>
          <w:sz w:val="20"/>
          <w:szCs w:val="20"/>
        </w:rPr>
      </w:pPr>
      <w:r>
        <w:rPr>
          <w:b/>
          <w:bCs/>
          <w:i/>
          <w:iCs/>
          <w:sz w:val="20"/>
          <w:szCs w:val="20"/>
        </w:rPr>
        <w:t>If we are u</w:t>
      </w:r>
      <w:r>
        <w:rPr>
          <w:b/>
          <w:bCs/>
          <w:i/>
          <w:iCs/>
          <w:sz w:val="20"/>
          <w:szCs w:val="20"/>
        </w:rPr>
        <w:t>nable to enter into future collaboration arrangements or if any such collaborations with third parties are unsuccessful, we will be unable to fully develop and commercialize all of our product candidates and our business will be adversely affected.</w:t>
      </w:r>
    </w:p>
    <w:p w14:paraId="2B5DD187" w14:textId="77777777" w:rsidR="00000000" w:rsidRDefault="001F1B20">
      <w:pPr>
        <w:pStyle w:val="a3"/>
        <w:spacing w:before="0" w:beforeAutospacing="0" w:after="200" w:afterAutospacing="0"/>
        <w:ind w:firstLine="720"/>
        <w:divId w:val="1815827297"/>
        <w:rPr>
          <w:sz w:val="20"/>
          <w:szCs w:val="20"/>
        </w:rPr>
      </w:pPr>
      <w:r>
        <w:rPr>
          <w:sz w:val="20"/>
          <w:szCs w:val="20"/>
        </w:rPr>
        <w:t>We have</w:t>
      </w:r>
      <w:r>
        <w:rPr>
          <w:sz w:val="20"/>
          <w:szCs w:val="20"/>
        </w:rPr>
        <w:t xml:space="preserve"> collaborations with a number of third parties including Janssen for izencitinib and related back-up compounds for inflammatory intestinal diseases, including ulcerative colitis and Crohn’s disease and Viatris for the development and commercialization of a</w:t>
      </w:r>
      <w:r>
        <w:rPr>
          <w:sz w:val="20"/>
          <w:szCs w:val="20"/>
        </w:rPr>
        <w:t xml:space="preserve"> nebulized formulation of revefenacin, our LAMA compound (including YUPELRI). Also, through our interest in TRC we may participate economically in Innoviva’s collaborations with GSK with respect to the GSK-Partnered Respiratory Programs. Additional collabo</w:t>
      </w:r>
      <w:r>
        <w:rPr>
          <w:sz w:val="20"/>
          <w:szCs w:val="20"/>
        </w:rPr>
        <w:t>rations will likely be needed to fund later-stage development of certain programs that have not been licensed to a collaborator and to commercialize the product candidates in our programs if approved by the necessary regulatory authorities. We evaluate com</w:t>
      </w:r>
      <w:r>
        <w:rPr>
          <w:sz w:val="20"/>
          <w:szCs w:val="20"/>
        </w:rPr>
        <w:t>mercial strategy on a product by product basis either to engage pharmaceutical or other healthcare companies with an existing sales and marketing organization and distribution system to market, sell and distribute our products or to commercialize a product</w:t>
      </w:r>
      <w:r>
        <w:rPr>
          <w:sz w:val="20"/>
          <w:szCs w:val="20"/>
        </w:rPr>
        <w:t xml:space="preserve"> ourselves. However, we may not be able to establish these sales and distribution relationships on acceptable terms, or at all, or may encounter difficulties in commercializing a product ourselves. For any of our product candidates that receive regulatory </w:t>
      </w:r>
      <w:r>
        <w:rPr>
          <w:sz w:val="20"/>
          <w:szCs w:val="20"/>
        </w:rPr>
        <w:t>approval in the future and are not covered by our current collaboration agreements, we will need a partner in order to commercialize such products unless we establish independent sales, marketing and distribution capabilities with appropriate technical exp</w:t>
      </w:r>
      <w:r>
        <w:rPr>
          <w:sz w:val="20"/>
          <w:szCs w:val="20"/>
        </w:rPr>
        <w:t>ertise and supporting infrastructure.</w:t>
      </w:r>
    </w:p>
    <w:p w14:paraId="493BECD4" w14:textId="77777777" w:rsidR="00000000" w:rsidRDefault="001F1B20">
      <w:pPr>
        <w:pStyle w:val="a3"/>
        <w:spacing w:before="0" w:beforeAutospacing="0" w:after="200" w:afterAutospacing="0"/>
        <w:ind w:firstLine="720"/>
        <w:divId w:val="1815827297"/>
        <w:rPr>
          <w:sz w:val="20"/>
          <w:szCs w:val="20"/>
        </w:rPr>
      </w:pPr>
      <w:r>
        <w:rPr>
          <w:sz w:val="20"/>
          <w:szCs w:val="20"/>
        </w:rPr>
        <w:t>Collaborations with third parties regarding our programs may require us to relinquish material rights, including revenue from commercialization of our medicines, or to assume material ongoing development obligations th</w:t>
      </w:r>
      <w:r>
        <w:rPr>
          <w:sz w:val="20"/>
          <w:szCs w:val="20"/>
        </w:rPr>
        <w:t xml:space="preserve">at we would have to fund. These collaboration arrangements are complex and time-consuming to negotiate, and if we are unable to reach agreements with third-party collaborators, we may fail to meet our business objectives and our financial condition may be </w:t>
      </w:r>
      <w:r>
        <w:rPr>
          <w:sz w:val="20"/>
          <w:szCs w:val="20"/>
        </w:rPr>
        <w:t>adversely affected. We face significant competition in seeking third-party collaborators. We may be unable to find third parties to pursue product collaborations on a timely basis or on acceptable terms. Furthermore, for any collaboration, we may not be ab</w:t>
      </w:r>
      <w:r>
        <w:rPr>
          <w:sz w:val="20"/>
          <w:szCs w:val="20"/>
        </w:rPr>
        <w:t>le to control the amount of time and resources that our partners devote to our product candidates and our partners may choose to prioritize alternative programs or otherwise be unsuccessful in their efforts with respect to our products or product candidate</w:t>
      </w:r>
      <w:r>
        <w:rPr>
          <w:sz w:val="20"/>
          <w:szCs w:val="20"/>
        </w:rPr>
        <w:t>s. In addition, effective collaboration with a partner requires coordination to achieve complex and detail-intensive goals between entities that potentially have different priorities, capabilities and processes and successful navigation of the challenges s</w:t>
      </w:r>
      <w:r>
        <w:rPr>
          <w:sz w:val="20"/>
          <w:szCs w:val="20"/>
        </w:rPr>
        <w:t>uch coordination entails. For example, Viatris has a substantial existing product portfolio and other considerations that influence its resource allocation, and other priorities and internal organizational processes that differ from our own. As a result of</w:t>
      </w:r>
      <w:r>
        <w:rPr>
          <w:sz w:val="20"/>
          <w:szCs w:val="20"/>
        </w:rPr>
        <w:t xml:space="preserve"> these differing interests and processes, Viatris may take actions that it believes are in its best interest but which might not be in the best interests of either us or our other shareholders. Our inability to successfully collaborate with third parties w</w:t>
      </w:r>
      <w:r>
        <w:rPr>
          <w:sz w:val="20"/>
          <w:szCs w:val="20"/>
        </w:rPr>
        <w:t>ould increase our development costs and may cause us to choose not to continue development of certain product candidates, would limit the likelihood of successful commercialization of some of our product candidates, may cause us not to continue commerciali</w:t>
      </w:r>
      <w:r>
        <w:rPr>
          <w:sz w:val="20"/>
          <w:szCs w:val="20"/>
        </w:rPr>
        <w:t>zation of our authorized products and could cause the price of our securities to fall.</w:t>
      </w:r>
    </w:p>
    <w:p w14:paraId="1AF9511E" w14:textId="77777777" w:rsidR="00000000" w:rsidRDefault="001F1B20">
      <w:pPr>
        <w:pStyle w:val="a3"/>
        <w:spacing w:before="0" w:beforeAutospacing="0" w:after="120" w:afterAutospacing="0"/>
        <w:divId w:val="1815827297"/>
        <w:rPr>
          <w:sz w:val="20"/>
          <w:szCs w:val="20"/>
        </w:rPr>
      </w:pPr>
      <w:r>
        <w:rPr>
          <w:b/>
          <w:bCs/>
          <w:i/>
          <w:iCs/>
          <w:sz w:val="20"/>
          <w:szCs w:val="20"/>
        </w:rPr>
        <w:t>We depend on third parties in the conduct of our non-clinical and clinical studies for our product candidates.</w:t>
      </w:r>
    </w:p>
    <w:p w14:paraId="69A9A60A" w14:textId="77777777" w:rsidR="00000000" w:rsidRDefault="001F1B20">
      <w:pPr>
        <w:pStyle w:val="a3"/>
        <w:spacing w:before="0" w:beforeAutospacing="0" w:after="200" w:afterAutospacing="0"/>
        <w:ind w:firstLine="720"/>
        <w:divId w:val="1815827297"/>
        <w:rPr>
          <w:sz w:val="20"/>
          <w:szCs w:val="20"/>
        </w:rPr>
      </w:pPr>
      <w:r>
        <w:rPr>
          <w:sz w:val="20"/>
          <w:szCs w:val="20"/>
        </w:rPr>
        <w:t xml:space="preserve">We depend on independent clinical investigators, contract </w:t>
      </w:r>
      <w:r>
        <w:rPr>
          <w:sz w:val="20"/>
          <w:szCs w:val="20"/>
        </w:rPr>
        <w:t>research and manufacturing organizations and other third-party service providers in the conduct of our non-clinical and clinical studies for our product candidates. We rely heavily on these parties for execution of our non-clinical and clinical studies, an</w:t>
      </w:r>
      <w:r>
        <w:rPr>
          <w:sz w:val="20"/>
          <w:szCs w:val="20"/>
        </w:rPr>
        <w:t>d control only certain aspects of their activities. Nevertheless, we are responsible for ensuring that our clinical studies are conducted in accordance with good clinical, laboratory and manufacturing practices (“GXPs”) and other regulations as required by</w:t>
      </w:r>
      <w:r>
        <w:rPr>
          <w:sz w:val="20"/>
          <w:szCs w:val="20"/>
        </w:rPr>
        <w:t xml:space="preserve"> the FDA and foreign regulatory authorities, and the applicable protocol. Failure by these parties to comply with applicable regulations and practices in conducting studies of our product candidates can result in a delay in our development programs or non-</w:t>
      </w:r>
      <w:r>
        <w:rPr>
          <w:sz w:val="20"/>
          <w:szCs w:val="20"/>
        </w:rPr>
        <w:t>approval of our product candidates by regulatory authorities. Furthermore, to the extent the operations of these third parties are disrupted as result of the COVID-19 pandemic or otherwise, our development programs could be delayed.</w:t>
      </w:r>
    </w:p>
    <w:p w14:paraId="2C53CC0A" w14:textId="77777777" w:rsidR="00000000" w:rsidRDefault="001F1B20">
      <w:pPr>
        <w:pStyle w:val="a3"/>
        <w:spacing w:before="0" w:beforeAutospacing="0" w:after="0" w:afterAutospacing="0"/>
        <w:ind w:firstLine="720"/>
        <w:divId w:val="1815827297"/>
        <w:rPr>
          <w:sz w:val="20"/>
          <w:szCs w:val="20"/>
        </w:rPr>
      </w:pPr>
      <w:r>
        <w:rPr>
          <w:sz w:val="20"/>
          <w:szCs w:val="20"/>
        </w:rPr>
        <w:t>The FDA, and equivalent</w:t>
      </w:r>
      <w:r>
        <w:rPr>
          <w:sz w:val="20"/>
          <w:szCs w:val="20"/>
        </w:rPr>
        <w:t xml:space="preserve"> authorities in third countries, enforces GXPs and other regulations through periodic inspections of trial sponsors, clinical research organizations (“CROs”), principal investigators and trial sites. If we or any of the third parties on which we have relie</w:t>
      </w:r>
      <w:r>
        <w:rPr>
          <w:sz w:val="20"/>
          <w:szCs w:val="20"/>
        </w:rPr>
        <w:t>d to conduct our clinical studies are determined to have failed to comply with GXPs (or other equivalent regulations outside the US), the study protocol or applicable regulations, the clinical data generated in our studies may be deemed unreliable. This co</w:t>
      </w:r>
      <w:r>
        <w:rPr>
          <w:sz w:val="20"/>
          <w:szCs w:val="20"/>
        </w:rPr>
        <w:t xml:space="preserve">uld result in non-approval of our product candidates by the FDA, or equivalent authorities in other countries, or we, the FDA, or equivalent authorities in other countries may decide to conduct additional </w:t>
      </w:r>
    </w:p>
    <w:p w14:paraId="25C75F85" w14:textId="77777777" w:rsidR="00000000" w:rsidRDefault="001F1B20">
      <w:pPr>
        <w:pStyle w:val="a3"/>
        <w:spacing w:before="360" w:beforeAutospacing="0" w:after="0" w:afterAutospacing="0"/>
        <w:jc w:val="center"/>
        <w:divId w:val="1246381101"/>
        <w:rPr>
          <w:sz w:val="20"/>
          <w:szCs w:val="20"/>
        </w:rPr>
      </w:pPr>
      <w:r>
        <w:rPr>
          <w:sz w:val="20"/>
          <w:szCs w:val="20"/>
        </w:rPr>
        <w:t>50</w:t>
      </w:r>
    </w:p>
    <w:p w14:paraId="6CA83A85" w14:textId="77777777" w:rsidR="00000000" w:rsidRDefault="001F1B20">
      <w:pPr>
        <w:pStyle w:val="a3"/>
        <w:spacing w:before="0" w:beforeAutospacing="0" w:after="600" w:afterAutospacing="0"/>
        <w:divId w:val="1436092758"/>
        <w:rPr>
          <w:sz w:val="20"/>
          <w:szCs w:val="20"/>
        </w:rPr>
      </w:pPr>
      <w:hyperlink w:anchor="TOC" w:history="1">
        <w:r>
          <w:rPr>
            <w:rStyle w:val="a4"/>
            <w:sz w:val="20"/>
            <w:szCs w:val="20"/>
          </w:rPr>
          <w:t>Table of Contents</w:t>
        </w:r>
      </w:hyperlink>
    </w:p>
    <w:p w14:paraId="0CD9EBEB" w14:textId="77777777" w:rsidR="00000000" w:rsidRDefault="001F1B20">
      <w:pPr>
        <w:pStyle w:val="a3"/>
        <w:spacing w:before="0" w:beforeAutospacing="0" w:after="200" w:afterAutospacing="0"/>
        <w:divId w:val="231039270"/>
        <w:rPr>
          <w:sz w:val="20"/>
          <w:szCs w:val="20"/>
        </w:rPr>
      </w:pPr>
      <w:r>
        <w:rPr>
          <w:sz w:val="20"/>
          <w:szCs w:val="20"/>
        </w:rPr>
        <w:t>aud</w:t>
      </w:r>
      <w:r>
        <w:rPr>
          <w:sz w:val="20"/>
          <w:szCs w:val="20"/>
        </w:rPr>
        <w:t>its or require additional clinical studies, which would delay our development programs, could result in significant additional costs and cause the price of our securities to fall.</w:t>
      </w:r>
    </w:p>
    <w:p w14:paraId="1F3C438E" w14:textId="77777777" w:rsidR="00000000" w:rsidRDefault="001F1B20">
      <w:pPr>
        <w:pStyle w:val="a3"/>
        <w:spacing w:before="0" w:beforeAutospacing="0" w:after="120" w:afterAutospacing="0"/>
        <w:divId w:val="231039270"/>
        <w:rPr>
          <w:sz w:val="20"/>
          <w:szCs w:val="20"/>
        </w:rPr>
      </w:pPr>
      <w:r>
        <w:rPr>
          <w:b/>
          <w:bCs/>
          <w:i/>
          <w:iCs/>
          <w:sz w:val="20"/>
          <w:szCs w:val="20"/>
        </w:rPr>
        <w:t>There is a single source of supply for a number of our product candidates an</w:t>
      </w:r>
      <w:r>
        <w:rPr>
          <w:b/>
          <w:bCs/>
          <w:i/>
          <w:iCs/>
          <w:sz w:val="20"/>
          <w:szCs w:val="20"/>
        </w:rPr>
        <w:t>d for YUPELRI, and our business will be harmed if any of these single-source manufacturers are not able to satisfy demand and alternative sources are not available.</w:t>
      </w:r>
    </w:p>
    <w:p w14:paraId="65F8665E" w14:textId="77777777" w:rsidR="00000000" w:rsidRDefault="001F1B20">
      <w:pPr>
        <w:pStyle w:val="a3"/>
        <w:spacing w:before="0" w:beforeAutospacing="0" w:after="120" w:afterAutospacing="0"/>
        <w:divId w:val="231039270"/>
        <w:rPr>
          <w:sz w:val="20"/>
          <w:szCs w:val="20"/>
        </w:rPr>
      </w:pPr>
      <w:r>
        <w:rPr>
          <w:sz w:val="20"/>
          <w:szCs w:val="20"/>
        </w:rPr>
        <w:t>We have limited in-house production capabilities for preclinical and clinical study purpose</w:t>
      </w:r>
      <w:r>
        <w:rPr>
          <w:sz w:val="20"/>
          <w:szCs w:val="20"/>
        </w:rPr>
        <w:t>s and depend primarily on a number of third-party Active Pharmaceutical Ingredient (“API”) and drug product manufacturers. We may not have long-term agreements with these third parties and our agreements with these parties may be terminable at will by eith</w:t>
      </w:r>
      <w:r>
        <w:rPr>
          <w:sz w:val="20"/>
          <w:szCs w:val="20"/>
        </w:rPr>
        <w:t>er party at any time. In addition, there is a single supplier of YUPELRI API and a single supplier of YUPELRI drug product. If, for any reason, any of these third-party manufacturers are unable or unwilling to perform, or if their performance does not meet</w:t>
      </w:r>
      <w:r>
        <w:rPr>
          <w:sz w:val="20"/>
          <w:szCs w:val="20"/>
        </w:rPr>
        <w:t xml:space="preserve"> regulatory requirements, alternative manufacturers may not be available or may not be available on acceptable terms. Any inability to acquire sufficient quantities of API and drug product in a timely manner from these third parties could delay preclinical</w:t>
      </w:r>
      <w:r>
        <w:rPr>
          <w:sz w:val="20"/>
          <w:szCs w:val="20"/>
        </w:rPr>
        <w:t xml:space="preserve"> and clinical studies, prevent us from developing our product candidates in a cost-effective manner or on a timely basis or adversely impact the commercialization of YUPELRI. In addition, manufacturers of our API and drug product are subject to the FDA’s c</w:t>
      </w:r>
      <w:r>
        <w:rPr>
          <w:sz w:val="20"/>
          <w:szCs w:val="20"/>
        </w:rPr>
        <w:t>urrent Good Manufacturing Practice (“cGMP”) regulations and similar foreign standards and we do not have control over compliance with these regulations by our manufacturers.</w:t>
      </w:r>
    </w:p>
    <w:p w14:paraId="057BFE71" w14:textId="77777777" w:rsidR="00000000" w:rsidRDefault="001F1B20">
      <w:pPr>
        <w:pStyle w:val="a3"/>
        <w:spacing w:before="0" w:beforeAutospacing="0" w:after="200" w:afterAutospacing="0"/>
        <w:ind w:firstLine="720"/>
        <w:divId w:val="231039270"/>
        <w:rPr>
          <w:sz w:val="20"/>
          <w:szCs w:val="20"/>
        </w:rPr>
      </w:pPr>
      <w:r>
        <w:rPr>
          <w:sz w:val="20"/>
          <w:szCs w:val="20"/>
        </w:rPr>
        <w:t>Our manufacturing strategy presents the following additional risks: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BA48CF7" w14:textId="77777777">
        <w:trPr>
          <w:divId w:val="231039270"/>
        </w:trPr>
        <w:tc>
          <w:tcPr>
            <w:tcW w:w="720" w:type="dxa"/>
            <w:vAlign w:val="center"/>
            <w:hideMark/>
          </w:tcPr>
          <w:p w14:paraId="00DCE3CF" w14:textId="77777777" w:rsidR="00000000" w:rsidRDefault="001F1B20">
            <w:pPr>
              <w:rPr>
                <w:sz w:val="20"/>
                <w:szCs w:val="20"/>
              </w:rPr>
            </w:pPr>
          </w:p>
        </w:tc>
        <w:tc>
          <w:tcPr>
            <w:tcW w:w="360" w:type="dxa"/>
            <w:noWrap/>
            <w:tcMar>
              <w:top w:w="0" w:type="dxa"/>
              <w:left w:w="0" w:type="dxa"/>
              <w:bottom w:w="0" w:type="dxa"/>
              <w:right w:w="0" w:type="dxa"/>
            </w:tcMar>
            <w:hideMark/>
          </w:tcPr>
          <w:p w14:paraId="351C3CDD"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757BAC3" w14:textId="77777777" w:rsidR="00000000" w:rsidRDefault="001F1B20">
            <w:pPr>
              <w:spacing w:after="200"/>
              <w:rPr>
                <w:rFonts w:eastAsia="Times New Roman"/>
                <w:sz w:val="20"/>
                <w:szCs w:val="20"/>
              </w:rPr>
            </w:pPr>
            <w:r>
              <w:rPr>
                <w:rFonts w:eastAsia="Times New Roman"/>
                <w:sz w:val="20"/>
                <w:szCs w:val="20"/>
              </w:rPr>
              <w:t>because of the complex nature of many of our compounds, our manufacturers may not be able to successfully manufacture our APIs and/or drug products in a cost-effective and/or timely man</w:t>
            </w:r>
            <w:r>
              <w:rPr>
                <w:rFonts w:eastAsia="Times New Roman"/>
                <w:sz w:val="20"/>
                <w:szCs w:val="20"/>
              </w:rPr>
              <w:t>ner and changing manufacturers for our APIs or drug products could involve lengthy technology transfer, validation and regulatory qualification activities for the new manufacturer;</w:t>
            </w:r>
          </w:p>
        </w:tc>
      </w:tr>
    </w:tbl>
    <w:p w14:paraId="12C0B1D1" w14:textId="77777777" w:rsidR="00000000" w:rsidRDefault="001F1B20">
      <w:pPr>
        <w:divId w:val="2310392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78E7A33" w14:textId="77777777">
        <w:trPr>
          <w:divId w:val="231039270"/>
        </w:trPr>
        <w:tc>
          <w:tcPr>
            <w:tcW w:w="720" w:type="dxa"/>
            <w:vAlign w:val="center"/>
            <w:hideMark/>
          </w:tcPr>
          <w:p w14:paraId="0572651A" w14:textId="77777777" w:rsidR="00000000" w:rsidRDefault="001F1B20">
            <w:pPr>
              <w:rPr>
                <w:rFonts w:eastAsia="Times New Roman"/>
              </w:rPr>
            </w:pPr>
          </w:p>
        </w:tc>
        <w:tc>
          <w:tcPr>
            <w:tcW w:w="360" w:type="dxa"/>
            <w:noWrap/>
            <w:tcMar>
              <w:top w:w="0" w:type="dxa"/>
              <w:left w:w="0" w:type="dxa"/>
              <w:bottom w:w="0" w:type="dxa"/>
              <w:right w:w="0" w:type="dxa"/>
            </w:tcMar>
            <w:hideMark/>
          </w:tcPr>
          <w:p w14:paraId="109D3AD4"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AE67E76" w14:textId="77777777" w:rsidR="00000000" w:rsidRDefault="001F1B20">
            <w:pPr>
              <w:spacing w:after="200"/>
              <w:rPr>
                <w:rFonts w:eastAsia="Times New Roman"/>
                <w:sz w:val="20"/>
                <w:szCs w:val="20"/>
              </w:rPr>
            </w:pPr>
            <w:r>
              <w:rPr>
                <w:rFonts w:eastAsia="Times New Roman"/>
                <w:sz w:val="20"/>
                <w:szCs w:val="20"/>
              </w:rPr>
              <w:t>the processes required to manufacture certain of our APIs and drug pro</w:t>
            </w:r>
            <w:r>
              <w:rPr>
                <w:rFonts w:eastAsia="Times New Roman"/>
                <w:sz w:val="20"/>
                <w:szCs w:val="20"/>
              </w:rPr>
              <w:t>ducts are specialized and available only from a limited number of third-party manufacturers;</w:t>
            </w:r>
          </w:p>
        </w:tc>
      </w:tr>
    </w:tbl>
    <w:p w14:paraId="2FF2EC64" w14:textId="77777777" w:rsidR="00000000" w:rsidRDefault="001F1B20">
      <w:pPr>
        <w:divId w:val="2310392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46D31A6" w14:textId="77777777">
        <w:trPr>
          <w:divId w:val="231039270"/>
        </w:trPr>
        <w:tc>
          <w:tcPr>
            <w:tcW w:w="720" w:type="dxa"/>
            <w:vAlign w:val="center"/>
            <w:hideMark/>
          </w:tcPr>
          <w:p w14:paraId="15638788" w14:textId="77777777" w:rsidR="00000000" w:rsidRDefault="001F1B20">
            <w:pPr>
              <w:rPr>
                <w:rFonts w:eastAsia="Times New Roman"/>
              </w:rPr>
            </w:pPr>
          </w:p>
        </w:tc>
        <w:tc>
          <w:tcPr>
            <w:tcW w:w="360" w:type="dxa"/>
            <w:noWrap/>
            <w:tcMar>
              <w:top w:w="0" w:type="dxa"/>
              <w:left w:w="0" w:type="dxa"/>
              <w:bottom w:w="0" w:type="dxa"/>
              <w:right w:w="0" w:type="dxa"/>
            </w:tcMar>
            <w:hideMark/>
          </w:tcPr>
          <w:p w14:paraId="26531FA9"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DF25329" w14:textId="77777777" w:rsidR="00000000" w:rsidRDefault="001F1B20">
            <w:pPr>
              <w:spacing w:after="200"/>
              <w:rPr>
                <w:rFonts w:eastAsia="Times New Roman"/>
                <w:sz w:val="20"/>
                <w:szCs w:val="20"/>
              </w:rPr>
            </w:pPr>
            <w:r>
              <w:rPr>
                <w:rFonts w:eastAsia="Times New Roman"/>
                <w:sz w:val="20"/>
                <w:szCs w:val="20"/>
              </w:rPr>
              <w:t>some of the manufacturing processes for our APIs and drug products have not been scaled to quantities needed for continued clinical studies or commercial sale</w:t>
            </w:r>
            <w:r>
              <w:rPr>
                <w:rFonts w:eastAsia="Times New Roman"/>
                <w:sz w:val="20"/>
                <w:szCs w:val="20"/>
              </w:rPr>
              <w:t>s, and delays in scale-up to higher quantities could delay clinical studies, regulatory submissions and commercialization of our product candidates; and</w:t>
            </w:r>
          </w:p>
        </w:tc>
      </w:tr>
    </w:tbl>
    <w:p w14:paraId="5C167A68" w14:textId="77777777" w:rsidR="00000000" w:rsidRDefault="001F1B20">
      <w:pPr>
        <w:divId w:val="2310392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769822C" w14:textId="77777777">
        <w:trPr>
          <w:divId w:val="231039270"/>
        </w:trPr>
        <w:tc>
          <w:tcPr>
            <w:tcW w:w="720" w:type="dxa"/>
            <w:vAlign w:val="center"/>
            <w:hideMark/>
          </w:tcPr>
          <w:p w14:paraId="6562BE19" w14:textId="77777777" w:rsidR="00000000" w:rsidRDefault="001F1B20">
            <w:pPr>
              <w:rPr>
                <w:rFonts w:eastAsia="Times New Roman"/>
              </w:rPr>
            </w:pPr>
          </w:p>
        </w:tc>
        <w:tc>
          <w:tcPr>
            <w:tcW w:w="360" w:type="dxa"/>
            <w:noWrap/>
            <w:tcMar>
              <w:top w:w="0" w:type="dxa"/>
              <w:left w:w="0" w:type="dxa"/>
              <w:bottom w:w="0" w:type="dxa"/>
              <w:right w:w="0" w:type="dxa"/>
            </w:tcMar>
            <w:hideMark/>
          </w:tcPr>
          <w:p w14:paraId="1823A884"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B0484DB" w14:textId="77777777" w:rsidR="00000000" w:rsidRDefault="001F1B20">
            <w:pPr>
              <w:rPr>
                <w:rFonts w:eastAsia="Times New Roman"/>
                <w:sz w:val="20"/>
                <w:szCs w:val="20"/>
              </w:rPr>
            </w:pPr>
            <w:r>
              <w:rPr>
                <w:rFonts w:eastAsia="Times New Roman"/>
                <w:sz w:val="20"/>
                <w:szCs w:val="20"/>
              </w:rPr>
              <w:t>because some of the third-party manufacturers are located outside of the US, there may be difficul</w:t>
            </w:r>
            <w:r>
              <w:rPr>
                <w:rFonts w:eastAsia="Times New Roman"/>
                <w:sz w:val="20"/>
                <w:szCs w:val="20"/>
              </w:rPr>
              <w:t>ties in importing our APIs and drug products or their components into the US as a result of, among other things, FDA import inspections, incomplete or inaccurate import documentation or defective packaging.</w:t>
            </w:r>
          </w:p>
        </w:tc>
      </w:tr>
    </w:tbl>
    <w:p w14:paraId="55B3D02A" w14:textId="77777777" w:rsidR="00000000" w:rsidRDefault="001F1B20">
      <w:pPr>
        <w:pStyle w:val="a3"/>
        <w:spacing w:before="0" w:beforeAutospacing="0" w:after="120" w:afterAutospacing="0"/>
        <w:divId w:val="231039270"/>
        <w:rPr>
          <w:sz w:val="20"/>
          <w:szCs w:val="20"/>
        </w:rPr>
      </w:pPr>
      <w:r>
        <w:rPr>
          <w:b/>
          <w:bCs/>
          <w:i/>
          <w:iCs/>
          <w:sz w:val="20"/>
          <w:szCs w:val="20"/>
        </w:rPr>
        <w:t xml:space="preserve">We have a significant amount of debt, including </w:t>
      </w:r>
      <w:r>
        <w:rPr>
          <w:b/>
          <w:bCs/>
          <w:i/>
          <w:iCs/>
          <w:sz w:val="20"/>
          <w:szCs w:val="20"/>
        </w:rPr>
        <w:t xml:space="preserve">our Non-Recourse 2035 Notes and Convertible Senior 2023 Notes, that are senior in capital structure and cash flow, respectively, to holders of our ordinary shares. Satisfying the obligations relating to our debt could adversely affect the amount or timing </w:t>
      </w:r>
      <w:r>
        <w:rPr>
          <w:b/>
          <w:bCs/>
          <w:i/>
          <w:iCs/>
          <w:sz w:val="20"/>
          <w:szCs w:val="20"/>
        </w:rPr>
        <w:t xml:space="preserve">of distributions to our shareholders. </w:t>
      </w:r>
    </w:p>
    <w:p w14:paraId="6E45B099" w14:textId="77777777" w:rsidR="00000000" w:rsidRDefault="001F1B20">
      <w:pPr>
        <w:pStyle w:val="a3"/>
        <w:spacing w:before="0" w:beforeAutospacing="0" w:after="200" w:afterAutospacing="0"/>
        <w:ind w:firstLine="720"/>
        <w:divId w:val="231039270"/>
        <w:rPr>
          <w:sz w:val="20"/>
          <w:szCs w:val="20"/>
        </w:rPr>
      </w:pPr>
      <w:r>
        <w:rPr>
          <w:sz w:val="20"/>
          <w:szCs w:val="20"/>
        </w:rPr>
        <w:t xml:space="preserve">As of September 30, 2021, we had $660.6 million in total long-term liabilities outstanding, comprised primarily of $380.1 million in net principal that remains outstanding under the Issuer II’s (defined below) Non-Recourse 2035 Notes and $230.0 million in </w:t>
      </w:r>
      <w:r>
        <w:rPr>
          <w:sz w:val="20"/>
          <w:szCs w:val="20"/>
        </w:rPr>
        <w:t>principal that remains outstanding under our Convertible Senior 2023 Notes (together with the Non-Recourse 2035 Notes, the “Notes”).</w:t>
      </w:r>
    </w:p>
    <w:p w14:paraId="0294D984" w14:textId="77777777" w:rsidR="00000000" w:rsidRDefault="001F1B20">
      <w:pPr>
        <w:pStyle w:val="a3"/>
        <w:spacing w:before="0" w:beforeAutospacing="0" w:after="200" w:afterAutospacing="0"/>
        <w:ind w:firstLine="720"/>
        <w:divId w:val="231039270"/>
        <w:rPr>
          <w:sz w:val="20"/>
          <w:szCs w:val="20"/>
        </w:rPr>
      </w:pPr>
      <w:r>
        <w:rPr>
          <w:sz w:val="20"/>
          <w:szCs w:val="20"/>
        </w:rPr>
        <w:t>The Convertible Senior 2023 Notes are unsecured debt and are not redeemable by us prior to the maturity date except for cer</w:t>
      </w:r>
      <w:r>
        <w:rPr>
          <w:sz w:val="20"/>
          <w:szCs w:val="20"/>
        </w:rPr>
        <w:t>tain changes in tax law. Holders of the Convertible Senior 2023 Notes may require us to purchase all or any portion of their notes at 100% of their principal amount, plus any unpaid interest, upon a fundamental change such as a change of control of us or t</w:t>
      </w:r>
      <w:r>
        <w:rPr>
          <w:sz w:val="20"/>
          <w:szCs w:val="20"/>
        </w:rPr>
        <w:t>he termination of trading of our ordinary shares in accordance with the indenture governing the Convertible Senior 2023 Notes.</w:t>
      </w:r>
    </w:p>
    <w:p w14:paraId="23696137" w14:textId="77777777" w:rsidR="00000000" w:rsidRDefault="001F1B20">
      <w:pPr>
        <w:pStyle w:val="a3"/>
        <w:spacing w:before="0" w:beforeAutospacing="0" w:after="0" w:afterAutospacing="0"/>
        <w:ind w:firstLine="720"/>
        <w:divId w:val="231039270"/>
        <w:rPr>
          <w:sz w:val="20"/>
          <w:szCs w:val="20"/>
        </w:rPr>
      </w:pPr>
      <w:r>
        <w:rPr>
          <w:sz w:val="20"/>
          <w:szCs w:val="20"/>
        </w:rPr>
        <w:t xml:space="preserve">Until the Non-Recourse 2035 Notes are paid in full, holders of the Non-Recourse 2035 Notes have a perfected security interest in </w:t>
      </w:r>
      <w:r>
        <w:rPr>
          <w:sz w:val="20"/>
          <w:szCs w:val="20"/>
        </w:rPr>
        <w:t xml:space="preserve">the Issuer II Class C Units that represent a 63.75% economic interest in any future payments that may be made by GSK to TRC under the strategic alliance agreement and under the portion of the collaboration agreement assigned to TRC by Innoviva (net of TRC </w:t>
      </w:r>
      <w:r>
        <w:rPr>
          <w:sz w:val="20"/>
          <w:szCs w:val="20"/>
        </w:rPr>
        <w:t xml:space="preserve">expenses paid and the amount of cash, if any, expected to be used by TRC pursuant to the </w:t>
      </w:r>
    </w:p>
    <w:p w14:paraId="1CC340AB" w14:textId="77777777" w:rsidR="00000000" w:rsidRDefault="001F1B20">
      <w:pPr>
        <w:pStyle w:val="a3"/>
        <w:spacing w:before="360" w:beforeAutospacing="0" w:after="0" w:afterAutospacing="0"/>
        <w:jc w:val="center"/>
        <w:divId w:val="423038410"/>
        <w:rPr>
          <w:sz w:val="20"/>
          <w:szCs w:val="20"/>
        </w:rPr>
      </w:pPr>
      <w:r>
        <w:rPr>
          <w:sz w:val="20"/>
          <w:szCs w:val="20"/>
        </w:rPr>
        <w:t>51</w:t>
      </w:r>
    </w:p>
    <w:p w14:paraId="0994A7C2" w14:textId="77777777" w:rsidR="00000000" w:rsidRDefault="001F1B20">
      <w:pPr>
        <w:pStyle w:val="a3"/>
        <w:spacing w:before="0" w:beforeAutospacing="0" w:after="600" w:afterAutospacing="0"/>
        <w:divId w:val="3830412"/>
        <w:rPr>
          <w:sz w:val="20"/>
          <w:szCs w:val="20"/>
        </w:rPr>
      </w:pPr>
      <w:hyperlink w:anchor="TOC" w:history="1">
        <w:r>
          <w:rPr>
            <w:rStyle w:val="a4"/>
            <w:sz w:val="20"/>
            <w:szCs w:val="20"/>
          </w:rPr>
          <w:t>Table of Contents</w:t>
        </w:r>
      </w:hyperlink>
    </w:p>
    <w:p w14:paraId="26F46378" w14:textId="77777777" w:rsidR="00000000" w:rsidRDefault="001F1B20">
      <w:pPr>
        <w:pStyle w:val="a3"/>
        <w:spacing w:before="0" w:beforeAutospacing="0" w:after="200" w:afterAutospacing="0"/>
        <w:divId w:val="321932196"/>
        <w:rPr>
          <w:sz w:val="20"/>
          <w:szCs w:val="20"/>
        </w:rPr>
      </w:pPr>
      <w:r>
        <w:rPr>
          <w:sz w:val="20"/>
          <w:szCs w:val="20"/>
        </w:rPr>
        <w:t>TRC LLC Agreement over the next four fiscal quarters) relating to the GSK-Partnered Respiratory Programs, including the</w:t>
      </w:r>
      <w:r>
        <w:rPr>
          <w:sz w:val="20"/>
          <w:szCs w:val="20"/>
        </w:rPr>
        <w:t xml:space="preserve"> TRELEGY program.</w:t>
      </w:r>
    </w:p>
    <w:p w14:paraId="0898A998" w14:textId="77777777" w:rsidR="00000000" w:rsidRDefault="001F1B20">
      <w:pPr>
        <w:pStyle w:val="a3"/>
        <w:spacing w:before="0" w:beforeAutospacing="0" w:after="200" w:afterAutospacing="0"/>
        <w:ind w:firstLine="720"/>
        <w:divId w:val="321932196"/>
        <w:rPr>
          <w:sz w:val="20"/>
          <w:szCs w:val="20"/>
        </w:rPr>
      </w:pPr>
      <w:r>
        <w:rPr>
          <w:sz w:val="20"/>
          <w:szCs w:val="20"/>
        </w:rPr>
        <w:t xml:space="preserve">Prior to and including the December 5, 2024 payment date, </w:t>
      </w:r>
      <w:r>
        <w:rPr>
          <w:sz w:val="20"/>
          <w:szCs w:val="20"/>
        </w:rPr>
        <w:t>t</w:t>
      </w:r>
      <w:r>
        <w:rPr>
          <w:sz w:val="20"/>
          <w:szCs w:val="20"/>
        </w:rPr>
        <w:t>he terms of the Non-Recourse 2035 Notes provide that in the event that the distributions received by the Issuer II from TRC in a quarter is less than the interest accrued for that</w:t>
      </w:r>
      <w:r>
        <w:rPr>
          <w:sz w:val="20"/>
          <w:szCs w:val="20"/>
        </w:rPr>
        <w:t xml:space="preserve"> quarter, the principal amount of the Non-Recourse 2035 Notes will increase by the interest shortfall amount for that quarter. The terms of the Non-Recourse 2035 Notes also provide that Theravance Biopharma, at its option, may satisfy the quarterly interes</w:t>
      </w:r>
      <w:r>
        <w:rPr>
          <w:sz w:val="20"/>
          <w:szCs w:val="20"/>
        </w:rPr>
        <w:t>t payment obligations by making a capital contribution to the Issuer II.</w:t>
      </w:r>
    </w:p>
    <w:p w14:paraId="63AEEC21" w14:textId="77777777" w:rsidR="00000000" w:rsidRDefault="001F1B20">
      <w:pPr>
        <w:pStyle w:val="a3"/>
        <w:spacing w:before="0" w:beforeAutospacing="0" w:after="200" w:afterAutospacing="0"/>
        <w:ind w:firstLine="720"/>
        <w:divId w:val="321932196"/>
        <w:rPr>
          <w:sz w:val="20"/>
          <w:szCs w:val="20"/>
        </w:rPr>
      </w:pPr>
      <w:r>
        <w:rPr>
          <w:sz w:val="20"/>
          <w:szCs w:val="20"/>
        </w:rPr>
        <w:t>Satisfying the obligations of these Notes could adversely affect the amount or timing of any distributions to our shareholders. In addition, the Non-Recourse 2035 Notes may be redeeme</w:t>
      </w:r>
      <w:r>
        <w:rPr>
          <w:sz w:val="20"/>
          <w:szCs w:val="20"/>
        </w:rPr>
        <w:t xml:space="preserve">d by Issuer II on and after February 28, 2022, in whole or in part, at specified redemption premiums. We may further choose to satisfy, repurchase, or refinance any Non-Recourse 2035 Notes, to the extent allowable, through public or private equity or debt </w:t>
      </w:r>
      <w:r>
        <w:rPr>
          <w:sz w:val="20"/>
          <w:szCs w:val="20"/>
        </w:rPr>
        <w:t>financings if we deem such financings are available on favorable terms. If any or all of the Convertible Senior 2023 Notes are not converted into our ordinary shares before the maturity date, we will have to pay the holders the full aggregate principal amo</w:t>
      </w:r>
      <w:r>
        <w:rPr>
          <w:sz w:val="20"/>
          <w:szCs w:val="20"/>
        </w:rPr>
        <w:t xml:space="preserve">unt of the Convertible Senior 2023 Notes then outstanding. If the Non-Recourse 2035 Notes are not refinanced or paid in full the holders of the Non-Recourse 2035 Notes will have the right to foreclose on the Issuer II Class C Units that represent a 63.75% </w:t>
      </w:r>
      <w:r>
        <w:rPr>
          <w:sz w:val="20"/>
          <w:szCs w:val="20"/>
        </w:rPr>
        <w:t>economic interest in future royalties due on net sales of TRELEGY and related assets. If the Issuer II Class C Units are foreclosed upon, we will lose any right to receive 75% of the future royalty payments made by GSK in connection with the net sales of T</w:t>
      </w:r>
      <w:r>
        <w:rPr>
          <w:sz w:val="20"/>
          <w:szCs w:val="20"/>
        </w:rPr>
        <w:t>RELEGY and related assets. Any of the above payments could have a material adverse effect on our cash position. Our failure to satisfy these obligations may result in a default under the applicable indenture governing these Notes, which could result in a d</w:t>
      </w:r>
      <w:r>
        <w:rPr>
          <w:sz w:val="20"/>
          <w:szCs w:val="20"/>
        </w:rPr>
        <w:t>efault under certain of our other debt instruments, if any. Any such default would harm our business and the price of our securities could fall. For more information, see Part II—Item 7—Management’s Discussion and Analysis of Financial Condition and Result</w:t>
      </w:r>
      <w:r>
        <w:rPr>
          <w:sz w:val="20"/>
          <w:szCs w:val="20"/>
        </w:rPr>
        <w:t>s of Operations—Liquidity and Capital Resources</w:t>
      </w:r>
      <w:r>
        <w:rPr>
          <w:b/>
          <w:bCs/>
          <w:sz w:val="20"/>
          <w:szCs w:val="20"/>
        </w:rPr>
        <w:t>.</w:t>
      </w:r>
    </w:p>
    <w:p w14:paraId="48A5ABDE" w14:textId="77777777" w:rsidR="00000000" w:rsidRDefault="001F1B20">
      <w:pPr>
        <w:pStyle w:val="a3"/>
        <w:spacing w:before="0" w:beforeAutospacing="0" w:after="120" w:afterAutospacing="0"/>
        <w:divId w:val="321932196"/>
        <w:rPr>
          <w:sz w:val="20"/>
          <w:szCs w:val="20"/>
        </w:rPr>
      </w:pPr>
      <w:r>
        <w:rPr>
          <w:b/>
          <w:bCs/>
          <w:i/>
          <w:iCs/>
          <w:sz w:val="20"/>
          <w:szCs w:val="20"/>
        </w:rPr>
        <w:t>Servicing our Convertible Senior 2023 Notes requires a significant amount of cash, and we may not have sufficient cash flow from our business to pay our debt. Additionally, holders may require us to repurchase our Convertible Senior 2023 Notes under certai</w:t>
      </w:r>
      <w:r>
        <w:rPr>
          <w:b/>
          <w:bCs/>
          <w:i/>
          <w:iCs/>
          <w:sz w:val="20"/>
          <w:szCs w:val="20"/>
        </w:rPr>
        <w:t xml:space="preserve">n circumstances, and we may not have sufficient cash to do so. </w:t>
      </w:r>
    </w:p>
    <w:p w14:paraId="16BF437C" w14:textId="77777777" w:rsidR="00000000" w:rsidRDefault="001F1B20">
      <w:pPr>
        <w:pStyle w:val="a3"/>
        <w:spacing w:before="0" w:beforeAutospacing="0" w:after="200" w:afterAutospacing="0"/>
        <w:ind w:firstLine="720"/>
        <w:divId w:val="321932196"/>
        <w:rPr>
          <w:sz w:val="20"/>
          <w:szCs w:val="20"/>
        </w:rPr>
      </w:pPr>
      <w:r>
        <w:rPr>
          <w:sz w:val="20"/>
          <w:szCs w:val="20"/>
        </w:rPr>
        <w:t>Our ability to make interest or principal payments when due or to refinance the Convertible Senior 2023 Notes depends on our future performance, which is subject to economic, financial, compet</w:t>
      </w:r>
      <w:r>
        <w:rPr>
          <w:sz w:val="20"/>
          <w:szCs w:val="20"/>
        </w:rPr>
        <w:t>itive and other factors beyond our control. Our business may not generate cash flow from operations sufficient to satisfy our obligations under the Convertible Senior 2023 Notes and any future indebtedness we may incur and to make necessary capital expendi</w:t>
      </w:r>
      <w:r>
        <w:rPr>
          <w:sz w:val="20"/>
          <w:szCs w:val="20"/>
        </w:rPr>
        <w:t>tures. In addition, the issuance of the Non-Recourse 2035 Notes reduced the cash available for us to make interest or principal payments on, or to refinance, the Convertible Senior 2023 Notes. We may be required to adopt one or more alternatives, such as r</w:t>
      </w:r>
      <w:r>
        <w:rPr>
          <w:sz w:val="20"/>
          <w:szCs w:val="20"/>
        </w:rPr>
        <w:t>educing or delaying investments or capital expenditures, selling assets, refinancing or obtaining additional equity capital on terms that may be onerous or highly dilutive. Our ability to refinance the Convertible Senior 2023 Notes or future indebtedness w</w:t>
      </w:r>
      <w:r>
        <w:rPr>
          <w:sz w:val="20"/>
          <w:szCs w:val="20"/>
        </w:rPr>
        <w:t>ill depend on the capital markets and our financial condition at such time. We may not be able to engage in any of these activities on desirable terms or at all, which could result in a default on the Convertible Senior 2023 Notes or future indebtedness.</w:t>
      </w:r>
    </w:p>
    <w:p w14:paraId="428CABBC" w14:textId="77777777" w:rsidR="00000000" w:rsidRDefault="001F1B20">
      <w:pPr>
        <w:pStyle w:val="a3"/>
        <w:spacing w:before="0" w:beforeAutospacing="0" w:after="200" w:afterAutospacing="0"/>
        <w:ind w:firstLine="720"/>
        <w:divId w:val="321932196"/>
        <w:rPr>
          <w:sz w:val="20"/>
          <w:szCs w:val="20"/>
        </w:rPr>
      </w:pPr>
      <w:r>
        <w:rPr>
          <w:sz w:val="20"/>
          <w:szCs w:val="20"/>
        </w:rPr>
        <w:t>T</w:t>
      </w:r>
      <w:r>
        <w:rPr>
          <w:sz w:val="20"/>
          <w:szCs w:val="20"/>
        </w:rPr>
        <w:t>he holders of the Convertible Senior 2023 Notes may have the right to require us to repurchase the Convertible Senior 2023 Notes upon the occurrence of a “fundamental change” such as a change of control of our Company or the termination of trading of our o</w:t>
      </w:r>
      <w:r>
        <w:rPr>
          <w:sz w:val="20"/>
          <w:szCs w:val="20"/>
        </w:rPr>
        <w:t>rdinary shares, as defined in the indenture governing the Convertible Senior 2023 Notes. We may not have sufficient funds to repurchase the Convertible Senior 2023 Notes in cash or have the ability to arrange necessary financing on acceptable terms. Our fa</w:t>
      </w:r>
      <w:r>
        <w:rPr>
          <w:sz w:val="20"/>
          <w:szCs w:val="20"/>
        </w:rPr>
        <w:t>ilure to repurchase the Convertible Senior 2023 Notes when required would result in an event of default with respect to the Convertible Senior 2023 Notes. In addition, any acceleration of the repayment of the Convertible Senior 2023 Notes or future indebte</w:t>
      </w:r>
      <w:r>
        <w:rPr>
          <w:sz w:val="20"/>
          <w:szCs w:val="20"/>
        </w:rPr>
        <w:t>dness after any applicable notice or grace periods could have a material adverse effect on our business, results of operations and financial condition.</w:t>
      </w:r>
    </w:p>
    <w:p w14:paraId="29A53446" w14:textId="77777777" w:rsidR="00000000" w:rsidRDefault="001F1B20">
      <w:pPr>
        <w:pStyle w:val="a3"/>
        <w:spacing w:before="0" w:beforeAutospacing="0" w:after="120" w:afterAutospacing="0"/>
        <w:divId w:val="321932196"/>
        <w:rPr>
          <w:sz w:val="20"/>
          <w:szCs w:val="20"/>
        </w:rPr>
      </w:pPr>
      <w:r>
        <w:rPr>
          <w:b/>
          <w:bCs/>
          <w:i/>
          <w:iCs/>
          <w:sz w:val="20"/>
          <w:szCs w:val="20"/>
        </w:rPr>
        <w:t>We may fail to achieve the expected cost savings and related benefits from our September 2021 Restructur</w:t>
      </w:r>
      <w:r>
        <w:rPr>
          <w:b/>
          <w:bCs/>
          <w:i/>
          <w:iCs/>
          <w:sz w:val="20"/>
          <w:szCs w:val="20"/>
        </w:rPr>
        <w:t>ing.</w:t>
      </w:r>
    </w:p>
    <w:p w14:paraId="41D32743" w14:textId="77777777" w:rsidR="00000000" w:rsidRDefault="001F1B20">
      <w:pPr>
        <w:pStyle w:val="a3"/>
        <w:spacing w:before="0" w:beforeAutospacing="0" w:after="0" w:afterAutospacing="0"/>
        <w:ind w:firstLine="720"/>
        <w:divId w:val="321932196"/>
        <w:rPr>
          <w:sz w:val="20"/>
          <w:szCs w:val="20"/>
        </w:rPr>
      </w:pPr>
      <w:r>
        <w:rPr>
          <w:sz w:val="20"/>
          <w:szCs w:val="20"/>
        </w:rPr>
        <w:t>In September 2021, our Board approved a plan to restructure the Company’s business operations to drive long term sustainable revenue growth, better align resources, improve operational efficiencies and to increase profitability. Upon the completion of</w:t>
      </w:r>
      <w:r>
        <w:rPr>
          <w:sz w:val="20"/>
          <w:szCs w:val="20"/>
        </w:rPr>
        <w:t xml:space="preserve"> this Restructuring, our management and employees will be primarily focused on managing our most promising respiratory programs and the size of the Company will be reduced. As part of the Restructuring, we will eliminate </w:t>
      </w:r>
    </w:p>
    <w:p w14:paraId="5C961A44" w14:textId="77777777" w:rsidR="00000000" w:rsidRDefault="001F1B20">
      <w:pPr>
        <w:pStyle w:val="a3"/>
        <w:spacing w:before="360" w:beforeAutospacing="0" w:after="0" w:afterAutospacing="0"/>
        <w:jc w:val="center"/>
        <w:divId w:val="1788114876"/>
        <w:rPr>
          <w:sz w:val="20"/>
          <w:szCs w:val="20"/>
        </w:rPr>
      </w:pPr>
      <w:r>
        <w:rPr>
          <w:sz w:val="20"/>
          <w:szCs w:val="20"/>
        </w:rPr>
        <w:t>52</w:t>
      </w:r>
    </w:p>
    <w:p w14:paraId="057A963F" w14:textId="77777777" w:rsidR="00000000" w:rsidRDefault="001F1B20">
      <w:pPr>
        <w:pStyle w:val="a3"/>
        <w:spacing w:before="0" w:beforeAutospacing="0" w:after="600" w:afterAutospacing="0"/>
        <w:divId w:val="1294672805"/>
        <w:rPr>
          <w:sz w:val="20"/>
          <w:szCs w:val="20"/>
        </w:rPr>
      </w:pPr>
      <w:hyperlink w:anchor="TOC" w:history="1">
        <w:r>
          <w:rPr>
            <w:rStyle w:val="a4"/>
            <w:sz w:val="20"/>
            <w:szCs w:val="20"/>
          </w:rPr>
          <w:t>Table</w:t>
        </w:r>
        <w:r>
          <w:rPr>
            <w:rStyle w:val="a4"/>
            <w:sz w:val="20"/>
            <w:szCs w:val="20"/>
          </w:rPr>
          <w:t xml:space="preserve"> of Contents</w:t>
        </w:r>
      </w:hyperlink>
    </w:p>
    <w:p w14:paraId="4AE2A5CF" w14:textId="77777777" w:rsidR="00000000" w:rsidRDefault="001F1B20">
      <w:pPr>
        <w:pStyle w:val="a3"/>
        <w:spacing w:before="0" w:beforeAutospacing="0" w:after="0" w:afterAutospacing="0"/>
        <w:divId w:val="261911557"/>
        <w:rPr>
          <w:sz w:val="20"/>
          <w:szCs w:val="20"/>
        </w:rPr>
      </w:pPr>
      <w:r>
        <w:rPr>
          <w:sz w:val="20"/>
          <w:szCs w:val="20"/>
        </w:rPr>
        <w:t xml:space="preserve">approximately 270 positions, or 75% of our workforce. We expect to incur expenses of approximately $18.0 million to $20.0 million related to the Restructuring, substantially all of which will be cash expenditures for severance and other costs </w:t>
      </w:r>
      <w:r>
        <w:rPr>
          <w:sz w:val="20"/>
          <w:szCs w:val="20"/>
        </w:rPr>
        <w:t>relating to the Restructuring through the first quarter of 2022. Affected employees have received notification and are eligible to receive severance payments based on their responsibilities within the organization and years of service, contingent upon effe</w:t>
      </w:r>
      <w:r>
        <w:rPr>
          <w:sz w:val="20"/>
          <w:szCs w:val="20"/>
        </w:rPr>
        <w:t xml:space="preserve">ctiveness of an affected employee's a separation agreement, which includes a general release of claims against us. </w:t>
      </w:r>
    </w:p>
    <w:p w14:paraId="73FFD581" w14:textId="77777777" w:rsidR="00000000" w:rsidRDefault="001F1B20">
      <w:pPr>
        <w:pStyle w:val="a3"/>
        <w:spacing w:before="0" w:beforeAutospacing="0" w:after="0" w:afterAutospacing="0"/>
        <w:ind w:firstLine="720"/>
        <w:divId w:val="261911557"/>
        <w:rPr>
          <w:sz w:val="20"/>
          <w:szCs w:val="20"/>
        </w:rPr>
      </w:pPr>
      <w:r>
        <w:rPr>
          <w:sz w:val="20"/>
          <w:szCs w:val="20"/>
        </w:rPr>
        <w:t>​</w:t>
      </w:r>
    </w:p>
    <w:p w14:paraId="38AEB7DD" w14:textId="77777777" w:rsidR="00000000" w:rsidRDefault="001F1B20">
      <w:pPr>
        <w:pStyle w:val="a3"/>
        <w:spacing w:before="0" w:beforeAutospacing="0" w:after="0" w:afterAutospacing="0"/>
        <w:ind w:firstLine="720"/>
        <w:divId w:val="261911557"/>
        <w:rPr>
          <w:sz w:val="20"/>
          <w:szCs w:val="20"/>
        </w:rPr>
      </w:pPr>
      <w:r>
        <w:rPr>
          <w:sz w:val="20"/>
          <w:szCs w:val="20"/>
        </w:rPr>
        <w:t>Overall, we expect to realize estimated annualized operating expense savings of approximately $165.0 million in the year ending December 3</w:t>
      </w:r>
      <w:r>
        <w:rPr>
          <w:sz w:val="20"/>
          <w:szCs w:val="20"/>
        </w:rPr>
        <w:t>1, 2022 (excluding share-based compensation and any one-time costs related to strategic actions). These estimates are subject to a number of assumptions, and actual results may differ. We may also incur additional costs not currently contemplated due to ev</w:t>
      </w:r>
      <w:r>
        <w:rPr>
          <w:sz w:val="20"/>
          <w:szCs w:val="20"/>
        </w:rPr>
        <w:t>ents that may occur as a result of, or that are associated with, the Restructuring.</w:t>
      </w:r>
    </w:p>
    <w:p w14:paraId="21D078D2" w14:textId="77777777" w:rsidR="00000000" w:rsidRDefault="001F1B20">
      <w:pPr>
        <w:pStyle w:val="a3"/>
        <w:spacing w:before="0" w:beforeAutospacing="0" w:after="0" w:afterAutospacing="0"/>
        <w:ind w:firstLine="720"/>
        <w:divId w:val="261911557"/>
        <w:rPr>
          <w:sz w:val="20"/>
          <w:szCs w:val="20"/>
        </w:rPr>
      </w:pPr>
      <w:r>
        <w:rPr>
          <w:sz w:val="20"/>
          <w:szCs w:val="20"/>
        </w:rPr>
        <w:t>​</w:t>
      </w:r>
    </w:p>
    <w:p w14:paraId="55B7DA78" w14:textId="77777777" w:rsidR="00000000" w:rsidRDefault="001F1B20">
      <w:pPr>
        <w:pStyle w:val="a3"/>
        <w:spacing w:before="0" w:beforeAutospacing="0" w:after="0" w:afterAutospacing="0"/>
        <w:ind w:firstLine="720"/>
        <w:divId w:val="261911557"/>
        <w:rPr>
          <w:sz w:val="20"/>
          <w:szCs w:val="20"/>
        </w:rPr>
      </w:pPr>
      <w:r>
        <w:rPr>
          <w:sz w:val="20"/>
          <w:szCs w:val="20"/>
        </w:rPr>
        <w:t>We may fail to effectively execute on our Restructuring or our plans may change as we continue to optimize our asset portfolio to maximize shareholder value. These action</w:t>
      </w:r>
      <w:r>
        <w:rPr>
          <w:sz w:val="20"/>
          <w:szCs w:val="20"/>
        </w:rPr>
        <w:t xml:space="preserve">s may take more time than we currently estimate and we may not be able to drive long term sustainable revenue growth, better align resources, improve operational efficiencies and to increase profitability. Any failure to properly execute our Restructuring </w:t>
      </w:r>
      <w:r>
        <w:rPr>
          <w:sz w:val="20"/>
          <w:szCs w:val="20"/>
        </w:rPr>
        <w:t>could cause us not to achieve the expected benefits of these actions, and adversely affect our financial condition.</w:t>
      </w:r>
    </w:p>
    <w:p w14:paraId="094500B1" w14:textId="77777777" w:rsidR="00000000" w:rsidRDefault="001F1B20">
      <w:pPr>
        <w:pStyle w:val="a3"/>
        <w:spacing w:before="0" w:beforeAutospacing="0" w:after="0" w:afterAutospacing="0"/>
        <w:divId w:val="261911557"/>
        <w:rPr>
          <w:sz w:val="20"/>
          <w:szCs w:val="20"/>
        </w:rPr>
      </w:pPr>
      <w:r>
        <w:rPr>
          <w:b/>
          <w:bCs/>
          <w:i/>
          <w:iCs/>
          <w:sz w:val="20"/>
          <w:szCs w:val="20"/>
        </w:rPr>
        <w:t>​</w:t>
      </w:r>
    </w:p>
    <w:p w14:paraId="37384AA3" w14:textId="77777777" w:rsidR="00000000" w:rsidRDefault="001F1B20">
      <w:pPr>
        <w:pStyle w:val="a3"/>
        <w:spacing w:before="0" w:beforeAutospacing="0" w:after="120" w:afterAutospacing="0"/>
        <w:divId w:val="261911557"/>
        <w:rPr>
          <w:sz w:val="20"/>
          <w:szCs w:val="20"/>
        </w:rPr>
      </w:pPr>
      <w:r>
        <w:rPr>
          <w:b/>
          <w:bCs/>
          <w:i/>
          <w:iCs/>
          <w:sz w:val="20"/>
          <w:szCs w:val="20"/>
        </w:rPr>
        <w:t>If we lose key management or scientific personnel, or if we fail to attract and retain key employees, our ability to discover and develop our product candidates and commercialize our products, if any, will be impaired.</w:t>
      </w:r>
    </w:p>
    <w:p w14:paraId="05941BDF" w14:textId="77777777" w:rsidR="00000000" w:rsidRDefault="001F1B20">
      <w:pPr>
        <w:pStyle w:val="a3"/>
        <w:spacing w:before="0" w:beforeAutospacing="0" w:after="200" w:afterAutospacing="0"/>
        <w:ind w:firstLine="720"/>
        <w:divId w:val="261911557"/>
        <w:rPr>
          <w:sz w:val="20"/>
          <w:szCs w:val="20"/>
        </w:rPr>
      </w:pPr>
      <w:r>
        <w:rPr>
          <w:sz w:val="20"/>
          <w:szCs w:val="20"/>
        </w:rPr>
        <w:t xml:space="preserve">We are highly dependent on principal </w:t>
      </w:r>
      <w:r>
        <w:rPr>
          <w:sz w:val="20"/>
          <w:szCs w:val="20"/>
        </w:rPr>
        <w:t xml:space="preserve">members of our management team and scientific staff, and in particular, our Chief Executive Officer, Rick E Winningham, to operate our business. Mr. Winningham has significant pharmaceutical industry experience. The loss of Mr. Winningham’s services could </w:t>
      </w:r>
      <w:r>
        <w:rPr>
          <w:sz w:val="20"/>
          <w:szCs w:val="20"/>
        </w:rPr>
        <w:t>impair our ability to discover, develop and commercialize new medicines.</w:t>
      </w:r>
    </w:p>
    <w:p w14:paraId="1DFDE686" w14:textId="77777777" w:rsidR="00000000" w:rsidRDefault="001F1B20">
      <w:pPr>
        <w:pStyle w:val="a3"/>
        <w:spacing w:before="0" w:beforeAutospacing="0" w:after="200" w:afterAutospacing="0"/>
        <w:ind w:firstLine="720"/>
        <w:divId w:val="261911557"/>
        <w:rPr>
          <w:sz w:val="20"/>
          <w:szCs w:val="20"/>
        </w:rPr>
      </w:pPr>
      <w:r>
        <w:rPr>
          <w:sz w:val="20"/>
          <w:szCs w:val="20"/>
        </w:rPr>
        <w:t>If we fail to retain our qualified personnel or replace them when they leave, we may be unable to continue our discovery, development and commercialization activities, which may cause</w:t>
      </w:r>
      <w:r>
        <w:rPr>
          <w:sz w:val="20"/>
          <w:szCs w:val="20"/>
        </w:rPr>
        <w:t xml:space="preserve"> the price of our securities to fall. The Restructuring announced in September 2021 may make retention of our current personnel both more important and more challenging.</w:t>
      </w:r>
      <w:r>
        <w:rPr>
          <w:sz w:val="20"/>
          <w:szCs w:val="20"/>
        </w:rPr>
        <w:t xml:space="preserve"> </w:t>
      </w:r>
    </w:p>
    <w:p w14:paraId="3081521C" w14:textId="77777777" w:rsidR="00000000" w:rsidRDefault="001F1B20">
      <w:pPr>
        <w:pStyle w:val="a3"/>
        <w:spacing w:before="0" w:beforeAutospacing="0" w:after="0" w:afterAutospacing="0"/>
        <w:ind w:firstLine="720"/>
        <w:divId w:val="261911557"/>
        <w:rPr>
          <w:sz w:val="20"/>
          <w:szCs w:val="20"/>
        </w:rPr>
      </w:pPr>
      <w:r>
        <w:rPr>
          <w:sz w:val="20"/>
          <w:szCs w:val="20"/>
        </w:rPr>
        <w:t>In addition, our US operating subsidiary’s facility and most of its employees are loc</w:t>
      </w:r>
      <w:r>
        <w:rPr>
          <w:sz w:val="20"/>
          <w:szCs w:val="20"/>
        </w:rPr>
        <w:t>ated in northern California, headquarters to many other biotechnology and biopharmaceutical companies and many academic and research institutions. As a result, competition for certain skilled personnel in our market is intense. None of our employees have e</w:t>
      </w:r>
      <w:r>
        <w:rPr>
          <w:sz w:val="20"/>
          <w:szCs w:val="20"/>
        </w:rPr>
        <w:t>mployment commitments for any fixed period of time and they all may leave our employment at will. If we fail to retain our qualified personnel or replace them when they leave, we may be unable to continue our development and commercialization activities an</w:t>
      </w:r>
      <w:r>
        <w:rPr>
          <w:sz w:val="20"/>
          <w:szCs w:val="20"/>
        </w:rPr>
        <w:t>d the price of our securities could fall.</w:t>
      </w:r>
      <w:r>
        <w:t xml:space="preserve"> </w:t>
      </w:r>
    </w:p>
    <w:p w14:paraId="6C37D52F" w14:textId="77777777" w:rsidR="00000000" w:rsidRDefault="001F1B20">
      <w:pPr>
        <w:pStyle w:val="a3"/>
        <w:spacing w:before="0" w:beforeAutospacing="0" w:after="0" w:afterAutospacing="0"/>
        <w:ind w:firstLine="720"/>
        <w:divId w:val="261911557"/>
        <w:rPr>
          <w:sz w:val="20"/>
          <w:szCs w:val="20"/>
        </w:rPr>
      </w:pPr>
      <w:r>
        <w:t>​</w:t>
      </w:r>
    </w:p>
    <w:p w14:paraId="34FA642F" w14:textId="77777777" w:rsidR="00000000" w:rsidRDefault="001F1B20">
      <w:pPr>
        <w:pStyle w:val="a3"/>
        <w:spacing w:before="0" w:beforeAutospacing="0" w:after="120" w:afterAutospacing="0"/>
        <w:divId w:val="261911557"/>
        <w:rPr>
          <w:sz w:val="20"/>
          <w:szCs w:val="20"/>
        </w:rPr>
      </w:pPr>
      <w:r>
        <w:rPr>
          <w:b/>
          <w:bCs/>
          <w:i/>
          <w:iCs/>
          <w:sz w:val="20"/>
          <w:szCs w:val="20"/>
        </w:rPr>
        <w:t>Our business and operations would suffer in the event of significant disruptions of information technology systems or security breaches.</w:t>
      </w:r>
    </w:p>
    <w:p w14:paraId="04E23F83" w14:textId="77777777" w:rsidR="00000000" w:rsidRDefault="001F1B20">
      <w:pPr>
        <w:pStyle w:val="a3"/>
        <w:spacing w:before="0" w:beforeAutospacing="0" w:after="0" w:afterAutospacing="0"/>
        <w:ind w:firstLine="720"/>
        <w:divId w:val="261911557"/>
        <w:rPr>
          <w:sz w:val="20"/>
          <w:szCs w:val="20"/>
        </w:rPr>
      </w:pPr>
      <w:r>
        <w:rPr>
          <w:sz w:val="20"/>
          <w:szCs w:val="20"/>
        </w:rPr>
        <w:t>We rely extensively on computer systems to maintain information and manage</w:t>
      </w:r>
      <w:r>
        <w:rPr>
          <w:sz w:val="20"/>
          <w:szCs w:val="20"/>
        </w:rPr>
        <w:t xml:space="preserve"> our finances and business. In the ordinary course of business, we collect, store and transmit large amounts of confidential information (including but not limited to trade secrets or other intellectual property, proprietary business information and person</w:t>
      </w:r>
      <w:r>
        <w:rPr>
          <w:sz w:val="20"/>
          <w:szCs w:val="20"/>
        </w:rPr>
        <w:t>al information) and it is critical that we maintain the confidentiality and integrity of such confidential information. Although we have security measures in place, our internal information technology systems and those of our CROs and other service provide</w:t>
      </w:r>
      <w:r>
        <w:rPr>
          <w:sz w:val="20"/>
          <w:szCs w:val="20"/>
        </w:rPr>
        <w:t xml:space="preserve">rs, including cloud based and hosted applications, data and services, may be vulnerable to service interruptions and security breaches from inadvertent or intentional actions by our employees, service providers and/or business partners, from cyber attacks </w:t>
      </w:r>
      <w:r>
        <w:rPr>
          <w:sz w:val="20"/>
          <w:szCs w:val="20"/>
        </w:rPr>
        <w:t>by malicious third parties, including but not limited to those involving malware and ransomware, which can disrupt operations significantly, and/or from, natural disasters, terrorism, war and telecommunication and electrical failures. Cyber attacks are inc</w:t>
      </w:r>
      <w:r>
        <w:rPr>
          <w:sz w:val="20"/>
          <w:szCs w:val="20"/>
        </w:rPr>
        <w:t>reasing in their frequency, sophistication, and intensity, and have become increasingly difficult to detect. Significant disruptions of information technology systems or security breaches could adversely affect our business operations and result in financi</w:t>
      </w:r>
      <w:r>
        <w:rPr>
          <w:sz w:val="20"/>
          <w:szCs w:val="20"/>
        </w:rPr>
        <w:t>al, legal, business and reputational harm to us, including significant liability and/or significant disruption to our business. If a disruption of information technology systems or security breach results in a loss of or damage to our data or regulatory ap</w:t>
      </w:r>
      <w:r>
        <w:rPr>
          <w:sz w:val="20"/>
          <w:szCs w:val="20"/>
        </w:rPr>
        <w:t xml:space="preserve">plications, unauthorized access, use, or disclosure of, or the prevention of access to, confidential information, or other harm to our business, we could incur liability and reputational harm, we could be required to comply with federal </w:t>
      </w:r>
    </w:p>
    <w:p w14:paraId="76AB2F4C" w14:textId="77777777" w:rsidR="00000000" w:rsidRDefault="001F1B20">
      <w:pPr>
        <w:pStyle w:val="a3"/>
        <w:spacing w:before="360" w:beforeAutospacing="0" w:after="0" w:afterAutospacing="0"/>
        <w:jc w:val="center"/>
        <w:divId w:val="2114201752"/>
        <w:rPr>
          <w:sz w:val="20"/>
          <w:szCs w:val="20"/>
        </w:rPr>
      </w:pPr>
      <w:r>
        <w:rPr>
          <w:sz w:val="20"/>
          <w:szCs w:val="20"/>
        </w:rPr>
        <w:t>53</w:t>
      </w:r>
    </w:p>
    <w:p w14:paraId="204264FB" w14:textId="77777777" w:rsidR="00000000" w:rsidRDefault="001F1B20">
      <w:pPr>
        <w:pStyle w:val="a3"/>
        <w:spacing w:before="0" w:beforeAutospacing="0" w:after="600" w:afterAutospacing="0"/>
        <w:divId w:val="112479051"/>
        <w:rPr>
          <w:sz w:val="20"/>
          <w:szCs w:val="20"/>
        </w:rPr>
      </w:pPr>
      <w:hyperlink w:anchor="TOC" w:history="1">
        <w:r>
          <w:rPr>
            <w:rStyle w:val="a4"/>
            <w:sz w:val="20"/>
            <w:szCs w:val="20"/>
          </w:rPr>
          <w:t>Table of Contents</w:t>
        </w:r>
      </w:hyperlink>
    </w:p>
    <w:p w14:paraId="2E28BA17" w14:textId="77777777" w:rsidR="00000000" w:rsidRDefault="001F1B20">
      <w:pPr>
        <w:pStyle w:val="a3"/>
        <w:spacing w:before="0" w:beforeAutospacing="0" w:after="200" w:afterAutospacing="0"/>
        <w:divId w:val="717706735"/>
        <w:rPr>
          <w:sz w:val="20"/>
          <w:szCs w:val="20"/>
        </w:rPr>
      </w:pPr>
      <w:r>
        <w:rPr>
          <w:sz w:val="20"/>
          <w:szCs w:val="20"/>
        </w:rPr>
        <w:t>and/or state breach notification laws and foreign law equivalents, we may incur legal expenses to protect our confidential information, the further development of our product candidates could be delayed and the price of our sec</w:t>
      </w:r>
      <w:r>
        <w:rPr>
          <w:sz w:val="20"/>
          <w:szCs w:val="20"/>
        </w:rPr>
        <w:t xml:space="preserve">urities could fall. For example, the loss of clinical trial data from completed or ongoing clinical trials of our product candidates could result in delays in our regulatory approval efforts and significantly increase our costs to recover or reproduce the </w:t>
      </w:r>
      <w:r>
        <w:rPr>
          <w:sz w:val="20"/>
          <w:szCs w:val="20"/>
        </w:rPr>
        <w:t>data. As another example, we may incur penalties imposed by the competent authorities in the EU Member States in case of breach of the EU rules governing the collection and processing of personal data, including unauthorized access to or disclosure of pers</w:t>
      </w:r>
      <w:r>
        <w:rPr>
          <w:sz w:val="20"/>
          <w:szCs w:val="20"/>
        </w:rPr>
        <w:t>onal data. Although we have security and fraud prevention measures in place, we have been subject to immaterial payment fraud activity. In 2017, we filed a lawsuit (which has since been resolved) against a former employee for misappropriation of our confid</w:t>
      </w:r>
      <w:r>
        <w:rPr>
          <w:sz w:val="20"/>
          <w:szCs w:val="20"/>
        </w:rPr>
        <w:t>ential, proprietary and trade secret information. Moreover, there can be no assurance that our security measures will prevent service interruptions or security breaches that could adversely affect our business. These same risks also apply to our partners a</w:t>
      </w:r>
      <w:r>
        <w:rPr>
          <w:sz w:val="20"/>
          <w:szCs w:val="20"/>
        </w:rPr>
        <w:t>nd vendors, who similarly hold sensitive and critical information related to our business in computer systems and are similarly potentially vulnerable to service interruptions and security breaches.</w:t>
      </w:r>
    </w:p>
    <w:p w14:paraId="6B77D414" w14:textId="77777777" w:rsidR="00000000" w:rsidRDefault="001F1B20">
      <w:pPr>
        <w:pStyle w:val="a3"/>
        <w:spacing w:before="0" w:beforeAutospacing="0" w:after="120" w:afterAutospacing="0"/>
        <w:divId w:val="717706735"/>
        <w:rPr>
          <w:sz w:val="20"/>
          <w:szCs w:val="20"/>
        </w:rPr>
      </w:pPr>
      <w:r>
        <w:rPr>
          <w:b/>
          <w:bCs/>
          <w:i/>
          <w:iCs/>
          <w:sz w:val="20"/>
          <w:szCs w:val="20"/>
        </w:rPr>
        <w:t>Global economic, political and social conditions may harm</w:t>
      </w:r>
      <w:r>
        <w:rPr>
          <w:b/>
          <w:bCs/>
          <w:i/>
          <w:iCs/>
          <w:sz w:val="20"/>
          <w:szCs w:val="20"/>
        </w:rPr>
        <w:t xml:space="preserve"> our ability to do business, increase our costs and negatively affect our stock price.</w:t>
      </w:r>
    </w:p>
    <w:p w14:paraId="6F0FE74B" w14:textId="77777777" w:rsidR="00000000" w:rsidRDefault="001F1B20">
      <w:pPr>
        <w:pStyle w:val="a3"/>
        <w:spacing w:before="0" w:beforeAutospacing="0" w:after="200" w:afterAutospacing="0"/>
        <w:ind w:firstLine="720"/>
        <w:divId w:val="717706735"/>
        <w:rPr>
          <w:sz w:val="20"/>
          <w:szCs w:val="20"/>
        </w:rPr>
      </w:pPr>
      <w:r>
        <w:rPr>
          <w:sz w:val="20"/>
          <w:szCs w:val="20"/>
        </w:rPr>
        <w:t xml:space="preserve">Worldwide economic conditions remain uncertain due to the United Kingdom’s (“UK”) recent withdrawal from the EU (often referred to as “Brexit”), current global economic </w:t>
      </w:r>
      <w:r>
        <w:rPr>
          <w:sz w:val="20"/>
          <w:szCs w:val="20"/>
        </w:rPr>
        <w:t>challenges, the COVID-19 pandemic, and other disruptions to global and regional economies and markets</w:t>
      </w:r>
      <w:r>
        <w:rPr>
          <w:sz w:val="20"/>
          <w:szCs w:val="20"/>
        </w:rPr>
        <w:t>.</w:t>
      </w:r>
    </w:p>
    <w:p w14:paraId="502914F7" w14:textId="77777777" w:rsidR="00000000" w:rsidRDefault="001F1B20">
      <w:pPr>
        <w:pStyle w:val="a3"/>
        <w:spacing w:before="0" w:beforeAutospacing="0" w:after="200" w:afterAutospacing="0"/>
        <w:ind w:firstLine="720"/>
        <w:divId w:val="717706735"/>
        <w:rPr>
          <w:sz w:val="20"/>
          <w:szCs w:val="20"/>
        </w:rPr>
      </w:pPr>
      <w:r>
        <w:rPr>
          <w:sz w:val="20"/>
          <w:szCs w:val="20"/>
        </w:rPr>
        <w:t>Brexit has created significant uncertainty about the future relationship between the UK and the EU, including with respect to the laws and regulations th</w:t>
      </w:r>
      <w:r>
        <w:rPr>
          <w:sz w:val="20"/>
          <w:szCs w:val="20"/>
        </w:rPr>
        <w:t xml:space="preserve">at will apply as the UK determines which EU laws to replace or replicate after withdrawal. From a regulatory perspective, the UK’s withdrawal bears significant complexity and risks. </w:t>
      </w:r>
    </w:p>
    <w:p w14:paraId="53163726" w14:textId="77777777" w:rsidR="00000000" w:rsidRDefault="001F1B20">
      <w:pPr>
        <w:pStyle w:val="a3"/>
        <w:spacing w:before="0" w:beforeAutospacing="0" w:after="200" w:afterAutospacing="0"/>
        <w:ind w:firstLine="720"/>
        <w:divId w:val="717706735"/>
        <w:rPr>
          <w:sz w:val="20"/>
          <w:szCs w:val="20"/>
        </w:rPr>
      </w:pPr>
      <w:r>
        <w:rPr>
          <w:sz w:val="20"/>
          <w:szCs w:val="20"/>
        </w:rPr>
        <w:t>In light of the fact that a significant portion of the regulatory framewo</w:t>
      </w:r>
      <w:r>
        <w:rPr>
          <w:sz w:val="20"/>
          <w:szCs w:val="20"/>
        </w:rPr>
        <w:t>rk in the UK is derived from EU laws, Brexit could materially impact the regulatory regime governing development, manufacture, importation, approval and commercialization of our product candidates in the UK or the EU. For example, a marketing authorization</w:t>
      </w:r>
      <w:r>
        <w:rPr>
          <w:sz w:val="20"/>
          <w:szCs w:val="20"/>
        </w:rPr>
        <w:t xml:space="preserve"> for a medicinal product granted by the European Commission or by the competent authorities of EU member states will no longer encompass the UK. A separate authorization granted by the UK competent authorities will be required to place medicinal products o</w:t>
      </w:r>
      <w:r>
        <w:rPr>
          <w:sz w:val="20"/>
          <w:szCs w:val="20"/>
        </w:rPr>
        <w:t>n the UK market. In addition, the UK’s withdrawal from the EU affects manufacturing sites that hold an EU manufacturing authorization issued by the UK competent authorities which could impact our ability to rely on UK manufacturing sites to supply medicina</w:t>
      </w:r>
      <w:r>
        <w:rPr>
          <w:sz w:val="20"/>
          <w:szCs w:val="20"/>
        </w:rPr>
        <w:t>l products intended for the EU market will depend on. All of these changes could increase our costs and otherwise adversely affect our business. In addition, currency exchange rates for the British Pound and the Euro with respect to each other and to the U</w:t>
      </w:r>
      <w:r>
        <w:rPr>
          <w:sz w:val="20"/>
          <w:szCs w:val="20"/>
        </w:rPr>
        <w:t>S dollar have already been, and may continue to be, negatively affected by Brexit, which could cause volatility in our quarterly financial results.</w:t>
      </w:r>
    </w:p>
    <w:p w14:paraId="164E8A78" w14:textId="77777777" w:rsidR="00000000" w:rsidRDefault="001F1B20">
      <w:pPr>
        <w:pStyle w:val="a3"/>
        <w:spacing w:before="0" w:beforeAutospacing="0" w:after="200" w:afterAutospacing="0"/>
        <w:ind w:firstLine="720"/>
        <w:divId w:val="717706735"/>
        <w:rPr>
          <w:sz w:val="20"/>
          <w:szCs w:val="20"/>
        </w:rPr>
      </w:pPr>
      <w:r>
        <w:rPr>
          <w:sz w:val="20"/>
          <w:szCs w:val="20"/>
        </w:rPr>
        <w:t>Further, development of our product candidates and/or regulatory approval may be delayed for other political</w:t>
      </w:r>
      <w:r>
        <w:rPr>
          <w:sz w:val="20"/>
          <w:szCs w:val="20"/>
        </w:rPr>
        <w:t xml:space="preserve"> events beyond our control. For example, a US federal government shutdown or budget sequestration, such as ones that occurred during 2013, 2018, and 2019, may result in significant reductions to the FDA’s budget, employees and operations, which may lead to</w:t>
      </w:r>
      <w:r>
        <w:rPr>
          <w:sz w:val="20"/>
          <w:szCs w:val="20"/>
        </w:rPr>
        <w:t xml:space="preserve"> slower response times and longer review periods, potentially affecting our ability to progress development of our product candidates or obtain regulatory approval for our product candidates. Further, future government shutdowns could impact our ability to</w:t>
      </w:r>
      <w:r>
        <w:rPr>
          <w:sz w:val="20"/>
          <w:szCs w:val="20"/>
        </w:rPr>
        <w:t xml:space="preserve"> access the public markets and obtain necessary capital in order to properly capitalize and continue our operations.</w:t>
      </w:r>
    </w:p>
    <w:p w14:paraId="5E22D304" w14:textId="77777777" w:rsidR="00000000" w:rsidRDefault="001F1B20">
      <w:pPr>
        <w:pStyle w:val="a3"/>
        <w:spacing w:before="0" w:beforeAutospacing="0" w:after="200" w:afterAutospacing="0"/>
        <w:ind w:firstLine="720"/>
        <w:divId w:val="717706735"/>
        <w:rPr>
          <w:sz w:val="20"/>
          <w:szCs w:val="20"/>
        </w:rPr>
      </w:pPr>
      <w:r>
        <w:rPr>
          <w:sz w:val="20"/>
          <w:szCs w:val="20"/>
        </w:rPr>
        <w:t xml:space="preserve">Our operations also depend upon favorable trade relations between the US and those foreign countries in which our materials suppliers have </w:t>
      </w:r>
      <w:r>
        <w:rPr>
          <w:sz w:val="20"/>
          <w:szCs w:val="20"/>
        </w:rPr>
        <w:t>operations. A protectionist trade environment in either the US or those foreign countries in which we do business, such as a change in the current tariff structures, export compliance or other trade policies, may materially and adversely affect our operati</w:t>
      </w:r>
      <w:r>
        <w:rPr>
          <w:sz w:val="20"/>
          <w:szCs w:val="20"/>
        </w:rPr>
        <w:t>ons.</w:t>
      </w:r>
    </w:p>
    <w:p w14:paraId="79062DD8" w14:textId="77777777" w:rsidR="00000000" w:rsidRDefault="001F1B20">
      <w:pPr>
        <w:pStyle w:val="a3"/>
        <w:spacing w:before="0" w:beforeAutospacing="0" w:after="200" w:afterAutospacing="0"/>
        <w:ind w:firstLine="720"/>
        <w:divId w:val="717706735"/>
        <w:rPr>
          <w:sz w:val="20"/>
          <w:szCs w:val="20"/>
        </w:rPr>
      </w:pPr>
      <w:r>
        <w:rPr>
          <w:sz w:val="20"/>
          <w:szCs w:val="20"/>
        </w:rPr>
        <w:t>External factors, such as potential terrorist attacks, acts of war, geopolitical and social turmoil or similar events in many parts of the world, could also prevent or hinder our ability to do business, increase our costs and negatively affect our sto</w:t>
      </w:r>
      <w:r>
        <w:rPr>
          <w:sz w:val="20"/>
          <w:szCs w:val="20"/>
        </w:rPr>
        <w:t>ck price. These geopolitical, social and economic conditions could harm our business.</w:t>
      </w:r>
    </w:p>
    <w:p w14:paraId="7D19BF29" w14:textId="77777777" w:rsidR="00000000" w:rsidRDefault="001F1B20">
      <w:pPr>
        <w:pStyle w:val="a3"/>
        <w:spacing w:before="360" w:beforeAutospacing="0" w:after="0" w:afterAutospacing="0"/>
        <w:jc w:val="center"/>
        <w:divId w:val="1185513303"/>
        <w:rPr>
          <w:sz w:val="20"/>
          <w:szCs w:val="20"/>
        </w:rPr>
      </w:pPr>
      <w:r>
        <w:rPr>
          <w:sz w:val="20"/>
          <w:szCs w:val="20"/>
        </w:rPr>
        <w:t>54</w:t>
      </w:r>
    </w:p>
    <w:p w14:paraId="5FC7864C" w14:textId="77777777" w:rsidR="00000000" w:rsidRDefault="001F1B20">
      <w:pPr>
        <w:pStyle w:val="a3"/>
        <w:spacing w:before="0" w:beforeAutospacing="0" w:after="600" w:afterAutospacing="0"/>
        <w:divId w:val="1228153445"/>
        <w:rPr>
          <w:sz w:val="20"/>
          <w:szCs w:val="20"/>
        </w:rPr>
      </w:pPr>
      <w:hyperlink w:anchor="TOC" w:history="1">
        <w:r>
          <w:rPr>
            <w:rStyle w:val="a4"/>
            <w:sz w:val="20"/>
            <w:szCs w:val="20"/>
          </w:rPr>
          <w:t>Table of Contents</w:t>
        </w:r>
      </w:hyperlink>
    </w:p>
    <w:p w14:paraId="0477FBF0" w14:textId="77777777" w:rsidR="00000000" w:rsidRDefault="001F1B20">
      <w:pPr>
        <w:pStyle w:val="a3"/>
        <w:spacing w:before="0" w:beforeAutospacing="0" w:after="120" w:afterAutospacing="0"/>
        <w:divId w:val="1097943259"/>
        <w:rPr>
          <w:sz w:val="20"/>
          <w:szCs w:val="20"/>
        </w:rPr>
      </w:pPr>
      <w:r>
        <w:rPr>
          <w:b/>
          <w:bCs/>
          <w:i/>
          <w:iCs/>
          <w:sz w:val="20"/>
          <w:szCs w:val="20"/>
        </w:rPr>
        <w:t>Our US operating subsidiary’s facility is located near known earthquake fault zones, and the occurrence of an earthquake, e</w:t>
      </w:r>
      <w:r>
        <w:rPr>
          <w:b/>
          <w:bCs/>
          <w:i/>
          <w:iCs/>
          <w:sz w:val="20"/>
          <w:szCs w:val="20"/>
        </w:rPr>
        <w:t>xtremist attack or other catastrophic disaster could cause damage to our facilities and equipment, which could require us to cease or curtail operations.</w:t>
      </w:r>
    </w:p>
    <w:p w14:paraId="0A08D000" w14:textId="77777777" w:rsidR="00000000" w:rsidRDefault="001F1B20">
      <w:pPr>
        <w:pStyle w:val="a3"/>
        <w:spacing w:before="0" w:beforeAutospacing="0" w:after="200" w:afterAutospacing="0"/>
        <w:ind w:firstLine="720"/>
        <w:divId w:val="1097943259"/>
        <w:rPr>
          <w:sz w:val="20"/>
          <w:szCs w:val="20"/>
        </w:rPr>
      </w:pPr>
      <w:r>
        <w:rPr>
          <w:sz w:val="20"/>
          <w:szCs w:val="20"/>
        </w:rPr>
        <w:t xml:space="preserve">Our US operating subsidiary’s facility is located in the San Francisco Bay Area near known earthquake </w:t>
      </w:r>
      <w:r>
        <w:rPr>
          <w:sz w:val="20"/>
          <w:szCs w:val="20"/>
        </w:rPr>
        <w:t>fault zones and therefore will be vulnerable to damage from earthquakes. In October 1989, a major earthquake struck this area and caused significant property damage and a number of fatalities. We are also vulnerable to damage from other types of disasters,</w:t>
      </w:r>
      <w:r>
        <w:rPr>
          <w:sz w:val="20"/>
          <w:szCs w:val="20"/>
        </w:rPr>
        <w:t xml:space="preserve"> including power loss, attacks from extremist organizations, fire, floods, communications failures and similar events. If any disaster were to occur, our ability to operate our business could be seriously impaired. In addition, the unique nature of our res</w:t>
      </w:r>
      <w:r>
        <w:rPr>
          <w:sz w:val="20"/>
          <w:szCs w:val="20"/>
        </w:rPr>
        <w:t>earch activities and of much of our equipment could make it difficult and costly for us to recover from this type of disaster. We may not have adequate insurance to cover our losses resulting from disasters or other similar significant business interruptio</w:t>
      </w:r>
      <w:r>
        <w:rPr>
          <w:sz w:val="20"/>
          <w:szCs w:val="20"/>
        </w:rPr>
        <w:t>ns and we do not plan to purchase additional insurance to cover such losses due to the cost of obtaining such coverage. Any significant losses that are not recoverable under our insurance policies could seriously impair our business and financial condition</w:t>
      </w:r>
      <w:r>
        <w:rPr>
          <w:sz w:val="20"/>
          <w:szCs w:val="20"/>
        </w:rPr>
        <w:t>, which could cause the price of our securities to fall.</w:t>
      </w:r>
    </w:p>
    <w:p w14:paraId="0F20511E" w14:textId="77777777" w:rsidR="00000000" w:rsidRDefault="001F1B20">
      <w:pPr>
        <w:pStyle w:val="a3"/>
        <w:spacing w:before="0" w:beforeAutospacing="0" w:after="120" w:afterAutospacing="0"/>
        <w:divId w:val="1097943259"/>
        <w:rPr>
          <w:sz w:val="20"/>
          <w:szCs w:val="20"/>
        </w:rPr>
      </w:pPr>
      <w:r>
        <w:rPr>
          <w:b/>
          <w:bCs/>
          <w:i/>
          <w:iCs/>
          <w:sz w:val="20"/>
          <w:szCs w:val="20"/>
        </w:rPr>
        <w:t>If YUPELRI does not continue to be accepted by physicians, patients, third-party payors, or the medical community in general, we may not receive significant additional revenues from sales of this product.</w:t>
      </w:r>
    </w:p>
    <w:p w14:paraId="65D49974" w14:textId="77777777" w:rsidR="00000000" w:rsidRDefault="001F1B20">
      <w:pPr>
        <w:pStyle w:val="a3"/>
        <w:spacing w:before="0" w:beforeAutospacing="0" w:after="200" w:afterAutospacing="0"/>
        <w:ind w:firstLine="720"/>
        <w:divId w:val="1097943259"/>
        <w:rPr>
          <w:sz w:val="20"/>
          <w:szCs w:val="20"/>
        </w:rPr>
      </w:pPr>
      <w:r>
        <w:rPr>
          <w:sz w:val="20"/>
          <w:szCs w:val="20"/>
        </w:rPr>
        <w:t xml:space="preserve">The commercial success of YUPELRI depends upon its </w:t>
      </w:r>
      <w:r>
        <w:rPr>
          <w:sz w:val="20"/>
          <w:szCs w:val="20"/>
        </w:rPr>
        <w:t>acceptance by physicians, patients, third-party payors and the medical community in general. YUPELRI may not continue to be accepted by these parties. 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w:t>
      </w:r>
      <w:r>
        <w:rPr>
          <w:sz w:val="20"/>
          <w:szCs w:val="20"/>
        </w:rPr>
        <w:t xml:space="preserve"> per day and with short acting nebulized bronchodilators that are dosed three to four times per day. We have seen increased volatility in sales of YUPELRI coinciding with the suspension of in-person sales calls, having less access to physicians and other h</w:t>
      </w:r>
      <w:r>
        <w:rPr>
          <w:sz w:val="20"/>
          <w:szCs w:val="20"/>
        </w:rPr>
        <w:t>ealthcare providers and the progression of the COVID-19 pandemic and, if physicians, patients, third-party payors, or the medical community in general believe that nebulized therapy presents a risk of further spreading COVID-19 or that YUPELRI is otherwise</w:t>
      </w:r>
      <w:r>
        <w:rPr>
          <w:sz w:val="20"/>
          <w:szCs w:val="20"/>
        </w:rPr>
        <w:t xml:space="preserve"> not a preferred treatment option for those with COPD, we may see long-term declines. Shifts to novel marketing tactics are being deployed in an effort to keep awareness levels and business generation positive, but these untested and unvalidated tactics ma</w:t>
      </w:r>
      <w:r>
        <w:rPr>
          <w:sz w:val="20"/>
          <w:szCs w:val="20"/>
        </w:rPr>
        <w:t>y not be effective at maintaining YUPELRI brand growth. If YUPELRI’s acceptance does not continue to grow, or declines from previous levels, our business and financial results could be materially harmed.</w:t>
      </w:r>
    </w:p>
    <w:p w14:paraId="280FE1C4" w14:textId="77777777" w:rsidR="00000000" w:rsidRDefault="001F1B20">
      <w:pPr>
        <w:pStyle w:val="a3"/>
        <w:spacing w:before="0" w:beforeAutospacing="0" w:after="120" w:afterAutospacing="0"/>
        <w:divId w:val="1097943259"/>
        <w:rPr>
          <w:sz w:val="20"/>
          <w:szCs w:val="20"/>
        </w:rPr>
      </w:pPr>
      <w:r>
        <w:rPr>
          <w:b/>
          <w:bCs/>
          <w:i/>
          <w:iCs/>
          <w:sz w:val="20"/>
          <w:szCs w:val="20"/>
        </w:rPr>
        <w:t>In collaboration with Viatris, we are responsible fo</w:t>
      </w:r>
      <w:r>
        <w:rPr>
          <w:b/>
          <w:bCs/>
          <w:i/>
          <w:iCs/>
          <w:sz w:val="20"/>
          <w:szCs w:val="20"/>
        </w:rPr>
        <w:t>r marketing and sales of YUPELRI in the US, which subjects us to certain risks.</w:t>
      </w:r>
    </w:p>
    <w:p w14:paraId="0454E1E4" w14:textId="77777777" w:rsidR="00000000" w:rsidRDefault="001F1B20">
      <w:pPr>
        <w:pStyle w:val="a3"/>
        <w:spacing w:before="0" w:beforeAutospacing="0" w:after="200" w:afterAutospacing="0"/>
        <w:ind w:firstLine="720"/>
        <w:divId w:val="1097943259"/>
        <w:rPr>
          <w:sz w:val="20"/>
          <w:szCs w:val="20"/>
        </w:rPr>
      </w:pPr>
      <w:r>
        <w:rPr>
          <w:sz w:val="20"/>
          <w:szCs w:val="20"/>
        </w:rPr>
        <w:t>We currently maintain a sales force in the US and plan to continue to augment our sales and marketing personnel to support our co-promotion obligations for YUPELRI under our ag</w:t>
      </w:r>
      <w:r>
        <w:rPr>
          <w:sz w:val="20"/>
          <w:szCs w:val="20"/>
        </w:rPr>
        <w:t>reement with Viatris. The risks of fulfilling our US co-promotion obligations to Viatris include:</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08D4C6B" w14:textId="77777777">
        <w:trPr>
          <w:divId w:val="1097943259"/>
        </w:trPr>
        <w:tc>
          <w:tcPr>
            <w:tcW w:w="720" w:type="dxa"/>
            <w:vAlign w:val="center"/>
            <w:hideMark/>
          </w:tcPr>
          <w:p w14:paraId="476A9875" w14:textId="77777777" w:rsidR="00000000" w:rsidRDefault="001F1B20">
            <w:pPr>
              <w:rPr>
                <w:sz w:val="20"/>
                <w:szCs w:val="20"/>
              </w:rPr>
            </w:pPr>
          </w:p>
        </w:tc>
        <w:tc>
          <w:tcPr>
            <w:tcW w:w="360" w:type="dxa"/>
            <w:noWrap/>
            <w:tcMar>
              <w:top w:w="0" w:type="dxa"/>
              <w:left w:w="0" w:type="dxa"/>
              <w:bottom w:w="0" w:type="dxa"/>
              <w:right w:w="0" w:type="dxa"/>
            </w:tcMar>
            <w:hideMark/>
          </w:tcPr>
          <w:p w14:paraId="5F6795EC"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3EF5B46" w14:textId="77777777" w:rsidR="00000000" w:rsidRDefault="001F1B20">
            <w:pPr>
              <w:spacing w:after="200"/>
              <w:rPr>
                <w:rFonts w:eastAsia="Times New Roman"/>
                <w:sz w:val="20"/>
                <w:szCs w:val="20"/>
              </w:rPr>
            </w:pPr>
            <w:r>
              <w:rPr>
                <w:rFonts w:eastAsia="Times New Roman"/>
                <w:sz w:val="20"/>
                <w:szCs w:val="20"/>
              </w:rPr>
              <w:t>costs and expenses associated with maintaining an independent sales and marketing organization with appropriate technical expertise and supporting infrastr</w:t>
            </w:r>
            <w:r>
              <w:rPr>
                <w:rFonts w:eastAsia="Times New Roman"/>
                <w:sz w:val="20"/>
                <w:szCs w:val="20"/>
              </w:rPr>
              <w:t>ucture, including third-party vendor logistics and consultant support, which costs and expenses could, depending on the scope and method of the marketing effort, exceed any product revenue for several years;</w:t>
            </w:r>
          </w:p>
        </w:tc>
      </w:tr>
    </w:tbl>
    <w:p w14:paraId="37B9835B" w14:textId="77777777" w:rsidR="00000000" w:rsidRDefault="001F1B20">
      <w:pPr>
        <w:divId w:val="109794325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D74242A" w14:textId="77777777">
        <w:trPr>
          <w:divId w:val="1097943259"/>
        </w:trPr>
        <w:tc>
          <w:tcPr>
            <w:tcW w:w="720" w:type="dxa"/>
            <w:vAlign w:val="center"/>
            <w:hideMark/>
          </w:tcPr>
          <w:p w14:paraId="62F115C5" w14:textId="77777777" w:rsidR="00000000" w:rsidRDefault="001F1B20">
            <w:pPr>
              <w:rPr>
                <w:rFonts w:eastAsia="Times New Roman"/>
              </w:rPr>
            </w:pPr>
          </w:p>
        </w:tc>
        <w:tc>
          <w:tcPr>
            <w:tcW w:w="360" w:type="dxa"/>
            <w:noWrap/>
            <w:tcMar>
              <w:top w:w="0" w:type="dxa"/>
              <w:left w:w="0" w:type="dxa"/>
              <w:bottom w:w="0" w:type="dxa"/>
              <w:right w:w="0" w:type="dxa"/>
            </w:tcMar>
            <w:hideMark/>
          </w:tcPr>
          <w:p w14:paraId="55DD0CFE"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C4851BB" w14:textId="77777777" w:rsidR="00000000" w:rsidRDefault="001F1B20">
            <w:pPr>
              <w:spacing w:after="200"/>
              <w:rPr>
                <w:rFonts w:eastAsia="Times New Roman"/>
                <w:sz w:val="20"/>
                <w:szCs w:val="20"/>
              </w:rPr>
            </w:pPr>
            <w:r>
              <w:rPr>
                <w:rFonts w:eastAsia="Times New Roman"/>
                <w:sz w:val="20"/>
                <w:szCs w:val="20"/>
              </w:rPr>
              <w:t>our ability to retain effective sales and m</w:t>
            </w:r>
            <w:r>
              <w:rPr>
                <w:rFonts w:eastAsia="Times New Roman"/>
                <w:sz w:val="20"/>
                <w:szCs w:val="20"/>
              </w:rPr>
              <w:t>arketing personnel and medical science liaisons in the US;</w:t>
            </w:r>
          </w:p>
        </w:tc>
      </w:tr>
    </w:tbl>
    <w:p w14:paraId="0B9C1FB3" w14:textId="77777777" w:rsidR="00000000" w:rsidRDefault="001F1B20">
      <w:pPr>
        <w:divId w:val="109794325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68088C3" w14:textId="77777777">
        <w:trPr>
          <w:divId w:val="1097943259"/>
        </w:trPr>
        <w:tc>
          <w:tcPr>
            <w:tcW w:w="720" w:type="dxa"/>
            <w:vAlign w:val="center"/>
            <w:hideMark/>
          </w:tcPr>
          <w:p w14:paraId="7F78D197" w14:textId="77777777" w:rsidR="00000000" w:rsidRDefault="001F1B20">
            <w:pPr>
              <w:rPr>
                <w:rFonts w:eastAsia="Times New Roman"/>
              </w:rPr>
            </w:pPr>
          </w:p>
        </w:tc>
        <w:tc>
          <w:tcPr>
            <w:tcW w:w="360" w:type="dxa"/>
            <w:noWrap/>
            <w:tcMar>
              <w:top w:w="0" w:type="dxa"/>
              <w:left w:w="0" w:type="dxa"/>
              <w:bottom w:w="0" w:type="dxa"/>
              <w:right w:w="0" w:type="dxa"/>
            </w:tcMar>
            <w:hideMark/>
          </w:tcPr>
          <w:p w14:paraId="590D9D91"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A62AC7F" w14:textId="77777777" w:rsidR="00000000" w:rsidRDefault="001F1B20">
            <w:pPr>
              <w:spacing w:after="200"/>
              <w:rPr>
                <w:rFonts w:eastAsia="Times New Roman"/>
                <w:sz w:val="20"/>
                <w:szCs w:val="20"/>
              </w:rPr>
            </w:pPr>
            <w:r>
              <w:rPr>
                <w:rFonts w:eastAsia="Times New Roman"/>
                <w:sz w:val="20"/>
                <w:szCs w:val="20"/>
              </w:rPr>
              <w:t>the ability of our sales and marketing personnel to obtain access to and educate adequate numbers of physicians about prescribing YUPELRI, in appropriate clinical situations; and</w:t>
            </w:r>
          </w:p>
        </w:tc>
      </w:tr>
    </w:tbl>
    <w:p w14:paraId="7C0B67CB" w14:textId="77777777" w:rsidR="00000000" w:rsidRDefault="001F1B20">
      <w:pPr>
        <w:divId w:val="109794325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7084B8C" w14:textId="77777777">
        <w:trPr>
          <w:divId w:val="1097943259"/>
        </w:trPr>
        <w:tc>
          <w:tcPr>
            <w:tcW w:w="720" w:type="dxa"/>
            <w:vAlign w:val="center"/>
            <w:hideMark/>
          </w:tcPr>
          <w:p w14:paraId="5C99D779" w14:textId="77777777" w:rsidR="00000000" w:rsidRDefault="001F1B20">
            <w:pPr>
              <w:rPr>
                <w:rFonts w:eastAsia="Times New Roman"/>
              </w:rPr>
            </w:pPr>
          </w:p>
        </w:tc>
        <w:tc>
          <w:tcPr>
            <w:tcW w:w="360" w:type="dxa"/>
            <w:noWrap/>
            <w:tcMar>
              <w:top w:w="0" w:type="dxa"/>
              <w:left w:w="0" w:type="dxa"/>
              <w:bottom w:w="0" w:type="dxa"/>
              <w:right w:w="0" w:type="dxa"/>
            </w:tcMar>
            <w:hideMark/>
          </w:tcPr>
          <w:p w14:paraId="14EC1932"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08F5DA5" w14:textId="77777777" w:rsidR="00000000" w:rsidRDefault="001F1B20">
            <w:pPr>
              <w:rPr>
                <w:rFonts w:eastAsia="Times New Roman"/>
                <w:sz w:val="20"/>
                <w:szCs w:val="20"/>
              </w:rPr>
            </w:pPr>
            <w:r>
              <w:rPr>
                <w:rFonts w:eastAsia="Times New Roman"/>
                <w:sz w:val="20"/>
                <w:szCs w:val="20"/>
              </w:rPr>
              <w:t>the lack of complementary products to be offered by sales personnel, which may put us at a competitive disadvantage relative to companies with more extensive product lines.</w:t>
            </w:r>
          </w:p>
        </w:tc>
      </w:tr>
    </w:tbl>
    <w:p w14:paraId="74471412" w14:textId="77777777" w:rsidR="00000000" w:rsidRDefault="001F1B20">
      <w:pPr>
        <w:pStyle w:val="a3"/>
        <w:spacing w:before="0" w:beforeAutospacing="0" w:after="200" w:afterAutospacing="0"/>
        <w:ind w:firstLine="720"/>
        <w:divId w:val="1097943259"/>
        <w:rPr>
          <w:sz w:val="20"/>
          <w:szCs w:val="20"/>
        </w:rPr>
      </w:pPr>
      <w:r>
        <w:rPr>
          <w:sz w:val="20"/>
          <w:szCs w:val="20"/>
        </w:rPr>
        <w:t>If we are not successful in maintaining a sales and marketing organization with ap</w:t>
      </w:r>
      <w:r>
        <w:rPr>
          <w:sz w:val="20"/>
          <w:szCs w:val="20"/>
        </w:rPr>
        <w:t xml:space="preserve">propriate experience, technical expertise, supporting infrastructure and the ability to obtain access to and educate adequate numbers of physicians about prescribing YUPELRI in appropriate clinical situations, we will have difficulty maintaining effective </w:t>
      </w:r>
      <w:r>
        <w:rPr>
          <w:sz w:val="20"/>
          <w:szCs w:val="20"/>
        </w:rPr>
        <w:t>commercialization of YUPELRI in the hospital setting, which would adversely affect our business and financial results and the condition and the price of our securities could fall.</w:t>
      </w:r>
    </w:p>
    <w:p w14:paraId="65D9EB0D" w14:textId="77777777" w:rsidR="00000000" w:rsidRDefault="001F1B20">
      <w:pPr>
        <w:pStyle w:val="a3"/>
        <w:spacing w:before="360" w:beforeAutospacing="0" w:after="0" w:afterAutospacing="0"/>
        <w:jc w:val="center"/>
        <w:divId w:val="227234545"/>
        <w:rPr>
          <w:sz w:val="20"/>
          <w:szCs w:val="20"/>
        </w:rPr>
      </w:pPr>
      <w:r>
        <w:rPr>
          <w:sz w:val="20"/>
          <w:szCs w:val="20"/>
        </w:rPr>
        <w:t>55</w:t>
      </w:r>
    </w:p>
    <w:p w14:paraId="741B3CF1" w14:textId="77777777" w:rsidR="00000000" w:rsidRDefault="001F1B20">
      <w:pPr>
        <w:pStyle w:val="a3"/>
        <w:spacing w:before="0" w:beforeAutospacing="0" w:after="600" w:afterAutospacing="0"/>
        <w:divId w:val="533924811"/>
        <w:rPr>
          <w:sz w:val="20"/>
          <w:szCs w:val="20"/>
        </w:rPr>
      </w:pPr>
      <w:hyperlink w:anchor="TOC" w:history="1">
        <w:r>
          <w:rPr>
            <w:rStyle w:val="a4"/>
            <w:sz w:val="20"/>
            <w:szCs w:val="20"/>
          </w:rPr>
          <w:t>Table of Contents</w:t>
        </w:r>
      </w:hyperlink>
    </w:p>
    <w:p w14:paraId="53FDE6FB" w14:textId="77777777" w:rsidR="00000000" w:rsidRDefault="001F1B20">
      <w:pPr>
        <w:pStyle w:val="a3"/>
        <w:spacing w:before="0" w:beforeAutospacing="0" w:after="120" w:afterAutospacing="0"/>
        <w:divId w:val="1903565401"/>
        <w:rPr>
          <w:sz w:val="20"/>
          <w:szCs w:val="20"/>
        </w:rPr>
      </w:pPr>
      <w:r>
        <w:rPr>
          <w:b/>
          <w:bCs/>
          <w:i/>
          <w:iCs/>
          <w:sz w:val="20"/>
          <w:szCs w:val="20"/>
        </w:rPr>
        <w:t>We are subject to extensive a</w:t>
      </w:r>
      <w:r>
        <w:rPr>
          <w:b/>
          <w:bCs/>
          <w:i/>
          <w:iCs/>
          <w:sz w:val="20"/>
          <w:szCs w:val="20"/>
        </w:rPr>
        <w:t>nd ongoing regulation, oversight and other requirements by the FDA and failure to comply with these regulations and requirements may subject us to penalties that may adversely affect our financial condition or our ability to commercialize any approved prod</w:t>
      </w:r>
      <w:r>
        <w:rPr>
          <w:b/>
          <w:bCs/>
          <w:i/>
          <w:iCs/>
          <w:sz w:val="20"/>
          <w:szCs w:val="20"/>
        </w:rPr>
        <w:t>ucts.</w:t>
      </w:r>
    </w:p>
    <w:p w14:paraId="4E9307B8" w14:textId="77777777" w:rsidR="00000000" w:rsidRDefault="001F1B20">
      <w:pPr>
        <w:pStyle w:val="a3"/>
        <w:spacing w:before="0" w:beforeAutospacing="0" w:after="200" w:afterAutospacing="0"/>
        <w:ind w:firstLine="720"/>
        <w:divId w:val="1903565401"/>
        <w:rPr>
          <w:sz w:val="20"/>
          <w:szCs w:val="20"/>
        </w:rPr>
      </w:pPr>
      <w:r>
        <w:rPr>
          <w:sz w:val="20"/>
          <w:szCs w:val="20"/>
        </w:rPr>
        <w:t>Prescription drug advertising and promotion are closely scrutinized by the FDA, including substantiation of promotional claims, disclosure of risks and safety information, and the use of themes and imagery in advertising and promotional materials. As</w:t>
      </w:r>
      <w:r>
        <w:rPr>
          <w:sz w:val="20"/>
          <w:szCs w:val="20"/>
        </w:rPr>
        <w:t xml:space="preserve"> with all companies selling and marketing products regulated by the FDA in the US, we are prohibited from promoting any uses of an approved product, such as YUPELRI, that are outside the scope of those uses that have been expressly approved by the FDA as s</w:t>
      </w:r>
      <w:r>
        <w:rPr>
          <w:sz w:val="20"/>
          <w:szCs w:val="20"/>
        </w:rPr>
        <w:t>afe and effective on the product’s label.</w:t>
      </w:r>
    </w:p>
    <w:p w14:paraId="799C0431" w14:textId="77777777" w:rsidR="00000000" w:rsidRDefault="001F1B20">
      <w:pPr>
        <w:pStyle w:val="a3"/>
        <w:spacing w:before="0" w:beforeAutospacing="0" w:after="200" w:afterAutospacing="0"/>
        <w:ind w:firstLine="720"/>
        <w:divId w:val="1903565401"/>
        <w:rPr>
          <w:sz w:val="20"/>
          <w:szCs w:val="20"/>
        </w:rPr>
      </w:pPr>
      <w:r>
        <w:rPr>
          <w:sz w:val="20"/>
          <w:szCs w:val="20"/>
        </w:rPr>
        <w:t xml:space="preserve">The manufacturing, labeling, packaging, adverse event reporting, advertising, promotion and recordkeeping for an approved product remain subject to extensive and ongoing regulatory requirements. If we become aware </w:t>
      </w:r>
      <w:r>
        <w:rPr>
          <w:sz w:val="20"/>
          <w:szCs w:val="20"/>
        </w:rPr>
        <w:t>of previously unknown problems with an approved product in the US or overseas or at a contract manufacturer’s facilities, a regulatory authority may impose restrictions on the product, the contract manufacturers or on us, including requiring us to reformul</w:t>
      </w:r>
      <w:r>
        <w:rPr>
          <w:sz w:val="20"/>
          <w:szCs w:val="20"/>
        </w:rPr>
        <w:t>ate the product, conduct additional clinical studies, change the labeling of the product, withdraw the product from the market or require the contract manufacturer to implement changes to its facilities.</w:t>
      </w:r>
    </w:p>
    <w:p w14:paraId="7159D0A5" w14:textId="77777777" w:rsidR="00000000" w:rsidRDefault="001F1B20">
      <w:pPr>
        <w:pStyle w:val="a3"/>
        <w:spacing w:before="0" w:beforeAutospacing="0" w:after="200" w:afterAutospacing="0"/>
        <w:ind w:firstLine="720"/>
        <w:divId w:val="1903565401"/>
        <w:rPr>
          <w:sz w:val="20"/>
          <w:szCs w:val="20"/>
        </w:rPr>
      </w:pPr>
      <w:r>
        <w:rPr>
          <w:sz w:val="20"/>
          <w:szCs w:val="20"/>
        </w:rPr>
        <w:t>We are also subject to regulation by regional, natio</w:t>
      </w:r>
      <w:r>
        <w:rPr>
          <w:sz w:val="20"/>
          <w:szCs w:val="20"/>
        </w:rPr>
        <w:t>nal, state and local agencies, including the Department of Justice, the Federal Trade Commission, the Office of Inspector General of the US Department of Health and Human Services (“OIG”) and other regulatory bodies with respect to any approved product, su</w:t>
      </w:r>
      <w:r>
        <w:rPr>
          <w:sz w:val="20"/>
          <w:szCs w:val="20"/>
        </w:rPr>
        <w:t>ch as YUPELRI, as well as governmental authorities in those foreign countries in which any product is approved for commercialization. The Federal Food, Drug, and Cosmetic Act, the Public Health Service Act and other federal and state statutes and regulatio</w:t>
      </w:r>
      <w:r>
        <w:rPr>
          <w:sz w:val="20"/>
          <w:szCs w:val="20"/>
        </w:rPr>
        <w:t>ns govern to varying degrees the research, development, manufacturing and commercial activities relating to prescription pharmaceutical products, including non-clinical and clinical testing, approval, production, labeling, sale, distribution, import, expor</w:t>
      </w:r>
      <w:r>
        <w:rPr>
          <w:sz w:val="20"/>
          <w:szCs w:val="20"/>
        </w:rPr>
        <w:t>t, post-market surveillance, advertising, dissemination of information and promotion. If we or any third parties that provide these services for us are unable to comply, we may be subject to regulatory or civil actions or penalties that could significantly</w:t>
      </w:r>
      <w:r>
        <w:rPr>
          <w:sz w:val="20"/>
          <w:szCs w:val="20"/>
        </w:rPr>
        <w:t xml:space="preserve"> and adversely affect our business.</w:t>
      </w:r>
    </w:p>
    <w:p w14:paraId="1DA64C18" w14:textId="77777777" w:rsidR="00000000" w:rsidRDefault="001F1B20">
      <w:pPr>
        <w:pStyle w:val="a3"/>
        <w:spacing w:before="0" w:beforeAutospacing="0" w:after="200" w:afterAutospacing="0"/>
        <w:ind w:firstLine="720"/>
        <w:divId w:val="1903565401"/>
        <w:rPr>
          <w:sz w:val="20"/>
          <w:szCs w:val="20"/>
        </w:rPr>
      </w:pPr>
      <w:r>
        <w:rPr>
          <w:sz w:val="20"/>
          <w:szCs w:val="20"/>
        </w:rPr>
        <w:t>Regulatory approval for our product candidates, if any, may include similar or other limitations on the indicated uses for which we can market our medicines or the patient population that may utilize our medicines, which</w:t>
      </w:r>
      <w:r>
        <w:rPr>
          <w:sz w:val="20"/>
          <w:szCs w:val="20"/>
        </w:rPr>
        <w:t xml:space="preserve"> may limit the market for our medicines or put us at a competitive disadvantage relative to alternative therapies.</w:t>
      </w:r>
    </w:p>
    <w:p w14:paraId="0FC1FBD4" w14:textId="77777777" w:rsidR="00000000" w:rsidRDefault="001F1B20">
      <w:pPr>
        <w:pStyle w:val="a3"/>
        <w:spacing w:before="0" w:beforeAutospacing="0" w:after="200" w:afterAutospacing="0"/>
        <w:ind w:firstLine="720"/>
        <w:divId w:val="1903565401"/>
        <w:rPr>
          <w:sz w:val="20"/>
          <w:szCs w:val="20"/>
        </w:rPr>
      </w:pPr>
      <w:r>
        <w:rPr>
          <w:sz w:val="20"/>
          <w:szCs w:val="20"/>
        </w:rPr>
        <w:t xml:space="preserve">Failure to satisfy required post-approval requirements and/or commitments may have implications for a product’s approval and may carry civil </w:t>
      </w:r>
      <w:r>
        <w:rPr>
          <w:sz w:val="20"/>
          <w:szCs w:val="20"/>
        </w:rPr>
        <w:t>monetary penalties. Any failure to maintain regulatory approval will materially limit the ability to commercialize a product or any future product candidates and if we fail to comply with FDA regulations and requirements, the FDA could potentially take a n</w:t>
      </w:r>
      <w:r>
        <w:rPr>
          <w:sz w:val="20"/>
          <w:szCs w:val="20"/>
        </w:rPr>
        <w:t>umber of enforcement actions against us, including the issuance of untitled letters, warning letters, preventing the introduction or delivery of the product into interstate commerce in the US, misbranding charges, product seizures, injunctions, and civil m</w:t>
      </w:r>
      <w:r>
        <w:rPr>
          <w:sz w:val="20"/>
          <w:szCs w:val="20"/>
        </w:rPr>
        <w:t>onetary penalties, which would materially and adversely affect our business and financial condition and may cause the price of our securities to fall.</w:t>
      </w:r>
    </w:p>
    <w:p w14:paraId="1FE6B5F4" w14:textId="77777777" w:rsidR="00000000" w:rsidRDefault="001F1B20">
      <w:pPr>
        <w:pStyle w:val="a3"/>
        <w:spacing w:before="0" w:beforeAutospacing="0" w:after="200" w:afterAutospacing="0"/>
        <w:ind w:firstLine="720"/>
        <w:divId w:val="1903565401"/>
        <w:rPr>
          <w:sz w:val="20"/>
          <w:szCs w:val="20"/>
        </w:rPr>
      </w:pPr>
      <w:r>
        <w:rPr>
          <w:sz w:val="20"/>
          <w:szCs w:val="20"/>
        </w:rPr>
        <w:t xml:space="preserve">The risks identified in this risk factor relating to regulatory actions and oversight by agencies in the </w:t>
      </w:r>
      <w:r>
        <w:rPr>
          <w:sz w:val="20"/>
          <w:szCs w:val="20"/>
        </w:rPr>
        <w:t>US and throughout the world also apply to the commercialization of any partnered products by our collaboration partners and those commercializing products with respect to which we have an economic interest or right to receive royalties, including GSK and C</w:t>
      </w:r>
      <w:r>
        <w:rPr>
          <w:sz w:val="20"/>
          <w:szCs w:val="20"/>
        </w:rPr>
        <w:t xml:space="preserve">umberland Pharmaceuticals Inc. (“Cumberland”), and such regulatory actions and oversight may limit those parties’ ability to commercialize such products, which could materially and adversely affect our business and financial condition, and which may cause </w:t>
      </w:r>
      <w:r>
        <w:rPr>
          <w:sz w:val="20"/>
          <w:szCs w:val="20"/>
        </w:rPr>
        <w:t>the price of our securities to fall.</w:t>
      </w:r>
    </w:p>
    <w:p w14:paraId="70DF257C" w14:textId="77777777" w:rsidR="00000000" w:rsidRDefault="001F1B20">
      <w:pPr>
        <w:pStyle w:val="a3"/>
        <w:spacing w:before="0" w:beforeAutospacing="0" w:after="120" w:afterAutospacing="0"/>
        <w:divId w:val="1903565401"/>
        <w:rPr>
          <w:sz w:val="20"/>
          <w:szCs w:val="20"/>
        </w:rPr>
      </w:pPr>
      <w:r>
        <w:rPr>
          <w:b/>
          <w:bCs/>
          <w:i/>
          <w:iCs/>
          <w:sz w:val="20"/>
          <w:szCs w:val="20"/>
        </w:rPr>
        <w:t>We and/or our collaboration partners and those commercializing products with respect to which we have an economic interest or right to receive royalties may face competition from companies seeking to market generic vers</w:t>
      </w:r>
      <w:r>
        <w:rPr>
          <w:b/>
          <w:bCs/>
          <w:i/>
          <w:iCs/>
          <w:sz w:val="20"/>
          <w:szCs w:val="20"/>
        </w:rPr>
        <w:t>ions of any approved products in which we have an interest, such as TRELEGY or YUPELRI.</w:t>
      </w:r>
    </w:p>
    <w:p w14:paraId="3BADE9B4" w14:textId="77777777" w:rsidR="00000000" w:rsidRDefault="001F1B20">
      <w:pPr>
        <w:pStyle w:val="a3"/>
        <w:spacing w:before="0" w:beforeAutospacing="0" w:after="0" w:afterAutospacing="0"/>
        <w:ind w:firstLine="720"/>
        <w:divId w:val="1903565401"/>
        <w:rPr>
          <w:sz w:val="20"/>
          <w:szCs w:val="20"/>
        </w:rPr>
      </w:pPr>
      <w:r>
        <w:rPr>
          <w:sz w:val="20"/>
          <w:szCs w:val="20"/>
        </w:rPr>
        <w:t xml:space="preserve">Under the Drug Price Competition and Patent Term Restoration Act of 1984, a company may submit an abbreviated new drug application (“ANDA”) under section 505(j) of the </w:t>
      </w:r>
      <w:r>
        <w:rPr>
          <w:sz w:val="20"/>
          <w:szCs w:val="20"/>
        </w:rPr>
        <w:t>Federal Food, Drug, and Cosmetic Act to market a generic version of an approved drug. Because a generic applicant does not conduct its own clinical studies, but instead relies on the FDA’s finding of safety and effectiveness for the approved drug, it is ab</w:t>
      </w:r>
      <w:r>
        <w:rPr>
          <w:sz w:val="20"/>
          <w:szCs w:val="20"/>
        </w:rPr>
        <w:t xml:space="preserve">le to introduce a competing product into the market at a cost significantly below that of the original drug. Although we have multiple patents protecting YUPELRI until at least </w:t>
      </w:r>
    </w:p>
    <w:p w14:paraId="19EB6859" w14:textId="77777777" w:rsidR="00000000" w:rsidRDefault="001F1B20">
      <w:pPr>
        <w:pStyle w:val="a3"/>
        <w:spacing w:before="360" w:beforeAutospacing="0" w:after="0" w:afterAutospacing="0"/>
        <w:jc w:val="center"/>
        <w:divId w:val="1336417392"/>
        <w:rPr>
          <w:sz w:val="20"/>
          <w:szCs w:val="20"/>
        </w:rPr>
      </w:pPr>
      <w:r>
        <w:rPr>
          <w:sz w:val="20"/>
          <w:szCs w:val="20"/>
        </w:rPr>
        <w:t>56</w:t>
      </w:r>
    </w:p>
    <w:p w14:paraId="770EDC85" w14:textId="77777777" w:rsidR="00000000" w:rsidRDefault="001F1B20">
      <w:pPr>
        <w:pStyle w:val="a3"/>
        <w:spacing w:before="0" w:beforeAutospacing="0" w:after="600" w:afterAutospacing="0"/>
        <w:divId w:val="1089156058"/>
        <w:rPr>
          <w:sz w:val="20"/>
          <w:szCs w:val="20"/>
        </w:rPr>
      </w:pPr>
      <w:hyperlink w:anchor="TOC" w:history="1">
        <w:r>
          <w:rPr>
            <w:rStyle w:val="a4"/>
            <w:sz w:val="20"/>
            <w:szCs w:val="20"/>
          </w:rPr>
          <w:t>Table of Contents</w:t>
        </w:r>
      </w:hyperlink>
    </w:p>
    <w:p w14:paraId="102ED161" w14:textId="77777777" w:rsidR="00000000" w:rsidRDefault="001F1B20">
      <w:pPr>
        <w:pStyle w:val="a3"/>
        <w:spacing w:before="0" w:beforeAutospacing="0" w:after="200" w:afterAutospacing="0"/>
        <w:divId w:val="1535534629"/>
        <w:rPr>
          <w:sz w:val="20"/>
          <w:szCs w:val="20"/>
        </w:rPr>
      </w:pPr>
      <w:r>
        <w:rPr>
          <w:sz w:val="20"/>
          <w:szCs w:val="20"/>
        </w:rPr>
        <w:t>2025 that are listed in the FDA</w:t>
      </w:r>
      <w:r>
        <w:rPr>
          <w:sz w:val="20"/>
          <w:szCs w:val="20"/>
        </w:rPr>
        <w:t>’s Approved Drug Products with Therapeutic Equivalence Evaluations, commonly known as the Orange Book, and those commercializing products with respect to which we have an economic interest or right to receive royalties similarly have patents protecting the</w:t>
      </w:r>
      <w:r>
        <w:rPr>
          <w:sz w:val="20"/>
          <w:szCs w:val="20"/>
        </w:rPr>
        <w:t>ir products, such as TRELEGY and VIBATIV, generic applicants could potentially submit “paragraph IV certifications” to FDA stating that such patents are invalid or will not be infringed by the applicant’s product. We have not received any such paragraph IV</w:t>
      </w:r>
      <w:r>
        <w:rPr>
          <w:sz w:val="20"/>
          <w:szCs w:val="20"/>
        </w:rPr>
        <w:t xml:space="preserve"> notifications nor are we aware of any with respect to products in which we have an economic interest or right to receive royalties, but if any competitors successfully challenge the patents related to these products, we and/or our collaboration partners a</w:t>
      </w:r>
      <w:r>
        <w:rPr>
          <w:sz w:val="20"/>
          <w:szCs w:val="20"/>
        </w:rPr>
        <w:t>nd those commercializing products with respect to which we have an economic interest or right to receive royalties would face substantial competition. If we are not able to compete effectively against such future competition, our business will not grow, ou</w:t>
      </w:r>
      <w:r>
        <w:rPr>
          <w:sz w:val="20"/>
          <w:szCs w:val="20"/>
        </w:rPr>
        <w:t>r financial condition and operations will suffer and the price of our securities could fall.</w:t>
      </w:r>
    </w:p>
    <w:p w14:paraId="6F2341D7" w14:textId="77777777" w:rsidR="00000000" w:rsidRDefault="001F1B20">
      <w:pPr>
        <w:pStyle w:val="a3"/>
        <w:spacing w:before="0" w:beforeAutospacing="0" w:after="200" w:afterAutospacing="0"/>
        <w:ind w:firstLine="720"/>
        <w:divId w:val="1535534629"/>
        <w:rPr>
          <w:sz w:val="20"/>
          <w:szCs w:val="20"/>
        </w:rPr>
      </w:pPr>
      <w:r>
        <w:rPr>
          <w:sz w:val="20"/>
          <w:szCs w:val="20"/>
        </w:rPr>
        <w:t>For additional discussion of the risk of generic competition to YUPELRI, please see the following risk factor below “</w:t>
      </w:r>
      <w:r>
        <w:rPr>
          <w:i/>
          <w:iCs/>
          <w:sz w:val="20"/>
          <w:szCs w:val="20"/>
        </w:rPr>
        <w:t>If our efforts to protect the proprietary nature of the intellectual property related to our technologies are not adequate, we may not be a</w:t>
      </w:r>
      <w:r>
        <w:rPr>
          <w:i/>
          <w:iCs/>
          <w:sz w:val="20"/>
          <w:szCs w:val="20"/>
        </w:rPr>
        <w:t>ble to compete effectively in our current or future markets</w:t>
      </w:r>
      <w:r>
        <w:rPr>
          <w:sz w:val="20"/>
          <w:szCs w:val="20"/>
        </w:rPr>
        <w:t>.”</w:t>
      </w:r>
    </w:p>
    <w:p w14:paraId="36A1B983" w14:textId="77777777" w:rsidR="00000000" w:rsidRDefault="001F1B20">
      <w:pPr>
        <w:pStyle w:val="a3"/>
        <w:spacing w:before="0" w:beforeAutospacing="0" w:after="120" w:afterAutospacing="0"/>
        <w:divId w:val="1535534629"/>
        <w:rPr>
          <w:sz w:val="20"/>
          <w:szCs w:val="20"/>
        </w:rPr>
      </w:pPr>
      <w:r>
        <w:rPr>
          <w:b/>
          <w:bCs/>
          <w:i/>
          <w:iCs/>
          <w:sz w:val="20"/>
          <w:szCs w:val="20"/>
        </w:rPr>
        <w:t>We may be treated as a US corporation for US federal income tax purposes.</w:t>
      </w:r>
    </w:p>
    <w:p w14:paraId="75569959" w14:textId="77777777" w:rsidR="00000000" w:rsidRDefault="001F1B20">
      <w:pPr>
        <w:pStyle w:val="a3"/>
        <w:spacing w:before="0" w:beforeAutospacing="0" w:after="200" w:afterAutospacing="0"/>
        <w:ind w:firstLine="720"/>
        <w:divId w:val="1535534629"/>
        <w:rPr>
          <w:sz w:val="20"/>
          <w:szCs w:val="20"/>
        </w:rPr>
      </w:pPr>
      <w:r>
        <w:rPr>
          <w:sz w:val="20"/>
          <w:szCs w:val="20"/>
        </w:rPr>
        <w:t>For US federal income tax purposes, a corporation generally is considered tax resident in the place of its incorporation</w:t>
      </w:r>
      <w:r>
        <w:rPr>
          <w:sz w:val="20"/>
          <w:szCs w:val="20"/>
        </w:rPr>
        <w:t>. Theravance Biopharma is incorporated under Cayman Islands law and established tax residency in Ireland effective July 1, 2015. Therefore, it should be a non-US corporation under this general rule. However, Section 7874 of the Internal Revenue Code of 198</w:t>
      </w:r>
      <w:r>
        <w:rPr>
          <w:sz w:val="20"/>
          <w:szCs w:val="20"/>
        </w:rPr>
        <w:t>6, as amended (the “Code”), contains rules that may result in a foreign corporation being treated as a US corporation for US federal income tax purposes. The application of these rules is complex and there is little guidance regarding certain aspects of th</w:t>
      </w:r>
      <w:r>
        <w:rPr>
          <w:sz w:val="20"/>
          <w:szCs w:val="20"/>
        </w:rPr>
        <w:t>eir application.</w:t>
      </w:r>
    </w:p>
    <w:p w14:paraId="1645E578" w14:textId="77777777" w:rsidR="00000000" w:rsidRDefault="001F1B20">
      <w:pPr>
        <w:pStyle w:val="a3"/>
        <w:spacing w:before="0" w:beforeAutospacing="0" w:after="200" w:afterAutospacing="0"/>
        <w:ind w:firstLine="720"/>
        <w:divId w:val="1535534629"/>
        <w:rPr>
          <w:sz w:val="20"/>
          <w:szCs w:val="20"/>
        </w:rPr>
      </w:pPr>
      <w:r>
        <w:rPr>
          <w:sz w:val="20"/>
          <w:szCs w:val="20"/>
        </w:rPr>
        <w:t>Under Section 7874 of the Code, a corporation created or organized outside the US will be treated as a US corporation for US federal tax purposes if (i) the foreign corporation directly or indirectly acquires substantially all of the prope</w:t>
      </w:r>
      <w:r>
        <w:rPr>
          <w:sz w:val="20"/>
          <w:szCs w:val="20"/>
        </w:rPr>
        <w:t>rties held directly or indirectly by a US corporation, (ii) the former shareholders of the acquired US corporation hold at least 80% of the vote or value of the shares of the foreign acquiring corporation by reason of holding stock in the US acquired corpo</w:t>
      </w:r>
      <w:r>
        <w:rPr>
          <w:sz w:val="20"/>
          <w:szCs w:val="20"/>
        </w:rPr>
        <w:t>ration, and (iii) the foreign corporation’s “expanded affiliated group” does not have “substantial business activities” in the foreign corporation’s country of incorporation relative to its expanded affiliated group’s worldwide activities. For this purpose</w:t>
      </w:r>
      <w:r>
        <w:rPr>
          <w:sz w:val="20"/>
          <w:szCs w:val="20"/>
        </w:rPr>
        <w:t>, “expanded affiliated group” generally means the foreign corporation and all subsidiaries in which the foreign corporation, directly or indirectly, owns more than 50% of the stock by vote and value, and “substantial business activities” generally means at</w:t>
      </w:r>
      <w:r>
        <w:rPr>
          <w:sz w:val="20"/>
          <w:szCs w:val="20"/>
        </w:rPr>
        <w:t xml:space="preserve"> least 25% of employees (by number and compensation), assets and gross income of our expanded affiliated group are based, located and derived, respectively, in the country of incorporation.</w:t>
      </w:r>
    </w:p>
    <w:p w14:paraId="1280E312" w14:textId="77777777" w:rsidR="00000000" w:rsidRDefault="001F1B20">
      <w:pPr>
        <w:pStyle w:val="a3"/>
        <w:spacing w:before="0" w:beforeAutospacing="0" w:after="200" w:afterAutospacing="0"/>
        <w:ind w:firstLine="720"/>
        <w:divId w:val="1535534629"/>
        <w:rPr>
          <w:sz w:val="20"/>
          <w:szCs w:val="20"/>
        </w:rPr>
      </w:pPr>
      <w:r>
        <w:rPr>
          <w:sz w:val="20"/>
          <w:szCs w:val="20"/>
        </w:rPr>
        <w:t>We do not expect to be treated as a US corporation under Section 7</w:t>
      </w:r>
      <w:r>
        <w:rPr>
          <w:sz w:val="20"/>
          <w:szCs w:val="20"/>
        </w:rPr>
        <w:t>874 of the Code, because we do not believe that the assets contributed to us by Innoviva constituted “substantially all” of the properties of Innoviva (as determined on both a gross and net fair market value basis). However, the Internal Revenue Service ma</w:t>
      </w:r>
      <w:r>
        <w:rPr>
          <w:sz w:val="20"/>
          <w:szCs w:val="20"/>
        </w:rPr>
        <w:t>y disagree with our conclusion on this point and assert that, in its view, the assets contributed to us by Innoviva did constitute “substantially all” of the properties of Innoviva. In addition, there could be legislative proposals to expand the scope of U</w:t>
      </w:r>
      <w:r>
        <w:rPr>
          <w:sz w:val="20"/>
          <w:szCs w:val="20"/>
        </w:rPr>
        <w:t>S corporate tax residence and there could be changes to Section 7874 of the Code or the Treasury Regulations promulgated thereunder that could apply retroactively and could result in Theravance Biopharma being treated as a US corporation.</w:t>
      </w:r>
    </w:p>
    <w:p w14:paraId="7593DF09" w14:textId="77777777" w:rsidR="00000000" w:rsidRDefault="001F1B20">
      <w:pPr>
        <w:pStyle w:val="a3"/>
        <w:spacing w:before="0" w:beforeAutospacing="0" w:after="200" w:afterAutospacing="0"/>
        <w:ind w:firstLine="720"/>
        <w:divId w:val="1535534629"/>
        <w:rPr>
          <w:sz w:val="20"/>
          <w:szCs w:val="20"/>
        </w:rPr>
      </w:pPr>
      <w:r>
        <w:rPr>
          <w:sz w:val="20"/>
          <w:szCs w:val="20"/>
        </w:rPr>
        <w:t>If it were determ</w:t>
      </w:r>
      <w:r>
        <w:rPr>
          <w:sz w:val="20"/>
          <w:szCs w:val="20"/>
        </w:rPr>
        <w:t>ined that we should be treated as a US corporation for US federal income tax purposes, we could be liable for substantial additional US federal income tax on our post-Spin-Off taxable income. In addition, though we have no current plans to pay any dividend</w:t>
      </w:r>
      <w:r>
        <w:rPr>
          <w:sz w:val="20"/>
          <w:szCs w:val="20"/>
        </w:rPr>
        <w:t>s, payments of any dividends to non-US holders may be subject to US withholding tax.</w:t>
      </w:r>
    </w:p>
    <w:p w14:paraId="44E050A2" w14:textId="77777777" w:rsidR="00000000" w:rsidRDefault="001F1B20">
      <w:pPr>
        <w:pStyle w:val="a3"/>
        <w:spacing w:before="0" w:beforeAutospacing="0" w:after="120" w:afterAutospacing="0"/>
        <w:divId w:val="1535534629"/>
        <w:rPr>
          <w:sz w:val="20"/>
          <w:szCs w:val="20"/>
        </w:rPr>
      </w:pPr>
      <w:r>
        <w:rPr>
          <w:b/>
          <w:bCs/>
          <w:i/>
          <w:iCs/>
          <w:sz w:val="20"/>
          <w:szCs w:val="20"/>
        </w:rPr>
        <w:t>Future tax reform, including changes in tax rates and imposition of new taxes, could impact our results of operations and financial condition.</w:t>
      </w:r>
    </w:p>
    <w:p w14:paraId="6C823423" w14:textId="77777777" w:rsidR="00000000" w:rsidRDefault="001F1B20">
      <w:pPr>
        <w:pStyle w:val="a3"/>
        <w:spacing w:before="0" w:beforeAutospacing="0" w:after="0" w:afterAutospacing="0"/>
        <w:ind w:firstLine="720"/>
        <w:divId w:val="1535534629"/>
        <w:rPr>
          <w:sz w:val="20"/>
          <w:szCs w:val="20"/>
        </w:rPr>
      </w:pPr>
      <w:r>
        <w:rPr>
          <w:sz w:val="20"/>
          <w:szCs w:val="20"/>
        </w:rPr>
        <w:t>We are incorporated in the C</w:t>
      </w:r>
      <w:r>
        <w:rPr>
          <w:sz w:val="20"/>
          <w:szCs w:val="20"/>
        </w:rPr>
        <w:t xml:space="preserve">ayman Islands, maintain subsidiaries in the Cayman Islands (until December 2020), the US, the UK and Ireland, and effective July 1, 2015, we migrated our tax residency from the Cayman Islands to Ireland. We are subject to new, evolving or revised tax laws </w:t>
      </w:r>
      <w:r>
        <w:rPr>
          <w:sz w:val="20"/>
          <w:szCs w:val="20"/>
        </w:rPr>
        <w:t xml:space="preserve">and regulations in such jurisdictions, and the enactment of or increases in taxes, or other changes in the application of existing taxes, in such jurisdictions may have an adverse effect on our business or on our results of operations. Due to economic and </w:t>
      </w:r>
      <w:r>
        <w:rPr>
          <w:sz w:val="20"/>
          <w:szCs w:val="20"/>
        </w:rPr>
        <w:t>political conditions, tax rates in various jurisdictions may be subject to significant change. Our future effective tax rate could be affected by changes in our mix of earnings in countries with</w:t>
      </w:r>
      <w:r>
        <w:rPr>
          <w:sz w:val="20"/>
          <w:szCs w:val="20"/>
        </w:rPr>
        <w:t xml:space="preserve"> </w:t>
      </w:r>
    </w:p>
    <w:p w14:paraId="5A170206" w14:textId="77777777" w:rsidR="00000000" w:rsidRDefault="001F1B20">
      <w:pPr>
        <w:pStyle w:val="a3"/>
        <w:spacing w:before="360" w:beforeAutospacing="0" w:after="0" w:afterAutospacing="0"/>
        <w:jc w:val="center"/>
        <w:divId w:val="1251740609"/>
        <w:rPr>
          <w:sz w:val="20"/>
          <w:szCs w:val="20"/>
        </w:rPr>
      </w:pPr>
      <w:r>
        <w:rPr>
          <w:sz w:val="20"/>
          <w:szCs w:val="20"/>
        </w:rPr>
        <w:t>57</w:t>
      </w:r>
    </w:p>
    <w:p w14:paraId="3FB57BD1" w14:textId="77777777" w:rsidR="00000000" w:rsidRDefault="001F1B20">
      <w:pPr>
        <w:pStyle w:val="a3"/>
        <w:spacing w:before="0" w:beforeAutospacing="0" w:after="600" w:afterAutospacing="0"/>
        <w:divId w:val="510871952"/>
        <w:rPr>
          <w:sz w:val="20"/>
          <w:szCs w:val="20"/>
        </w:rPr>
      </w:pPr>
      <w:hyperlink w:anchor="TOC" w:history="1">
        <w:r>
          <w:rPr>
            <w:rStyle w:val="a4"/>
            <w:sz w:val="20"/>
            <w:szCs w:val="20"/>
          </w:rPr>
          <w:t>Table of Contents</w:t>
        </w:r>
      </w:hyperlink>
    </w:p>
    <w:p w14:paraId="305BE063" w14:textId="77777777" w:rsidR="00000000" w:rsidRDefault="001F1B20">
      <w:pPr>
        <w:pStyle w:val="a3"/>
        <w:spacing w:before="0" w:beforeAutospacing="0" w:after="200" w:afterAutospacing="0"/>
        <w:divId w:val="721254512"/>
        <w:rPr>
          <w:sz w:val="20"/>
          <w:szCs w:val="20"/>
        </w:rPr>
      </w:pPr>
      <w:r>
        <w:rPr>
          <w:sz w:val="20"/>
          <w:szCs w:val="20"/>
        </w:rPr>
        <w:t>differing statutory tax rates, changes in valuation of our deferred tax assets and liabilities, or changes in tax laws or their interpretation, including possible US tax reform and contemplated changes in other countries of long-standing tax principles. Th</w:t>
      </w:r>
      <w:r>
        <w:rPr>
          <w:sz w:val="20"/>
          <w:szCs w:val="20"/>
        </w:rPr>
        <w:t>ese and other similar changes, if finalized and adopted, could have a material impact on our income tax expense and deferred tax balances</w:t>
      </w:r>
      <w:r>
        <w:rPr>
          <w:sz w:val="20"/>
          <w:szCs w:val="20"/>
        </w:rPr>
        <w:t>.</w:t>
      </w:r>
    </w:p>
    <w:p w14:paraId="4FBBF92D" w14:textId="77777777" w:rsidR="00000000" w:rsidRDefault="001F1B20">
      <w:pPr>
        <w:pStyle w:val="a3"/>
        <w:spacing w:before="0" w:beforeAutospacing="0" w:after="120" w:afterAutospacing="0"/>
        <w:divId w:val="721254512"/>
        <w:rPr>
          <w:sz w:val="20"/>
          <w:szCs w:val="20"/>
        </w:rPr>
      </w:pPr>
      <w:r>
        <w:rPr>
          <w:b/>
          <w:bCs/>
          <w:i/>
          <w:iCs/>
          <w:sz w:val="20"/>
          <w:szCs w:val="20"/>
        </w:rPr>
        <w:t>Taxing authorities may challenge our structure and transfer pricing arrangements.</w:t>
      </w:r>
    </w:p>
    <w:p w14:paraId="79530A90" w14:textId="77777777" w:rsidR="00000000" w:rsidRDefault="001F1B20">
      <w:pPr>
        <w:pStyle w:val="a3"/>
        <w:spacing w:before="0" w:beforeAutospacing="0" w:after="200" w:afterAutospacing="0"/>
        <w:ind w:firstLine="720"/>
        <w:divId w:val="721254512"/>
        <w:rPr>
          <w:sz w:val="20"/>
          <w:szCs w:val="20"/>
        </w:rPr>
      </w:pPr>
      <w:r>
        <w:rPr>
          <w:sz w:val="20"/>
          <w:szCs w:val="20"/>
        </w:rPr>
        <w:t>We are incorporated in the Cayman I</w:t>
      </w:r>
      <w:r>
        <w:rPr>
          <w:sz w:val="20"/>
          <w:szCs w:val="20"/>
        </w:rPr>
        <w:t>slands, maintain subsidiaries in the Cayman Islands (until December 2020), the US, the UK and Ireland, and effective July 1, 2015, we migrated our tax residency from the Cayman Islands to Ireland. Due to economic and political conditions, various countries</w:t>
      </w:r>
      <w:r>
        <w:rPr>
          <w:sz w:val="20"/>
          <w:szCs w:val="20"/>
        </w:rPr>
        <w:t xml:space="preserve"> are actively considering changes to existing tax laws. We cannot predict the form or timing of potential legislative changes that could have a material adverse impact on our results of operations. We are aware that Ireland has implemented certain tax law </w:t>
      </w:r>
      <w:r>
        <w:rPr>
          <w:sz w:val="20"/>
          <w:szCs w:val="20"/>
        </w:rPr>
        <w:t>changes, and is expected to implement additional tax law changes, some of which are to comply with the European Union Anti-Tax Avoidance Directives. We are aware that Ireland will implement further tax law changes to comply with the Anti-Tax Avoidance Dire</w:t>
      </w:r>
      <w:r>
        <w:rPr>
          <w:sz w:val="20"/>
          <w:szCs w:val="20"/>
        </w:rPr>
        <w:t>ctives to include reverse-hybrid mismatch and interest limitation rules. We will evaluate and monitor the applicability of these rules to our operations as and when they are enacted.</w:t>
      </w:r>
    </w:p>
    <w:p w14:paraId="01C920A4" w14:textId="77777777" w:rsidR="00000000" w:rsidRDefault="001F1B20">
      <w:pPr>
        <w:pStyle w:val="a3"/>
        <w:spacing w:before="0" w:beforeAutospacing="0" w:after="200" w:afterAutospacing="0"/>
        <w:ind w:firstLine="720"/>
        <w:divId w:val="721254512"/>
        <w:rPr>
          <w:rFonts w:ascii="Calibri" w:hAnsi="Calibri" w:cs="Calibri"/>
          <w:sz w:val="20"/>
          <w:szCs w:val="20"/>
        </w:rPr>
      </w:pPr>
      <w:r>
        <w:rPr>
          <w:sz w:val="20"/>
          <w:szCs w:val="20"/>
        </w:rPr>
        <w:t>In April 2020, we became aware of a withholding tax regulation that could</w:t>
      </w:r>
      <w:r>
        <w:rPr>
          <w:sz w:val="20"/>
          <w:szCs w:val="20"/>
        </w:rPr>
        <w:t xml:space="preserve"> be interpreted to apply to certain of our previous intra-group transactions. Additional draft guidance on this withholding tax regime was released in late 2020 and early 2021, and based on our analysis of this guidance, we do not believe the exposure to b</w:t>
      </w:r>
      <w:r>
        <w:rPr>
          <w:sz w:val="20"/>
          <w:szCs w:val="20"/>
        </w:rPr>
        <w:t>e material. We continue to monitor the evolving legislation relating to this matter and will consider its impact on our condensed consolidated financial statements.</w:t>
      </w:r>
    </w:p>
    <w:p w14:paraId="1BF5DD77" w14:textId="77777777" w:rsidR="00000000" w:rsidRDefault="001F1B20">
      <w:pPr>
        <w:pStyle w:val="a3"/>
        <w:spacing w:before="0" w:beforeAutospacing="0" w:after="200" w:afterAutospacing="0"/>
        <w:ind w:firstLine="720"/>
        <w:divId w:val="721254512"/>
        <w:rPr>
          <w:sz w:val="20"/>
          <w:szCs w:val="20"/>
        </w:rPr>
      </w:pPr>
      <w:r>
        <w:rPr>
          <w:sz w:val="20"/>
          <w:szCs w:val="20"/>
        </w:rPr>
        <w:t>In addition, significant judgment is required in determining our worldwide provision for in</w:t>
      </w:r>
      <w:r>
        <w:rPr>
          <w:sz w:val="20"/>
          <w:szCs w:val="20"/>
        </w:rPr>
        <w:t>come taxes. Various factors may have favorable or unfavorable effects on our income tax rate including, but not limited to the performance of certain functions and ownership of certain assets in tax-efficient jurisdictions such as the Cayman Islands and Ir</w:t>
      </w:r>
      <w:r>
        <w:rPr>
          <w:sz w:val="20"/>
          <w:szCs w:val="20"/>
        </w:rPr>
        <w:t xml:space="preserve">eland, together with intra-group transfer pricing agreements. Taxing authorities may challenge our structure and transfer pricing arrangements through an audit or lawsuit. Responding to or defending such a challenge could be expensive and consume time and </w:t>
      </w:r>
      <w:r>
        <w:rPr>
          <w:sz w:val="20"/>
          <w:szCs w:val="20"/>
        </w:rPr>
        <w:t>other resources, and divert management’s time and focus from operating our business. We cannot predict whether taxing authorities will conduct an audit or file a lawsuit challenging this structure, the cost involved in responding to any such audit or lawsu</w:t>
      </w:r>
      <w:r>
        <w:rPr>
          <w:sz w:val="20"/>
          <w:szCs w:val="20"/>
        </w:rPr>
        <w:t>it, or the outcome. We may be required to pay taxes for prior periods, interest, fines or penalties, and may be obligated to pay increased taxes in the future which could result in reduced cash flows and have a material adverse effect on our business, fina</w:t>
      </w:r>
      <w:r>
        <w:rPr>
          <w:sz w:val="20"/>
          <w:szCs w:val="20"/>
        </w:rPr>
        <w:t>ncial condition and growth prospects.</w:t>
      </w:r>
    </w:p>
    <w:p w14:paraId="423DE650" w14:textId="77777777" w:rsidR="00000000" w:rsidRDefault="001F1B20">
      <w:pPr>
        <w:pStyle w:val="a3"/>
        <w:spacing w:before="0" w:beforeAutospacing="0" w:after="120" w:afterAutospacing="0"/>
        <w:divId w:val="721254512"/>
        <w:rPr>
          <w:sz w:val="20"/>
          <w:szCs w:val="20"/>
        </w:rPr>
      </w:pPr>
      <w:r>
        <w:rPr>
          <w:b/>
          <w:bCs/>
          <w:i/>
          <w:iCs/>
          <w:sz w:val="20"/>
          <w:szCs w:val="20"/>
        </w:rPr>
        <w:t>We were a passive foreign investment company, or “PFIC,” for 2014, but we were not a PFIC from 2015 through 2020, and we do not expect to be a PFIC for the foreseeable future.</w:t>
      </w:r>
    </w:p>
    <w:p w14:paraId="5BB971DD" w14:textId="77777777" w:rsidR="00000000" w:rsidRDefault="001F1B20">
      <w:pPr>
        <w:pStyle w:val="a3"/>
        <w:spacing w:before="0" w:beforeAutospacing="0" w:after="240" w:afterAutospacing="0"/>
        <w:ind w:firstLine="720"/>
        <w:divId w:val="721254512"/>
        <w:rPr>
          <w:sz w:val="20"/>
          <w:szCs w:val="20"/>
        </w:rPr>
      </w:pPr>
      <w:r>
        <w:rPr>
          <w:sz w:val="20"/>
          <w:szCs w:val="20"/>
        </w:rPr>
        <w:t>For US federal income tax purposes, we gen</w:t>
      </w:r>
      <w:r>
        <w:rPr>
          <w:sz w:val="20"/>
          <w:szCs w:val="20"/>
        </w:rPr>
        <w:t>erally would be classified as a PFIC for any taxable year if either (i) 75% or more of our gross income (including gross income of certain 25% or more owned corporate subsidiaries) is “passive income” (as defined for such purposes) or (ii) the average perc</w:t>
      </w:r>
      <w:r>
        <w:rPr>
          <w:sz w:val="20"/>
          <w:szCs w:val="20"/>
        </w:rPr>
        <w:t>entage of our assets (including the assets of certain 25% or more owned corporate subsidiaries) that produce passive income or that are held for the production of passive income is at least 50%. In addition, whether our Company will be a PFIC for any taxab</w:t>
      </w:r>
      <w:r>
        <w:rPr>
          <w:sz w:val="20"/>
          <w:szCs w:val="20"/>
        </w:rPr>
        <w:t>le year depends on our assets and income over the course of each such taxable year and, as a result, cannot be predicted with certainty until after the end of the year.</w:t>
      </w:r>
    </w:p>
    <w:p w14:paraId="74520D37" w14:textId="77777777" w:rsidR="00000000" w:rsidRDefault="001F1B20">
      <w:pPr>
        <w:pStyle w:val="a3"/>
        <w:spacing w:before="0" w:beforeAutospacing="0" w:after="0" w:afterAutospacing="0"/>
        <w:ind w:firstLine="720"/>
        <w:divId w:val="721254512"/>
        <w:rPr>
          <w:sz w:val="20"/>
          <w:szCs w:val="20"/>
        </w:rPr>
      </w:pPr>
      <w:r>
        <w:rPr>
          <w:sz w:val="20"/>
          <w:szCs w:val="20"/>
        </w:rPr>
        <w:t>Based upon our assets and income during the course of 2014, we believe that our Company</w:t>
      </w:r>
      <w:r>
        <w:rPr>
          <w:sz w:val="20"/>
          <w:szCs w:val="20"/>
        </w:rPr>
        <w:t xml:space="preserve"> and one of our Company’s wholly-owned subsidiaries, Theravance Biopharma R&amp;D, Inc. was a PFIC for 2014. Based upon our assets and income from 2015 through 2020, we do not believe that our Company is a PFIC since 2015. Based on existing tax law, we do not </w:t>
      </w:r>
      <w:r>
        <w:rPr>
          <w:sz w:val="20"/>
          <w:szCs w:val="20"/>
        </w:rPr>
        <w:t xml:space="preserve">expect to be a PFIC for the foreseeable future based on our current business plans and current business model. For any taxable year (or portion thereof) in which our Company is a PFIC that is included in the holding period of a US holder, the US holder is </w:t>
      </w:r>
      <w:r>
        <w:rPr>
          <w:sz w:val="20"/>
          <w:szCs w:val="20"/>
        </w:rPr>
        <w:t>generally subject to additional US federal income taxes plus an interest charge with respect to certain distributions from Theravance Biopharma or gain recognized on a sale of Theravance Biopharma shares. Similar rules would apply with respect to distribut</w:t>
      </w:r>
      <w:r>
        <w:rPr>
          <w:sz w:val="20"/>
          <w:szCs w:val="20"/>
        </w:rPr>
        <w:t>ions from or gain recognized on an indirect sale of Theravance Biopharma Ireland Limited. US holders of our ordinary shares may have filed an election with respect to Company shares held at any time during 2014 to be treated as owning an interest in a “qua</w:t>
      </w:r>
      <w:r>
        <w:rPr>
          <w:sz w:val="20"/>
          <w:szCs w:val="20"/>
        </w:rPr>
        <w:t>lified electing fund” (“QEF”) or to “mark to market” their ordinary shares to avoid the otherwise applicable interest charge consequences of PFIC treatment with respect to our ordinary shares. A foreign corporation will not be treated as a QEF for any taxa</w:t>
      </w:r>
      <w:r>
        <w:rPr>
          <w:sz w:val="20"/>
          <w:szCs w:val="20"/>
        </w:rPr>
        <w:t xml:space="preserve">ble year in which such foreign corporation is not treated as a PFIC. QEF </w:t>
      </w:r>
    </w:p>
    <w:p w14:paraId="0AD1E055" w14:textId="77777777" w:rsidR="00000000" w:rsidRDefault="001F1B20">
      <w:pPr>
        <w:pStyle w:val="a3"/>
        <w:spacing w:before="360" w:beforeAutospacing="0" w:after="0" w:afterAutospacing="0"/>
        <w:jc w:val="center"/>
        <w:divId w:val="186330650"/>
        <w:rPr>
          <w:sz w:val="20"/>
          <w:szCs w:val="20"/>
        </w:rPr>
      </w:pPr>
      <w:r>
        <w:rPr>
          <w:sz w:val="20"/>
          <w:szCs w:val="20"/>
        </w:rPr>
        <w:t>58</w:t>
      </w:r>
    </w:p>
    <w:p w14:paraId="3097DF57" w14:textId="77777777" w:rsidR="00000000" w:rsidRDefault="001F1B20">
      <w:pPr>
        <w:pStyle w:val="a3"/>
        <w:spacing w:before="0" w:beforeAutospacing="0" w:after="600" w:afterAutospacing="0"/>
        <w:divId w:val="456070602"/>
        <w:rPr>
          <w:sz w:val="20"/>
          <w:szCs w:val="20"/>
        </w:rPr>
      </w:pPr>
      <w:hyperlink w:anchor="TOC" w:history="1">
        <w:r>
          <w:rPr>
            <w:rStyle w:val="a4"/>
            <w:sz w:val="20"/>
            <w:szCs w:val="20"/>
          </w:rPr>
          <w:t>Table of Contents</w:t>
        </w:r>
      </w:hyperlink>
    </w:p>
    <w:p w14:paraId="4D5FEADD" w14:textId="77777777" w:rsidR="00000000" w:rsidRDefault="001F1B20">
      <w:pPr>
        <w:pStyle w:val="a3"/>
        <w:spacing w:before="0" w:beforeAutospacing="0" w:after="200" w:afterAutospacing="0"/>
        <w:divId w:val="1725132669"/>
        <w:rPr>
          <w:sz w:val="20"/>
          <w:szCs w:val="20"/>
        </w:rPr>
      </w:pPr>
      <w:r>
        <w:rPr>
          <w:sz w:val="20"/>
          <w:szCs w:val="20"/>
        </w:rPr>
        <w:t>and mark to market elections generally apply to the taxable year for which the election is made and all subsequent taxable years unless the election is revoked with consent of the Secretary of Treasury. US holders of our ordinary shares should consult thei</w:t>
      </w:r>
      <w:r>
        <w:rPr>
          <w:sz w:val="20"/>
          <w:szCs w:val="20"/>
        </w:rPr>
        <w:t>r tax advisers regarding the tax reporting implications with respect to any QEF and mark to market elections made with respect to our Company and with respect to their indirect interests in Theravance Biopharma R&amp;D, Inc.</w:t>
      </w:r>
    </w:p>
    <w:p w14:paraId="73C20D74" w14:textId="77777777" w:rsidR="00000000" w:rsidRDefault="001F1B20">
      <w:pPr>
        <w:pStyle w:val="a3"/>
        <w:spacing w:before="0" w:beforeAutospacing="0" w:after="120" w:afterAutospacing="0"/>
        <w:divId w:val="1725132669"/>
        <w:rPr>
          <w:sz w:val="20"/>
          <w:szCs w:val="20"/>
        </w:rPr>
      </w:pPr>
      <w:r>
        <w:rPr>
          <w:b/>
          <w:bCs/>
          <w:i/>
          <w:iCs/>
          <w:sz w:val="20"/>
          <w:szCs w:val="20"/>
        </w:rPr>
        <w:t>If we are unable to maintain effect</w:t>
      </w:r>
      <w:r>
        <w:rPr>
          <w:b/>
          <w:bCs/>
          <w:i/>
          <w:iCs/>
          <w:sz w:val="20"/>
          <w:szCs w:val="20"/>
        </w:rPr>
        <w:t>ive internal controls, our business, financial position and results of operations could be adversely affected.</w:t>
      </w:r>
    </w:p>
    <w:p w14:paraId="768B0DEE" w14:textId="77777777" w:rsidR="00000000" w:rsidRDefault="001F1B20">
      <w:pPr>
        <w:pStyle w:val="a3"/>
        <w:spacing w:before="0" w:beforeAutospacing="0" w:after="200" w:afterAutospacing="0"/>
        <w:ind w:firstLine="720"/>
        <w:divId w:val="1725132669"/>
        <w:rPr>
          <w:sz w:val="20"/>
          <w:szCs w:val="20"/>
        </w:rPr>
      </w:pPr>
      <w:r>
        <w:rPr>
          <w:sz w:val="20"/>
          <w:szCs w:val="20"/>
        </w:rPr>
        <w:t>If we are unable to maintain effective internal controls, our business, financial position and results of operations could be adversely affected.</w:t>
      </w:r>
      <w:r>
        <w:rPr>
          <w:sz w:val="20"/>
          <w:szCs w:val="20"/>
        </w:rPr>
        <w:t xml:space="preserve"> We are subject to the reporting and other obligations under the Exchange Act, including the requirements of Section 404 of the Sarbanes-Oxley Act of 2002, which require annual management assessments of the effectiveness of our internal control over financ</w:t>
      </w:r>
      <w:r>
        <w:rPr>
          <w:sz w:val="20"/>
          <w:szCs w:val="20"/>
        </w:rPr>
        <w:t>ial reporting. Our management is responsible for establishing and maintaining adequate internal control over financial reporting as defined in Rules 13a-15(f) under the Exchange Act. Our internal control over financial reporting is a process designed to pr</w:t>
      </w:r>
      <w:r>
        <w:rPr>
          <w:sz w:val="20"/>
          <w:szCs w:val="20"/>
        </w:rPr>
        <w:t>ovide reasonable assurance regarding the reliability of financial reporting and the preparation of financial statements for external purposes in accordance with accounting principles generally accepted in the US. Any failure to achieve and maintain effecti</w:t>
      </w:r>
      <w:r>
        <w:rPr>
          <w:sz w:val="20"/>
          <w:szCs w:val="20"/>
        </w:rPr>
        <w:t>ve internal controls could have an adverse effect on our business, financial position and results of operations. In addition, our independent registered public accounting firm is required to attest to the effectiveness of our internal control over financia</w:t>
      </w:r>
      <w:r>
        <w:rPr>
          <w:sz w:val="20"/>
          <w:szCs w:val="20"/>
        </w:rPr>
        <w:t>l reporting annually. If our independent registered public accounting firm is unable to attest to the effectiveness of our internal control over financial reporting, investor confidence in our reported results will be harmed and the price of our securities</w:t>
      </w:r>
      <w:r>
        <w:rPr>
          <w:sz w:val="20"/>
          <w:szCs w:val="20"/>
        </w:rPr>
        <w:t xml:space="preserve"> may fall. These reporting and other obligations place significant demands on our management and administrative and operational resources, including accounting resources.</w:t>
      </w:r>
    </w:p>
    <w:p w14:paraId="4FA247CA" w14:textId="77777777" w:rsidR="00000000" w:rsidRDefault="001F1B20">
      <w:pPr>
        <w:pStyle w:val="a3"/>
        <w:spacing w:before="0" w:beforeAutospacing="0" w:after="120" w:afterAutospacing="0"/>
        <w:divId w:val="1725132669"/>
        <w:rPr>
          <w:sz w:val="20"/>
          <w:szCs w:val="20"/>
        </w:rPr>
      </w:pPr>
      <w:r>
        <w:rPr>
          <w:b/>
          <w:bCs/>
          <w:i/>
          <w:iCs/>
          <w:sz w:val="20"/>
          <w:szCs w:val="20"/>
        </w:rPr>
        <w:t>Agreements entered into with or for the benefit of GSK in connection with the Spin-Of</w:t>
      </w:r>
      <w:r>
        <w:rPr>
          <w:b/>
          <w:bCs/>
          <w:i/>
          <w:iCs/>
          <w:sz w:val="20"/>
          <w:szCs w:val="20"/>
        </w:rPr>
        <w:t>f may significantly restrict our business and affairs.</w:t>
      </w:r>
    </w:p>
    <w:p w14:paraId="1FA8F29E" w14:textId="77777777" w:rsidR="00000000" w:rsidRDefault="001F1B20">
      <w:pPr>
        <w:pStyle w:val="a3"/>
        <w:spacing w:before="0" w:beforeAutospacing="0" w:after="200" w:afterAutospacing="0"/>
        <w:ind w:firstLine="720"/>
        <w:divId w:val="1725132669"/>
        <w:rPr>
          <w:sz w:val="20"/>
          <w:szCs w:val="20"/>
        </w:rPr>
      </w:pPr>
      <w:r>
        <w:rPr>
          <w:sz w:val="20"/>
          <w:szCs w:val="20"/>
        </w:rPr>
        <w:t>On March 3, 2014, in connection with the Spin-Off, we, Innoviva and GSK entered into a number of agreements that may significantly restrict our business and affairs. In particular, we, Innoviva and GSK</w:t>
      </w:r>
      <w:r>
        <w:rPr>
          <w:sz w:val="20"/>
          <w:szCs w:val="20"/>
        </w:rPr>
        <w:t xml:space="preserve"> entered into the Master Agreement which, among other things, requires GSK’s consent to make any changes to (i) a Separation and Distribution Agreement and ancillary agreements that would, individually or in the aggregate, reasonably be expected to adverse</w:t>
      </w:r>
      <w:r>
        <w:rPr>
          <w:sz w:val="20"/>
          <w:szCs w:val="20"/>
        </w:rPr>
        <w:t>ly affect GSK in any material respect or (ii) the TRC LLC Agreement, which consent is not to be unreasonably withheld, conditioned or delayed, provided that GSK may withhold, condition or delay such consent in its sole discretion with respect to certain se</w:t>
      </w:r>
      <w:r>
        <w:rPr>
          <w:sz w:val="20"/>
          <w:szCs w:val="20"/>
        </w:rPr>
        <w:t>ctions of the TRC LLC Agreement and any changes to the governance structure of TRC, the confidentiality restrictions, the consent rights, and the transfer restrictions in the TRC LLC Agreement. We and GSK also entered into (i) the Governance Agreement that</w:t>
      </w:r>
      <w:r>
        <w:rPr>
          <w:sz w:val="20"/>
          <w:szCs w:val="20"/>
        </w:rPr>
        <w:t xml:space="preserve"> expired on December 31, 2017, (ii) a registration rights agreement that gives GSK certain registration rights with respect to our ordinary shares held by GSK and (iii) an extension agreement that extends to us certain restrictive covenants similar to thos</w:t>
      </w:r>
      <w:r>
        <w:rPr>
          <w:sz w:val="20"/>
          <w:szCs w:val="20"/>
        </w:rPr>
        <w:t>e applicable to Innoviva under the GSK Agreements. There can be no assurance that these restrictions will not materially harm our business, particularly given that GSK’s interests may not be aligned with the interests of our business or our other sharehold</w:t>
      </w:r>
      <w:r>
        <w:rPr>
          <w:sz w:val="20"/>
          <w:szCs w:val="20"/>
        </w:rPr>
        <w:t>ers.</w:t>
      </w:r>
    </w:p>
    <w:p w14:paraId="2F704FE5" w14:textId="77777777" w:rsidR="00000000" w:rsidRDefault="001F1B20">
      <w:pPr>
        <w:pStyle w:val="a3"/>
        <w:spacing w:before="0" w:beforeAutospacing="0" w:after="120" w:afterAutospacing="0"/>
        <w:divId w:val="1725132669"/>
        <w:rPr>
          <w:sz w:val="20"/>
          <w:szCs w:val="20"/>
        </w:rPr>
      </w:pPr>
      <w:r>
        <w:rPr>
          <w:b/>
          <w:bCs/>
          <w:i/>
          <w:iCs/>
          <w:sz w:val="20"/>
          <w:szCs w:val="20"/>
        </w:rPr>
        <w:t>Certain of our directors and officers may have actual or potential conflicts of interest because of their equity ownership in Innoviva, which actual or potential conflicts may harm our business, prospects and financial condition and result in the dive</w:t>
      </w:r>
      <w:r>
        <w:rPr>
          <w:b/>
          <w:bCs/>
          <w:i/>
          <w:iCs/>
          <w:sz w:val="20"/>
          <w:szCs w:val="20"/>
        </w:rPr>
        <w:t>rsion of corporate opportunities to Innoviva.</w:t>
      </w:r>
    </w:p>
    <w:p w14:paraId="02B5DC63" w14:textId="77777777" w:rsidR="00000000" w:rsidRDefault="001F1B20">
      <w:pPr>
        <w:pStyle w:val="a3"/>
        <w:spacing w:before="0" w:beforeAutospacing="0" w:after="200" w:afterAutospacing="0"/>
        <w:ind w:firstLine="720"/>
        <w:divId w:val="1725132669"/>
        <w:rPr>
          <w:sz w:val="20"/>
          <w:szCs w:val="20"/>
        </w:rPr>
      </w:pPr>
      <w:r>
        <w:rPr>
          <w:sz w:val="20"/>
          <w:szCs w:val="20"/>
        </w:rPr>
        <w:t>Certain of our directors and officers hold shares of Innoviva’s common stock or rights to acquire such shares, and these holdings may be significant for some of these individuals compared to their total assets.</w:t>
      </w:r>
      <w:r>
        <w:rPr>
          <w:sz w:val="20"/>
          <w:szCs w:val="20"/>
        </w:rPr>
        <w:t xml:space="preserve"> This ownership of Innoviva common stock by certain of our directors and officers may create, or may create the appearance of, conflicts of interest when these directors and officers are faced with decisions that could have different implications for Innov</w:t>
      </w:r>
      <w:r>
        <w:rPr>
          <w:sz w:val="20"/>
          <w:szCs w:val="20"/>
        </w:rPr>
        <w:t>iva and for us. For example, potential or actual conflicts could arise relating to: our relationship with Innoviva, including Innoviva’s and our respective rights and obligations under agreements entered into in connection with the Spin-Off; Innoviva’s man</w:t>
      </w:r>
      <w:r>
        <w:rPr>
          <w:sz w:val="20"/>
          <w:szCs w:val="20"/>
        </w:rPr>
        <w:t>agement of TRC, particularly given that we and Innoviva have different economic interests in TRC; and corporate opportunities that may be available to both companies in the future. Although we and Innoviva have implemented policies and procedures to identi</w:t>
      </w:r>
      <w:r>
        <w:rPr>
          <w:sz w:val="20"/>
          <w:szCs w:val="20"/>
        </w:rPr>
        <w:t>fy and properly address such potential and actual conflicts of interest, there can be no assurance that, when such conflicts are resolved in accordance with applicable laws, such conflicts of interest will not harm our business, prospects and financial con</w:t>
      </w:r>
      <w:r>
        <w:rPr>
          <w:sz w:val="20"/>
          <w:szCs w:val="20"/>
        </w:rPr>
        <w:t>dition and result in the diversion of corporate opportunities to Innoviva.</w:t>
      </w:r>
    </w:p>
    <w:p w14:paraId="15D46D6D" w14:textId="77777777" w:rsidR="00000000" w:rsidRDefault="001F1B20">
      <w:pPr>
        <w:pStyle w:val="a3"/>
        <w:spacing w:before="360" w:beforeAutospacing="0" w:after="0" w:afterAutospacing="0"/>
        <w:jc w:val="center"/>
        <w:divId w:val="649217204"/>
        <w:rPr>
          <w:sz w:val="20"/>
          <w:szCs w:val="20"/>
        </w:rPr>
      </w:pPr>
      <w:r>
        <w:rPr>
          <w:sz w:val="20"/>
          <w:szCs w:val="20"/>
        </w:rPr>
        <w:t>59</w:t>
      </w:r>
    </w:p>
    <w:p w14:paraId="1176AF91" w14:textId="77777777" w:rsidR="00000000" w:rsidRDefault="001F1B20">
      <w:pPr>
        <w:pStyle w:val="a3"/>
        <w:spacing w:before="0" w:beforeAutospacing="0" w:after="600" w:afterAutospacing="0"/>
        <w:divId w:val="1388801666"/>
        <w:rPr>
          <w:sz w:val="20"/>
          <w:szCs w:val="20"/>
        </w:rPr>
      </w:pPr>
      <w:hyperlink w:anchor="TOC" w:history="1">
        <w:r>
          <w:rPr>
            <w:rStyle w:val="a4"/>
            <w:sz w:val="20"/>
            <w:szCs w:val="20"/>
          </w:rPr>
          <w:t>Table of Contents</w:t>
        </w:r>
      </w:hyperlink>
    </w:p>
    <w:p w14:paraId="113A044D" w14:textId="77777777" w:rsidR="00000000" w:rsidRDefault="001F1B20">
      <w:pPr>
        <w:pStyle w:val="a3"/>
        <w:spacing w:before="0" w:beforeAutospacing="0" w:after="120" w:afterAutospacing="0"/>
        <w:divId w:val="206836118"/>
        <w:rPr>
          <w:sz w:val="20"/>
          <w:szCs w:val="20"/>
        </w:rPr>
      </w:pPr>
      <w:r>
        <w:rPr>
          <w:b/>
          <w:bCs/>
          <w:i/>
          <w:iCs/>
          <w:sz w:val="20"/>
          <w:szCs w:val="20"/>
        </w:rPr>
        <w:t>If we are required to indemnify Innoviva or Cumberland, or if we are not able to enforce our indemnification rights against Innoviva o</w:t>
      </w:r>
      <w:r>
        <w:rPr>
          <w:b/>
          <w:bCs/>
          <w:i/>
          <w:iCs/>
          <w:sz w:val="20"/>
          <w:szCs w:val="20"/>
        </w:rPr>
        <w:t>r Cumberland, our business prospects and financial condition may be harmed.</w:t>
      </w:r>
    </w:p>
    <w:p w14:paraId="79C3C168" w14:textId="77777777" w:rsidR="00000000" w:rsidRDefault="001F1B20">
      <w:pPr>
        <w:pStyle w:val="a3"/>
        <w:spacing w:before="0" w:beforeAutospacing="0" w:after="200" w:afterAutospacing="0"/>
        <w:ind w:firstLine="720"/>
        <w:divId w:val="206836118"/>
        <w:rPr>
          <w:sz w:val="20"/>
          <w:szCs w:val="20"/>
        </w:rPr>
      </w:pPr>
      <w:r>
        <w:rPr>
          <w:sz w:val="20"/>
          <w:szCs w:val="20"/>
        </w:rPr>
        <w:t xml:space="preserve">We agreed to indemnify Innoviva from and after the Spin-Off with respect to (i) all debts, liabilities and obligations transferred to us in connection with the Spin-Off (including </w:t>
      </w:r>
      <w:r>
        <w:rPr>
          <w:sz w:val="20"/>
          <w:szCs w:val="20"/>
        </w:rPr>
        <w:t>our failure to pay, perform or otherwise promptly discharge any such debts, liabilities or obligations after the Spin-Off), (ii) any misstatement or omission of a material fact resulting in a misleading statement in our Information Statement distributed to</w:t>
      </w:r>
      <w:r>
        <w:rPr>
          <w:sz w:val="20"/>
          <w:szCs w:val="20"/>
        </w:rPr>
        <w:t xml:space="preserve"> Innoviva stockholders in connection with the Spin-Off and (iii) any breach by us of certain agreements entered into with Innoviva in connection with the Spin-Off (namely, the Separation and Distribution Agreement, a Transition Services Agreement, an Emplo</w:t>
      </w:r>
      <w:r>
        <w:rPr>
          <w:sz w:val="20"/>
          <w:szCs w:val="20"/>
        </w:rPr>
        <w:t xml:space="preserve">yee Matters Agreement, a Tax Matters Agreement, and a Facility Sublease Agreement). We are not aware of any existing indemnification obligations at this time, but any such indemnification obligations that may arise could be significant. Under the terms of </w:t>
      </w:r>
      <w:r>
        <w:rPr>
          <w:sz w:val="20"/>
          <w:szCs w:val="20"/>
        </w:rPr>
        <w:t>the Separation and Distribution Agreement, Innoviva agreed to indemnify us from and after the Spin-Off with respect to (i) all debts, liabilities and obligations retained by Innoviva after the Spin-Off (including its failure to pay, perform or otherwise pr</w:t>
      </w:r>
      <w:r>
        <w:rPr>
          <w:sz w:val="20"/>
          <w:szCs w:val="20"/>
        </w:rPr>
        <w:t xml:space="preserve">omptly discharge any such debts, liabilities or obligations after the Spin-Off) and (ii) any breach by Innoviva of the Separation and Distribution Agreement, the Transition Services Agreement, the Employee Matters Agreement, the Tax Matters Agreement, and </w:t>
      </w:r>
      <w:r>
        <w:rPr>
          <w:sz w:val="20"/>
          <w:szCs w:val="20"/>
        </w:rPr>
        <w:t>the Facility Sublease Agreement. Our and Innoviva’s ability to satisfy these indemnities, if called upon to do so, will depend upon our and Innoviva’s future financial strength. If we are required to indemnify Innoviva, or if we are not able to enforce our</w:t>
      </w:r>
      <w:r>
        <w:rPr>
          <w:sz w:val="20"/>
          <w:szCs w:val="20"/>
        </w:rPr>
        <w:t xml:space="preserve"> indemnification rights against Innoviva, our business prospects and financial condition may be harmed.</w:t>
      </w:r>
    </w:p>
    <w:p w14:paraId="65DF9EE7" w14:textId="77777777" w:rsidR="00000000" w:rsidRDefault="001F1B20">
      <w:pPr>
        <w:pStyle w:val="a3"/>
        <w:spacing w:before="0" w:beforeAutospacing="0" w:after="200" w:afterAutospacing="0"/>
        <w:ind w:firstLine="720"/>
        <w:divId w:val="206836118"/>
        <w:rPr>
          <w:sz w:val="20"/>
          <w:szCs w:val="20"/>
        </w:rPr>
      </w:pPr>
      <w:r>
        <w:rPr>
          <w:sz w:val="20"/>
          <w:szCs w:val="20"/>
        </w:rPr>
        <w:t>In addition, the agreement relating to the sale of VIBATIV to Cumberland contains indemnification obligations of both us and Cumberland. If we are requi</w:t>
      </w:r>
      <w:r>
        <w:rPr>
          <w:sz w:val="20"/>
          <w:szCs w:val="20"/>
        </w:rPr>
        <w:t>red to indemnify Cumberland or if we are unable to enforce our indemnification rights against Cumberland for any reason, our business and financial condition may be harmed.</w:t>
      </w:r>
    </w:p>
    <w:p w14:paraId="4EDFE1F4" w14:textId="77777777" w:rsidR="00000000" w:rsidRDefault="001F1B20">
      <w:pPr>
        <w:pStyle w:val="a3"/>
        <w:spacing w:before="0" w:beforeAutospacing="0" w:after="0" w:afterAutospacing="0"/>
        <w:ind w:hanging="202"/>
        <w:divId w:val="206836118"/>
        <w:rPr>
          <w:sz w:val="20"/>
          <w:szCs w:val="20"/>
        </w:rPr>
      </w:pPr>
      <w:r>
        <w:rPr>
          <w:b/>
          <w:bCs/>
          <w:sz w:val="20"/>
          <w:szCs w:val="20"/>
        </w:rPr>
        <w:t xml:space="preserve">RISKS RELATED TO LEGAL AND REGULATORY UNCERTAINTY </w:t>
      </w:r>
    </w:p>
    <w:p w14:paraId="7DEC25E7" w14:textId="77777777" w:rsidR="00000000" w:rsidRDefault="001F1B20">
      <w:pPr>
        <w:pStyle w:val="a3"/>
        <w:spacing w:before="0" w:beforeAutospacing="0" w:after="0" w:afterAutospacing="0"/>
        <w:ind w:hanging="202"/>
        <w:divId w:val="206836118"/>
        <w:rPr>
          <w:sz w:val="20"/>
          <w:szCs w:val="20"/>
        </w:rPr>
      </w:pPr>
      <w:r>
        <w:rPr>
          <w:sz w:val="20"/>
          <w:szCs w:val="20"/>
        </w:rPr>
        <w:t>​</w:t>
      </w:r>
    </w:p>
    <w:p w14:paraId="67770E12" w14:textId="77777777" w:rsidR="00000000" w:rsidRDefault="001F1B20">
      <w:pPr>
        <w:pStyle w:val="a3"/>
        <w:spacing w:before="0" w:beforeAutospacing="0" w:after="120" w:afterAutospacing="0"/>
        <w:divId w:val="206836118"/>
        <w:rPr>
          <w:sz w:val="20"/>
          <w:szCs w:val="20"/>
        </w:rPr>
      </w:pPr>
      <w:r>
        <w:rPr>
          <w:b/>
          <w:bCs/>
          <w:i/>
          <w:iCs/>
          <w:sz w:val="20"/>
          <w:szCs w:val="20"/>
        </w:rPr>
        <w:t xml:space="preserve">If our efforts to protect the </w:t>
      </w:r>
      <w:r>
        <w:rPr>
          <w:b/>
          <w:bCs/>
          <w:i/>
          <w:iCs/>
          <w:sz w:val="20"/>
          <w:szCs w:val="20"/>
        </w:rPr>
        <w:t>proprietary nature of the intellectual property related to our technologies are not adequate, we may not be able to compete effectively in our current or future markets.</w:t>
      </w:r>
    </w:p>
    <w:p w14:paraId="5D63ABD1" w14:textId="77777777" w:rsidR="00000000" w:rsidRDefault="001F1B20">
      <w:pPr>
        <w:pStyle w:val="a3"/>
        <w:spacing w:before="0" w:beforeAutospacing="0" w:after="200" w:afterAutospacing="0"/>
        <w:ind w:firstLine="720"/>
        <w:divId w:val="206836118"/>
        <w:rPr>
          <w:sz w:val="20"/>
          <w:szCs w:val="20"/>
        </w:rPr>
      </w:pPr>
      <w:r>
        <w:rPr>
          <w:sz w:val="20"/>
          <w:szCs w:val="20"/>
        </w:rPr>
        <w:t>We rely upon a combination of patents, patent applications, trade secret protection an</w:t>
      </w:r>
      <w:r>
        <w:rPr>
          <w:sz w:val="20"/>
          <w:szCs w:val="20"/>
        </w:rPr>
        <w:t>d confidentiality agreements to protect the intellectual property related to our technologies. Any involuntary disclosure to or misappropriation by third parties of this proprietary information could enable competitors to quickly duplicate or surpass our t</w:t>
      </w:r>
      <w:r>
        <w:rPr>
          <w:sz w:val="20"/>
          <w:szCs w:val="20"/>
        </w:rPr>
        <w:t>echnological achievements, thus eroding our competitive position in our market. The status of patents in the biotechnology and pharmaceutical field involves complex legal and scientific questions and is very uncertain. As of September 30, 2021, we owned 30</w:t>
      </w:r>
      <w:r>
        <w:rPr>
          <w:sz w:val="20"/>
          <w:szCs w:val="20"/>
        </w:rPr>
        <w:t xml:space="preserve">0 issued US patents and 2,081 granted foreign patents, as well as additional pending US and foreign patent applications. Our patent applications may be challenged or fail to result in issued patents and our existing or future patents may be invalidated or </w:t>
      </w:r>
      <w:r>
        <w:rPr>
          <w:sz w:val="20"/>
          <w:szCs w:val="20"/>
        </w:rPr>
        <w:t>be too narrow to prevent third parties from developing or designing around these patents. If the sufficiency of the breadth or strength of protection provided by our patents with respect to a product candidate is threatened, it could dissuade companies fro</w:t>
      </w:r>
      <w:r>
        <w:rPr>
          <w:sz w:val="20"/>
          <w:szCs w:val="20"/>
        </w:rPr>
        <w:t xml:space="preserve">m collaborating with us to develop product candidates and threaten our ability to commercialize products. Further, if we encounter delays in our clinical trials or in obtaining regulatory approval of our product candidates, the patent lives of the related </w:t>
      </w:r>
      <w:r>
        <w:rPr>
          <w:sz w:val="20"/>
          <w:szCs w:val="20"/>
        </w:rPr>
        <w:t>product candidates would be reduced.</w:t>
      </w:r>
    </w:p>
    <w:p w14:paraId="53C3649D" w14:textId="77777777" w:rsidR="00000000" w:rsidRDefault="001F1B20">
      <w:pPr>
        <w:pStyle w:val="a3"/>
        <w:spacing w:before="0" w:beforeAutospacing="0" w:after="200" w:afterAutospacing="0"/>
        <w:ind w:firstLine="720"/>
        <w:divId w:val="206836118"/>
        <w:rPr>
          <w:sz w:val="20"/>
          <w:szCs w:val="20"/>
        </w:rPr>
      </w:pPr>
      <w:r>
        <w:rPr>
          <w:sz w:val="20"/>
          <w:szCs w:val="20"/>
        </w:rPr>
        <w:t xml:space="preserve">In addition, we rely on trade secret protection and confidentiality agreements to protect proprietary know-how that is not patentable, for processes for which patents are difficult to enforce and for any other elements </w:t>
      </w:r>
      <w:r>
        <w:rPr>
          <w:sz w:val="20"/>
          <w:szCs w:val="20"/>
        </w:rPr>
        <w:t xml:space="preserve">of our drug discovery and development processes that involve proprietary know-how, information and technology that is not covered by patent applications. Although we require our employees, consultants, advisors and any third parties who have access to our </w:t>
      </w:r>
      <w:r>
        <w:rPr>
          <w:sz w:val="20"/>
          <w:szCs w:val="20"/>
        </w:rPr>
        <w:t>proprietary know-how, information and technology to enter into confidentiality agreements, we cannot be certain that this know-how, information and technology will not be misappropriated, disclosed or used for unauthorized purposes or that competitors will</w:t>
      </w:r>
      <w:r>
        <w:rPr>
          <w:sz w:val="20"/>
          <w:szCs w:val="20"/>
        </w:rPr>
        <w:t xml:space="preserve"> not otherwise gain access to our trade secrets or independently develop substantially equivalent information and techniques. Further, the laws of some foreign countries do not protect proprietary rights to the same extent as the laws of the US. As a resul</w:t>
      </w:r>
      <w:r>
        <w:rPr>
          <w:sz w:val="20"/>
          <w:szCs w:val="20"/>
        </w:rPr>
        <w:t>t, we may encounter significant problems in protecting and defending our intellectual property both in the US and abroad. If we are unable to prevent material disclosure of the intellectual property related to our technologies to third parties, we will not</w:t>
      </w:r>
      <w:r>
        <w:rPr>
          <w:sz w:val="20"/>
          <w:szCs w:val="20"/>
        </w:rPr>
        <w:t xml:space="preserve"> be able to establish or, if established, maintain a competitive advantage in our market, which could materially adversely affect our business, financial condition and results of operations, which could cause the price of our securities to fall.</w:t>
      </w:r>
    </w:p>
    <w:p w14:paraId="09F7C643" w14:textId="77777777" w:rsidR="00000000" w:rsidRDefault="001F1B20">
      <w:pPr>
        <w:pStyle w:val="a3"/>
        <w:spacing w:before="360" w:beforeAutospacing="0" w:after="0" w:afterAutospacing="0"/>
        <w:jc w:val="center"/>
        <w:divId w:val="871648848"/>
        <w:rPr>
          <w:sz w:val="20"/>
          <w:szCs w:val="20"/>
        </w:rPr>
      </w:pPr>
      <w:r>
        <w:rPr>
          <w:sz w:val="20"/>
          <w:szCs w:val="20"/>
        </w:rPr>
        <w:t>60</w:t>
      </w:r>
    </w:p>
    <w:p w14:paraId="017DA90C" w14:textId="77777777" w:rsidR="00000000" w:rsidRDefault="001F1B20">
      <w:pPr>
        <w:pStyle w:val="a3"/>
        <w:spacing w:before="0" w:beforeAutospacing="0" w:after="600" w:afterAutospacing="0"/>
        <w:divId w:val="1757241198"/>
        <w:rPr>
          <w:sz w:val="20"/>
          <w:szCs w:val="20"/>
        </w:rPr>
      </w:pPr>
      <w:hyperlink w:anchor="TOC" w:history="1">
        <w:r>
          <w:rPr>
            <w:rStyle w:val="a4"/>
            <w:sz w:val="20"/>
            <w:szCs w:val="20"/>
          </w:rPr>
          <w:t>Table of Contents</w:t>
        </w:r>
      </w:hyperlink>
    </w:p>
    <w:p w14:paraId="4CCAE762" w14:textId="77777777" w:rsidR="00000000" w:rsidRDefault="001F1B20">
      <w:pPr>
        <w:pStyle w:val="a3"/>
        <w:spacing w:before="0" w:beforeAutospacing="0" w:after="120" w:afterAutospacing="0"/>
        <w:divId w:val="803890514"/>
        <w:rPr>
          <w:sz w:val="20"/>
          <w:szCs w:val="20"/>
        </w:rPr>
      </w:pPr>
      <w:r>
        <w:rPr>
          <w:b/>
          <w:bCs/>
          <w:i/>
          <w:iCs/>
          <w:sz w:val="20"/>
          <w:szCs w:val="20"/>
        </w:rPr>
        <w:t>Litigation to protect or defend our intellectual property or third-party claims of intellectual property infringement would require us to divert resources and may prevent or delay our drug discovery and development effo</w:t>
      </w:r>
      <w:r>
        <w:rPr>
          <w:b/>
          <w:bCs/>
          <w:i/>
          <w:iCs/>
          <w:sz w:val="20"/>
          <w:szCs w:val="20"/>
        </w:rPr>
        <w:t>rts.</w:t>
      </w:r>
    </w:p>
    <w:p w14:paraId="1F1B7305" w14:textId="77777777" w:rsidR="00000000" w:rsidRDefault="001F1B20">
      <w:pPr>
        <w:pStyle w:val="a3"/>
        <w:spacing w:before="0" w:beforeAutospacing="0" w:after="200" w:afterAutospacing="0"/>
        <w:ind w:firstLine="720"/>
        <w:divId w:val="803890514"/>
        <w:rPr>
          <w:sz w:val="20"/>
          <w:szCs w:val="20"/>
        </w:rPr>
      </w:pPr>
      <w:r>
        <w:rPr>
          <w:sz w:val="20"/>
          <w:szCs w:val="20"/>
        </w:rPr>
        <w:t>Our commercial success depends in part on us and our partners not infringing the patents and proprietary rights of third parties. Third parties may assert that we or our partners are using their proprietary rights without authorization. There are thir</w:t>
      </w:r>
      <w:r>
        <w:rPr>
          <w:sz w:val="20"/>
          <w:szCs w:val="20"/>
        </w:rPr>
        <w:t>d-party patents that may cover materials or methods for treatment related to our product candidates. At present, we are not aware of any patent infringement claims with merit that would adversely and materially affect our ability to develop our product can</w:t>
      </w:r>
      <w:r>
        <w:rPr>
          <w:sz w:val="20"/>
          <w:szCs w:val="20"/>
        </w:rPr>
        <w:t>didates, but nevertheless the possibility of third-party allegations cannot be ruled out. In addition, third parties may obtain patents in the future and claim that use of our technologies infringes upon these patents. Furthermore, parties making claims ag</w:t>
      </w:r>
      <w:r>
        <w:rPr>
          <w:sz w:val="20"/>
          <w:szCs w:val="20"/>
        </w:rPr>
        <w:t>ainst us or our partners may obtain injunctive or other equitable relief, which could effectively block our ability to further develop and commercialize one or more of our product candidates. Defense against these claims, regardless of their merit, would i</w:t>
      </w:r>
      <w:r>
        <w:rPr>
          <w:sz w:val="20"/>
          <w:szCs w:val="20"/>
        </w:rPr>
        <w:t>nvolve substantial litigation expense and would be a substantial diversion of employee resources from our business.</w:t>
      </w:r>
    </w:p>
    <w:p w14:paraId="7B1852A4" w14:textId="77777777" w:rsidR="00000000" w:rsidRDefault="001F1B20">
      <w:pPr>
        <w:pStyle w:val="a3"/>
        <w:spacing w:before="0" w:beforeAutospacing="0" w:after="200" w:afterAutospacing="0"/>
        <w:ind w:firstLine="720"/>
        <w:divId w:val="803890514"/>
        <w:rPr>
          <w:sz w:val="20"/>
          <w:szCs w:val="20"/>
        </w:rPr>
      </w:pPr>
      <w:r>
        <w:rPr>
          <w:sz w:val="20"/>
          <w:szCs w:val="20"/>
        </w:rPr>
        <w:t>In the event of a successful claim of infringement against us, we may have to pay substantial damages, obtain one or more licenses from thir</w:t>
      </w:r>
      <w:r>
        <w:rPr>
          <w:sz w:val="20"/>
          <w:szCs w:val="20"/>
        </w:rPr>
        <w:t>d parties or pay royalties. In addition, even in the absence of litigation, we may need to obtain licenses from third parties to advance our research or allow commercialization of our product candidates, and we have done so from time to time. We may fail t</w:t>
      </w:r>
      <w:r>
        <w:rPr>
          <w:sz w:val="20"/>
          <w:szCs w:val="20"/>
        </w:rPr>
        <w:t>o obtain any of these licenses at a reasonable cost or on reasonable terms, if at all. In that event, we would be unable to further develop and commercialize one or more of our product candidates, which could harm our business significantly.</w:t>
      </w:r>
    </w:p>
    <w:p w14:paraId="6F2756E2" w14:textId="77777777" w:rsidR="00000000" w:rsidRDefault="001F1B20">
      <w:pPr>
        <w:pStyle w:val="a3"/>
        <w:spacing w:before="0" w:beforeAutospacing="0" w:after="200" w:afterAutospacing="0"/>
        <w:ind w:firstLine="720"/>
        <w:divId w:val="803890514"/>
        <w:rPr>
          <w:sz w:val="20"/>
          <w:szCs w:val="20"/>
        </w:rPr>
      </w:pPr>
      <w:r>
        <w:rPr>
          <w:sz w:val="20"/>
          <w:szCs w:val="20"/>
        </w:rPr>
        <w:t>In addition, in the future we could be required to initiate litigation to enforce our proprietary rights against infringement by third parties, prevent the unauthorized use or disclosure of our trade secrets and confidential information, or defend the vali</w:t>
      </w:r>
      <w:r>
        <w:rPr>
          <w:sz w:val="20"/>
          <w:szCs w:val="20"/>
        </w:rPr>
        <w:t>dity of our patents. For example, in 2017, we filed a lawsuit against a former employee for misappropriation of certain of our confidential, proprietary and trade secret information. While this litigation has since been resolved, prosecution of claims to e</w:t>
      </w:r>
      <w:r>
        <w:rPr>
          <w:sz w:val="20"/>
          <w:szCs w:val="20"/>
        </w:rPr>
        <w:t>nforce or defend our rights against others involve substantial litigation expenses and divert substantial employee resources from our business but may not result in adequate remedy to us or sufficiently mitigate the harm to our business caused by any intel</w:t>
      </w:r>
      <w:r>
        <w:rPr>
          <w:sz w:val="20"/>
          <w:szCs w:val="20"/>
        </w:rPr>
        <w:t>lectual property infringement, unauthorized access, use or disclosure of trade secrets. If we fail to effectively enforce our proprietary rights against others, our business will be harmed and the price of our securities could fall.</w:t>
      </w:r>
    </w:p>
    <w:p w14:paraId="533D1F4D" w14:textId="77777777" w:rsidR="00000000" w:rsidRDefault="001F1B20">
      <w:pPr>
        <w:pStyle w:val="a3"/>
        <w:spacing w:before="0" w:beforeAutospacing="0" w:after="120" w:afterAutospacing="0"/>
        <w:divId w:val="803890514"/>
        <w:rPr>
          <w:sz w:val="20"/>
          <w:szCs w:val="20"/>
        </w:rPr>
      </w:pPr>
      <w:r>
        <w:rPr>
          <w:b/>
          <w:bCs/>
          <w:i/>
          <w:iCs/>
          <w:sz w:val="20"/>
          <w:szCs w:val="20"/>
        </w:rPr>
        <w:t>If the efforts of our p</w:t>
      </w:r>
      <w:r>
        <w:rPr>
          <w:b/>
          <w:bCs/>
          <w:i/>
          <w:iCs/>
          <w:sz w:val="20"/>
          <w:szCs w:val="20"/>
        </w:rPr>
        <w:t>artners or future partners to protect the proprietary nature of the intellectual property related to collaboration assets are not adequate, the future commercialization of any medicines resulting from collaborations could be delayed or prevented, which wou</w:t>
      </w:r>
      <w:r>
        <w:rPr>
          <w:b/>
          <w:bCs/>
          <w:i/>
          <w:iCs/>
          <w:sz w:val="20"/>
          <w:szCs w:val="20"/>
        </w:rPr>
        <w:t>ld materially harm our business and could cause the price of our securities to fall.</w:t>
      </w:r>
    </w:p>
    <w:p w14:paraId="6AE6A8E8" w14:textId="77777777" w:rsidR="00000000" w:rsidRDefault="001F1B20">
      <w:pPr>
        <w:pStyle w:val="a3"/>
        <w:spacing w:before="0" w:beforeAutospacing="0" w:after="200" w:afterAutospacing="0"/>
        <w:ind w:firstLine="720"/>
        <w:divId w:val="803890514"/>
        <w:rPr>
          <w:sz w:val="20"/>
          <w:szCs w:val="20"/>
        </w:rPr>
      </w:pPr>
      <w:r>
        <w:rPr>
          <w:sz w:val="20"/>
          <w:szCs w:val="20"/>
        </w:rPr>
        <w:t>The risks identified in the two preceding risk factors may also apply to the intellectual property protection efforts of our partners or future partners and to GSK with re</w:t>
      </w:r>
      <w:r>
        <w:rPr>
          <w:sz w:val="20"/>
          <w:szCs w:val="20"/>
        </w:rPr>
        <w:t>spect to the GSK-Partnered Respiratory Programs in which we hold an economic interest. To the extent the intellectual property protection of any partnered assets is successfully challenged or encounters problems with the US Patent and Trademark Office or o</w:t>
      </w:r>
      <w:r>
        <w:rPr>
          <w:sz w:val="20"/>
          <w:szCs w:val="20"/>
        </w:rPr>
        <w:t>ther comparable agencies throughout the world, the future commercialization of these potential medicines could be delayed or prevented. Any challenge to the intellectual property protection of a late-stage development asset, particularly those of the GSK-P</w:t>
      </w:r>
      <w:r>
        <w:rPr>
          <w:sz w:val="20"/>
          <w:szCs w:val="20"/>
        </w:rPr>
        <w:t>artnered Respiratory Programs in which we hold an economic interest, could harm our business and cause the price of our securities to fall.</w:t>
      </w:r>
    </w:p>
    <w:p w14:paraId="2DEAC79D" w14:textId="77777777" w:rsidR="00000000" w:rsidRDefault="001F1B20">
      <w:pPr>
        <w:pStyle w:val="a3"/>
        <w:spacing w:before="0" w:beforeAutospacing="0" w:after="120" w:afterAutospacing="0"/>
        <w:divId w:val="803890514"/>
        <w:rPr>
          <w:sz w:val="20"/>
          <w:szCs w:val="20"/>
        </w:rPr>
      </w:pPr>
      <w:r>
        <w:rPr>
          <w:b/>
          <w:bCs/>
          <w:i/>
          <w:iCs/>
          <w:sz w:val="20"/>
          <w:szCs w:val="20"/>
        </w:rPr>
        <w:t>Product liability and other lawsuits could divert our resources, result in substantial liabilities and reduce the co</w:t>
      </w:r>
      <w:r>
        <w:rPr>
          <w:b/>
          <w:bCs/>
          <w:i/>
          <w:iCs/>
          <w:sz w:val="20"/>
          <w:szCs w:val="20"/>
        </w:rPr>
        <w:t>mmercial potential of our medicines.</w:t>
      </w:r>
    </w:p>
    <w:p w14:paraId="22F8AB47" w14:textId="77777777" w:rsidR="00000000" w:rsidRDefault="001F1B20">
      <w:pPr>
        <w:pStyle w:val="a3"/>
        <w:spacing w:before="0" w:beforeAutospacing="0" w:after="0" w:afterAutospacing="0"/>
        <w:ind w:firstLine="720"/>
        <w:divId w:val="803890514"/>
        <w:rPr>
          <w:sz w:val="20"/>
          <w:szCs w:val="20"/>
        </w:rPr>
      </w:pPr>
      <w:r>
        <w:rPr>
          <w:sz w:val="20"/>
          <w:szCs w:val="20"/>
        </w:rPr>
        <w:t>The risk that we may be sued on product liability claims is inherent in the development and commercialization of pharmaceutical products. Side effects of, or manufacturing defects in, products that we or our partners de</w:t>
      </w:r>
      <w:r>
        <w:rPr>
          <w:sz w:val="20"/>
          <w:szCs w:val="20"/>
        </w:rPr>
        <w:t>velop or commercialize could result in the deterioration of a patient’s condition, injury or even death. Once a product is approved for sale and commercialized, the likelihood of product liability lawsuits tends to increase. Claims may be brought by indivi</w:t>
      </w:r>
      <w:r>
        <w:rPr>
          <w:sz w:val="20"/>
          <w:szCs w:val="20"/>
        </w:rPr>
        <w:t>duals seeking relief for themselves or by individuals or groups seeking to represent a class, asserting injuries based both on potential adverse effects described in the label as well as adverse events not yet observed. We also face an inherent risk of pro</w:t>
      </w:r>
      <w:r>
        <w:rPr>
          <w:sz w:val="20"/>
          <w:szCs w:val="20"/>
        </w:rPr>
        <w:t>duct liability exposure related to the testing of our product candidates in human clinical trials. In addition, changes in laws outside the US are expanding our potential liability for injuries that occur during clinical trials. Product liability claims co</w:t>
      </w:r>
      <w:r>
        <w:rPr>
          <w:sz w:val="20"/>
          <w:szCs w:val="20"/>
        </w:rPr>
        <w:t>uld harm our reputation, regardless of the merit or ultimate success of the claim, which may adversely affect our and our partners’ ability to commercialize our products and cause the price of our securities to fall. These lawsuits may divert our managemen</w:t>
      </w:r>
      <w:r>
        <w:rPr>
          <w:sz w:val="20"/>
          <w:szCs w:val="20"/>
        </w:rPr>
        <w:t xml:space="preserve">t from pursuing our business strategy and may be costly to defend. In addition, if we are held liable in any of </w:t>
      </w:r>
    </w:p>
    <w:p w14:paraId="38CF8315" w14:textId="77777777" w:rsidR="00000000" w:rsidRDefault="001F1B20">
      <w:pPr>
        <w:pStyle w:val="a3"/>
        <w:spacing w:before="360" w:beforeAutospacing="0" w:after="0" w:afterAutospacing="0"/>
        <w:jc w:val="center"/>
        <w:divId w:val="276759954"/>
        <w:rPr>
          <w:sz w:val="20"/>
          <w:szCs w:val="20"/>
        </w:rPr>
      </w:pPr>
      <w:r>
        <w:rPr>
          <w:sz w:val="20"/>
          <w:szCs w:val="20"/>
        </w:rPr>
        <w:t>61</w:t>
      </w:r>
    </w:p>
    <w:p w14:paraId="0BE490A1" w14:textId="77777777" w:rsidR="00000000" w:rsidRDefault="001F1B20">
      <w:pPr>
        <w:pStyle w:val="a3"/>
        <w:spacing w:before="0" w:beforeAutospacing="0" w:after="600" w:afterAutospacing="0"/>
        <w:divId w:val="506752345"/>
        <w:rPr>
          <w:sz w:val="20"/>
          <w:szCs w:val="20"/>
        </w:rPr>
      </w:pPr>
      <w:hyperlink w:anchor="TOC" w:history="1">
        <w:r>
          <w:rPr>
            <w:rStyle w:val="a4"/>
            <w:sz w:val="20"/>
            <w:szCs w:val="20"/>
          </w:rPr>
          <w:t>Table of Contents</w:t>
        </w:r>
      </w:hyperlink>
    </w:p>
    <w:p w14:paraId="5A8D155A" w14:textId="77777777" w:rsidR="00000000" w:rsidRDefault="001F1B20">
      <w:pPr>
        <w:pStyle w:val="a3"/>
        <w:spacing w:before="0" w:beforeAutospacing="0" w:after="200" w:afterAutospacing="0"/>
        <w:divId w:val="120736838"/>
        <w:rPr>
          <w:sz w:val="20"/>
          <w:szCs w:val="20"/>
        </w:rPr>
      </w:pPr>
      <w:r>
        <w:rPr>
          <w:sz w:val="20"/>
          <w:szCs w:val="20"/>
        </w:rPr>
        <w:t>these lawsuits, we may incur substantial liabilities and may be forced to limit or forgo further</w:t>
      </w:r>
      <w:r>
        <w:rPr>
          <w:sz w:val="20"/>
          <w:szCs w:val="20"/>
        </w:rPr>
        <w:t xml:space="preserve"> commercialization of the applicable products.</w:t>
      </w:r>
    </w:p>
    <w:p w14:paraId="7179059E" w14:textId="77777777" w:rsidR="00000000" w:rsidRDefault="001F1B20">
      <w:pPr>
        <w:pStyle w:val="a3"/>
        <w:spacing w:before="0" w:beforeAutospacing="0" w:after="200" w:afterAutospacing="0"/>
        <w:ind w:firstLine="720"/>
        <w:divId w:val="120736838"/>
        <w:rPr>
          <w:sz w:val="20"/>
          <w:szCs w:val="20"/>
        </w:rPr>
      </w:pPr>
      <w:r>
        <w:rPr>
          <w:sz w:val="20"/>
          <w:szCs w:val="20"/>
        </w:rPr>
        <w:t>Although we maintain general liability and product liability insurance, this insurance may not fully cover potential liabilities and we cannot be sure that our insurer will not disclaim coverage as to a future</w:t>
      </w:r>
      <w:r>
        <w:rPr>
          <w:sz w:val="20"/>
          <w:szCs w:val="20"/>
        </w:rPr>
        <w:t xml:space="preserve"> claim. In addition, inability to obtain or maintain sufficient insurance coverage at an acceptable cost or to otherwise protect against potential product liability claims could prevent or inhibit the commercial production and sale of our products, which c</w:t>
      </w:r>
      <w:r>
        <w:rPr>
          <w:sz w:val="20"/>
          <w:szCs w:val="20"/>
        </w:rPr>
        <w:t>ould adversely affect our business.</w:t>
      </w:r>
    </w:p>
    <w:p w14:paraId="4AD97C21" w14:textId="77777777" w:rsidR="00000000" w:rsidRDefault="001F1B20">
      <w:pPr>
        <w:pStyle w:val="a3"/>
        <w:spacing w:before="0" w:beforeAutospacing="0" w:after="200" w:afterAutospacing="0"/>
        <w:ind w:firstLine="720"/>
        <w:divId w:val="120736838"/>
        <w:rPr>
          <w:sz w:val="20"/>
          <w:szCs w:val="20"/>
        </w:rPr>
      </w:pPr>
      <w:r>
        <w:rPr>
          <w:sz w:val="20"/>
          <w:szCs w:val="20"/>
        </w:rPr>
        <w:t xml:space="preserve">We may also be required to prosecute or defend general commercial, intellectual property, securities and other lawsuits. Litigation typically involves substantial expenses and diverts substantial employee resources from </w:t>
      </w:r>
      <w:r>
        <w:rPr>
          <w:sz w:val="20"/>
          <w:szCs w:val="20"/>
        </w:rPr>
        <w:t xml:space="preserve">our business. The cost of defending any product liability litigation or engaging in any other legal proceeding, even if resolved in our favor, could be substantial and uncertainties resulting from the initiation and continuation of the litigation or other </w:t>
      </w:r>
      <w:r>
        <w:rPr>
          <w:sz w:val="20"/>
          <w:szCs w:val="20"/>
        </w:rPr>
        <w:t>proceedings could have a material adverse effect on our ability to compete in the marketplace and achieve our business goals.</w:t>
      </w:r>
    </w:p>
    <w:p w14:paraId="147BD00A" w14:textId="77777777" w:rsidR="00000000" w:rsidRDefault="001F1B20">
      <w:pPr>
        <w:pStyle w:val="a3"/>
        <w:spacing w:before="0" w:beforeAutospacing="0" w:after="120" w:afterAutospacing="0"/>
        <w:divId w:val="120736838"/>
        <w:rPr>
          <w:sz w:val="20"/>
          <w:szCs w:val="20"/>
        </w:rPr>
      </w:pPr>
      <w:r>
        <w:rPr>
          <w:b/>
          <w:bCs/>
          <w:i/>
          <w:iCs/>
          <w:sz w:val="20"/>
          <w:szCs w:val="20"/>
        </w:rPr>
        <w:t>If we fail to comply with data protection laws and regulations, we could be subject to government enforcement actions (which could</w:t>
      </w:r>
      <w:r>
        <w:rPr>
          <w:b/>
          <w:bCs/>
          <w:i/>
          <w:iCs/>
          <w:sz w:val="20"/>
          <w:szCs w:val="20"/>
        </w:rPr>
        <w:t xml:space="preserve"> include civil or criminal penalties), private litigation and/or adverse publicity, which could negatively affect our operating results and business.</w:t>
      </w:r>
    </w:p>
    <w:p w14:paraId="6CE8BF23" w14:textId="77777777" w:rsidR="00000000" w:rsidRDefault="001F1B20">
      <w:pPr>
        <w:pStyle w:val="a3"/>
        <w:spacing w:before="0" w:beforeAutospacing="0" w:after="200" w:afterAutospacing="0"/>
        <w:ind w:firstLine="720"/>
        <w:divId w:val="120736838"/>
        <w:rPr>
          <w:sz w:val="20"/>
          <w:szCs w:val="20"/>
        </w:rPr>
      </w:pPr>
      <w:r>
        <w:rPr>
          <w:sz w:val="20"/>
          <w:szCs w:val="20"/>
        </w:rPr>
        <w:t>We are subject to data protection laws and regulations (i.e., laws and regulations that address privacy an</w:t>
      </w:r>
      <w:r>
        <w:rPr>
          <w:sz w:val="20"/>
          <w:szCs w:val="20"/>
        </w:rPr>
        <w:t xml:space="preserve">d data security). In the US, numerous federal and state laws and regulations, including state data breach notification laws, state health information privacy laws, and federal and state consumer protection laws (e.g., Section 5 of the FTC Act), govern the </w:t>
      </w:r>
      <w:r>
        <w:rPr>
          <w:sz w:val="20"/>
          <w:szCs w:val="20"/>
        </w:rPr>
        <w:t>collection, use, disclosure, and protection of health related and other personal information. In California, the California Consumer Privacy Act (“CCPA”) took effect on January 1, 2020. The CCPA establishes certain requirements for data use and sharing tra</w:t>
      </w:r>
      <w:r>
        <w:rPr>
          <w:sz w:val="20"/>
          <w:szCs w:val="20"/>
        </w:rPr>
        <w:t>nsparency, and provides California residents certain rights concerning the use, disclosure, and retention of their personal data. In addition, in November 2020, California voters approved the California Privacy Rights Act (“CPRA”) ballot initiative which i</w:t>
      </w:r>
      <w:r>
        <w:rPr>
          <w:sz w:val="20"/>
          <w:szCs w:val="20"/>
        </w:rPr>
        <w:t>ntroduced significant amendments to the CCPA and established and funded a dedicated California privacy regulator, the California Privacy Protection Agency (“CPPA”). The amendments introduced by the CPRA go into effect on January 1, 2023, and new implementi</w:t>
      </w:r>
      <w:r>
        <w:rPr>
          <w:sz w:val="20"/>
          <w:szCs w:val="20"/>
        </w:rPr>
        <w:t>ng regulations are expected to be introduced by the CPPA. Similarly, there are a number of legislative proposals and enactments in the United States, at both the federal and state level, that could impose new obligations or limitations in areas affecting o</w:t>
      </w:r>
      <w:r>
        <w:rPr>
          <w:sz w:val="20"/>
          <w:szCs w:val="20"/>
        </w:rPr>
        <w:t>ur business. These laws and regulations are evolving and subject to interpretation, and may impose limitations on our activities or otherwise adversely affect our business. The obligations to comply with the CCPA and evolving legislation involve, among oth</w:t>
      </w:r>
      <w:r>
        <w:rPr>
          <w:sz w:val="20"/>
          <w:szCs w:val="20"/>
        </w:rPr>
        <w:t xml:space="preserve">er things, updates to our notices and the development of new processes internally and with our partners. We may be subject to fines, penalties, or private actions in the event of non-compliance with such laws. </w:t>
      </w:r>
    </w:p>
    <w:p w14:paraId="37F981B3" w14:textId="77777777" w:rsidR="00000000" w:rsidRDefault="001F1B20">
      <w:pPr>
        <w:pStyle w:val="a3"/>
        <w:spacing w:before="0" w:beforeAutospacing="0" w:after="200" w:afterAutospacing="0"/>
        <w:ind w:firstLine="720"/>
        <w:divId w:val="120736838"/>
        <w:rPr>
          <w:sz w:val="20"/>
          <w:szCs w:val="20"/>
        </w:rPr>
      </w:pPr>
      <w:r>
        <w:rPr>
          <w:sz w:val="20"/>
          <w:szCs w:val="20"/>
        </w:rPr>
        <w:t>In addition, we may obtain health information</w:t>
      </w:r>
      <w:r>
        <w:rPr>
          <w:sz w:val="20"/>
          <w:szCs w:val="20"/>
        </w:rPr>
        <w:t xml:space="preserve"> from third parties (e.g., healthcare providers who prescribe our products) that are subject to privacy and security requirements under the Health Insurance Portability and Accountability Act of 1996, the Health Information Technology for Economic and Clin</w:t>
      </w:r>
      <w:r>
        <w:rPr>
          <w:sz w:val="20"/>
          <w:szCs w:val="20"/>
        </w:rPr>
        <w:t>ical Health Act, and their implementing regulations, (collectively, “HIPAA”). Although we are not directly subject to HIPAA we could be subject to criminal penalties if we knowingly obtain, use, or disclose individually identifiable health information main</w:t>
      </w:r>
      <w:r>
        <w:rPr>
          <w:sz w:val="20"/>
          <w:szCs w:val="20"/>
        </w:rPr>
        <w:t>tained by a HIPAA covered entity in a manner that is not authorized or permitted by HIPAA. HIPAA generally requires that healthcare providers and other covered entities obtain written authorizations from patients prior to disclosing protected health inform</w:t>
      </w:r>
      <w:r>
        <w:rPr>
          <w:sz w:val="20"/>
          <w:szCs w:val="20"/>
        </w:rPr>
        <w:t>ation of the patient (unless an exception to the authorization requirement applies). If authorization is required and the patient fails to execute an authorization or the authorization fails to contain all required provisions, then we may not be allowed ac</w:t>
      </w:r>
      <w:r>
        <w:rPr>
          <w:sz w:val="20"/>
          <w:szCs w:val="20"/>
        </w:rPr>
        <w:t>cess to and use of the patient’s information and our research efforts could be impaired or delayed. Furthermore, use and disclosure of protected health information that is provided to us pursuant to a valid patient authorization is subject to the limits se</w:t>
      </w:r>
      <w:r>
        <w:rPr>
          <w:sz w:val="20"/>
          <w:szCs w:val="20"/>
        </w:rPr>
        <w:t>t forth in the authorization (e.g., for use in research and in submissions to regulatory authorities for product approvals). Moreover, patients about whom we or our partners obtain information, as well as the providers who share this information with us, m</w:t>
      </w:r>
      <w:r>
        <w:rPr>
          <w:sz w:val="20"/>
          <w:szCs w:val="20"/>
        </w:rPr>
        <w:t>ay have contractual rights that limit our ability to use and disclose the information. In addition, HIPAA does not replace federal, state, international or other laws that may grant individuals even greater privacy protections.</w:t>
      </w:r>
    </w:p>
    <w:p w14:paraId="79F17DBA" w14:textId="77777777" w:rsidR="00000000" w:rsidRDefault="001F1B20">
      <w:pPr>
        <w:pStyle w:val="a3"/>
        <w:spacing w:before="0" w:beforeAutospacing="0" w:after="0" w:afterAutospacing="0"/>
        <w:ind w:firstLine="720"/>
        <w:divId w:val="120736838"/>
        <w:rPr>
          <w:sz w:val="20"/>
          <w:szCs w:val="20"/>
        </w:rPr>
      </w:pPr>
      <w:r>
        <w:rPr>
          <w:sz w:val="20"/>
          <w:szCs w:val="20"/>
        </w:rPr>
        <w:t>EU Member States and other j</w:t>
      </w:r>
      <w:r>
        <w:rPr>
          <w:sz w:val="20"/>
          <w:szCs w:val="20"/>
        </w:rPr>
        <w:t>urisdictions where we operate have adopted data protection laws and regulations, which impose significant compliance obligations. For example, the General Data Protection Regulation (“GDPR”) which became applicable on May 25, 2018, replacing the EU Data Pr</w:t>
      </w:r>
      <w:r>
        <w:rPr>
          <w:sz w:val="20"/>
          <w:szCs w:val="20"/>
        </w:rPr>
        <w:t xml:space="preserve">otection Directive, imposes strict obligations and restrictions </w:t>
      </w:r>
    </w:p>
    <w:p w14:paraId="40713045" w14:textId="77777777" w:rsidR="00000000" w:rsidRDefault="001F1B20">
      <w:pPr>
        <w:pStyle w:val="a3"/>
        <w:spacing w:before="360" w:beforeAutospacing="0" w:after="0" w:afterAutospacing="0"/>
        <w:jc w:val="center"/>
        <w:divId w:val="782849544"/>
        <w:rPr>
          <w:sz w:val="20"/>
          <w:szCs w:val="20"/>
        </w:rPr>
      </w:pPr>
      <w:r>
        <w:rPr>
          <w:sz w:val="20"/>
          <w:szCs w:val="20"/>
        </w:rPr>
        <w:t>62</w:t>
      </w:r>
    </w:p>
    <w:p w14:paraId="5155AFE4" w14:textId="77777777" w:rsidR="00000000" w:rsidRDefault="001F1B20">
      <w:pPr>
        <w:pStyle w:val="a3"/>
        <w:spacing w:before="0" w:beforeAutospacing="0" w:after="600" w:afterAutospacing="0"/>
        <w:divId w:val="1051539717"/>
        <w:rPr>
          <w:sz w:val="20"/>
          <w:szCs w:val="20"/>
        </w:rPr>
      </w:pPr>
      <w:hyperlink w:anchor="TOC" w:history="1">
        <w:r>
          <w:rPr>
            <w:rStyle w:val="a4"/>
            <w:sz w:val="20"/>
            <w:szCs w:val="20"/>
          </w:rPr>
          <w:t>Table of Contents</w:t>
        </w:r>
      </w:hyperlink>
    </w:p>
    <w:p w14:paraId="5F499C16" w14:textId="77777777" w:rsidR="00000000" w:rsidRDefault="001F1B20">
      <w:pPr>
        <w:pStyle w:val="a3"/>
        <w:spacing w:before="0" w:beforeAutospacing="0" w:after="200" w:afterAutospacing="0"/>
        <w:divId w:val="31733061"/>
        <w:rPr>
          <w:sz w:val="20"/>
          <w:szCs w:val="20"/>
        </w:rPr>
      </w:pPr>
      <w:r>
        <w:rPr>
          <w:sz w:val="20"/>
          <w:szCs w:val="20"/>
        </w:rPr>
        <w:t>on the ability to collect, analyze and transfer personal data, including health data from clinical trials and adverse event reporting.</w:t>
      </w:r>
    </w:p>
    <w:p w14:paraId="25F5E52A" w14:textId="77777777" w:rsidR="00000000" w:rsidRDefault="001F1B20">
      <w:pPr>
        <w:pStyle w:val="a3"/>
        <w:spacing w:before="0" w:beforeAutospacing="0" w:after="200" w:afterAutospacing="0"/>
        <w:ind w:firstLine="720"/>
        <w:divId w:val="31733061"/>
        <w:rPr>
          <w:sz w:val="20"/>
          <w:szCs w:val="20"/>
        </w:rPr>
      </w:pPr>
      <w:r>
        <w:rPr>
          <w:sz w:val="20"/>
          <w:szCs w:val="20"/>
        </w:rPr>
        <w:t>Switzerla</w:t>
      </w:r>
      <w:r>
        <w:rPr>
          <w:sz w:val="20"/>
          <w:szCs w:val="20"/>
        </w:rPr>
        <w:t>nd has adopted laws that impose restrictions and obligations similar to the GDPR. The obligations and restrictions under the GDPR and Switzerland’s laws concern, in particular, in some instances the consent of the individuals to whom the personal data rela</w:t>
      </w:r>
      <w:r>
        <w:rPr>
          <w:sz w:val="20"/>
          <w:szCs w:val="20"/>
        </w:rPr>
        <w:t>te, the information provided to the individuals, the transfer of personal data out of the European Economic Area (“EEA”) or Switzerland, security breach notifications, security and confidentiality of the personal data, as well as substantial potential fine</w:t>
      </w:r>
      <w:r>
        <w:rPr>
          <w:sz w:val="20"/>
          <w:szCs w:val="20"/>
        </w:rPr>
        <w:t>s, in some cases up to 4% of global revenues, for breaches of the data protection obligations. Data protection authorities from the different EU Member States and the EEA may interpret the GDPR and applicable related national laws differently which could e</w:t>
      </w:r>
      <w:r>
        <w:rPr>
          <w:sz w:val="20"/>
          <w:szCs w:val="20"/>
        </w:rPr>
        <w:t>ffectively result in requirements additional to those currently understood to apply under the GDPR. In addition, guidance on implementation and compliance practices may be updated or otherwise revised, which adds to the complexity of processing personal da</w:t>
      </w:r>
      <w:r>
        <w:rPr>
          <w:sz w:val="20"/>
          <w:szCs w:val="20"/>
        </w:rPr>
        <w:t xml:space="preserve">ta in the EU. When processing personal data of subjects in the EU, we have to comply with applicable data protection and electronic communications laws. In particular, as we rely on service providers processing personal data of subjects in the EU, we have </w:t>
      </w:r>
      <w:r>
        <w:rPr>
          <w:sz w:val="20"/>
          <w:szCs w:val="20"/>
        </w:rPr>
        <w:t>to enter into suitable contract terms with such providers and receive sufficient guarantees that such providers meet the requirements of the applicable data protection laws, particularly the GDPR which imposes specific and relevant obligations</w:t>
      </w:r>
      <w:r>
        <w:rPr>
          <w:sz w:val="20"/>
          <w:szCs w:val="20"/>
        </w:rPr>
        <w:t>.</w:t>
      </w:r>
    </w:p>
    <w:p w14:paraId="656548AF" w14:textId="77777777" w:rsidR="00000000" w:rsidRDefault="001F1B20">
      <w:pPr>
        <w:pStyle w:val="a3"/>
        <w:spacing w:before="0" w:beforeAutospacing="0" w:after="200" w:afterAutospacing="0"/>
        <w:ind w:firstLine="720"/>
        <w:divId w:val="31733061"/>
        <w:rPr>
          <w:sz w:val="20"/>
          <w:szCs w:val="20"/>
        </w:rPr>
      </w:pPr>
      <w:r>
        <w:rPr>
          <w:sz w:val="20"/>
          <w:szCs w:val="20"/>
        </w:rPr>
        <w:t>Legal mecha</w:t>
      </w:r>
      <w:r>
        <w:rPr>
          <w:sz w:val="20"/>
          <w:szCs w:val="20"/>
        </w:rPr>
        <w:t>nisms to allow for the transfer of personal data from the EEA to the US have been challenged in the European Court of Justice, which generally increases uncertainty around compliance with EU privacy law requirements as these relate to transfer of data from</w:t>
      </w:r>
      <w:r>
        <w:rPr>
          <w:sz w:val="20"/>
          <w:szCs w:val="20"/>
        </w:rPr>
        <w:t xml:space="preserve"> the EU to the US. In 2016, the European Commission and the US Department of Commerce (“DOC”) put in place the EU US “Privacy Shield,” which has been relied on by some US companies since that time to transfer data to the US. However, on July 16, 2020, the </w:t>
      </w:r>
      <w:r>
        <w:rPr>
          <w:sz w:val="20"/>
          <w:szCs w:val="20"/>
        </w:rPr>
        <w:t>European Court of Justice ruled that the Privacy Shield is invalid. As a result, from July 16, 2020 companies could no longer rely on the Privacy Shield as a basis on which to transfer personal data from the EU to the US. Data exporters and US-based compan</w:t>
      </w:r>
      <w:r>
        <w:rPr>
          <w:sz w:val="20"/>
          <w:szCs w:val="20"/>
        </w:rPr>
        <w:t>ies are permitted to rely on other authorized means and procedures to transfer personal data subject to the GDPR to the U.S. Recent changes have been made to another commonly used authorized procedure to transfer personal data out of the EU, the European C</w:t>
      </w:r>
      <w:r>
        <w:rPr>
          <w:sz w:val="20"/>
          <w:szCs w:val="20"/>
        </w:rPr>
        <w:t>ommission’s Standard Contractual Clauses (SCCs). In June 2021, the European Commission published updated versions of the SCCs, which, if companies are relying on them as the mechanism to transfer personal information from the EEA to the U.S. (or to other j</w:t>
      </w:r>
      <w:r>
        <w:rPr>
          <w:sz w:val="20"/>
          <w:szCs w:val="20"/>
        </w:rPr>
        <w:t>urisdictions not recognized as adequate by the EU), must be incorporated into new and existing agreements within prescribed timeframes. The UK is expected to publish final versions of their own SCCs during 2021. Updating agreements to incorporate these new</w:t>
      </w:r>
      <w:r>
        <w:rPr>
          <w:sz w:val="20"/>
          <w:szCs w:val="20"/>
        </w:rPr>
        <w:t xml:space="preserve"> SCCs for the EEA and UK may require significant time and resources to implement, including through adjusting our operations, conducting requisite data transfer assessments, and revising our contracts. Companies that have not taken steps to demonstrate tha</w:t>
      </w:r>
      <w:r>
        <w:rPr>
          <w:sz w:val="20"/>
          <w:szCs w:val="20"/>
        </w:rPr>
        <w:t>t their SCCs and personal data recipients in the US or other non-adequate jurisdictions are suitable to receive the personal data may be subject to enforcement actions by competent authorities in the EU for failure to comply with related data privacy rules</w:t>
      </w:r>
      <w:r>
        <w:rPr>
          <w:sz w:val="20"/>
          <w:szCs w:val="20"/>
        </w:rPr>
        <w:t xml:space="preserve">. </w:t>
      </w:r>
    </w:p>
    <w:p w14:paraId="79A245E6" w14:textId="77777777" w:rsidR="00000000" w:rsidRDefault="001F1B20">
      <w:pPr>
        <w:pStyle w:val="a3"/>
        <w:spacing w:before="0" w:beforeAutospacing="0" w:after="200" w:afterAutospacing="0"/>
        <w:divId w:val="31733061"/>
        <w:rPr>
          <w:sz w:val="20"/>
          <w:szCs w:val="20"/>
        </w:rPr>
      </w:pPr>
      <w:r>
        <w:rPr>
          <w:sz w:val="20"/>
          <w:szCs w:val="20"/>
        </w:rPr>
        <w:t>In addition, the privacy and data security landscape in the EU continues to remain in flux. The agreement that has been concluded between the EU and the UK following the UK’s withdrawal from the EU on January 31, 2020 may require organizations to revisi</w:t>
      </w:r>
      <w:r>
        <w:rPr>
          <w:sz w:val="20"/>
          <w:szCs w:val="20"/>
        </w:rPr>
        <w:t xml:space="preserve">t the way they transfer personal data from and to the UK from the EU. The Trade and Cooperation Agreement concluded between the EU and the UK provides for a transition period of six months starting January 1, 2021. During this period personal data may, in </w:t>
      </w:r>
      <w:r>
        <w:rPr>
          <w:sz w:val="20"/>
          <w:szCs w:val="20"/>
        </w:rPr>
        <w:t>accordance with the requirements of the GDPR, flow from the EEA to the UK and from the UK to the EEA. On 28 June 2021, the European Commission adopted an Adequacy Decision concerning the level of data protection in the UK, pursuant to which flows of person</w:t>
      </w:r>
      <w:r>
        <w:rPr>
          <w:sz w:val="20"/>
          <w:szCs w:val="20"/>
        </w:rPr>
        <w:t>al data between the EEA and the UK will continue to remain permissible restrictions.</w:t>
      </w:r>
    </w:p>
    <w:p w14:paraId="61609113" w14:textId="77777777" w:rsidR="00000000" w:rsidRDefault="001F1B20">
      <w:pPr>
        <w:pStyle w:val="a3"/>
        <w:spacing w:before="0" w:beforeAutospacing="0" w:after="200" w:afterAutospacing="0"/>
        <w:ind w:firstLine="720"/>
        <w:divId w:val="31733061"/>
        <w:rPr>
          <w:sz w:val="20"/>
          <w:szCs w:val="20"/>
        </w:rPr>
      </w:pPr>
      <w:r>
        <w:rPr>
          <w:sz w:val="20"/>
          <w:szCs w:val="20"/>
        </w:rPr>
        <w:t>If we or our vendors fail to comply with applicable data privacy laws concerning, or if the legal mechanisms we or our vendors rely upon to allow, the transfer of personal</w:t>
      </w:r>
      <w:r>
        <w:rPr>
          <w:sz w:val="20"/>
          <w:szCs w:val="20"/>
        </w:rPr>
        <w:t xml:space="preserve"> data from the EEA or Switzerland to the US (or other countries not considered by the European Commission to provide an adequate level of data protection) are not considered adequate, we could be subject to government enforcement actions, including an orde</w:t>
      </w:r>
      <w:r>
        <w:rPr>
          <w:sz w:val="20"/>
          <w:szCs w:val="20"/>
        </w:rPr>
        <w:t>r to stop transferring the personal data outside of the EEA and significant penalties against us. Moreover, our business could be adversely impacted if our ability to transfer personal data out of the EEA or Switzerland to the US is restricted, which could</w:t>
      </w:r>
      <w:r>
        <w:rPr>
          <w:sz w:val="20"/>
          <w:szCs w:val="20"/>
        </w:rPr>
        <w:t xml:space="preserve"> adversely impact our operating results.</w:t>
      </w:r>
    </w:p>
    <w:p w14:paraId="50AA5DF1" w14:textId="77777777" w:rsidR="00000000" w:rsidRDefault="001F1B20">
      <w:pPr>
        <w:pStyle w:val="a3"/>
        <w:spacing w:before="0" w:beforeAutospacing="0" w:after="0" w:afterAutospacing="0"/>
        <w:ind w:firstLine="720"/>
        <w:divId w:val="31733061"/>
        <w:rPr>
          <w:sz w:val="20"/>
          <w:szCs w:val="20"/>
        </w:rPr>
      </w:pPr>
      <w:r>
        <w:rPr>
          <w:sz w:val="20"/>
          <w:szCs w:val="20"/>
        </w:rPr>
        <w:t>Failure to comply with data protection laws and regulations could result in unfavorable outcomes, including increased compliance costs, delays or impediments in the development of new products, increased operating c</w:t>
      </w:r>
      <w:r>
        <w:rPr>
          <w:sz w:val="20"/>
          <w:szCs w:val="20"/>
        </w:rPr>
        <w:t xml:space="preserve">osts, diversion of management time and attention, government enforcement actions and create liability for us (which could include civil, </w:t>
      </w:r>
    </w:p>
    <w:p w14:paraId="32E2D0CD" w14:textId="77777777" w:rsidR="00000000" w:rsidRDefault="001F1B20">
      <w:pPr>
        <w:pStyle w:val="a3"/>
        <w:spacing w:before="360" w:beforeAutospacing="0" w:after="0" w:afterAutospacing="0"/>
        <w:jc w:val="center"/>
        <w:divId w:val="549804943"/>
        <w:rPr>
          <w:sz w:val="20"/>
          <w:szCs w:val="20"/>
        </w:rPr>
      </w:pPr>
      <w:r>
        <w:rPr>
          <w:sz w:val="20"/>
          <w:szCs w:val="20"/>
        </w:rPr>
        <w:t>63</w:t>
      </w:r>
    </w:p>
    <w:p w14:paraId="427111AE" w14:textId="77777777" w:rsidR="00000000" w:rsidRDefault="001F1B20">
      <w:pPr>
        <w:pStyle w:val="a3"/>
        <w:spacing w:before="0" w:beforeAutospacing="0" w:after="600" w:afterAutospacing="0"/>
        <w:divId w:val="672880257"/>
        <w:rPr>
          <w:sz w:val="20"/>
          <w:szCs w:val="20"/>
        </w:rPr>
      </w:pPr>
      <w:hyperlink w:anchor="TOC" w:history="1">
        <w:r>
          <w:rPr>
            <w:rStyle w:val="a4"/>
            <w:sz w:val="20"/>
            <w:szCs w:val="20"/>
          </w:rPr>
          <w:t>Table of Contents</w:t>
        </w:r>
      </w:hyperlink>
    </w:p>
    <w:p w14:paraId="06C00573" w14:textId="77777777" w:rsidR="00000000" w:rsidRDefault="001F1B20">
      <w:pPr>
        <w:pStyle w:val="a3"/>
        <w:spacing w:before="0" w:beforeAutospacing="0" w:after="200" w:afterAutospacing="0"/>
        <w:divId w:val="1347249512"/>
        <w:rPr>
          <w:sz w:val="20"/>
          <w:szCs w:val="20"/>
        </w:rPr>
      </w:pPr>
      <w:r>
        <w:rPr>
          <w:sz w:val="20"/>
          <w:szCs w:val="20"/>
        </w:rPr>
        <w:t>administrative, and/or criminal penalties), private litigation and/or adverse publicity that could negatively affect our operating results and business.</w:t>
      </w:r>
    </w:p>
    <w:p w14:paraId="0F9DB9F6" w14:textId="77777777" w:rsidR="00000000" w:rsidRDefault="001F1B20">
      <w:pPr>
        <w:pStyle w:val="a3"/>
        <w:spacing w:before="0" w:beforeAutospacing="0" w:after="120" w:afterAutospacing="0"/>
        <w:divId w:val="1347249512"/>
        <w:rPr>
          <w:sz w:val="20"/>
          <w:szCs w:val="20"/>
        </w:rPr>
      </w:pPr>
      <w:r>
        <w:rPr>
          <w:b/>
          <w:bCs/>
          <w:i/>
          <w:iCs/>
          <w:sz w:val="20"/>
          <w:szCs w:val="20"/>
        </w:rPr>
        <w:t>Changes in healthcare law and implementing regulations, including government restrictions on pricing an</w:t>
      </w:r>
      <w:r>
        <w:rPr>
          <w:b/>
          <w:bCs/>
          <w:i/>
          <w:iCs/>
          <w:sz w:val="20"/>
          <w:szCs w:val="20"/>
        </w:rPr>
        <w:t>d reimbursement, as well as healthcare policy and other healthcare payor cost-containment initiatives, may negatively impact us, our collaboration partners, or those commercializing products with respect to which we have an economic interest or right to re</w:t>
      </w:r>
      <w:r>
        <w:rPr>
          <w:b/>
          <w:bCs/>
          <w:i/>
          <w:iCs/>
          <w:sz w:val="20"/>
          <w:szCs w:val="20"/>
        </w:rPr>
        <w:t>ceive royalties.</w:t>
      </w:r>
    </w:p>
    <w:p w14:paraId="30F3DA26" w14:textId="77777777" w:rsidR="00000000" w:rsidRDefault="001F1B20">
      <w:pPr>
        <w:pStyle w:val="a3"/>
        <w:spacing w:before="0" w:beforeAutospacing="0" w:after="200" w:afterAutospacing="0"/>
        <w:ind w:firstLine="720"/>
        <w:divId w:val="1347249512"/>
        <w:rPr>
          <w:sz w:val="20"/>
          <w:szCs w:val="20"/>
        </w:rPr>
      </w:pPr>
      <w:r>
        <w:rPr>
          <w:sz w:val="20"/>
          <w:szCs w:val="20"/>
        </w:rPr>
        <w:t>The continuing efforts of the government, insurance companies, managed care organizations and other payors of health care costs to contain or reduce costs of health care may adversely affect us, our collaboration partners, or those commerc</w:t>
      </w:r>
      <w:r>
        <w:rPr>
          <w:sz w:val="20"/>
          <w:szCs w:val="20"/>
        </w:rPr>
        <w:t>ializing products with respect to which we have an economic interest or right to receive royalties in regard to one or more of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736B90B" w14:textId="77777777">
        <w:trPr>
          <w:divId w:val="1347249512"/>
        </w:trPr>
        <w:tc>
          <w:tcPr>
            <w:tcW w:w="720" w:type="dxa"/>
            <w:vAlign w:val="center"/>
            <w:hideMark/>
          </w:tcPr>
          <w:p w14:paraId="1604BE19" w14:textId="77777777" w:rsidR="00000000" w:rsidRDefault="001F1B20">
            <w:pPr>
              <w:rPr>
                <w:sz w:val="20"/>
                <w:szCs w:val="20"/>
              </w:rPr>
            </w:pPr>
          </w:p>
        </w:tc>
        <w:tc>
          <w:tcPr>
            <w:tcW w:w="360" w:type="dxa"/>
            <w:noWrap/>
            <w:tcMar>
              <w:top w:w="0" w:type="dxa"/>
              <w:left w:w="0" w:type="dxa"/>
              <w:bottom w:w="0" w:type="dxa"/>
              <w:right w:w="0" w:type="dxa"/>
            </w:tcMar>
            <w:hideMark/>
          </w:tcPr>
          <w:p w14:paraId="4EFD73D6"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C51BFC4" w14:textId="77777777" w:rsidR="00000000" w:rsidRDefault="001F1B20">
            <w:pPr>
              <w:spacing w:after="200"/>
              <w:rPr>
                <w:rFonts w:eastAsia="Times New Roman"/>
                <w:sz w:val="20"/>
                <w:szCs w:val="20"/>
              </w:rPr>
            </w:pPr>
            <w:r>
              <w:rPr>
                <w:rFonts w:eastAsia="Times New Roman"/>
                <w:sz w:val="20"/>
                <w:szCs w:val="20"/>
              </w:rPr>
              <w:t>the ability to set and collect a price believed to be reasonable for products;</w:t>
            </w:r>
          </w:p>
        </w:tc>
      </w:tr>
    </w:tbl>
    <w:p w14:paraId="296591C5" w14:textId="77777777" w:rsidR="00000000" w:rsidRDefault="001F1B20">
      <w:pPr>
        <w:divId w:val="13472495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FD552B8" w14:textId="77777777">
        <w:trPr>
          <w:divId w:val="1347249512"/>
        </w:trPr>
        <w:tc>
          <w:tcPr>
            <w:tcW w:w="720" w:type="dxa"/>
            <w:vAlign w:val="center"/>
            <w:hideMark/>
          </w:tcPr>
          <w:p w14:paraId="389603F0" w14:textId="77777777" w:rsidR="00000000" w:rsidRDefault="001F1B20">
            <w:pPr>
              <w:rPr>
                <w:rFonts w:eastAsia="Times New Roman"/>
              </w:rPr>
            </w:pPr>
          </w:p>
        </w:tc>
        <w:tc>
          <w:tcPr>
            <w:tcW w:w="360" w:type="dxa"/>
            <w:noWrap/>
            <w:tcMar>
              <w:top w:w="0" w:type="dxa"/>
              <w:left w:w="0" w:type="dxa"/>
              <w:bottom w:w="0" w:type="dxa"/>
              <w:right w:w="0" w:type="dxa"/>
            </w:tcMar>
            <w:hideMark/>
          </w:tcPr>
          <w:p w14:paraId="6E21F210"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75054E3" w14:textId="77777777" w:rsidR="00000000" w:rsidRDefault="001F1B20">
            <w:pPr>
              <w:spacing w:after="200"/>
              <w:rPr>
                <w:rFonts w:eastAsia="Times New Roman"/>
                <w:sz w:val="20"/>
                <w:szCs w:val="20"/>
              </w:rPr>
            </w:pPr>
            <w:r>
              <w:rPr>
                <w:rFonts w:eastAsia="Times New Roman"/>
                <w:sz w:val="20"/>
                <w:szCs w:val="20"/>
              </w:rPr>
              <w:t>the ability to generate rev</w:t>
            </w:r>
            <w:r>
              <w:rPr>
                <w:rFonts w:eastAsia="Times New Roman"/>
                <w:sz w:val="20"/>
                <w:szCs w:val="20"/>
              </w:rPr>
              <w:t>enues and achieve profitability; and</w:t>
            </w:r>
          </w:p>
        </w:tc>
      </w:tr>
    </w:tbl>
    <w:p w14:paraId="45D336E8" w14:textId="77777777" w:rsidR="00000000" w:rsidRDefault="001F1B20">
      <w:pPr>
        <w:divId w:val="134724951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606E2AD" w14:textId="77777777">
        <w:trPr>
          <w:divId w:val="1347249512"/>
        </w:trPr>
        <w:tc>
          <w:tcPr>
            <w:tcW w:w="720" w:type="dxa"/>
            <w:vAlign w:val="center"/>
            <w:hideMark/>
          </w:tcPr>
          <w:p w14:paraId="52EE48DB" w14:textId="77777777" w:rsidR="00000000" w:rsidRDefault="001F1B20">
            <w:pPr>
              <w:rPr>
                <w:rFonts w:eastAsia="Times New Roman"/>
              </w:rPr>
            </w:pPr>
          </w:p>
        </w:tc>
        <w:tc>
          <w:tcPr>
            <w:tcW w:w="360" w:type="dxa"/>
            <w:noWrap/>
            <w:tcMar>
              <w:top w:w="0" w:type="dxa"/>
              <w:left w:w="0" w:type="dxa"/>
              <w:bottom w:w="0" w:type="dxa"/>
              <w:right w:w="0" w:type="dxa"/>
            </w:tcMar>
            <w:hideMark/>
          </w:tcPr>
          <w:p w14:paraId="1A6DECF3"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627F5A1" w14:textId="77777777" w:rsidR="00000000" w:rsidRDefault="001F1B20">
            <w:pPr>
              <w:rPr>
                <w:rFonts w:eastAsia="Times New Roman"/>
                <w:sz w:val="20"/>
                <w:szCs w:val="20"/>
              </w:rPr>
            </w:pPr>
            <w:r>
              <w:rPr>
                <w:rFonts w:eastAsia="Times New Roman"/>
                <w:sz w:val="20"/>
                <w:szCs w:val="20"/>
              </w:rPr>
              <w:t>the availability of capital.</w:t>
            </w:r>
          </w:p>
        </w:tc>
      </w:tr>
    </w:tbl>
    <w:p w14:paraId="1132E1BD" w14:textId="77777777" w:rsidR="00000000" w:rsidRDefault="001F1B20">
      <w:pPr>
        <w:pStyle w:val="a3"/>
        <w:spacing w:before="0" w:beforeAutospacing="0" w:after="200" w:afterAutospacing="0"/>
        <w:ind w:firstLine="720"/>
        <w:divId w:val="1347249512"/>
        <w:rPr>
          <w:sz w:val="20"/>
          <w:szCs w:val="20"/>
        </w:rPr>
      </w:pPr>
      <w:r>
        <w:rPr>
          <w:sz w:val="20"/>
          <w:szCs w:val="20"/>
        </w:rPr>
        <w:t>The pricing and reimbursement environment for products may change in the future and become more challenging due to, among other reasons, policies advanced by the presidential administration, federal agencies, new healthcare legislation passed by Congress o</w:t>
      </w:r>
      <w:r>
        <w:rPr>
          <w:sz w:val="20"/>
          <w:szCs w:val="20"/>
        </w:rPr>
        <w:t>r fiscal challenges faced by all levels of government health administration authorities. Among policy makers and payors in the US and elsewhere, there is significant interest in promoting changes in healthcare systems with the stated goals of containing he</w:t>
      </w:r>
      <w:r>
        <w:rPr>
          <w:sz w:val="20"/>
          <w:szCs w:val="20"/>
        </w:rPr>
        <w:t>althcare costs, improving quality and expanding access to healthcare. In the US, the pharmaceutical industry has been a particular focus of these efforts and has been and may in the future be significantly affected by major regulatory or legislative initia</w:t>
      </w:r>
      <w:r>
        <w:rPr>
          <w:sz w:val="20"/>
          <w:szCs w:val="20"/>
        </w:rPr>
        <w:t>tives. For instance, there is proposed legislation pending that would lower reimbursement for prescription drugs. We expect we, our collaboration partners or those commercializing products with respect to which we have an economic interest or right to rece</w:t>
      </w:r>
      <w:r>
        <w:rPr>
          <w:sz w:val="20"/>
          <w:szCs w:val="20"/>
        </w:rPr>
        <w:t>ive royalties may experience pricing pressures in connection with the sale of drug products, due to the trend toward managed healthcare, the increasing influence of health maintenance organizations and additional legislative enactments.</w:t>
      </w:r>
    </w:p>
    <w:p w14:paraId="680ACFCC" w14:textId="77777777" w:rsidR="00000000" w:rsidRDefault="001F1B20">
      <w:pPr>
        <w:pStyle w:val="a3"/>
        <w:spacing w:before="0" w:beforeAutospacing="0" w:after="200" w:afterAutospacing="0"/>
        <w:ind w:firstLine="720"/>
        <w:divId w:val="1347249512"/>
        <w:rPr>
          <w:sz w:val="20"/>
          <w:szCs w:val="20"/>
        </w:rPr>
      </w:pPr>
      <w:r>
        <w:rPr>
          <w:sz w:val="20"/>
          <w:szCs w:val="20"/>
        </w:rPr>
        <w:t>The Patient Protect</w:t>
      </w:r>
      <w:r>
        <w:rPr>
          <w:sz w:val="20"/>
          <w:szCs w:val="20"/>
        </w:rPr>
        <w:t>ion and Affordable Care Act, as amended by the Health Care and Education Reconciliation Act of 2010 (together the “Healthcare Reform Act”), is a sweeping measure intended to expand healthcare coverage within the US, primarily through the imposition of heal</w:t>
      </w:r>
      <w:r>
        <w:rPr>
          <w:sz w:val="20"/>
          <w:szCs w:val="20"/>
        </w:rPr>
        <w:t>th insurance mandates on employers and individuals, the provision of subsidies to eligible individuals enrolled in plans offered on the health insurance exchanges, and expansion of the Medicaid program. This law has substantially changed the way healthcare</w:t>
      </w:r>
      <w:r>
        <w:rPr>
          <w:sz w:val="20"/>
          <w:szCs w:val="20"/>
        </w:rPr>
        <w:t xml:space="preserve"> is financed by both governmental and private insurers and has significantly impacted the pharmaceutical industry. The Healthcare Reform Act contains a number of provisions that impact our business and operations, including those governing enrollment in fe</w:t>
      </w:r>
      <w:r>
        <w:rPr>
          <w:sz w:val="20"/>
          <w:szCs w:val="20"/>
        </w:rPr>
        <w:t>deral healthcare programs, reimbursement changes, benefits for patients within a coverage gap in the Medicare Part D prescription drug program (commonly known as the “donut hole”), rules regarding prescription drug benefits under the health insurance excha</w:t>
      </w:r>
      <w:r>
        <w:rPr>
          <w:sz w:val="20"/>
          <w:szCs w:val="20"/>
        </w:rPr>
        <w:t xml:space="preserve">nges, changes to the Medicare Drug Rebate program, expansion of the Public Health Service Act’s 340B drug pricing program, fraud and abuse and enforcement. These changes have impacted previously existing government healthcare programs and have resulted in </w:t>
      </w:r>
      <w:r>
        <w:rPr>
          <w:sz w:val="20"/>
          <w:szCs w:val="20"/>
        </w:rPr>
        <w:t>the development of new programs, including Medicare payment for performance initiatives and improvements to the physician quality reporting system and feedback program.</w:t>
      </w:r>
    </w:p>
    <w:p w14:paraId="01D2B189" w14:textId="77777777" w:rsidR="00000000" w:rsidRDefault="001F1B20">
      <w:pPr>
        <w:pStyle w:val="a3"/>
        <w:spacing w:before="0" w:beforeAutospacing="0" w:after="0" w:afterAutospacing="0"/>
        <w:ind w:firstLine="720"/>
        <w:divId w:val="1347249512"/>
        <w:rPr>
          <w:sz w:val="20"/>
          <w:szCs w:val="20"/>
        </w:rPr>
      </w:pPr>
      <w:r>
        <w:rPr>
          <w:sz w:val="20"/>
          <w:szCs w:val="20"/>
        </w:rPr>
        <w:t>Congress could enact additional legislation that further increases Medicaid drug rebate</w:t>
      </w:r>
      <w:r>
        <w:rPr>
          <w:sz w:val="20"/>
          <w:szCs w:val="20"/>
        </w:rPr>
        <w:t>s or other costs and charges associated with participating in the Medicaid Drug Rebate program. On December 21, 2020, CMS issued a final regulation that modified prior Medicaid Drug Rebate program regulations to permit reporting multiple best price figures</w:t>
      </w:r>
      <w:r>
        <w:rPr>
          <w:sz w:val="20"/>
          <w:szCs w:val="20"/>
        </w:rPr>
        <w:t xml:space="preserve"> with regard to value</w:t>
      </w:r>
      <w:r>
        <w:rPr>
          <w:sz w:val="20"/>
          <w:szCs w:val="20"/>
        </w:rPr>
        <w:t>-</w:t>
      </w:r>
      <w:r>
        <w:rPr>
          <w:sz w:val="20"/>
          <w:szCs w:val="20"/>
        </w:rPr>
        <w:t>based purchasing arrangements (beginning in 2022); provide definitions for “line extension,” “new formulation,” and related terms, with the practical effect of expanding the scope of drugs considered to be line extensions that are sub</w:t>
      </w:r>
      <w:r>
        <w:rPr>
          <w:sz w:val="20"/>
          <w:szCs w:val="20"/>
        </w:rPr>
        <w:t>ject to an alternative rebate formula (beginning in 2022); and revise best price and average manufacturer price exclusions of manufacturer-sponsored patient benefit programs, specifically regarding applicability of such exclusions in the context of pharmac</w:t>
      </w:r>
      <w:r>
        <w:rPr>
          <w:sz w:val="20"/>
          <w:szCs w:val="20"/>
        </w:rPr>
        <w:t>y benefit manager “accumulator” programs (beginning in 2023). The pharmaceutical industry has challenged the provisions of the rule applicable to patient benefit programs in court. It is currently unclear whether any other provisions of the regulation will</w:t>
      </w:r>
      <w:r>
        <w:rPr>
          <w:sz w:val="20"/>
          <w:szCs w:val="20"/>
        </w:rPr>
        <w:t xml:space="preserve"> become subject to judicial challenge. The issuance of regulations and coverage expansion by various governmental agencies relating to the Medicaid Drug Rebate program has increased and will continue to increase the costs</w:t>
      </w:r>
      <w:r>
        <w:rPr>
          <w:sz w:val="20"/>
          <w:szCs w:val="20"/>
        </w:rPr>
        <w:t xml:space="preserve"> </w:t>
      </w:r>
    </w:p>
    <w:p w14:paraId="0AF181E1" w14:textId="77777777" w:rsidR="00000000" w:rsidRDefault="001F1B20">
      <w:pPr>
        <w:pStyle w:val="a3"/>
        <w:spacing w:before="360" w:beforeAutospacing="0" w:after="0" w:afterAutospacing="0"/>
        <w:jc w:val="center"/>
        <w:divId w:val="1742437033"/>
        <w:rPr>
          <w:sz w:val="20"/>
          <w:szCs w:val="20"/>
        </w:rPr>
      </w:pPr>
      <w:r>
        <w:rPr>
          <w:sz w:val="20"/>
          <w:szCs w:val="20"/>
        </w:rPr>
        <w:t>64</w:t>
      </w:r>
    </w:p>
    <w:p w14:paraId="6E10558D" w14:textId="77777777" w:rsidR="00000000" w:rsidRDefault="001F1B20">
      <w:pPr>
        <w:pStyle w:val="a3"/>
        <w:spacing w:before="0" w:beforeAutospacing="0" w:after="600" w:afterAutospacing="0"/>
        <w:divId w:val="1989431142"/>
        <w:rPr>
          <w:sz w:val="20"/>
          <w:szCs w:val="20"/>
        </w:rPr>
      </w:pPr>
      <w:hyperlink w:anchor="TOC" w:history="1">
        <w:r>
          <w:rPr>
            <w:rStyle w:val="a4"/>
            <w:sz w:val="20"/>
            <w:szCs w:val="20"/>
          </w:rPr>
          <w:t>Tabl</w:t>
        </w:r>
        <w:r>
          <w:rPr>
            <w:rStyle w:val="a4"/>
            <w:sz w:val="20"/>
            <w:szCs w:val="20"/>
          </w:rPr>
          <w:t>e of Contents</w:t>
        </w:r>
      </w:hyperlink>
    </w:p>
    <w:p w14:paraId="03AEF7A1" w14:textId="77777777" w:rsidR="00000000" w:rsidRDefault="001F1B20">
      <w:pPr>
        <w:pStyle w:val="a3"/>
        <w:spacing w:before="0" w:beforeAutospacing="0" w:after="200" w:afterAutospacing="0"/>
        <w:divId w:val="670841114"/>
        <w:rPr>
          <w:sz w:val="20"/>
          <w:szCs w:val="20"/>
        </w:rPr>
      </w:pPr>
      <w:r>
        <w:rPr>
          <w:sz w:val="20"/>
          <w:szCs w:val="20"/>
        </w:rPr>
        <w:t xml:space="preserve">and the complexity of compliance, has been and will be time-consuming to implement, and could have a material adverse effect on results of operations for us, our collaboration partners, or those commercializing products with respect to which </w:t>
      </w:r>
      <w:r>
        <w:rPr>
          <w:sz w:val="20"/>
          <w:szCs w:val="20"/>
        </w:rPr>
        <w:t>we have an economic interest or right to receive royalties, particularly if CMS challenges the approach taken in the implementation of the final regulations</w:t>
      </w:r>
      <w:r>
        <w:rPr>
          <w:sz w:val="20"/>
          <w:szCs w:val="20"/>
        </w:rPr>
        <w:t>.</w:t>
      </w:r>
    </w:p>
    <w:p w14:paraId="6A5E97F4" w14:textId="77777777" w:rsidR="00000000" w:rsidRDefault="001F1B20">
      <w:pPr>
        <w:pStyle w:val="a3"/>
        <w:spacing w:before="0" w:beforeAutospacing="0" w:after="200" w:afterAutospacing="0"/>
        <w:ind w:firstLine="720"/>
        <w:divId w:val="670841114"/>
        <w:rPr>
          <w:sz w:val="20"/>
          <w:szCs w:val="20"/>
        </w:rPr>
      </w:pPr>
      <w:r>
        <w:rPr>
          <w:sz w:val="20"/>
          <w:szCs w:val="20"/>
        </w:rPr>
        <w:t>Certain provisions of the Healthcare Reform Act have been subject to judicial challenges as well a</w:t>
      </w:r>
      <w:r>
        <w:rPr>
          <w:sz w:val="20"/>
          <w:szCs w:val="20"/>
        </w:rPr>
        <w:t>s efforts to repeal or replace them or to alter their interpretation or implementation. For example, the Tax Cuts and Jobs Act enacted on December 22, 2017 (the “Tax Act”), eliminated the shared responsibility payment for individuals who fail to maintain m</w:t>
      </w:r>
      <w:r>
        <w:rPr>
          <w:sz w:val="20"/>
          <w:szCs w:val="20"/>
        </w:rPr>
        <w:t>inimum essential coverage under section 5000A of the Internal Revenue Code of 1986, commonly referred to as the individual mandate, effective January 1, 2019. Additional legislative changes to and regulatory changes under the Healthcare Reform Act remain p</w:t>
      </w:r>
      <w:r>
        <w:rPr>
          <w:sz w:val="20"/>
          <w:szCs w:val="20"/>
        </w:rPr>
        <w:t>ossible, but the nature and extent of such potential additional changes are uncertain at this time. We expect that the Healthcare Reform Act, its implementation, efforts to repeal or replace, or invalidate the Healthcare Reform Act, or portions thereof, an</w:t>
      </w:r>
      <w:r>
        <w:rPr>
          <w:sz w:val="20"/>
          <w:szCs w:val="20"/>
        </w:rPr>
        <w:t>d other healthcare reform measures that may be adopted in the future, could have a material adverse effect on our industry generally and on the ability of us, our collaboration partners, or those commercializing products with respect to which we have an ec</w:t>
      </w:r>
      <w:r>
        <w:rPr>
          <w:sz w:val="20"/>
          <w:szCs w:val="20"/>
        </w:rPr>
        <w:t>onomic interest or right to receive royalties to maintain or increase sales of existing products or to successfully commercialize product candidates, if approved.</w:t>
      </w:r>
    </w:p>
    <w:p w14:paraId="49F85BE2" w14:textId="77777777" w:rsidR="00000000" w:rsidRDefault="001F1B20">
      <w:pPr>
        <w:pStyle w:val="a3"/>
        <w:spacing w:before="0" w:beforeAutospacing="0" w:after="200" w:afterAutospacing="0"/>
        <w:ind w:firstLine="720"/>
        <w:divId w:val="670841114"/>
        <w:rPr>
          <w:sz w:val="20"/>
          <w:szCs w:val="20"/>
        </w:rPr>
      </w:pPr>
      <w:r>
        <w:rPr>
          <w:sz w:val="20"/>
          <w:szCs w:val="20"/>
        </w:rPr>
        <w:t>The Bipartisan Budget Act of 2018, among other things, amended the Healthcare Reform Act to i</w:t>
      </w:r>
      <w:r>
        <w:rPr>
          <w:sz w:val="20"/>
          <w:szCs w:val="20"/>
        </w:rPr>
        <w:t xml:space="preserve">ncrease the point-of-sale discounts that manufacturers must agree to offer under the Medicare Part D coverage discount program from 50% to 70% off negotiated prices of applicable brand drugs to eligible beneficiaries during their coverage gap period, as a </w:t>
      </w:r>
      <w:r>
        <w:rPr>
          <w:sz w:val="20"/>
          <w:szCs w:val="20"/>
        </w:rPr>
        <w:t>condition for the manufacturer’s outpatient drugs to be covered under Medicare Part D. Additionally, in November 2020, the U.S. Department of Health and Human Services finalized a previously abandoned proposal to amend the discount safe harbor regulation o</w:t>
      </w:r>
      <w:r>
        <w:rPr>
          <w:sz w:val="20"/>
          <w:szCs w:val="20"/>
        </w:rPr>
        <w:t>f the federal anti-kickback statute in a purported effort to create incentives to manufacturers to lower their list prices, and to lower federal program beneficiary out-of-pocket costs. The rule, which takes full effect January 1, 2023, revises the discoun</w:t>
      </w:r>
      <w:r>
        <w:rPr>
          <w:sz w:val="20"/>
          <w:szCs w:val="20"/>
        </w:rPr>
        <w:t>t safe harbor to exclude manufacturer rebates to Medicare Part D plans, either directly or through pharmacy benefit managers (“PBMs”), creates a new safe harbor for point-of-sale price reductions that are set in advance and are available to the beneficiary</w:t>
      </w:r>
      <w:r>
        <w:rPr>
          <w:sz w:val="20"/>
          <w:szCs w:val="20"/>
        </w:rPr>
        <w:t xml:space="preserve"> at the point-of-sale, and creates a new safe harbor for service fees paid by manufacturers to PBMs for services rendered to the manufacturer. The effective date of the rule was already delayed by the Biden Administration and legal challenges. It is unclea</w:t>
      </w:r>
      <w:r>
        <w:rPr>
          <w:sz w:val="20"/>
          <w:szCs w:val="20"/>
        </w:rPr>
        <w:t>r whether the rule will be further delayed, rewritten, or allowed to go into effect, and if so, what the effect of the rule will be on negotiations of coverage for our products with Medicare Part D plans, or whether the rule will affect our coverage arrang</w:t>
      </w:r>
      <w:r>
        <w:rPr>
          <w:sz w:val="20"/>
          <w:szCs w:val="20"/>
        </w:rPr>
        <w:t>ements with commercial insurers. It is also unclear whether the rule will have the intended effect of reducing net prices and beneficiary out-of-pocket costs without also increasing Medicare Part D premiums, which may impact the willingness of Part D plans</w:t>
      </w:r>
      <w:r>
        <w:rPr>
          <w:sz w:val="20"/>
          <w:szCs w:val="20"/>
        </w:rPr>
        <w:t xml:space="preserve"> to cover our products and the price concessions or other terms the plans or their PBMs may seek from us. There have been other proposals to modify the Medicare Part D benefit, including by imposing federally mandated rebates on all drugs dispensed to Medi</w:t>
      </w:r>
      <w:r>
        <w:rPr>
          <w:sz w:val="20"/>
          <w:szCs w:val="20"/>
        </w:rPr>
        <w:t>care Part D enrollees or on only those drugs dispensed to certain groups of lower income beneficiaries. If any of these proposals are adopted including any that result in additional rebates, this could have a negative impact on revenues for our collaborati</w:t>
      </w:r>
      <w:r>
        <w:rPr>
          <w:sz w:val="20"/>
          <w:szCs w:val="20"/>
        </w:rPr>
        <w:t>on partners, or those commercializing products with respect to which we have an economic interest or right to receive royalties, which could impact our revenues</w:t>
      </w:r>
      <w:r>
        <w:rPr>
          <w:sz w:val="20"/>
          <w:szCs w:val="20"/>
        </w:rPr>
        <w:t>.</w:t>
      </w:r>
    </w:p>
    <w:p w14:paraId="57E9CAB0" w14:textId="77777777" w:rsidR="00000000" w:rsidRDefault="001F1B20">
      <w:pPr>
        <w:pStyle w:val="a3"/>
        <w:spacing w:before="0" w:beforeAutospacing="0" w:after="200" w:afterAutospacing="0"/>
        <w:ind w:firstLine="720"/>
        <w:divId w:val="670841114"/>
        <w:rPr>
          <w:sz w:val="20"/>
          <w:szCs w:val="20"/>
        </w:rPr>
      </w:pPr>
      <w:r>
        <w:rPr>
          <w:sz w:val="20"/>
          <w:szCs w:val="20"/>
        </w:rPr>
        <w:t>On August 2, 2011, the Budget Control Act of 2011, among other things, created the Joint Selec</w:t>
      </w:r>
      <w:r>
        <w:rPr>
          <w:sz w:val="20"/>
          <w:szCs w:val="20"/>
        </w:rPr>
        <w:t>t Committee on Deficit Reduction to recommend to Congress proposals for spending reductions. The Joint Select Committee did not achieve a targeted deficit reduction, which triggered the legislation’s automatic reductions. In concert with subsequent legisla</w:t>
      </w:r>
      <w:r>
        <w:rPr>
          <w:sz w:val="20"/>
          <w:szCs w:val="20"/>
        </w:rPr>
        <w:t>tion, this has resulted in aggregate reductions to Medicare payments to providers of, on average, 2% per fiscal year through 2030 (with the exception of a temporary suspension from May 1, 2020 through December 31, 2021) unless Congress takes additional act</w:t>
      </w:r>
      <w:r>
        <w:rPr>
          <w:sz w:val="20"/>
          <w:szCs w:val="20"/>
        </w:rPr>
        <w:t xml:space="preserve">ion. As long as these cuts remain in effect, they could adversely impact payment for any products that are reimbursed under Medicare. </w:t>
      </w:r>
    </w:p>
    <w:p w14:paraId="3F1196C2" w14:textId="77777777" w:rsidR="00000000" w:rsidRDefault="001F1B20">
      <w:pPr>
        <w:pStyle w:val="a3"/>
        <w:spacing w:before="0" w:beforeAutospacing="0" w:after="200" w:afterAutospacing="0"/>
        <w:ind w:firstLine="720"/>
        <w:divId w:val="670841114"/>
        <w:rPr>
          <w:sz w:val="20"/>
          <w:szCs w:val="20"/>
        </w:rPr>
      </w:pPr>
      <w:r>
        <w:rPr>
          <w:sz w:val="20"/>
          <w:szCs w:val="20"/>
        </w:rPr>
        <w:t xml:space="preserve">Individual states in the United States have also increasingly passed legislation and implemented regulations designed to </w:t>
      </w:r>
      <w:r>
        <w:rPr>
          <w:sz w:val="20"/>
          <w:szCs w:val="20"/>
        </w:rPr>
        <w:t>control pharmaceutical and biological product pricing, including price or patient reimbursement limitations, marketing cost disclosure and transparency measures, and, in some cases, measures designed to encourage importation from other countries and bulk p</w:t>
      </w:r>
      <w:r>
        <w:rPr>
          <w:sz w:val="20"/>
          <w:szCs w:val="20"/>
        </w:rPr>
        <w:t>urchasing. For example, California has enacted a prescription drug price transparency law requiring prescription drug manufacturers to provide advance notice and explanation for price increases of certain drugs with prices that exceed a specified threshold</w:t>
      </w:r>
      <w:r>
        <w:rPr>
          <w:sz w:val="20"/>
          <w:szCs w:val="20"/>
        </w:rPr>
        <w:t>, and to report new prescription drugs introduced to the market at a wholesale acquisition cost exceeding the Medicare Part D specialty drug threshold.</w:t>
      </w:r>
      <w:r>
        <w:rPr>
          <w:sz w:val="20"/>
          <w:szCs w:val="20"/>
        </w:rPr>
        <w:t xml:space="preserve"> </w:t>
      </w:r>
    </w:p>
    <w:p w14:paraId="20D15BA2" w14:textId="77777777" w:rsidR="00000000" w:rsidRDefault="001F1B20">
      <w:pPr>
        <w:pStyle w:val="a3"/>
        <w:spacing w:before="360" w:beforeAutospacing="0" w:after="0" w:afterAutospacing="0"/>
        <w:jc w:val="center"/>
        <w:divId w:val="704334433"/>
        <w:rPr>
          <w:sz w:val="20"/>
          <w:szCs w:val="20"/>
        </w:rPr>
      </w:pPr>
      <w:r>
        <w:rPr>
          <w:sz w:val="20"/>
          <w:szCs w:val="20"/>
        </w:rPr>
        <w:t>65</w:t>
      </w:r>
    </w:p>
    <w:p w14:paraId="1AB51073" w14:textId="77777777" w:rsidR="00000000" w:rsidRDefault="001F1B20">
      <w:pPr>
        <w:pStyle w:val="a3"/>
        <w:spacing w:before="0" w:beforeAutospacing="0" w:after="600" w:afterAutospacing="0"/>
        <w:divId w:val="956832821"/>
        <w:rPr>
          <w:sz w:val="20"/>
          <w:szCs w:val="20"/>
        </w:rPr>
      </w:pPr>
      <w:hyperlink w:anchor="TOC" w:history="1">
        <w:r>
          <w:rPr>
            <w:rStyle w:val="a4"/>
            <w:sz w:val="20"/>
            <w:szCs w:val="20"/>
          </w:rPr>
          <w:t>Table of Contents</w:t>
        </w:r>
      </w:hyperlink>
    </w:p>
    <w:p w14:paraId="2F44C0E7" w14:textId="77777777" w:rsidR="00000000" w:rsidRDefault="001F1B20">
      <w:pPr>
        <w:pStyle w:val="a3"/>
        <w:spacing w:before="0" w:beforeAutospacing="0" w:after="200" w:afterAutospacing="0"/>
        <w:ind w:firstLine="720"/>
        <w:divId w:val="1012606413"/>
        <w:rPr>
          <w:sz w:val="20"/>
          <w:szCs w:val="20"/>
        </w:rPr>
      </w:pPr>
      <w:r>
        <w:rPr>
          <w:sz w:val="20"/>
          <w:szCs w:val="20"/>
        </w:rPr>
        <w:t>We expect that additional state and federal healthcare r</w:t>
      </w:r>
      <w:r>
        <w:rPr>
          <w:sz w:val="20"/>
          <w:szCs w:val="20"/>
        </w:rPr>
        <w:t>eform measures will be adopted in the future, any of which could limit the amounts that federal and state governments will pay for healthcare products and services, which could result in reduced demand for product or additional pricing pressures for our co</w:t>
      </w:r>
      <w:r>
        <w:rPr>
          <w:sz w:val="20"/>
          <w:szCs w:val="20"/>
        </w:rPr>
        <w:t>llaboration partners, or those commercializing products with respect to which we have an economic interest or right to receive royalties, which could impact our revenues.</w:t>
      </w:r>
    </w:p>
    <w:p w14:paraId="7BA92F70" w14:textId="77777777" w:rsidR="00000000" w:rsidRDefault="001F1B20">
      <w:pPr>
        <w:pStyle w:val="a3"/>
        <w:spacing w:before="0" w:beforeAutospacing="0" w:after="120" w:afterAutospacing="0"/>
        <w:divId w:val="1012606413"/>
        <w:rPr>
          <w:sz w:val="20"/>
          <w:szCs w:val="20"/>
        </w:rPr>
      </w:pPr>
      <w:r>
        <w:rPr>
          <w:b/>
          <w:bCs/>
          <w:i/>
          <w:iCs/>
          <w:sz w:val="20"/>
          <w:szCs w:val="20"/>
        </w:rPr>
        <w:t xml:space="preserve">If we failed to comply with our reporting and payment obligations under the Medicaid </w:t>
      </w:r>
      <w:r>
        <w:rPr>
          <w:b/>
          <w:bCs/>
          <w:i/>
          <w:iCs/>
          <w:sz w:val="20"/>
          <w:szCs w:val="20"/>
        </w:rPr>
        <w:t>Drug Rebate program or other governmental pricing programs, we could be subject to additional reimbursement requirements, penalties, sanctions and fines, which could have a material adverse effect on our business, financial condition, results of operations</w:t>
      </w:r>
      <w:r>
        <w:rPr>
          <w:b/>
          <w:bCs/>
          <w:i/>
          <w:iCs/>
          <w:sz w:val="20"/>
          <w:szCs w:val="20"/>
        </w:rPr>
        <w:t xml:space="preserve"> and growth prospects.</w:t>
      </w:r>
    </w:p>
    <w:p w14:paraId="248DCD81" w14:textId="77777777" w:rsidR="00000000" w:rsidRDefault="001F1B20">
      <w:pPr>
        <w:pStyle w:val="a3"/>
        <w:spacing w:before="0" w:beforeAutospacing="0" w:after="200" w:afterAutospacing="0"/>
        <w:ind w:firstLine="720"/>
        <w:divId w:val="1012606413"/>
        <w:rPr>
          <w:sz w:val="20"/>
          <w:szCs w:val="20"/>
        </w:rPr>
      </w:pPr>
      <w:r>
        <w:rPr>
          <w:sz w:val="20"/>
          <w:szCs w:val="20"/>
        </w:rPr>
        <w:t>Prior to the sale of VIBATIV to Cumberland, we had certain price reporting obligations to the Medicaid Drug Rebate program and other governmental pricing programs, and we had obligations to report average sales price under the Medicare program. Following t</w:t>
      </w:r>
      <w:r>
        <w:rPr>
          <w:sz w:val="20"/>
          <w:szCs w:val="20"/>
        </w:rPr>
        <w:t>he consummation of the transaction with Cumberland, our price reporting obligations related to VIBATIV have been transitioned to Cumberland, and price reporting obligations for YUPELRI reside with Viatris. However, we retain liability related to price repo</w:t>
      </w:r>
      <w:r>
        <w:rPr>
          <w:sz w:val="20"/>
          <w:szCs w:val="20"/>
        </w:rPr>
        <w:t>rting for VIBATIV for historic periods, and we may retain some liability for price reporting by Cumberland for VIBATIV sold under our labeler code.</w:t>
      </w:r>
    </w:p>
    <w:p w14:paraId="6F11A467" w14:textId="77777777" w:rsidR="00000000" w:rsidRDefault="001F1B20">
      <w:pPr>
        <w:pStyle w:val="a3"/>
        <w:spacing w:before="0" w:beforeAutospacing="0" w:after="200" w:afterAutospacing="0"/>
        <w:ind w:firstLine="720"/>
        <w:divId w:val="1012606413"/>
        <w:rPr>
          <w:sz w:val="20"/>
          <w:szCs w:val="20"/>
        </w:rPr>
      </w:pPr>
      <w:r>
        <w:rPr>
          <w:sz w:val="20"/>
          <w:szCs w:val="20"/>
        </w:rPr>
        <w:t>Under the Medicaid Drug Rebate program, a manufacturer is required to pay a rebate to each state Medicaid pr</w:t>
      </w:r>
      <w:r>
        <w:rPr>
          <w:sz w:val="20"/>
          <w:szCs w:val="20"/>
        </w:rPr>
        <w:t>ogram for its covered outpatient drugs that are dispensed to Medicaid beneficiaries and paid for by a state Medicaid program as a condition of having federal funds being made available to the states for our drugs under Medicaid and Medicare Part B. Those r</w:t>
      </w:r>
      <w:r>
        <w:rPr>
          <w:sz w:val="20"/>
          <w:szCs w:val="20"/>
        </w:rPr>
        <w:t>ebates are based on pricing data reported by the manufacturer on a monthly and quarterly basis to CMS, the federal agency that administers the Medicaid Drug Rebate program. These data include the average manufacturer price and, in the case of innovator pro</w:t>
      </w:r>
      <w:r>
        <w:rPr>
          <w:sz w:val="20"/>
          <w:szCs w:val="20"/>
        </w:rPr>
        <w:t>ducts, the best price for each drug which, in general, represents the lowest price available from the manufacturer to any entity in the US in any pricing structure, calculated to include all sales and associated rebates, discounts and other price concessio</w:t>
      </w:r>
      <w:r>
        <w:rPr>
          <w:sz w:val="20"/>
          <w:szCs w:val="20"/>
        </w:rPr>
        <w:t>ns.</w:t>
      </w:r>
    </w:p>
    <w:p w14:paraId="12DCFBC2" w14:textId="77777777" w:rsidR="00000000" w:rsidRDefault="001F1B20">
      <w:pPr>
        <w:pStyle w:val="a3"/>
        <w:spacing w:before="0" w:beforeAutospacing="0" w:after="200" w:afterAutospacing="0"/>
        <w:ind w:firstLine="720"/>
        <w:divId w:val="1012606413"/>
        <w:rPr>
          <w:sz w:val="20"/>
          <w:szCs w:val="20"/>
        </w:rPr>
      </w:pPr>
      <w:r>
        <w:rPr>
          <w:sz w:val="20"/>
          <w:szCs w:val="20"/>
        </w:rPr>
        <w:t>Federal law requires that any company that participates in the Medicaid Drug Rebate program also participate in the Public Health Service’s 340B drug pricing program in order for federal funds to be available for the manufacturer’s drugs under Medicaid</w:t>
      </w:r>
      <w:r>
        <w:rPr>
          <w:sz w:val="20"/>
          <w:szCs w:val="20"/>
        </w:rPr>
        <w:t xml:space="preserve"> and Medicare Part B. The 340B program requires participating manufacturers to agree to charge no more than the 340B “ceiling price” for the manufacturer’s covered outpatient drugs to a variety of community health clinics and other entities that receive he</w:t>
      </w:r>
      <w:r>
        <w:rPr>
          <w:sz w:val="20"/>
          <w:szCs w:val="20"/>
        </w:rPr>
        <w:t xml:space="preserve">alth services grants from the Public Health Service, as well as hospitals that serve a disproportionate share of low-income patients. Manufacturers also are required to report their 340B ceiling prices to HRSA on a quarterly basis, and HRSA then publishes </w:t>
      </w:r>
      <w:r>
        <w:rPr>
          <w:sz w:val="20"/>
          <w:szCs w:val="20"/>
        </w:rPr>
        <w:t>them to 340B covered entities. A final regulation regarding the calculation of the 340B ceiling price and the imposition of civil monetary penalties on manufacturers that knowingly and intentionally overcharge covered entities became effective on January</w:t>
      </w:r>
      <w:r>
        <w:rPr>
          <w:sz w:val="20"/>
          <w:szCs w:val="20"/>
        </w:rPr>
        <w:t> </w:t>
      </w:r>
      <w:r>
        <w:rPr>
          <w:sz w:val="20"/>
          <w:szCs w:val="20"/>
        </w:rPr>
        <w:t>1</w:t>
      </w:r>
      <w:r>
        <w:rPr>
          <w:sz w:val="20"/>
          <w:szCs w:val="20"/>
        </w:rPr>
        <w:t>, 2019. Moreover, under a final regulation effective January 13, 2021, HRSA newly established an administrative dispute resolution (“ADR”) process for claims by covered entities that a manufacturer has engaged in overcharging, and by manufacturers that a c</w:t>
      </w:r>
      <w:r>
        <w:rPr>
          <w:sz w:val="20"/>
          <w:szCs w:val="20"/>
        </w:rPr>
        <w:t>overed entity violated the prohibitions against diversion or duplicate discounts. Such claims are to be resolved through an ADR panel of government officials rendering a decision that could be appealed only in federal court. An ADR proceeding could subject</w:t>
      </w:r>
      <w:r>
        <w:rPr>
          <w:sz w:val="20"/>
          <w:szCs w:val="20"/>
        </w:rPr>
        <w:t xml:space="preserve"> us to onerous procedural requirements and could result in additional liability. However, in March 2021, a federal court preliminarily enjoined HRSA form implementing or enforcing its ADR rule against another manufacturer, so it remains unclear whether the</w:t>
      </w:r>
      <w:r>
        <w:rPr>
          <w:sz w:val="20"/>
          <w:szCs w:val="20"/>
        </w:rPr>
        <w:t xml:space="preserve"> risk of enforcement of that rule will be material, particularly insofar as we are no longer actively selling covered outpatient drug products into the channel under our labeler code.</w:t>
      </w:r>
      <w:r>
        <w:rPr>
          <w:sz w:val="20"/>
          <w:szCs w:val="20"/>
        </w:rPr>
        <w:t xml:space="preserve"> </w:t>
      </w:r>
    </w:p>
    <w:p w14:paraId="42B2EA2A" w14:textId="77777777" w:rsidR="00000000" w:rsidRDefault="001F1B20">
      <w:pPr>
        <w:pStyle w:val="a3"/>
        <w:spacing w:before="0" w:beforeAutospacing="0" w:after="200" w:afterAutospacing="0"/>
        <w:ind w:firstLine="720"/>
        <w:divId w:val="1012606413"/>
        <w:rPr>
          <w:sz w:val="20"/>
          <w:szCs w:val="20"/>
        </w:rPr>
      </w:pPr>
      <w:r>
        <w:rPr>
          <w:sz w:val="20"/>
          <w:szCs w:val="20"/>
        </w:rPr>
        <w:t>Federal law also requires that a company that participates in the Medic</w:t>
      </w:r>
      <w:r>
        <w:rPr>
          <w:sz w:val="20"/>
          <w:szCs w:val="20"/>
        </w:rPr>
        <w:t>aid Drug Rebate program report average sales price information each quarter to CMS for certain categories of drugs that are paid under the Medicare Part B program. Manufacturers calculate the average sales price based on a statutorily defined formula as we</w:t>
      </w:r>
      <w:r>
        <w:rPr>
          <w:sz w:val="20"/>
          <w:szCs w:val="20"/>
        </w:rPr>
        <w:t>ll as regulations and interpretations of the statute by CMS. CMS uses these submissions to determine payment rates for drugs under Medicare Part B.</w:t>
      </w:r>
    </w:p>
    <w:p w14:paraId="64CE18EF" w14:textId="77777777" w:rsidR="00000000" w:rsidRDefault="001F1B20">
      <w:pPr>
        <w:pStyle w:val="a3"/>
        <w:spacing w:before="0" w:beforeAutospacing="0" w:after="0" w:afterAutospacing="0"/>
        <w:ind w:firstLine="720"/>
        <w:divId w:val="1012606413"/>
        <w:rPr>
          <w:sz w:val="20"/>
          <w:szCs w:val="20"/>
        </w:rPr>
      </w:pPr>
      <w:r>
        <w:rPr>
          <w:sz w:val="20"/>
          <w:szCs w:val="20"/>
        </w:rPr>
        <w:t>Pricing and rebate calculations vary across products and programs, are complex, and are often subject to int</w:t>
      </w:r>
      <w:r>
        <w:rPr>
          <w:sz w:val="20"/>
          <w:szCs w:val="20"/>
        </w:rPr>
        <w:t>erpretation by the manufacturer, governmental or regulatory agencies and the courts. A manufacturer that becomes aware that its Medicaid reporting for a prior quarter was incorrect, or has changed as a result of recalculation of the pricing data, is obliga</w:t>
      </w:r>
      <w:r>
        <w:rPr>
          <w:sz w:val="20"/>
          <w:szCs w:val="20"/>
        </w:rPr>
        <w:t xml:space="preserve">ted to resubmit the corrected data for up to three years after those data originally were due. Such restatements and recalculations increase the costs for complying with the laws and regulations governing the Medicaid Drug Rebate program </w:t>
      </w:r>
    </w:p>
    <w:p w14:paraId="519F7432" w14:textId="77777777" w:rsidR="00000000" w:rsidRDefault="001F1B20">
      <w:pPr>
        <w:pStyle w:val="a3"/>
        <w:spacing w:before="360" w:beforeAutospacing="0" w:after="0" w:afterAutospacing="0"/>
        <w:jc w:val="center"/>
        <w:divId w:val="995038066"/>
        <w:rPr>
          <w:sz w:val="20"/>
          <w:szCs w:val="20"/>
        </w:rPr>
      </w:pPr>
      <w:r>
        <w:rPr>
          <w:sz w:val="20"/>
          <w:szCs w:val="20"/>
        </w:rPr>
        <w:t>66</w:t>
      </w:r>
    </w:p>
    <w:p w14:paraId="6D39872A" w14:textId="77777777" w:rsidR="00000000" w:rsidRDefault="001F1B20">
      <w:pPr>
        <w:pStyle w:val="a3"/>
        <w:spacing w:before="0" w:beforeAutospacing="0" w:after="600" w:afterAutospacing="0"/>
        <w:divId w:val="311837783"/>
        <w:rPr>
          <w:sz w:val="20"/>
          <w:szCs w:val="20"/>
        </w:rPr>
      </w:pPr>
      <w:hyperlink w:anchor="TOC" w:history="1">
        <w:r>
          <w:rPr>
            <w:rStyle w:val="a4"/>
            <w:sz w:val="20"/>
            <w:szCs w:val="20"/>
          </w:rPr>
          <w:t>Table of Contents</w:t>
        </w:r>
      </w:hyperlink>
    </w:p>
    <w:p w14:paraId="530350C4" w14:textId="77777777" w:rsidR="00000000" w:rsidRDefault="001F1B20">
      <w:pPr>
        <w:pStyle w:val="a3"/>
        <w:spacing w:before="0" w:beforeAutospacing="0" w:after="200" w:afterAutospacing="0"/>
        <w:divId w:val="1367217985"/>
        <w:rPr>
          <w:sz w:val="20"/>
          <w:szCs w:val="20"/>
        </w:rPr>
      </w:pPr>
      <w:r>
        <w:rPr>
          <w:sz w:val="20"/>
          <w:szCs w:val="20"/>
        </w:rPr>
        <w:t>and could result in an overage or underage in our rebate liability for past quarters. Price recalculations also may affect the 340B ceiling price.</w:t>
      </w:r>
    </w:p>
    <w:p w14:paraId="413E4871" w14:textId="77777777" w:rsidR="00000000" w:rsidRDefault="001F1B20">
      <w:pPr>
        <w:pStyle w:val="a3"/>
        <w:spacing w:before="0" w:beforeAutospacing="0" w:after="200" w:afterAutospacing="0"/>
        <w:ind w:firstLine="720"/>
        <w:divId w:val="1367217985"/>
        <w:rPr>
          <w:sz w:val="20"/>
          <w:szCs w:val="20"/>
        </w:rPr>
      </w:pPr>
      <w:r>
        <w:rPr>
          <w:sz w:val="20"/>
          <w:szCs w:val="20"/>
        </w:rPr>
        <w:t xml:space="preserve">We may be liable for errors associated with our submission of pricing data for </w:t>
      </w:r>
      <w:r>
        <w:rPr>
          <w:sz w:val="20"/>
          <w:szCs w:val="20"/>
        </w:rPr>
        <w:t>VIBATIV for historic periods, and we may retain some liability for price reporting by Cumberland for VIBATIV sold under our labeler code. In addition to retroactive rebates and the potential for 340B program refunds, if we are found to have knowingly submi</w:t>
      </w:r>
      <w:r>
        <w:rPr>
          <w:sz w:val="20"/>
          <w:szCs w:val="20"/>
        </w:rPr>
        <w:t xml:space="preserve">tted any false price information to the government, we may be liable for significant civil monetary penalties per item of false information. If we are found to have made a misrepresentation in the reporting of our average sales price, the Medicare statute </w:t>
      </w:r>
      <w:r>
        <w:rPr>
          <w:sz w:val="20"/>
          <w:szCs w:val="20"/>
        </w:rPr>
        <w:t>provides for significant civil monetary penalties for each misrepresentation for each day in which the misrepresentation was applied. If we are found to have charged 340B covered entities more than the statutorily mandated ceiling price, we could be subjec</w:t>
      </w:r>
      <w:r>
        <w:rPr>
          <w:sz w:val="20"/>
          <w:szCs w:val="20"/>
        </w:rPr>
        <w:t>t to significant civil monetary penalties and/or such failure also could be grounds for HRSA to terminate a manufacturer’s agreement to participate in the 340B program, in which case covered outpatient drugs under our labeler code may no longer be eligible</w:t>
      </w:r>
      <w:r>
        <w:rPr>
          <w:sz w:val="20"/>
          <w:szCs w:val="20"/>
        </w:rPr>
        <w:t xml:space="preserve"> for federal payment under the Medicaid or Medicare Part B program. If we are found to have not submitted required price data on a timely basis, that could result in a significant civil monetary penalty per day for each day the information is late beyond t</w:t>
      </w:r>
      <w:r>
        <w:rPr>
          <w:sz w:val="20"/>
          <w:szCs w:val="20"/>
        </w:rPr>
        <w:t xml:space="preserve">he due date. Such failure also could be grounds for CMS to terminate our Medicaid drug rebate agreement, pursuant to which we participate in the Medicaid program. In the event that CMS terminates our rebate agreement, federal payments may not be available </w:t>
      </w:r>
      <w:r>
        <w:rPr>
          <w:sz w:val="20"/>
          <w:szCs w:val="20"/>
        </w:rPr>
        <w:t xml:space="preserve">under Medicaid or Medicare Part B for covered outpatient drugs under our labeler code. </w:t>
      </w:r>
    </w:p>
    <w:p w14:paraId="0D6DFDB5" w14:textId="77777777" w:rsidR="00000000" w:rsidRDefault="001F1B20">
      <w:pPr>
        <w:pStyle w:val="a3"/>
        <w:spacing w:before="0" w:beforeAutospacing="0" w:after="200" w:afterAutospacing="0"/>
        <w:ind w:firstLine="720"/>
        <w:divId w:val="1367217985"/>
        <w:rPr>
          <w:sz w:val="20"/>
          <w:szCs w:val="20"/>
        </w:rPr>
      </w:pPr>
      <w:r>
        <w:rPr>
          <w:sz w:val="20"/>
          <w:szCs w:val="20"/>
        </w:rPr>
        <w:t>In order to be eligible to have its products paid for with federal funds under the Medicaid and Medicare Part B programs and purchased by the Department of Veterans Aff</w:t>
      </w:r>
      <w:r>
        <w:rPr>
          <w:sz w:val="20"/>
          <w:szCs w:val="20"/>
        </w:rPr>
        <w:t>airs (“VA”), Department of Defense (“DoD”), Public Health Service, and Coast Guard (the “Big Four agencies”) and certain federal grantees, a manufacturer is required to participate in the VA Federal Supply Schedule (“FSS”) pricing program, established unde</w:t>
      </w:r>
      <w:r>
        <w:rPr>
          <w:sz w:val="20"/>
          <w:szCs w:val="20"/>
        </w:rPr>
        <w:t>r Section 603 of the Veterans Health Care Act of 1992. Under this program, the manufacturer is obligated to make its covered drugs available for procurement on an FSS contract and charge a price to the Big Four agencies that is no higher than the Federal C</w:t>
      </w:r>
      <w:r>
        <w:rPr>
          <w:sz w:val="20"/>
          <w:szCs w:val="20"/>
        </w:rPr>
        <w:t>eiling Price (“FCP”), which is a price calculated pursuant to a statutory formula. The FCP is derived from a calculated price point called the “non-federal average manufacturer price” (“Non-FAMP”), which the manufacturer calculates and reports to the VA on</w:t>
      </w:r>
      <w:r>
        <w:rPr>
          <w:sz w:val="20"/>
          <w:szCs w:val="20"/>
        </w:rPr>
        <w:t xml:space="preserve"> a quarterly and annual basis. Pursuant to applicable law, knowing provision of false information in connection with a Non-FAMP filing can subject a manufacturer to significant penalties for each item of false information. The FSS contract also contains ex</w:t>
      </w:r>
      <w:r>
        <w:rPr>
          <w:sz w:val="20"/>
          <w:szCs w:val="20"/>
        </w:rPr>
        <w:t>tensive disclosure and certification requirements.</w:t>
      </w:r>
    </w:p>
    <w:p w14:paraId="4FAAB662" w14:textId="77777777" w:rsidR="00000000" w:rsidRDefault="001F1B20">
      <w:pPr>
        <w:pStyle w:val="a3"/>
        <w:spacing w:before="0" w:beforeAutospacing="0" w:after="200" w:afterAutospacing="0"/>
        <w:ind w:firstLine="720"/>
        <w:divId w:val="1367217985"/>
        <w:rPr>
          <w:sz w:val="20"/>
          <w:szCs w:val="20"/>
        </w:rPr>
      </w:pPr>
      <w:r>
        <w:rPr>
          <w:sz w:val="20"/>
          <w:szCs w:val="20"/>
        </w:rPr>
        <w:t>Under Section 703 of the National Defense Authorization Act for FY 2008, the manufacturer is required to pay quarterly rebates to DoD on utilization of its innovator products that are dispensed through DoD</w:t>
      </w:r>
      <w:r>
        <w:rPr>
          <w:sz w:val="20"/>
          <w:szCs w:val="20"/>
        </w:rPr>
        <w:t>’s Tricare network pharmacies to Tricare beneficiaries. The rebates are calculated as the difference between the annual Non-FAMP and FCP for the calendar year that the product was dispensed. A manufacturer that overcharges the government in connection with</w:t>
      </w:r>
      <w:r>
        <w:rPr>
          <w:sz w:val="20"/>
          <w:szCs w:val="20"/>
        </w:rPr>
        <w:t xml:space="preserve"> the FSS contract or Tricare Retail Pharmacy Rebate Program, whether due to a misstated FCP or otherwise, is required to refund the difference to the government. Failure to make necessary disclosures and/or to identify contract overcharges can result in al</w:t>
      </w:r>
      <w:r>
        <w:rPr>
          <w:sz w:val="20"/>
          <w:szCs w:val="20"/>
        </w:rPr>
        <w:t>legations against us under the False Claims Act and other laws and regulations.</w:t>
      </w:r>
    </w:p>
    <w:p w14:paraId="6323BF31" w14:textId="77777777" w:rsidR="00000000" w:rsidRDefault="001F1B20">
      <w:pPr>
        <w:pStyle w:val="a3"/>
        <w:spacing w:before="0" w:beforeAutospacing="0" w:after="200" w:afterAutospacing="0"/>
        <w:ind w:firstLine="720"/>
        <w:divId w:val="1367217985"/>
        <w:rPr>
          <w:sz w:val="20"/>
          <w:szCs w:val="20"/>
        </w:rPr>
      </w:pPr>
      <w:r>
        <w:rPr>
          <w:sz w:val="20"/>
          <w:szCs w:val="20"/>
        </w:rPr>
        <w:t>Individual states in the United States, as noted, have also passed legislation and implemented regulations designed to control pharmaceutical and biological product pricing, in</w:t>
      </w:r>
      <w:r>
        <w:rPr>
          <w:sz w:val="20"/>
          <w:szCs w:val="20"/>
        </w:rPr>
        <w:t>cluding marketing cost disclosure and transparency measures. Some states require the submission of reports related to pricing information, including based on the introduction of new prescription drugs, certain increases in wholesale acquisition cost of pre</w:t>
      </w:r>
      <w:r>
        <w:rPr>
          <w:sz w:val="20"/>
          <w:szCs w:val="20"/>
        </w:rPr>
        <w:t>scription drugs, marketing of prescription drugs within the state, and sales of prescription drugs in or into the state. Some states may pursue available enforcement measures, including imposition of civil monetary penalties, for a manufacturer’s failure t</w:t>
      </w:r>
      <w:r>
        <w:rPr>
          <w:sz w:val="20"/>
          <w:szCs w:val="20"/>
        </w:rPr>
        <w:t xml:space="preserve">o report such information. </w:t>
      </w:r>
    </w:p>
    <w:p w14:paraId="6D6AA2B9" w14:textId="77777777" w:rsidR="00000000" w:rsidRDefault="001F1B20">
      <w:pPr>
        <w:pStyle w:val="a3"/>
        <w:spacing w:before="0" w:beforeAutospacing="0" w:after="120" w:afterAutospacing="0"/>
        <w:divId w:val="1367217985"/>
        <w:rPr>
          <w:sz w:val="20"/>
          <w:szCs w:val="20"/>
        </w:rPr>
      </w:pPr>
      <w:r>
        <w:rPr>
          <w:b/>
          <w:bCs/>
          <w:i/>
          <w:iCs/>
          <w:sz w:val="20"/>
          <w:szCs w:val="20"/>
        </w:rPr>
        <w:t>Our relationships with customers and third-party payors are subject to applicable anti-kickback, fraud and abuse, transparency and other healthcare laws and regulations, which could expose us to criminal sanctions, civil penalti</w:t>
      </w:r>
      <w:r>
        <w:rPr>
          <w:b/>
          <w:bCs/>
          <w:i/>
          <w:iCs/>
          <w:sz w:val="20"/>
          <w:szCs w:val="20"/>
        </w:rPr>
        <w:t>es, exclusion, contractual damages, reputational harm and diminished profits and future earnings.</w:t>
      </w:r>
    </w:p>
    <w:p w14:paraId="2EF190F0" w14:textId="77777777" w:rsidR="00000000" w:rsidRDefault="001F1B20">
      <w:pPr>
        <w:pStyle w:val="a3"/>
        <w:spacing w:before="0" w:beforeAutospacing="0" w:after="0" w:afterAutospacing="0"/>
        <w:ind w:firstLine="720"/>
        <w:divId w:val="1367217985"/>
        <w:rPr>
          <w:sz w:val="20"/>
          <w:szCs w:val="20"/>
        </w:rPr>
      </w:pPr>
      <w:r>
        <w:rPr>
          <w:sz w:val="20"/>
          <w:szCs w:val="20"/>
        </w:rPr>
        <w:t>Healthcare providers, physicians, distributors and third-party payors play a primary role in the distribution, recommendation and prescription of any pharmace</w:t>
      </w:r>
      <w:r>
        <w:rPr>
          <w:sz w:val="20"/>
          <w:szCs w:val="20"/>
        </w:rPr>
        <w:t>utical product for which we obtain marketing approval. Our arrangements with third-party payors and customers expose us to broadly applicable fraud and abuse and other healthcare laws and regulations that may constrain the business or financial arrangement</w:t>
      </w:r>
      <w:r>
        <w:rPr>
          <w:sz w:val="20"/>
          <w:szCs w:val="20"/>
        </w:rPr>
        <w:t xml:space="preserve">s through which we market, sell and distribute any </w:t>
      </w:r>
    </w:p>
    <w:p w14:paraId="0452193D" w14:textId="77777777" w:rsidR="00000000" w:rsidRDefault="001F1B20">
      <w:pPr>
        <w:pStyle w:val="a3"/>
        <w:spacing w:before="360" w:beforeAutospacing="0" w:after="0" w:afterAutospacing="0"/>
        <w:jc w:val="center"/>
        <w:divId w:val="412700470"/>
        <w:rPr>
          <w:sz w:val="20"/>
          <w:szCs w:val="20"/>
        </w:rPr>
      </w:pPr>
      <w:r>
        <w:rPr>
          <w:sz w:val="20"/>
          <w:szCs w:val="20"/>
        </w:rPr>
        <w:t>67</w:t>
      </w:r>
    </w:p>
    <w:p w14:paraId="5C9EE8AA" w14:textId="77777777" w:rsidR="00000000" w:rsidRDefault="001F1B20">
      <w:pPr>
        <w:pStyle w:val="a3"/>
        <w:spacing w:before="0" w:beforeAutospacing="0" w:after="600" w:afterAutospacing="0"/>
        <w:divId w:val="1577595572"/>
        <w:rPr>
          <w:sz w:val="20"/>
          <w:szCs w:val="20"/>
        </w:rPr>
      </w:pPr>
      <w:hyperlink w:anchor="TOC" w:history="1">
        <w:r>
          <w:rPr>
            <w:rStyle w:val="a4"/>
            <w:sz w:val="20"/>
            <w:szCs w:val="20"/>
          </w:rPr>
          <w:t>Table of Contents</w:t>
        </w:r>
      </w:hyperlink>
    </w:p>
    <w:p w14:paraId="5750A1BD" w14:textId="77777777" w:rsidR="00000000" w:rsidRDefault="001F1B20">
      <w:pPr>
        <w:pStyle w:val="a3"/>
        <w:spacing w:before="0" w:beforeAutospacing="0" w:after="200" w:afterAutospacing="0"/>
        <w:divId w:val="1216048444"/>
        <w:rPr>
          <w:sz w:val="20"/>
          <w:szCs w:val="20"/>
        </w:rPr>
      </w:pPr>
      <w:r>
        <w:rPr>
          <w:sz w:val="20"/>
          <w:szCs w:val="20"/>
        </w:rPr>
        <w:t>products for which we have obtained or may obtain marketing approval. Restrictions under applicable federal and state healthcare laws and regulations include</w:t>
      </w:r>
      <w:r>
        <w:rPr>
          <w:sz w:val="20"/>
          <w:szCs w:val="20"/>
        </w:rPr>
        <w:t xml:space="preserve">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EE2E1DE" w14:textId="77777777">
        <w:trPr>
          <w:divId w:val="1216048444"/>
        </w:trPr>
        <w:tc>
          <w:tcPr>
            <w:tcW w:w="720" w:type="dxa"/>
            <w:vAlign w:val="center"/>
            <w:hideMark/>
          </w:tcPr>
          <w:p w14:paraId="4B59C3A6" w14:textId="77777777" w:rsidR="00000000" w:rsidRDefault="001F1B20">
            <w:pPr>
              <w:rPr>
                <w:sz w:val="20"/>
                <w:szCs w:val="20"/>
              </w:rPr>
            </w:pPr>
          </w:p>
        </w:tc>
        <w:tc>
          <w:tcPr>
            <w:tcW w:w="360" w:type="dxa"/>
            <w:noWrap/>
            <w:tcMar>
              <w:top w:w="0" w:type="dxa"/>
              <w:left w:w="0" w:type="dxa"/>
              <w:bottom w:w="0" w:type="dxa"/>
              <w:right w:w="0" w:type="dxa"/>
            </w:tcMar>
            <w:hideMark/>
          </w:tcPr>
          <w:p w14:paraId="4DB39809"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DDC7E36" w14:textId="77777777" w:rsidR="00000000" w:rsidRDefault="001F1B20">
            <w:pPr>
              <w:spacing w:after="200"/>
              <w:rPr>
                <w:rFonts w:eastAsia="Times New Roman"/>
                <w:sz w:val="20"/>
                <w:szCs w:val="20"/>
              </w:rPr>
            </w:pPr>
            <w:r>
              <w:rPr>
                <w:rFonts w:eastAsia="Times New Roman"/>
                <w:sz w:val="20"/>
                <w:szCs w:val="20"/>
              </w:rPr>
              <w:t>The US federal healthcare Anti-Kickback Statute prohibits any person from, among other things, knowingly and willfully offering, paying, soliciting, or receiving remuneration, directly or indirectly, in cash or in kind, to induce or rewa</w:t>
            </w:r>
            <w:r>
              <w:rPr>
                <w:rFonts w:eastAsia="Times New Roman"/>
                <w:sz w:val="20"/>
                <w:szCs w:val="20"/>
              </w:rPr>
              <w:t>rd either the referral of an individual for, or the purchasing, leasing, ordering or arranging for or recommending of any good or service for which payment may be made, in whole or in part, under federal and state healthcare programs such as Medicare and M</w:t>
            </w:r>
            <w:r>
              <w:rPr>
                <w:rFonts w:eastAsia="Times New Roman"/>
                <w:sz w:val="20"/>
                <w:szCs w:val="20"/>
              </w:rPr>
              <w:t>edicaid. The term “remuneration” has been broadly interpreted to include anything of value. The Anti-Kickback Statute is subject to evolving interpretation and has been applied by government enforcement officials to a number of common business arrangements</w:t>
            </w:r>
            <w:r>
              <w:rPr>
                <w:rFonts w:eastAsia="Times New Roman"/>
                <w:sz w:val="20"/>
                <w:szCs w:val="20"/>
              </w:rPr>
              <w:t xml:space="preserve"> in the pharmaceutical industry. The government can establish a violation of the Anti-Kickback Statute without proving that a person or entity had actual knowledge of the statute or specific intent to violate it. There are a number of statutory exemptions </w:t>
            </w:r>
            <w:r>
              <w:rPr>
                <w:rFonts w:eastAsia="Times New Roman"/>
                <w:sz w:val="20"/>
                <w:szCs w:val="20"/>
              </w:rPr>
              <w:t>and regulatory safe harbors protecting some common activities from prosecution; however, those exceptions and safe harbors are drawn narrowly. Failure to meet all of the requirements of a particular statutory exception or regulatory safe harbor does not ma</w:t>
            </w:r>
            <w:r>
              <w:rPr>
                <w:rFonts w:eastAsia="Times New Roman"/>
                <w:sz w:val="20"/>
                <w:szCs w:val="20"/>
              </w:rPr>
              <w:t>ke the conduct per se illegal under the Anti-Kickback Statute, but the legality of the arrangement will be evaluated on a case-by-case basis based on the totality of the facts and circumstances. We seek to comply with the available statutory exemptions and</w:t>
            </w:r>
            <w:r>
              <w:rPr>
                <w:rFonts w:eastAsia="Times New Roman"/>
                <w:sz w:val="20"/>
                <w:szCs w:val="20"/>
              </w:rPr>
              <w:t xml:space="preserve"> safe harbors whenever possible, but our practices may not in all cases meet all of the criteria for safe harbor protection from anti-kickback liability. Moreover, there are no safe harbors for many common practices, such as educational and research grants</w:t>
            </w:r>
            <w:r>
              <w:rPr>
                <w:rFonts w:eastAsia="Times New Roman"/>
                <w:sz w:val="20"/>
                <w:szCs w:val="20"/>
              </w:rPr>
              <w:t xml:space="preserve"> or patient or product assistance programs. </w:t>
            </w:r>
          </w:p>
        </w:tc>
      </w:tr>
    </w:tbl>
    <w:p w14:paraId="30FFCC0E" w14:textId="77777777" w:rsidR="00000000" w:rsidRDefault="001F1B20">
      <w:pPr>
        <w:divId w:val="12160484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3387CBD" w14:textId="77777777">
        <w:trPr>
          <w:divId w:val="1216048444"/>
        </w:trPr>
        <w:tc>
          <w:tcPr>
            <w:tcW w:w="720" w:type="dxa"/>
            <w:vAlign w:val="center"/>
            <w:hideMark/>
          </w:tcPr>
          <w:p w14:paraId="6043F6B9" w14:textId="77777777" w:rsidR="00000000" w:rsidRDefault="001F1B20">
            <w:pPr>
              <w:rPr>
                <w:rFonts w:eastAsia="Times New Roman"/>
              </w:rPr>
            </w:pPr>
          </w:p>
        </w:tc>
        <w:tc>
          <w:tcPr>
            <w:tcW w:w="360" w:type="dxa"/>
            <w:noWrap/>
            <w:tcMar>
              <w:top w:w="0" w:type="dxa"/>
              <w:left w:w="0" w:type="dxa"/>
              <w:bottom w:w="0" w:type="dxa"/>
              <w:right w:w="0" w:type="dxa"/>
            </w:tcMar>
            <w:hideMark/>
          </w:tcPr>
          <w:p w14:paraId="2A5CF58B"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B44A345" w14:textId="77777777" w:rsidR="00000000" w:rsidRDefault="001F1B20">
            <w:pPr>
              <w:spacing w:after="200"/>
              <w:rPr>
                <w:rFonts w:eastAsia="Times New Roman"/>
                <w:sz w:val="20"/>
                <w:szCs w:val="20"/>
              </w:rPr>
            </w:pPr>
            <w:r>
              <w:rPr>
                <w:rFonts w:eastAsia="Times New Roman"/>
                <w:sz w:val="20"/>
                <w:szCs w:val="20"/>
              </w:rPr>
              <w:t>The federal civil False Claims Act prohibits, among other things, knowingly presenting, or causing to be presented, claims for payment of government funds that are false or fraudulent, or knowingly making, or using or causing to be made or used, a false re</w:t>
            </w:r>
            <w:r>
              <w:rPr>
                <w:rFonts w:eastAsia="Times New Roman"/>
                <w:sz w:val="20"/>
                <w:szCs w:val="20"/>
              </w:rPr>
              <w:t xml:space="preserve">cord or statement material to a false or fraudulent claim to avoid, decrease, or conceal an obligation to pay money to the federal government. Private individuals, commonly known as “whistleblowers,” can bring civil False Claims Act </w:t>
            </w:r>
            <w:r>
              <w:rPr>
                <w:rFonts w:eastAsia="Times New Roman"/>
                <w:i/>
                <w:iCs/>
                <w:sz w:val="20"/>
                <w:szCs w:val="20"/>
              </w:rPr>
              <w:t>qui tam</w:t>
            </w:r>
            <w:r>
              <w:rPr>
                <w:rFonts w:eastAsia="Times New Roman"/>
                <w:sz w:val="20"/>
                <w:szCs w:val="20"/>
              </w:rPr>
              <w:t xml:space="preserve"> actions, on beh</w:t>
            </w:r>
            <w:r>
              <w:rPr>
                <w:rFonts w:eastAsia="Times New Roman"/>
                <w:sz w:val="20"/>
                <w:szCs w:val="20"/>
              </w:rPr>
              <w:t>alf of the government and such individuals and may share in amounts paid by the entity to the government in recovery or settlement. In recent years, several pharmaceutical and other healthcare companies have faced enforcement actions under the federal Fals</w:t>
            </w:r>
            <w:r>
              <w:rPr>
                <w:rFonts w:eastAsia="Times New Roman"/>
                <w:sz w:val="20"/>
                <w:szCs w:val="20"/>
              </w:rPr>
              <w:t>e Claims Act for, among other things, allegedly submitting false or misleading pricing information to government health care programs and providing free product to customers with the expectation that the customers would bill federal programs for the produc</w:t>
            </w:r>
            <w:r>
              <w:rPr>
                <w:rFonts w:eastAsia="Times New Roman"/>
                <w:sz w:val="20"/>
                <w:szCs w:val="20"/>
              </w:rPr>
              <w:t xml:space="preserve">t. Federal enforcement agencies also have showed increased interest in pharmaceutical companies’ product and patient assistance programs, including reimbursement and co-pay support services, and a number of investigations into these programs have resulted </w:t>
            </w:r>
            <w:r>
              <w:rPr>
                <w:rFonts w:eastAsia="Times New Roman"/>
                <w:sz w:val="20"/>
                <w:szCs w:val="20"/>
              </w:rPr>
              <w:t>in significant civil and criminal settlements. Other companies have faced enforcement actions for causing false claims to be submitted because of the companies’ marketing the product for unapproved, and thus non-reimbursable, uses. In addition, a claim inc</w:t>
            </w:r>
            <w:r>
              <w:rPr>
                <w:rFonts w:eastAsia="Times New Roman"/>
                <w:sz w:val="20"/>
                <w:szCs w:val="20"/>
              </w:rPr>
              <w:t>luding items or services resulting from a violation of the federal Anti-Kickback Statute constitutes a false or fraudulent claim for purposes of the federal civil False Claims Act. False Claims Act liability is potentially significant in the healthcare ind</w:t>
            </w:r>
            <w:r>
              <w:rPr>
                <w:rFonts w:eastAsia="Times New Roman"/>
                <w:sz w:val="20"/>
                <w:szCs w:val="20"/>
              </w:rPr>
              <w:t>ustry because the statute provides for treble damages and significant mandatory penalties per false claim or statement for violations. Because of the potential for large monetary exposure, healthcare and pharmaceutical companies often resolve allegations w</w:t>
            </w:r>
            <w:r>
              <w:rPr>
                <w:rFonts w:eastAsia="Times New Roman"/>
                <w:sz w:val="20"/>
                <w:szCs w:val="20"/>
              </w:rPr>
              <w:t>ithout admissions of liability for significant and material amounts to avoid the uncertainty of treble damages and per claim penalties that may be awarded in litigation proceedings. As part of these resolutions, Companies may enter into corporate integrity</w:t>
            </w:r>
            <w:r>
              <w:rPr>
                <w:rFonts w:eastAsia="Times New Roman"/>
                <w:sz w:val="20"/>
                <w:szCs w:val="20"/>
              </w:rPr>
              <w:t xml:space="preserve"> agreements with the government, which may impose substantial costs on companies to ensure compliance. Criminal penalties, including imprisonment and criminal fines, are also possible for making or presenting a false, fictitious or fraudulent claim to the </w:t>
            </w:r>
            <w:r>
              <w:rPr>
                <w:rFonts w:eastAsia="Times New Roman"/>
                <w:sz w:val="20"/>
                <w:szCs w:val="20"/>
              </w:rPr>
              <w:t>federal government.</w:t>
            </w:r>
          </w:p>
        </w:tc>
      </w:tr>
    </w:tbl>
    <w:p w14:paraId="49161D00" w14:textId="77777777" w:rsidR="00000000" w:rsidRDefault="001F1B20">
      <w:pPr>
        <w:divId w:val="121604844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BA4EE85" w14:textId="77777777">
        <w:trPr>
          <w:divId w:val="1216048444"/>
        </w:trPr>
        <w:tc>
          <w:tcPr>
            <w:tcW w:w="720" w:type="dxa"/>
            <w:vAlign w:val="center"/>
            <w:hideMark/>
          </w:tcPr>
          <w:p w14:paraId="706367A2" w14:textId="77777777" w:rsidR="00000000" w:rsidRDefault="001F1B20">
            <w:pPr>
              <w:rPr>
                <w:rFonts w:eastAsia="Times New Roman"/>
              </w:rPr>
            </w:pPr>
          </w:p>
        </w:tc>
        <w:tc>
          <w:tcPr>
            <w:tcW w:w="360" w:type="dxa"/>
            <w:noWrap/>
            <w:tcMar>
              <w:top w:w="0" w:type="dxa"/>
              <w:left w:w="0" w:type="dxa"/>
              <w:bottom w:w="0" w:type="dxa"/>
              <w:right w:w="0" w:type="dxa"/>
            </w:tcMar>
            <w:hideMark/>
          </w:tcPr>
          <w:p w14:paraId="308B9B80"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6D95BD5" w14:textId="77777777" w:rsidR="00000000" w:rsidRDefault="001F1B20">
            <w:pPr>
              <w:spacing w:after="200"/>
              <w:rPr>
                <w:rFonts w:eastAsia="Times New Roman"/>
                <w:sz w:val="20"/>
                <w:szCs w:val="20"/>
              </w:rPr>
            </w:pPr>
            <w:r>
              <w:rPr>
                <w:rFonts w:eastAsia="Times New Roman"/>
                <w:sz w:val="20"/>
                <w:szCs w:val="20"/>
              </w:rPr>
              <w:t>HIPAA, among other things, imposes criminal and civil liability for knowingly and willfully executing a scheme to defraud any healthcare benefit program, including private third-party payors, and also imposes obligations, including</w:t>
            </w:r>
            <w:r>
              <w:rPr>
                <w:rFonts w:eastAsia="Times New Roman"/>
                <w:sz w:val="20"/>
                <w:szCs w:val="20"/>
              </w:rPr>
              <w:t xml:space="preserve"> mandatory contractual terms, with respect to safeguarding the privacy, security and transmission of individually identifiable health information. HIPAA also prohibits knowingly and willfully falsifying, concealing or covering up a material fact or making </w:t>
            </w:r>
            <w:r>
              <w:rPr>
                <w:rFonts w:eastAsia="Times New Roman"/>
                <w:sz w:val="20"/>
                <w:szCs w:val="20"/>
              </w:rPr>
              <w:t xml:space="preserve">any materially false, fictitious or fraudulent statement or representation, or making or using any false writing or document knowing the same to contain any materially false fictitious or fraudulent statement or entry in connection with the delivery of or </w:t>
            </w:r>
            <w:r>
              <w:rPr>
                <w:rFonts w:eastAsia="Times New Roman"/>
                <w:sz w:val="20"/>
                <w:szCs w:val="20"/>
              </w:rPr>
              <w:t xml:space="preserve">payment for healthcare benefits, items or services. Similar to the federal healthcare Anti-Kickback Statute, a person or entity </w:t>
            </w:r>
          </w:p>
        </w:tc>
      </w:tr>
    </w:tbl>
    <w:p w14:paraId="515F2CC5" w14:textId="77777777" w:rsidR="00000000" w:rsidRDefault="001F1B20">
      <w:pPr>
        <w:pStyle w:val="a3"/>
        <w:spacing w:before="360" w:beforeAutospacing="0" w:after="0" w:afterAutospacing="0"/>
        <w:jc w:val="center"/>
        <w:divId w:val="1026368429"/>
        <w:rPr>
          <w:sz w:val="20"/>
          <w:szCs w:val="20"/>
        </w:rPr>
      </w:pPr>
      <w:r>
        <w:rPr>
          <w:sz w:val="20"/>
          <w:szCs w:val="20"/>
        </w:rPr>
        <w:t>68</w:t>
      </w:r>
    </w:p>
    <w:p w14:paraId="4B457435" w14:textId="77777777" w:rsidR="00000000" w:rsidRDefault="001F1B20">
      <w:pPr>
        <w:pStyle w:val="a3"/>
        <w:spacing w:before="0" w:beforeAutospacing="0" w:after="600" w:afterAutospacing="0"/>
        <w:divId w:val="152124171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14:paraId="6EB13DD0" w14:textId="77777777">
        <w:trPr>
          <w:divId w:val="208734019"/>
        </w:trPr>
        <w:tc>
          <w:tcPr>
            <w:tcW w:w="720" w:type="dxa"/>
            <w:vAlign w:val="center"/>
            <w:hideMark/>
          </w:tcPr>
          <w:p w14:paraId="4287EBA5" w14:textId="77777777" w:rsidR="00000000" w:rsidRDefault="001F1B20">
            <w:pPr>
              <w:rPr>
                <w:sz w:val="20"/>
                <w:szCs w:val="20"/>
              </w:rPr>
            </w:pPr>
          </w:p>
        </w:tc>
        <w:tc>
          <w:tcPr>
            <w:tcW w:w="360" w:type="dxa"/>
            <w:noWrap/>
            <w:tcMar>
              <w:top w:w="0" w:type="dxa"/>
              <w:left w:w="0" w:type="dxa"/>
              <w:bottom w:w="0" w:type="dxa"/>
              <w:right w:w="0" w:type="dxa"/>
            </w:tcMar>
            <w:hideMark/>
          </w:tcPr>
          <w:p w14:paraId="73680356" w14:textId="77777777" w:rsidR="00000000" w:rsidRDefault="001F1B20">
            <w:pPr>
              <w:spacing w:after="200"/>
              <w:rPr>
                <w:rFonts w:eastAsia="Times New Roman"/>
                <w:sz w:val="20"/>
                <w:szCs w:val="20"/>
              </w:rPr>
            </w:pPr>
          </w:p>
        </w:tc>
        <w:tc>
          <w:tcPr>
            <w:tcW w:w="0" w:type="auto"/>
            <w:tcMar>
              <w:top w:w="0" w:type="dxa"/>
              <w:left w:w="0" w:type="dxa"/>
              <w:bottom w:w="0" w:type="dxa"/>
              <w:right w:w="0" w:type="dxa"/>
            </w:tcMar>
            <w:vAlign w:val="center"/>
            <w:hideMark/>
          </w:tcPr>
          <w:p w14:paraId="7854F7BE" w14:textId="77777777" w:rsidR="00000000" w:rsidRDefault="001F1B20">
            <w:pPr>
              <w:spacing w:after="200"/>
              <w:rPr>
                <w:rFonts w:eastAsia="Times New Roman"/>
                <w:sz w:val="20"/>
                <w:szCs w:val="20"/>
              </w:rPr>
            </w:pPr>
            <w:r>
              <w:rPr>
                <w:rFonts w:eastAsia="Times New Roman"/>
                <w:sz w:val="20"/>
                <w:szCs w:val="20"/>
              </w:rPr>
              <w:t>does not need to have actual knowledge of the statute or specific intent to v</w:t>
            </w:r>
            <w:r>
              <w:rPr>
                <w:rFonts w:eastAsia="Times New Roman"/>
                <w:sz w:val="20"/>
                <w:szCs w:val="20"/>
              </w:rPr>
              <w:t>iolate it to have committed a violation.</w:t>
            </w:r>
          </w:p>
        </w:tc>
      </w:tr>
    </w:tbl>
    <w:p w14:paraId="209D5644" w14:textId="77777777" w:rsidR="00000000" w:rsidRDefault="001F1B20">
      <w:pPr>
        <w:divId w:val="20873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03E824B" w14:textId="77777777">
        <w:trPr>
          <w:divId w:val="208734019"/>
        </w:trPr>
        <w:tc>
          <w:tcPr>
            <w:tcW w:w="720" w:type="dxa"/>
            <w:vAlign w:val="center"/>
            <w:hideMark/>
          </w:tcPr>
          <w:p w14:paraId="4F03325D" w14:textId="77777777" w:rsidR="00000000" w:rsidRDefault="001F1B20">
            <w:pPr>
              <w:rPr>
                <w:rFonts w:eastAsia="Times New Roman"/>
              </w:rPr>
            </w:pPr>
          </w:p>
        </w:tc>
        <w:tc>
          <w:tcPr>
            <w:tcW w:w="360" w:type="dxa"/>
            <w:noWrap/>
            <w:tcMar>
              <w:top w:w="0" w:type="dxa"/>
              <w:left w:w="0" w:type="dxa"/>
              <w:bottom w:w="0" w:type="dxa"/>
              <w:right w:w="0" w:type="dxa"/>
            </w:tcMar>
            <w:hideMark/>
          </w:tcPr>
          <w:p w14:paraId="48AFF473"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141B160" w14:textId="77777777" w:rsidR="00000000" w:rsidRDefault="001F1B20">
            <w:pPr>
              <w:spacing w:after="200"/>
              <w:rPr>
                <w:rFonts w:eastAsia="Times New Roman"/>
                <w:sz w:val="20"/>
                <w:szCs w:val="20"/>
              </w:rPr>
            </w:pPr>
            <w:r>
              <w:rPr>
                <w:rFonts w:eastAsia="Times New Roman"/>
                <w:sz w:val="20"/>
                <w:szCs w:val="20"/>
              </w:rPr>
              <w:t>The federal Physician Payment Sunshine Act, implemented as the Open Payments Program, requires certain manufacturers of drugs, devices, biologics, and medical supplies for which payment is available under Medic</w:t>
            </w:r>
            <w:r>
              <w:rPr>
                <w:rFonts w:eastAsia="Times New Roman"/>
                <w:sz w:val="20"/>
                <w:szCs w:val="20"/>
              </w:rPr>
              <w:t>are, Medicaid or the Children’s Health Insurance Program (with certain exceptions) to report annually to the US Department of Health and Human Services, Centers for Medicare and Medicaid Services, information related to payments and other transfers of valu</w:t>
            </w:r>
            <w:r>
              <w:rPr>
                <w:rFonts w:eastAsia="Times New Roman"/>
                <w:sz w:val="20"/>
                <w:szCs w:val="20"/>
              </w:rPr>
              <w:t>e, directly or indirectly, to physicians (defined to include doctors, dentists, optometrists, podiatrists, and chiropractors) and teaching hospitals, as well as ownership and investment interests held by physicians and their immediate family members. Begin</w:t>
            </w:r>
            <w:r>
              <w:rPr>
                <w:rFonts w:eastAsia="Times New Roman"/>
                <w:sz w:val="20"/>
                <w:szCs w:val="20"/>
              </w:rPr>
              <w:t>ning in 2022, applicable manufacturers also will be required to report information regarding payments and transfers of value provided to physician assistants, nurse practitioners, clinical nurse specialists, certified nurse anesthetists, and certified nurs</w:t>
            </w:r>
            <w:r>
              <w:rPr>
                <w:rFonts w:eastAsia="Times New Roman"/>
                <w:sz w:val="20"/>
                <w:szCs w:val="20"/>
              </w:rPr>
              <w:t>e-midwives. A manufacturer’s failure to submit timely, accurately and completely the required information for all payments, transfers of value or ownership or investment interests may result in civil monetary penalties.</w:t>
            </w:r>
          </w:p>
        </w:tc>
      </w:tr>
    </w:tbl>
    <w:p w14:paraId="29196FF5" w14:textId="77777777" w:rsidR="00000000" w:rsidRDefault="001F1B20">
      <w:pPr>
        <w:divId w:val="20873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98647E3" w14:textId="77777777">
        <w:trPr>
          <w:divId w:val="208734019"/>
        </w:trPr>
        <w:tc>
          <w:tcPr>
            <w:tcW w:w="720" w:type="dxa"/>
            <w:vAlign w:val="center"/>
            <w:hideMark/>
          </w:tcPr>
          <w:p w14:paraId="4FE8D575" w14:textId="77777777" w:rsidR="00000000" w:rsidRDefault="001F1B20">
            <w:pPr>
              <w:rPr>
                <w:rFonts w:eastAsia="Times New Roman"/>
              </w:rPr>
            </w:pPr>
          </w:p>
        </w:tc>
        <w:tc>
          <w:tcPr>
            <w:tcW w:w="360" w:type="dxa"/>
            <w:noWrap/>
            <w:tcMar>
              <w:top w:w="0" w:type="dxa"/>
              <w:left w:w="0" w:type="dxa"/>
              <w:bottom w:w="0" w:type="dxa"/>
              <w:right w:w="0" w:type="dxa"/>
            </w:tcMar>
            <w:hideMark/>
          </w:tcPr>
          <w:p w14:paraId="3251BFF9"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53E7E77" w14:textId="77777777" w:rsidR="00000000" w:rsidRDefault="001F1B20">
            <w:pPr>
              <w:spacing w:after="200"/>
              <w:rPr>
                <w:rFonts w:eastAsia="Times New Roman"/>
                <w:sz w:val="20"/>
                <w:szCs w:val="20"/>
              </w:rPr>
            </w:pPr>
            <w:r>
              <w:rPr>
                <w:rFonts w:eastAsia="Times New Roman"/>
                <w:sz w:val="20"/>
                <w:szCs w:val="20"/>
              </w:rPr>
              <w:t>Analogous state laws and regulations, such as state anti-kickback and false claims laws, may apply to sales or marketing arrangements and claims involving healthcare items or services reimbursed by any third-party payors, including private insurers or pati</w:t>
            </w:r>
            <w:r>
              <w:rPr>
                <w:rFonts w:eastAsia="Times New Roman"/>
                <w:sz w:val="20"/>
                <w:szCs w:val="20"/>
              </w:rPr>
              <w:t>ents. Several states also require pharmaceutical companies to report expenses relating to the marketing and promotion of pharmaceutical products in those states and to report gifts and payments to individual health care providers in those states. Some of t</w:t>
            </w:r>
            <w:r>
              <w:rPr>
                <w:rFonts w:eastAsia="Times New Roman"/>
                <w:sz w:val="20"/>
                <w:szCs w:val="20"/>
              </w:rPr>
              <w:t>hese states also prohibit certain marketing-related activities, including the provision of gifts, meals, or other items to certain health care providers, and restrict the ability of manufacturers to offer co-pay support to patients for certain prescription</w:t>
            </w:r>
            <w:r>
              <w:rPr>
                <w:rFonts w:eastAsia="Times New Roman"/>
                <w:sz w:val="20"/>
                <w:szCs w:val="20"/>
              </w:rPr>
              <w:t xml:space="preserve"> drugs. Some states require the posting of information relating to clinical studies and their outcomes. Some states and cities require identification or licensing of sales representatives. In addition, several states require pharmaceutical companies to imp</w:t>
            </w:r>
            <w:r>
              <w:rPr>
                <w:rFonts w:eastAsia="Times New Roman"/>
                <w:sz w:val="20"/>
                <w:szCs w:val="20"/>
              </w:rPr>
              <w:t>lement compliance programs or marketing codes.</w:t>
            </w:r>
          </w:p>
        </w:tc>
      </w:tr>
    </w:tbl>
    <w:p w14:paraId="3F80B332" w14:textId="77777777" w:rsidR="00000000" w:rsidRDefault="001F1B20">
      <w:pPr>
        <w:divId w:val="20873401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82BF616" w14:textId="77777777">
        <w:trPr>
          <w:divId w:val="208734019"/>
        </w:trPr>
        <w:tc>
          <w:tcPr>
            <w:tcW w:w="720" w:type="dxa"/>
            <w:vAlign w:val="center"/>
            <w:hideMark/>
          </w:tcPr>
          <w:p w14:paraId="476755F0" w14:textId="77777777" w:rsidR="00000000" w:rsidRDefault="001F1B20">
            <w:pPr>
              <w:rPr>
                <w:rFonts w:eastAsia="Times New Roman"/>
              </w:rPr>
            </w:pPr>
          </w:p>
        </w:tc>
        <w:tc>
          <w:tcPr>
            <w:tcW w:w="360" w:type="dxa"/>
            <w:noWrap/>
            <w:tcMar>
              <w:top w:w="0" w:type="dxa"/>
              <w:left w:w="0" w:type="dxa"/>
              <w:bottom w:w="0" w:type="dxa"/>
              <w:right w:w="0" w:type="dxa"/>
            </w:tcMar>
            <w:hideMark/>
          </w:tcPr>
          <w:p w14:paraId="6258AAAF"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E98D4E3" w14:textId="77777777" w:rsidR="00000000" w:rsidRDefault="001F1B20">
            <w:pPr>
              <w:rPr>
                <w:rFonts w:eastAsia="Times New Roman"/>
                <w:sz w:val="20"/>
                <w:szCs w:val="20"/>
              </w:rPr>
            </w:pPr>
            <w:r>
              <w:rPr>
                <w:rFonts w:eastAsia="Times New Roman"/>
                <w:sz w:val="20"/>
                <w:szCs w:val="20"/>
              </w:rPr>
              <w:t>Similar restrictions are imposed on the promotion and marketing of medicinal products in the EU Member States and other countries, including restrictions prohibiting the promotion of a compound prior to i</w:t>
            </w:r>
            <w:r>
              <w:rPr>
                <w:rFonts w:eastAsia="Times New Roman"/>
                <w:sz w:val="20"/>
                <w:szCs w:val="20"/>
              </w:rPr>
              <w:t>ts approval. Laws (including those governing promotion, marketing and anti-kickback provisions), industry regulations and professional codes of conduct often are strictly enforced. Even in those countries where we may decide not to directly promote or mark</w:t>
            </w:r>
            <w:r>
              <w:rPr>
                <w:rFonts w:eastAsia="Times New Roman"/>
                <w:sz w:val="20"/>
                <w:szCs w:val="20"/>
              </w:rPr>
              <w:t>et our products, inappropriate activity by our international distribution partners could have implications for us.</w:t>
            </w:r>
          </w:p>
        </w:tc>
      </w:tr>
    </w:tbl>
    <w:p w14:paraId="598C79F0" w14:textId="77777777" w:rsidR="00000000" w:rsidRDefault="001F1B20">
      <w:pPr>
        <w:pStyle w:val="a3"/>
        <w:spacing w:before="0" w:beforeAutospacing="0" w:after="200" w:afterAutospacing="0"/>
        <w:ind w:firstLine="720"/>
        <w:divId w:val="208734019"/>
        <w:rPr>
          <w:sz w:val="20"/>
          <w:szCs w:val="20"/>
        </w:rPr>
      </w:pPr>
      <w:r>
        <w:rPr>
          <w:sz w:val="20"/>
          <w:szCs w:val="20"/>
        </w:rPr>
        <w:t>The shifting commercial compliance environment and the need to build and maintain robust and expandable systems to comply with different com</w:t>
      </w:r>
      <w:r>
        <w:rPr>
          <w:sz w:val="20"/>
          <w:szCs w:val="20"/>
        </w:rPr>
        <w:t>pliance or reporting requirements in multiple jurisdictions increase the possibility that we or our partners may fail to comply fully with one or more of these requirements. Efforts to ensure that our business arrangements with third parties will comply wi</w:t>
      </w:r>
      <w:r>
        <w:rPr>
          <w:sz w:val="20"/>
          <w:szCs w:val="20"/>
        </w:rPr>
        <w:t>th applicable healthcare laws and regulations may involve substantial costs. It is possible that governmental authorities will conclude that our business practices may not comply with applicable fraud and abuse or other healthcare laws and regulations or g</w:t>
      </w:r>
      <w:r>
        <w:rPr>
          <w:sz w:val="20"/>
          <w:szCs w:val="20"/>
        </w:rPr>
        <w:t xml:space="preserve">uidance. If our operations are found to be in violation of any of these laws or any other governmental regulations that may apply to us, we may be subject to significant civil, criminal and administrative penalties, damages, fines, disgorgement, exclusion </w:t>
      </w:r>
      <w:r>
        <w:rPr>
          <w:sz w:val="20"/>
          <w:szCs w:val="20"/>
        </w:rPr>
        <w:t>from government funded healthcare programs, such as Medicare and Medicaid in the US and similar programs outside the US, contractual damages, diminished profits and future earnings, and the curtailment or restructuring of our operations, any of which could</w:t>
      </w:r>
      <w:r>
        <w:rPr>
          <w:sz w:val="20"/>
          <w:szCs w:val="20"/>
        </w:rPr>
        <w:t xml:space="preserve"> adversely affect our ability to operate our business and our financial results. If any of the physicians or other providers or entities with whom we do or expect to do business are found to not be in compliance with applicable laws, they may be subject to</w:t>
      </w:r>
      <w:r>
        <w:rPr>
          <w:sz w:val="20"/>
          <w:szCs w:val="20"/>
        </w:rPr>
        <w:t xml:space="preserve"> criminal, civil or administrative sanctions, including exclusions from government funded healthcare programs. Even if we are not determined to have violated these laws, government investigations into these issues typically require the expenditure of signi</w:t>
      </w:r>
      <w:r>
        <w:rPr>
          <w:sz w:val="20"/>
          <w:szCs w:val="20"/>
        </w:rPr>
        <w:t>ficant resources and generate negative publicity, which could harm our financial condition and divert resources and the attention of our management from operating our business.</w:t>
      </w:r>
    </w:p>
    <w:p w14:paraId="7D2EE51E" w14:textId="77777777" w:rsidR="00000000" w:rsidRDefault="001F1B20">
      <w:pPr>
        <w:pStyle w:val="a3"/>
        <w:spacing w:before="0" w:beforeAutospacing="0" w:after="120" w:afterAutospacing="0"/>
        <w:divId w:val="208734019"/>
        <w:rPr>
          <w:sz w:val="20"/>
          <w:szCs w:val="20"/>
        </w:rPr>
      </w:pPr>
      <w:r>
        <w:rPr>
          <w:b/>
          <w:bCs/>
          <w:i/>
          <w:iCs/>
          <w:sz w:val="20"/>
          <w:szCs w:val="20"/>
        </w:rPr>
        <w:t>Our business and operations, including the use of hazardous and biological mate</w:t>
      </w:r>
      <w:r>
        <w:rPr>
          <w:b/>
          <w:bCs/>
          <w:i/>
          <w:iCs/>
          <w:sz w:val="20"/>
          <w:szCs w:val="20"/>
        </w:rPr>
        <w:t>rials may result in liabilities with respect to environmental, health and safety matters.</w:t>
      </w:r>
    </w:p>
    <w:p w14:paraId="0B18B68C" w14:textId="77777777" w:rsidR="00000000" w:rsidRDefault="001F1B20">
      <w:pPr>
        <w:pStyle w:val="a3"/>
        <w:spacing w:before="0" w:beforeAutospacing="0" w:after="0" w:afterAutospacing="0"/>
        <w:ind w:firstLine="720"/>
        <w:divId w:val="208734019"/>
        <w:rPr>
          <w:sz w:val="20"/>
          <w:szCs w:val="20"/>
        </w:rPr>
      </w:pPr>
      <w:r>
        <w:rPr>
          <w:sz w:val="20"/>
          <w:szCs w:val="20"/>
        </w:rPr>
        <w:t>Our research and development activities involve the controlled use of potentially hazardous substances, including chemical, biological and radioactive materials. In a</w:t>
      </w:r>
      <w:r>
        <w:rPr>
          <w:sz w:val="20"/>
          <w:szCs w:val="20"/>
        </w:rPr>
        <w:t xml:space="preserve">ddition, our operations produce hazardous waste products, including </w:t>
      </w:r>
    </w:p>
    <w:p w14:paraId="4E1FDC12" w14:textId="77777777" w:rsidR="00000000" w:rsidRDefault="001F1B20">
      <w:pPr>
        <w:pStyle w:val="a3"/>
        <w:spacing w:before="360" w:beforeAutospacing="0" w:after="0" w:afterAutospacing="0"/>
        <w:jc w:val="center"/>
        <w:divId w:val="844635475"/>
        <w:rPr>
          <w:sz w:val="20"/>
          <w:szCs w:val="20"/>
        </w:rPr>
      </w:pPr>
      <w:r>
        <w:rPr>
          <w:sz w:val="20"/>
          <w:szCs w:val="20"/>
        </w:rPr>
        <w:t>69</w:t>
      </w:r>
    </w:p>
    <w:p w14:paraId="374A75C2" w14:textId="77777777" w:rsidR="00000000" w:rsidRDefault="001F1B20">
      <w:pPr>
        <w:pStyle w:val="a3"/>
        <w:spacing w:before="0" w:beforeAutospacing="0" w:after="600" w:afterAutospacing="0"/>
        <w:divId w:val="463887639"/>
        <w:rPr>
          <w:sz w:val="20"/>
          <w:szCs w:val="20"/>
        </w:rPr>
      </w:pPr>
      <w:hyperlink w:anchor="TOC" w:history="1">
        <w:r>
          <w:rPr>
            <w:rStyle w:val="a4"/>
            <w:sz w:val="20"/>
            <w:szCs w:val="20"/>
          </w:rPr>
          <w:t>Table of Contents</w:t>
        </w:r>
      </w:hyperlink>
    </w:p>
    <w:p w14:paraId="3E945770" w14:textId="77777777" w:rsidR="00000000" w:rsidRDefault="001F1B20">
      <w:pPr>
        <w:pStyle w:val="a3"/>
        <w:spacing w:before="0" w:beforeAutospacing="0" w:after="200" w:afterAutospacing="0"/>
        <w:divId w:val="1750034676"/>
        <w:rPr>
          <w:sz w:val="20"/>
          <w:szCs w:val="20"/>
        </w:rPr>
      </w:pPr>
      <w:r>
        <w:rPr>
          <w:sz w:val="20"/>
          <w:szCs w:val="20"/>
        </w:rPr>
        <w:t>hazardous waste. Federal, state and local laws and regulations govern the use, manufacture, management, storage, handling and disposal of ha</w:t>
      </w:r>
      <w:r>
        <w:rPr>
          <w:sz w:val="20"/>
          <w:szCs w:val="20"/>
        </w:rPr>
        <w:t>zardous materials and wastes. We may incur significant additional costs or liabilities to comply with, or for violations of, these and other applicable laws in the future. Also, even if we are in compliance with applicable laws, we cannot completely elimin</w:t>
      </w:r>
      <w:r>
        <w:rPr>
          <w:sz w:val="20"/>
          <w:szCs w:val="20"/>
        </w:rPr>
        <w:t>ate the risk of contamination or injury resulting from hazardous materials and we may incur liability as a result of any such contamination or injury. Further, in the event of a release of or exposure to hazardous materials, including at the sites we curre</w:t>
      </w:r>
      <w:r>
        <w:rPr>
          <w:sz w:val="20"/>
          <w:szCs w:val="20"/>
        </w:rPr>
        <w:t>ntly or formerly operate or at sites such as landfills where we send wastes for disposal, we could be held liable for cleanup costs or damages or subject to other costs or penalties and such liability could exceed our resources. We do not have any insuranc</w:t>
      </w:r>
      <w:r>
        <w:rPr>
          <w:sz w:val="20"/>
          <w:szCs w:val="20"/>
        </w:rPr>
        <w:t>e for liabilities arising from hazardous materials or under environmental laws. Compliance with or liability under applicable environmental laws and regulations or with respect to hazardous materials may be expensive, and current or future environmental re</w:t>
      </w:r>
      <w:r>
        <w:rPr>
          <w:sz w:val="20"/>
          <w:szCs w:val="20"/>
        </w:rPr>
        <w:t>gulations may impair our research, development and production efforts, which could harm our business, which could cause the price of our securities to fall.</w:t>
      </w:r>
    </w:p>
    <w:p w14:paraId="5BEB33DC" w14:textId="77777777" w:rsidR="00000000" w:rsidRDefault="001F1B20">
      <w:pPr>
        <w:pStyle w:val="a3"/>
        <w:spacing w:before="0" w:beforeAutospacing="0" w:after="0" w:afterAutospacing="0"/>
        <w:divId w:val="1750034676"/>
        <w:rPr>
          <w:rFonts w:ascii="Times" w:hAnsi="Times"/>
          <w:b/>
          <w:bCs/>
          <w:sz w:val="20"/>
          <w:szCs w:val="20"/>
        </w:rPr>
      </w:pPr>
      <w:r>
        <w:rPr>
          <w:b/>
          <w:bCs/>
          <w:sz w:val="20"/>
          <w:szCs w:val="20"/>
        </w:rPr>
        <w:t xml:space="preserve">RISKS RELATING TO OUR ORDINARY SHARES </w:t>
      </w:r>
    </w:p>
    <w:p w14:paraId="69316665" w14:textId="77777777" w:rsidR="00000000" w:rsidRDefault="001F1B20">
      <w:pPr>
        <w:pStyle w:val="a3"/>
        <w:spacing w:before="0" w:beforeAutospacing="0" w:after="0" w:afterAutospacing="0"/>
        <w:divId w:val="1750034676"/>
        <w:rPr>
          <w:rFonts w:ascii="Times" w:hAnsi="Times"/>
          <w:b/>
          <w:bCs/>
          <w:sz w:val="20"/>
          <w:szCs w:val="20"/>
        </w:rPr>
      </w:pPr>
      <w:r>
        <w:rPr>
          <w:b/>
          <w:bCs/>
          <w:sz w:val="20"/>
          <w:szCs w:val="20"/>
        </w:rPr>
        <w:t>​</w:t>
      </w:r>
    </w:p>
    <w:p w14:paraId="27322AFA" w14:textId="77777777" w:rsidR="00000000" w:rsidRDefault="001F1B20">
      <w:pPr>
        <w:pStyle w:val="a3"/>
        <w:spacing w:before="0" w:beforeAutospacing="0" w:after="120" w:afterAutospacing="0"/>
        <w:divId w:val="1750034676"/>
        <w:rPr>
          <w:sz w:val="20"/>
          <w:szCs w:val="20"/>
        </w:rPr>
      </w:pPr>
      <w:r>
        <w:rPr>
          <w:b/>
          <w:bCs/>
          <w:i/>
          <w:iCs/>
          <w:sz w:val="20"/>
          <w:szCs w:val="20"/>
        </w:rPr>
        <w:t>The market price for our shares has and may continue to fluctuate widely and may result in substantial losses for purchasers of our ordinary shares.</w:t>
      </w:r>
    </w:p>
    <w:p w14:paraId="4AA77D14" w14:textId="77777777" w:rsidR="00000000" w:rsidRDefault="001F1B20">
      <w:pPr>
        <w:pStyle w:val="a3"/>
        <w:spacing w:before="0" w:beforeAutospacing="0" w:after="200" w:afterAutospacing="0"/>
        <w:ind w:firstLine="720"/>
        <w:divId w:val="1750034676"/>
        <w:rPr>
          <w:sz w:val="20"/>
          <w:szCs w:val="20"/>
        </w:rPr>
      </w:pPr>
      <w:r>
        <w:rPr>
          <w:sz w:val="20"/>
          <w:szCs w:val="20"/>
        </w:rPr>
        <w:t>The market price for our shares has and may continue to fluctuate widely and may result in substantial loss</w:t>
      </w:r>
      <w:r>
        <w:rPr>
          <w:sz w:val="20"/>
          <w:szCs w:val="20"/>
        </w:rPr>
        <w:t>es for purchasers of our ordinary shares. To the extent that low trading volumes for our ordinary shares continues, our stock price may fluctuate significantly more than the stock market as a whole or the stock prices of similar companies. Without a larger</w:t>
      </w:r>
      <w:r>
        <w:rPr>
          <w:sz w:val="20"/>
          <w:szCs w:val="20"/>
        </w:rPr>
        <w:t xml:space="preserve"> public float of actively traded shares, our ordinary shares are likely to be more sensitive to changes in sales volumes, market fluctuations and events or perceived events with respect to our business, than the shares of common stock of companies with bro</w:t>
      </w:r>
      <w:r>
        <w:rPr>
          <w:sz w:val="20"/>
          <w:szCs w:val="20"/>
        </w:rPr>
        <w:t>ader public ownership, and as a result, the trading prices for our ordinary shares may be more volatile. Among other things, trading of a relatively small volume of ordinary shares may have a greater effect on the trading price than would be the case if ou</w:t>
      </w:r>
      <w:r>
        <w:rPr>
          <w:sz w:val="20"/>
          <w:szCs w:val="20"/>
        </w:rPr>
        <w:t>r public float of actively traded shares were larger. In addition, as further described below under the risk factor entitled “—</w:t>
      </w:r>
      <w:r>
        <w:rPr>
          <w:i/>
          <w:iCs/>
          <w:sz w:val="20"/>
          <w:szCs w:val="20"/>
        </w:rPr>
        <w:t>Concentration of ownership will limit your ability to influence corporate matters,”</w:t>
      </w:r>
      <w:r>
        <w:rPr>
          <w:sz w:val="20"/>
          <w:szCs w:val="20"/>
        </w:rPr>
        <w:t xml:space="preserve"> a number of shareholders hold large concentra</w:t>
      </w:r>
      <w:r>
        <w:rPr>
          <w:sz w:val="20"/>
          <w:szCs w:val="20"/>
        </w:rPr>
        <w:t>tions of our shares which, if sold within a relatively short timeframe, could cause the price of our shares to drop significantly. In addition, as a result of the exchangeable note offering by GSK, up to 9,644,792 ordinary shares held by GSK could become f</w:t>
      </w:r>
      <w:r>
        <w:rPr>
          <w:sz w:val="20"/>
          <w:szCs w:val="20"/>
        </w:rPr>
        <w:t>reely tradeable after September 1, 2020, if holders of the GSK Notes were to exchange their notes for our ordinary shares.</w:t>
      </w:r>
    </w:p>
    <w:p w14:paraId="16765451" w14:textId="77777777" w:rsidR="00000000" w:rsidRDefault="001F1B20">
      <w:pPr>
        <w:pStyle w:val="a3"/>
        <w:spacing w:before="0" w:beforeAutospacing="0" w:after="200" w:afterAutospacing="0"/>
        <w:ind w:firstLine="720"/>
        <w:divId w:val="1750034676"/>
        <w:rPr>
          <w:sz w:val="20"/>
          <w:szCs w:val="20"/>
        </w:rPr>
      </w:pPr>
      <w:r>
        <w:rPr>
          <w:sz w:val="20"/>
          <w:szCs w:val="20"/>
        </w:rPr>
        <w:t>Market prices for securities of biotechnology and biopharmaceutical companies have been highly volatile, and we expect such volatilit</w:t>
      </w:r>
      <w:r>
        <w:rPr>
          <w:sz w:val="20"/>
          <w:szCs w:val="20"/>
        </w:rPr>
        <w:t>y to continue for the foreseeable future, so that investment in our ordinary shares involves substantial risk. Additionally, the stock market from time to time has experienced significant price and volume fluctuations unrelated to the operating performance</w:t>
      </w:r>
      <w:r>
        <w:rPr>
          <w:sz w:val="20"/>
          <w:szCs w:val="20"/>
        </w:rPr>
        <w:t xml:space="preserve"> of particular companies.</w:t>
      </w:r>
    </w:p>
    <w:p w14:paraId="548D580E" w14:textId="77777777" w:rsidR="00000000" w:rsidRDefault="001F1B20">
      <w:pPr>
        <w:pStyle w:val="a3"/>
        <w:spacing w:before="0" w:beforeAutospacing="0" w:after="200" w:afterAutospacing="0"/>
        <w:ind w:firstLine="720"/>
        <w:divId w:val="1750034676"/>
        <w:rPr>
          <w:sz w:val="20"/>
          <w:szCs w:val="20"/>
        </w:rPr>
      </w:pPr>
      <w:r>
        <w:rPr>
          <w:sz w:val="20"/>
          <w:szCs w:val="20"/>
        </w:rPr>
        <w:t>The following are some of the factors that may have a significant effect on the market price of our ordinary shares: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3CE7E45" w14:textId="77777777">
        <w:trPr>
          <w:divId w:val="1750034676"/>
        </w:trPr>
        <w:tc>
          <w:tcPr>
            <w:tcW w:w="720" w:type="dxa"/>
            <w:vAlign w:val="center"/>
            <w:hideMark/>
          </w:tcPr>
          <w:p w14:paraId="4D77E681" w14:textId="77777777" w:rsidR="00000000" w:rsidRDefault="001F1B20">
            <w:pPr>
              <w:rPr>
                <w:sz w:val="20"/>
                <w:szCs w:val="20"/>
              </w:rPr>
            </w:pPr>
          </w:p>
        </w:tc>
        <w:tc>
          <w:tcPr>
            <w:tcW w:w="360" w:type="dxa"/>
            <w:noWrap/>
            <w:tcMar>
              <w:top w:w="0" w:type="dxa"/>
              <w:left w:w="0" w:type="dxa"/>
              <w:bottom w:w="0" w:type="dxa"/>
              <w:right w:w="0" w:type="dxa"/>
            </w:tcMar>
            <w:hideMark/>
          </w:tcPr>
          <w:p w14:paraId="0BD2BF67"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F059268" w14:textId="77777777" w:rsidR="00000000" w:rsidRDefault="001F1B20">
            <w:pPr>
              <w:spacing w:after="200"/>
              <w:rPr>
                <w:rFonts w:eastAsia="Times New Roman"/>
                <w:sz w:val="20"/>
                <w:szCs w:val="20"/>
              </w:rPr>
            </w:pPr>
            <w:r>
              <w:rPr>
                <w:rFonts w:eastAsia="Times New Roman"/>
                <w:sz w:val="20"/>
                <w:szCs w:val="20"/>
              </w:rPr>
              <w:t>any adverse developments or results or perceived adverse developments or results with respect to YUPELRI, incl</w:t>
            </w:r>
            <w:r>
              <w:rPr>
                <w:rFonts w:eastAsia="Times New Roman"/>
                <w:sz w:val="20"/>
                <w:szCs w:val="20"/>
              </w:rPr>
              <w:t>uding without limitation, lower than expected sales of YUPELRI, difficulties or delays encountered with regard to the FDA or other regulatory authorities in this program or any indication from clinical or non-clinical studies that YUPELRI is not safe or ef</w:t>
            </w:r>
            <w:r>
              <w:rPr>
                <w:rFonts w:eastAsia="Times New Roman"/>
                <w:sz w:val="20"/>
                <w:szCs w:val="20"/>
              </w:rPr>
              <w:t>ficacious;</w:t>
            </w:r>
          </w:p>
        </w:tc>
      </w:tr>
    </w:tbl>
    <w:p w14:paraId="23CED26B" w14:textId="77777777" w:rsidR="00000000" w:rsidRDefault="001F1B20">
      <w:pPr>
        <w:divId w:val="17500346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6A98568" w14:textId="77777777">
        <w:trPr>
          <w:divId w:val="1750034676"/>
        </w:trPr>
        <w:tc>
          <w:tcPr>
            <w:tcW w:w="720" w:type="dxa"/>
            <w:vAlign w:val="center"/>
            <w:hideMark/>
          </w:tcPr>
          <w:p w14:paraId="506B12EF" w14:textId="77777777" w:rsidR="00000000" w:rsidRDefault="001F1B20">
            <w:pPr>
              <w:rPr>
                <w:rFonts w:eastAsia="Times New Roman"/>
              </w:rPr>
            </w:pPr>
          </w:p>
        </w:tc>
        <w:tc>
          <w:tcPr>
            <w:tcW w:w="360" w:type="dxa"/>
            <w:noWrap/>
            <w:tcMar>
              <w:top w:w="0" w:type="dxa"/>
              <w:left w:w="0" w:type="dxa"/>
              <w:bottom w:w="0" w:type="dxa"/>
              <w:right w:w="0" w:type="dxa"/>
            </w:tcMar>
            <w:hideMark/>
          </w:tcPr>
          <w:p w14:paraId="36C24047"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528BB62" w14:textId="77777777" w:rsidR="00000000" w:rsidRDefault="001F1B20">
            <w:pPr>
              <w:spacing w:after="200"/>
              <w:rPr>
                <w:rFonts w:eastAsia="Times New Roman"/>
                <w:sz w:val="20"/>
                <w:szCs w:val="20"/>
              </w:rPr>
            </w:pPr>
            <w:r>
              <w:rPr>
                <w:rFonts w:eastAsia="Times New Roman"/>
                <w:sz w:val="20"/>
                <w:szCs w:val="20"/>
              </w:rPr>
              <w:t xml:space="preserve">any adverse developments or results or perceived adverse developments or results with respect to the GSK Partnered Respiratory Programs including, without limitation, lower than expected sales of TRELEGY, difficulties or delays encountered </w:t>
            </w:r>
            <w:r>
              <w:rPr>
                <w:rFonts w:eastAsia="Times New Roman"/>
                <w:sz w:val="20"/>
                <w:szCs w:val="20"/>
              </w:rPr>
              <w:t>with regard to the FDA or other regulatory authorities in these programs or any indication from clinical or non-clinical studies that the compounds in such programs are not safe or efficacious;</w:t>
            </w:r>
          </w:p>
        </w:tc>
      </w:tr>
    </w:tbl>
    <w:p w14:paraId="006FA25A" w14:textId="77777777" w:rsidR="00000000" w:rsidRDefault="001F1B20">
      <w:pPr>
        <w:divId w:val="17500346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95474B8" w14:textId="77777777">
        <w:trPr>
          <w:divId w:val="1750034676"/>
        </w:trPr>
        <w:tc>
          <w:tcPr>
            <w:tcW w:w="720" w:type="dxa"/>
            <w:vAlign w:val="center"/>
            <w:hideMark/>
          </w:tcPr>
          <w:p w14:paraId="55B419AE" w14:textId="77777777" w:rsidR="00000000" w:rsidRDefault="001F1B20">
            <w:pPr>
              <w:rPr>
                <w:rFonts w:eastAsia="Times New Roman"/>
              </w:rPr>
            </w:pPr>
          </w:p>
        </w:tc>
        <w:tc>
          <w:tcPr>
            <w:tcW w:w="360" w:type="dxa"/>
            <w:noWrap/>
            <w:tcMar>
              <w:top w:w="0" w:type="dxa"/>
              <w:left w:w="0" w:type="dxa"/>
              <w:bottom w:w="0" w:type="dxa"/>
              <w:right w:w="0" w:type="dxa"/>
            </w:tcMar>
            <w:hideMark/>
          </w:tcPr>
          <w:p w14:paraId="794A10E2"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976B041" w14:textId="77777777" w:rsidR="00000000" w:rsidRDefault="001F1B20">
            <w:pPr>
              <w:spacing w:after="200"/>
              <w:rPr>
                <w:rFonts w:eastAsia="Times New Roman"/>
                <w:sz w:val="20"/>
                <w:szCs w:val="20"/>
              </w:rPr>
            </w:pPr>
            <w:r>
              <w:rPr>
                <w:rFonts w:eastAsia="Times New Roman"/>
                <w:sz w:val="20"/>
                <w:szCs w:val="20"/>
              </w:rPr>
              <w:t xml:space="preserve">any adverse developments or results or perceived adverse </w:t>
            </w:r>
            <w:r>
              <w:rPr>
                <w:rFonts w:eastAsia="Times New Roman"/>
                <w:sz w:val="20"/>
                <w:szCs w:val="20"/>
              </w:rPr>
              <w:t>developments or results with respect to our key clinical development programs, including, without limitation, any delays in development in these programs, any halting of development in these programs, any difficulties or delays encountered with regard to t</w:t>
            </w:r>
            <w:r>
              <w:rPr>
                <w:rFonts w:eastAsia="Times New Roman"/>
                <w:sz w:val="20"/>
                <w:szCs w:val="20"/>
              </w:rPr>
              <w:t>he FDA or other regulatory authorities in these programs (including any class-based risks that emerge as a FDA or other regulatory agency focus), or any indication from clinical or non-clinical studies that the compounds in such programs are not safe or ef</w:t>
            </w:r>
            <w:r>
              <w:rPr>
                <w:rFonts w:eastAsia="Times New Roman"/>
                <w:sz w:val="20"/>
                <w:szCs w:val="20"/>
              </w:rPr>
              <w:t>ficacious;</w:t>
            </w:r>
          </w:p>
        </w:tc>
      </w:tr>
    </w:tbl>
    <w:p w14:paraId="480E9F25" w14:textId="77777777" w:rsidR="00000000" w:rsidRDefault="001F1B20">
      <w:pPr>
        <w:pStyle w:val="a3"/>
        <w:spacing w:before="360" w:beforeAutospacing="0" w:after="0" w:afterAutospacing="0"/>
        <w:jc w:val="center"/>
        <w:divId w:val="2138909324"/>
        <w:rPr>
          <w:sz w:val="20"/>
          <w:szCs w:val="20"/>
        </w:rPr>
      </w:pPr>
      <w:r>
        <w:rPr>
          <w:sz w:val="20"/>
          <w:szCs w:val="20"/>
        </w:rPr>
        <w:t>70</w:t>
      </w:r>
    </w:p>
    <w:p w14:paraId="73FC2249" w14:textId="77777777" w:rsidR="00000000" w:rsidRDefault="001F1B20">
      <w:pPr>
        <w:pStyle w:val="a3"/>
        <w:spacing w:before="0" w:beforeAutospacing="0" w:after="600" w:afterAutospacing="0"/>
        <w:divId w:val="157188453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CAFAFBD" w14:textId="77777777">
        <w:trPr>
          <w:divId w:val="1138719875"/>
        </w:trPr>
        <w:tc>
          <w:tcPr>
            <w:tcW w:w="720" w:type="dxa"/>
            <w:vAlign w:val="center"/>
            <w:hideMark/>
          </w:tcPr>
          <w:p w14:paraId="2ABC2E2D" w14:textId="77777777" w:rsidR="00000000" w:rsidRDefault="001F1B20">
            <w:pPr>
              <w:rPr>
                <w:sz w:val="20"/>
                <w:szCs w:val="20"/>
              </w:rPr>
            </w:pPr>
          </w:p>
        </w:tc>
        <w:tc>
          <w:tcPr>
            <w:tcW w:w="360" w:type="dxa"/>
            <w:noWrap/>
            <w:tcMar>
              <w:top w:w="0" w:type="dxa"/>
              <w:left w:w="0" w:type="dxa"/>
              <w:bottom w:w="0" w:type="dxa"/>
              <w:right w:w="0" w:type="dxa"/>
            </w:tcMar>
            <w:hideMark/>
          </w:tcPr>
          <w:p w14:paraId="10443E4E"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516F487" w14:textId="77777777" w:rsidR="00000000" w:rsidRDefault="001F1B20">
            <w:pPr>
              <w:spacing w:after="200"/>
              <w:rPr>
                <w:rFonts w:eastAsia="Times New Roman"/>
                <w:sz w:val="20"/>
                <w:szCs w:val="20"/>
              </w:rPr>
            </w:pPr>
            <w:r>
              <w:rPr>
                <w:rFonts w:eastAsia="Times New Roman"/>
                <w:sz w:val="20"/>
                <w:szCs w:val="20"/>
              </w:rPr>
              <w:t>any announcements of developments with, or comments by, the FDA or other regulatory authorities with respect to products we or our partners have under development, are manufacturing or have commercialized;</w:t>
            </w:r>
          </w:p>
        </w:tc>
      </w:tr>
    </w:tbl>
    <w:p w14:paraId="7AF5D78C"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0F69DAF" w14:textId="77777777">
        <w:trPr>
          <w:divId w:val="1138719875"/>
        </w:trPr>
        <w:tc>
          <w:tcPr>
            <w:tcW w:w="720" w:type="dxa"/>
            <w:vAlign w:val="center"/>
            <w:hideMark/>
          </w:tcPr>
          <w:p w14:paraId="445B19A9" w14:textId="77777777" w:rsidR="00000000" w:rsidRDefault="001F1B20">
            <w:pPr>
              <w:rPr>
                <w:rFonts w:eastAsia="Times New Roman"/>
              </w:rPr>
            </w:pPr>
          </w:p>
        </w:tc>
        <w:tc>
          <w:tcPr>
            <w:tcW w:w="360" w:type="dxa"/>
            <w:noWrap/>
            <w:tcMar>
              <w:top w:w="0" w:type="dxa"/>
              <w:left w:w="0" w:type="dxa"/>
              <w:bottom w:w="0" w:type="dxa"/>
              <w:right w:w="0" w:type="dxa"/>
            </w:tcMar>
            <w:hideMark/>
          </w:tcPr>
          <w:p w14:paraId="75F42F59"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3C96A0F" w14:textId="77777777" w:rsidR="00000000" w:rsidRDefault="001F1B20">
            <w:pPr>
              <w:spacing w:after="200"/>
              <w:rPr>
                <w:rFonts w:eastAsia="Times New Roman"/>
                <w:sz w:val="20"/>
                <w:szCs w:val="20"/>
              </w:rPr>
            </w:pPr>
            <w:r>
              <w:rPr>
                <w:rFonts w:eastAsia="Times New Roman"/>
                <w:sz w:val="20"/>
                <w:szCs w:val="20"/>
              </w:rPr>
              <w:t xml:space="preserve">any adverse developments or disagreements or </w:t>
            </w:r>
            <w:r>
              <w:rPr>
                <w:rFonts w:eastAsia="Times New Roman"/>
                <w:sz w:val="20"/>
                <w:szCs w:val="20"/>
              </w:rPr>
              <w:t>perceived adverse developments or disagreements with respect to our relationship with Innoviva, such as our 2019 and 2021 arbitration proceedings with them concerning their use of TRC funds, or the relationship of Innoviva or TRC on the one hand and GSK on</w:t>
            </w:r>
            <w:r>
              <w:rPr>
                <w:rFonts w:eastAsia="Times New Roman"/>
                <w:sz w:val="20"/>
                <w:szCs w:val="20"/>
              </w:rPr>
              <w:t xml:space="preserve"> the other hand, including any such developments or disagreements resulting from or relating to the TRC LLC Agreement or to the Spin-Off;</w:t>
            </w:r>
          </w:p>
        </w:tc>
      </w:tr>
    </w:tbl>
    <w:p w14:paraId="200C336B"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EC86D98" w14:textId="77777777">
        <w:trPr>
          <w:divId w:val="1138719875"/>
        </w:trPr>
        <w:tc>
          <w:tcPr>
            <w:tcW w:w="720" w:type="dxa"/>
            <w:vAlign w:val="center"/>
            <w:hideMark/>
          </w:tcPr>
          <w:p w14:paraId="0F1D587B" w14:textId="77777777" w:rsidR="00000000" w:rsidRDefault="001F1B20">
            <w:pPr>
              <w:rPr>
                <w:rFonts w:eastAsia="Times New Roman"/>
              </w:rPr>
            </w:pPr>
          </w:p>
        </w:tc>
        <w:tc>
          <w:tcPr>
            <w:tcW w:w="360" w:type="dxa"/>
            <w:noWrap/>
            <w:tcMar>
              <w:top w:w="0" w:type="dxa"/>
              <w:left w:w="0" w:type="dxa"/>
              <w:bottom w:w="0" w:type="dxa"/>
              <w:right w:w="0" w:type="dxa"/>
            </w:tcMar>
            <w:hideMark/>
          </w:tcPr>
          <w:p w14:paraId="73D81A88"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47EC7EB" w14:textId="77777777" w:rsidR="00000000" w:rsidRDefault="001F1B20">
            <w:pPr>
              <w:spacing w:after="200"/>
              <w:rPr>
                <w:rFonts w:eastAsia="Times New Roman"/>
                <w:sz w:val="20"/>
                <w:szCs w:val="20"/>
              </w:rPr>
            </w:pPr>
            <w:r>
              <w:rPr>
                <w:rFonts w:eastAsia="Times New Roman"/>
                <w:sz w:val="20"/>
                <w:szCs w:val="20"/>
              </w:rPr>
              <w:t>any adverse developments or perceived adverse developments with respect to our relationship with any of our resea</w:t>
            </w:r>
            <w:r>
              <w:rPr>
                <w:rFonts w:eastAsia="Times New Roman"/>
                <w:sz w:val="20"/>
                <w:szCs w:val="20"/>
              </w:rPr>
              <w:t>rch, development or commercialization partners, including, without limitation, disagreements that may arise between us and any of those partners;</w:t>
            </w:r>
          </w:p>
        </w:tc>
      </w:tr>
    </w:tbl>
    <w:p w14:paraId="7A213748"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E38072E" w14:textId="77777777">
        <w:trPr>
          <w:divId w:val="1138719875"/>
        </w:trPr>
        <w:tc>
          <w:tcPr>
            <w:tcW w:w="720" w:type="dxa"/>
            <w:vAlign w:val="center"/>
            <w:hideMark/>
          </w:tcPr>
          <w:p w14:paraId="6752C7E7" w14:textId="77777777" w:rsidR="00000000" w:rsidRDefault="001F1B20">
            <w:pPr>
              <w:rPr>
                <w:rFonts w:eastAsia="Times New Roman"/>
              </w:rPr>
            </w:pPr>
          </w:p>
        </w:tc>
        <w:tc>
          <w:tcPr>
            <w:tcW w:w="360" w:type="dxa"/>
            <w:noWrap/>
            <w:tcMar>
              <w:top w:w="0" w:type="dxa"/>
              <w:left w:w="0" w:type="dxa"/>
              <w:bottom w:w="0" w:type="dxa"/>
              <w:right w:w="0" w:type="dxa"/>
            </w:tcMar>
            <w:hideMark/>
          </w:tcPr>
          <w:p w14:paraId="6DCBE7C5"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2875E43" w14:textId="77777777" w:rsidR="00000000" w:rsidRDefault="001F1B20">
            <w:pPr>
              <w:spacing w:after="200"/>
              <w:rPr>
                <w:rFonts w:eastAsia="Times New Roman"/>
                <w:sz w:val="20"/>
                <w:szCs w:val="20"/>
              </w:rPr>
            </w:pPr>
            <w:r>
              <w:rPr>
                <w:rFonts w:eastAsia="Times New Roman"/>
                <w:sz w:val="20"/>
                <w:szCs w:val="20"/>
              </w:rPr>
              <w:t>any adverse developments or perceived adverse developments in our programs with respect to partnering eff</w:t>
            </w:r>
            <w:r>
              <w:rPr>
                <w:rFonts w:eastAsia="Times New Roman"/>
                <w:sz w:val="20"/>
                <w:szCs w:val="20"/>
              </w:rPr>
              <w:t>orts or otherwise;</w:t>
            </w:r>
          </w:p>
        </w:tc>
      </w:tr>
    </w:tbl>
    <w:p w14:paraId="26785D8F"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800B569" w14:textId="77777777">
        <w:trPr>
          <w:divId w:val="1138719875"/>
        </w:trPr>
        <w:tc>
          <w:tcPr>
            <w:tcW w:w="720" w:type="dxa"/>
            <w:vAlign w:val="center"/>
            <w:hideMark/>
          </w:tcPr>
          <w:p w14:paraId="72A9F55D" w14:textId="77777777" w:rsidR="00000000" w:rsidRDefault="001F1B20">
            <w:pPr>
              <w:rPr>
                <w:rFonts w:eastAsia="Times New Roman"/>
              </w:rPr>
            </w:pPr>
          </w:p>
        </w:tc>
        <w:tc>
          <w:tcPr>
            <w:tcW w:w="360" w:type="dxa"/>
            <w:noWrap/>
            <w:tcMar>
              <w:top w:w="0" w:type="dxa"/>
              <w:left w:w="0" w:type="dxa"/>
              <w:bottom w:w="0" w:type="dxa"/>
              <w:right w:w="0" w:type="dxa"/>
            </w:tcMar>
            <w:hideMark/>
          </w:tcPr>
          <w:p w14:paraId="7D36D662"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BCB797E" w14:textId="77777777" w:rsidR="00000000" w:rsidRDefault="001F1B20">
            <w:pPr>
              <w:spacing w:after="200"/>
              <w:rPr>
                <w:rFonts w:eastAsia="Times New Roman"/>
                <w:sz w:val="20"/>
                <w:szCs w:val="20"/>
              </w:rPr>
            </w:pPr>
            <w:r>
              <w:rPr>
                <w:rFonts w:eastAsia="Times New Roman"/>
                <w:sz w:val="20"/>
                <w:szCs w:val="20"/>
              </w:rPr>
              <w:t>announcements of patent issuances or denials, technological innovations or new commercial products by us or our competitors;</w:t>
            </w:r>
          </w:p>
        </w:tc>
      </w:tr>
    </w:tbl>
    <w:p w14:paraId="1E3C406F"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8F97C5D" w14:textId="77777777">
        <w:trPr>
          <w:divId w:val="1138719875"/>
        </w:trPr>
        <w:tc>
          <w:tcPr>
            <w:tcW w:w="720" w:type="dxa"/>
            <w:vAlign w:val="center"/>
            <w:hideMark/>
          </w:tcPr>
          <w:p w14:paraId="08809A26" w14:textId="77777777" w:rsidR="00000000" w:rsidRDefault="001F1B20">
            <w:pPr>
              <w:rPr>
                <w:rFonts w:eastAsia="Times New Roman"/>
              </w:rPr>
            </w:pPr>
          </w:p>
        </w:tc>
        <w:tc>
          <w:tcPr>
            <w:tcW w:w="360" w:type="dxa"/>
            <w:noWrap/>
            <w:tcMar>
              <w:top w:w="0" w:type="dxa"/>
              <w:left w:w="0" w:type="dxa"/>
              <w:bottom w:w="0" w:type="dxa"/>
              <w:right w:w="0" w:type="dxa"/>
            </w:tcMar>
            <w:hideMark/>
          </w:tcPr>
          <w:p w14:paraId="48A663A5"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249817E" w14:textId="77777777" w:rsidR="00000000" w:rsidRDefault="001F1B20">
            <w:pPr>
              <w:spacing w:after="200"/>
              <w:rPr>
                <w:rFonts w:eastAsia="Times New Roman"/>
                <w:sz w:val="20"/>
                <w:szCs w:val="20"/>
              </w:rPr>
            </w:pPr>
            <w:r>
              <w:rPr>
                <w:rFonts w:eastAsia="Times New Roman"/>
                <w:sz w:val="20"/>
                <w:szCs w:val="20"/>
              </w:rPr>
              <w:t>publicity regarding actual or potential study results or the outcome of regulatory review relating to products under development by us, our partners or our competitors;</w:t>
            </w:r>
          </w:p>
        </w:tc>
      </w:tr>
    </w:tbl>
    <w:p w14:paraId="2624E177"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1A1E27F" w14:textId="77777777">
        <w:trPr>
          <w:divId w:val="1138719875"/>
        </w:trPr>
        <w:tc>
          <w:tcPr>
            <w:tcW w:w="720" w:type="dxa"/>
            <w:vAlign w:val="center"/>
            <w:hideMark/>
          </w:tcPr>
          <w:p w14:paraId="6FEA585C" w14:textId="77777777" w:rsidR="00000000" w:rsidRDefault="001F1B20">
            <w:pPr>
              <w:rPr>
                <w:rFonts w:eastAsia="Times New Roman"/>
              </w:rPr>
            </w:pPr>
          </w:p>
        </w:tc>
        <w:tc>
          <w:tcPr>
            <w:tcW w:w="360" w:type="dxa"/>
            <w:noWrap/>
            <w:tcMar>
              <w:top w:w="0" w:type="dxa"/>
              <w:left w:w="0" w:type="dxa"/>
              <w:bottom w:w="0" w:type="dxa"/>
              <w:right w:w="0" w:type="dxa"/>
            </w:tcMar>
            <w:hideMark/>
          </w:tcPr>
          <w:p w14:paraId="0C4CC23A"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7C3E7D6" w14:textId="77777777" w:rsidR="00000000" w:rsidRDefault="001F1B20">
            <w:pPr>
              <w:spacing w:after="200"/>
              <w:rPr>
                <w:rFonts w:eastAsia="Times New Roman"/>
                <w:sz w:val="20"/>
                <w:szCs w:val="20"/>
              </w:rPr>
            </w:pPr>
            <w:r>
              <w:rPr>
                <w:rFonts w:eastAsia="Times New Roman"/>
                <w:sz w:val="20"/>
                <w:szCs w:val="20"/>
              </w:rPr>
              <w:t>regulatory developments in the US and foreign countries;</w:t>
            </w:r>
          </w:p>
        </w:tc>
      </w:tr>
    </w:tbl>
    <w:p w14:paraId="2A7AEF64"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CD045CF" w14:textId="77777777">
        <w:trPr>
          <w:divId w:val="1138719875"/>
        </w:trPr>
        <w:tc>
          <w:tcPr>
            <w:tcW w:w="720" w:type="dxa"/>
            <w:vAlign w:val="center"/>
            <w:hideMark/>
          </w:tcPr>
          <w:p w14:paraId="493E8D38" w14:textId="77777777" w:rsidR="00000000" w:rsidRDefault="001F1B20">
            <w:pPr>
              <w:rPr>
                <w:rFonts w:eastAsia="Times New Roman"/>
              </w:rPr>
            </w:pPr>
          </w:p>
        </w:tc>
        <w:tc>
          <w:tcPr>
            <w:tcW w:w="360" w:type="dxa"/>
            <w:noWrap/>
            <w:tcMar>
              <w:top w:w="0" w:type="dxa"/>
              <w:left w:w="0" w:type="dxa"/>
              <w:bottom w:w="0" w:type="dxa"/>
              <w:right w:w="0" w:type="dxa"/>
            </w:tcMar>
            <w:hideMark/>
          </w:tcPr>
          <w:p w14:paraId="7FBC7887"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C68D56A" w14:textId="77777777" w:rsidR="00000000" w:rsidRDefault="001F1B20">
            <w:pPr>
              <w:spacing w:after="200"/>
              <w:rPr>
                <w:rFonts w:eastAsia="Times New Roman"/>
                <w:sz w:val="20"/>
                <w:szCs w:val="20"/>
              </w:rPr>
            </w:pPr>
            <w:r>
              <w:rPr>
                <w:rFonts w:eastAsia="Times New Roman"/>
                <w:sz w:val="20"/>
                <w:szCs w:val="20"/>
              </w:rPr>
              <w:t>announcements with r</w:t>
            </w:r>
            <w:r>
              <w:rPr>
                <w:rFonts w:eastAsia="Times New Roman"/>
                <w:sz w:val="20"/>
                <w:szCs w:val="20"/>
              </w:rPr>
              <w:t>espect to governmental or private insurer reimbursement policies;</w:t>
            </w:r>
          </w:p>
        </w:tc>
      </w:tr>
    </w:tbl>
    <w:p w14:paraId="3D12EB3E"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968753E" w14:textId="77777777">
        <w:trPr>
          <w:divId w:val="1138719875"/>
        </w:trPr>
        <w:tc>
          <w:tcPr>
            <w:tcW w:w="720" w:type="dxa"/>
            <w:vAlign w:val="center"/>
            <w:hideMark/>
          </w:tcPr>
          <w:p w14:paraId="19D78996" w14:textId="77777777" w:rsidR="00000000" w:rsidRDefault="001F1B20">
            <w:pPr>
              <w:rPr>
                <w:rFonts w:eastAsia="Times New Roman"/>
              </w:rPr>
            </w:pPr>
          </w:p>
        </w:tc>
        <w:tc>
          <w:tcPr>
            <w:tcW w:w="360" w:type="dxa"/>
            <w:noWrap/>
            <w:tcMar>
              <w:top w:w="0" w:type="dxa"/>
              <w:left w:w="0" w:type="dxa"/>
              <w:bottom w:w="0" w:type="dxa"/>
              <w:right w:w="0" w:type="dxa"/>
            </w:tcMar>
            <w:hideMark/>
          </w:tcPr>
          <w:p w14:paraId="7CC5EDB8"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03DAED1" w14:textId="77777777" w:rsidR="00000000" w:rsidRDefault="001F1B20">
            <w:pPr>
              <w:spacing w:after="200"/>
              <w:rPr>
                <w:rFonts w:eastAsia="Times New Roman"/>
                <w:sz w:val="20"/>
                <w:szCs w:val="20"/>
              </w:rPr>
            </w:pPr>
            <w:r>
              <w:rPr>
                <w:rFonts w:eastAsia="Times New Roman"/>
                <w:sz w:val="20"/>
                <w:szCs w:val="20"/>
              </w:rPr>
              <w:t>announcements of equity or debt financings;</w:t>
            </w:r>
          </w:p>
        </w:tc>
      </w:tr>
    </w:tbl>
    <w:p w14:paraId="6766CC40"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9DE5B22" w14:textId="77777777">
        <w:trPr>
          <w:divId w:val="1138719875"/>
        </w:trPr>
        <w:tc>
          <w:tcPr>
            <w:tcW w:w="720" w:type="dxa"/>
            <w:vAlign w:val="center"/>
            <w:hideMark/>
          </w:tcPr>
          <w:p w14:paraId="6DB68F56" w14:textId="77777777" w:rsidR="00000000" w:rsidRDefault="001F1B20">
            <w:pPr>
              <w:rPr>
                <w:rFonts w:eastAsia="Times New Roman"/>
              </w:rPr>
            </w:pPr>
          </w:p>
        </w:tc>
        <w:tc>
          <w:tcPr>
            <w:tcW w:w="360" w:type="dxa"/>
            <w:noWrap/>
            <w:tcMar>
              <w:top w:w="0" w:type="dxa"/>
              <w:left w:w="0" w:type="dxa"/>
              <w:bottom w:w="0" w:type="dxa"/>
              <w:right w:w="0" w:type="dxa"/>
            </w:tcMar>
            <w:hideMark/>
          </w:tcPr>
          <w:p w14:paraId="0FA5B927"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3BCB7A7" w14:textId="77777777" w:rsidR="00000000" w:rsidRDefault="001F1B20">
            <w:pPr>
              <w:spacing w:after="200"/>
              <w:rPr>
                <w:rFonts w:eastAsia="Times New Roman"/>
                <w:sz w:val="20"/>
                <w:szCs w:val="20"/>
              </w:rPr>
            </w:pPr>
            <w:r>
              <w:rPr>
                <w:rFonts w:eastAsia="Times New Roman"/>
                <w:sz w:val="20"/>
                <w:szCs w:val="20"/>
              </w:rPr>
              <w:t>possible impairment charges on non-marketable equity securities;</w:t>
            </w:r>
          </w:p>
        </w:tc>
      </w:tr>
    </w:tbl>
    <w:p w14:paraId="425AFC8C"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5C6D5D3" w14:textId="77777777">
        <w:trPr>
          <w:divId w:val="1138719875"/>
        </w:trPr>
        <w:tc>
          <w:tcPr>
            <w:tcW w:w="720" w:type="dxa"/>
            <w:vAlign w:val="center"/>
            <w:hideMark/>
          </w:tcPr>
          <w:p w14:paraId="37974E7E" w14:textId="77777777" w:rsidR="00000000" w:rsidRDefault="001F1B20">
            <w:pPr>
              <w:rPr>
                <w:rFonts w:eastAsia="Times New Roman"/>
              </w:rPr>
            </w:pPr>
          </w:p>
        </w:tc>
        <w:tc>
          <w:tcPr>
            <w:tcW w:w="360" w:type="dxa"/>
            <w:noWrap/>
            <w:tcMar>
              <w:top w:w="0" w:type="dxa"/>
              <w:left w:w="0" w:type="dxa"/>
              <w:bottom w:w="0" w:type="dxa"/>
              <w:right w:w="0" w:type="dxa"/>
            </w:tcMar>
            <w:hideMark/>
          </w:tcPr>
          <w:p w14:paraId="42AB0420"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5CA1CFD" w14:textId="77777777" w:rsidR="00000000" w:rsidRDefault="001F1B20">
            <w:pPr>
              <w:spacing w:after="200"/>
              <w:rPr>
                <w:rFonts w:eastAsia="Times New Roman"/>
                <w:sz w:val="20"/>
                <w:szCs w:val="20"/>
              </w:rPr>
            </w:pPr>
            <w:r>
              <w:rPr>
                <w:rFonts w:eastAsia="Times New Roman"/>
                <w:sz w:val="20"/>
                <w:szCs w:val="20"/>
              </w:rPr>
              <w:t>economic and other external factors beyond our control, such as the COVID-19 pandemic and fluctuations in interest rates;</w:t>
            </w:r>
          </w:p>
        </w:tc>
      </w:tr>
    </w:tbl>
    <w:p w14:paraId="5805D72B"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8E83BDE" w14:textId="77777777">
        <w:trPr>
          <w:divId w:val="1138719875"/>
        </w:trPr>
        <w:tc>
          <w:tcPr>
            <w:tcW w:w="720" w:type="dxa"/>
            <w:vAlign w:val="center"/>
            <w:hideMark/>
          </w:tcPr>
          <w:p w14:paraId="731C6C74" w14:textId="77777777" w:rsidR="00000000" w:rsidRDefault="001F1B20">
            <w:pPr>
              <w:rPr>
                <w:rFonts w:eastAsia="Times New Roman"/>
              </w:rPr>
            </w:pPr>
          </w:p>
        </w:tc>
        <w:tc>
          <w:tcPr>
            <w:tcW w:w="360" w:type="dxa"/>
            <w:noWrap/>
            <w:tcMar>
              <w:top w:w="0" w:type="dxa"/>
              <w:left w:w="0" w:type="dxa"/>
              <w:bottom w:w="0" w:type="dxa"/>
              <w:right w:w="0" w:type="dxa"/>
            </w:tcMar>
            <w:hideMark/>
          </w:tcPr>
          <w:p w14:paraId="24798432"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4D134EC" w14:textId="77777777" w:rsidR="00000000" w:rsidRDefault="001F1B20">
            <w:pPr>
              <w:spacing w:after="200"/>
              <w:rPr>
                <w:rFonts w:eastAsia="Times New Roman"/>
                <w:sz w:val="20"/>
                <w:szCs w:val="20"/>
              </w:rPr>
            </w:pPr>
            <w:r>
              <w:rPr>
                <w:rFonts w:eastAsia="Times New Roman"/>
                <w:sz w:val="20"/>
                <w:szCs w:val="20"/>
              </w:rPr>
              <w:t>loss of key personnel;</w:t>
            </w:r>
          </w:p>
        </w:tc>
      </w:tr>
    </w:tbl>
    <w:p w14:paraId="104D9057"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59214C5" w14:textId="77777777">
        <w:trPr>
          <w:divId w:val="1138719875"/>
        </w:trPr>
        <w:tc>
          <w:tcPr>
            <w:tcW w:w="720" w:type="dxa"/>
            <w:vAlign w:val="center"/>
            <w:hideMark/>
          </w:tcPr>
          <w:p w14:paraId="0AA7012C" w14:textId="77777777" w:rsidR="00000000" w:rsidRDefault="001F1B20">
            <w:pPr>
              <w:rPr>
                <w:rFonts w:eastAsia="Times New Roman"/>
              </w:rPr>
            </w:pPr>
          </w:p>
        </w:tc>
        <w:tc>
          <w:tcPr>
            <w:tcW w:w="360" w:type="dxa"/>
            <w:noWrap/>
            <w:tcMar>
              <w:top w:w="0" w:type="dxa"/>
              <w:left w:w="0" w:type="dxa"/>
              <w:bottom w:w="0" w:type="dxa"/>
              <w:right w:w="0" w:type="dxa"/>
            </w:tcMar>
            <w:hideMark/>
          </w:tcPr>
          <w:p w14:paraId="43E4A4DD"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5958EBF" w14:textId="77777777" w:rsidR="00000000" w:rsidRDefault="001F1B20">
            <w:pPr>
              <w:spacing w:after="200"/>
              <w:rPr>
                <w:rFonts w:eastAsia="Times New Roman"/>
                <w:sz w:val="20"/>
                <w:szCs w:val="20"/>
              </w:rPr>
            </w:pPr>
            <w:r>
              <w:rPr>
                <w:rFonts w:eastAsia="Times New Roman"/>
                <w:sz w:val="20"/>
                <w:szCs w:val="20"/>
              </w:rPr>
              <w:t>likelihood of our ordinary shares to be more sensitive to changes in sales volume, market fluctuation</w:t>
            </w:r>
            <w:r>
              <w:rPr>
                <w:rFonts w:eastAsia="Times New Roman"/>
                <w:sz w:val="20"/>
                <w:szCs w:val="20"/>
              </w:rPr>
              <w:t>s and events or perceived events with respect to our business due to our small public float;</w:t>
            </w:r>
          </w:p>
        </w:tc>
      </w:tr>
    </w:tbl>
    <w:p w14:paraId="1033AC2D"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9BDFCC8" w14:textId="77777777">
        <w:trPr>
          <w:divId w:val="1138719875"/>
        </w:trPr>
        <w:tc>
          <w:tcPr>
            <w:tcW w:w="720" w:type="dxa"/>
            <w:vAlign w:val="center"/>
            <w:hideMark/>
          </w:tcPr>
          <w:p w14:paraId="2960EF53" w14:textId="77777777" w:rsidR="00000000" w:rsidRDefault="001F1B20">
            <w:pPr>
              <w:rPr>
                <w:rFonts w:eastAsia="Times New Roman"/>
              </w:rPr>
            </w:pPr>
          </w:p>
        </w:tc>
        <w:tc>
          <w:tcPr>
            <w:tcW w:w="360" w:type="dxa"/>
            <w:noWrap/>
            <w:tcMar>
              <w:top w:w="0" w:type="dxa"/>
              <w:left w:w="0" w:type="dxa"/>
              <w:bottom w:w="0" w:type="dxa"/>
              <w:right w:w="0" w:type="dxa"/>
            </w:tcMar>
            <w:hideMark/>
          </w:tcPr>
          <w:p w14:paraId="06CA06BE"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F71545C" w14:textId="77777777" w:rsidR="00000000" w:rsidRDefault="001F1B20">
            <w:pPr>
              <w:spacing w:after="200"/>
              <w:rPr>
                <w:rFonts w:eastAsia="Times New Roman"/>
                <w:sz w:val="20"/>
                <w:szCs w:val="20"/>
              </w:rPr>
            </w:pPr>
            <w:r>
              <w:rPr>
                <w:rFonts w:eastAsia="Times New Roman"/>
                <w:sz w:val="20"/>
                <w:szCs w:val="20"/>
              </w:rPr>
              <w:t>low public market trading volumes for our ordinary shares related in part to the concentration of ownership of our shares;</w:t>
            </w:r>
          </w:p>
        </w:tc>
      </w:tr>
    </w:tbl>
    <w:p w14:paraId="58973057"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5F475214" w14:textId="77777777">
        <w:trPr>
          <w:divId w:val="1138719875"/>
        </w:trPr>
        <w:tc>
          <w:tcPr>
            <w:tcW w:w="720" w:type="dxa"/>
            <w:vAlign w:val="center"/>
            <w:hideMark/>
          </w:tcPr>
          <w:p w14:paraId="3B264F79" w14:textId="77777777" w:rsidR="00000000" w:rsidRDefault="001F1B20">
            <w:pPr>
              <w:rPr>
                <w:rFonts w:eastAsia="Times New Roman"/>
              </w:rPr>
            </w:pPr>
          </w:p>
        </w:tc>
        <w:tc>
          <w:tcPr>
            <w:tcW w:w="360" w:type="dxa"/>
            <w:noWrap/>
            <w:tcMar>
              <w:top w:w="0" w:type="dxa"/>
              <w:left w:w="0" w:type="dxa"/>
              <w:bottom w:w="0" w:type="dxa"/>
              <w:right w:w="0" w:type="dxa"/>
            </w:tcMar>
            <w:hideMark/>
          </w:tcPr>
          <w:p w14:paraId="47C3B4F1"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A014F2D" w14:textId="77777777" w:rsidR="00000000" w:rsidRDefault="001F1B20">
            <w:pPr>
              <w:spacing w:after="200"/>
              <w:rPr>
                <w:rFonts w:eastAsia="Times New Roman"/>
                <w:sz w:val="20"/>
                <w:szCs w:val="20"/>
              </w:rPr>
            </w:pPr>
            <w:r>
              <w:rPr>
                <w:rFonts w:eastAsia="Times New Roman"/>
                <w:sz w:val="20"/>
                <w:szCs w:val="20"/>
              </w:rPr>
              <w:t>the sale of large concentrations of our shares, which may be more likely to occur due to the concentration of ownership of our s</w:t>
            </w:r>
            <w:r>
              <w:rPr>
                <w:rFonts w:eastAsia="Times New Roman"/>
                <w:sz w:val="20"/>
                <w:szCs w:val="20"/>
              </w:rPr>
              <w:t>hares, such as what we experienced when our largest shareholder, Woodford Investment Management Limited, divested its holdings in 2019 or which may occur as a result of the exchangeable note offering by GSK if holders of the GSK Notes were to exchange thei</w:t>
            </w:r>
            <w:r>
              <w:rPr>
                <w:rFonts w:eastAsia="Times New Roman"/>
                <w:sz w:val="20"/>
                <w:szCs w:val="20"/>
              </w:rPr>
              <w:t>r notes for our ordinary shares;</w:t>
            </w:r>
          </w:p>
        </w:tc>
      </w:tr>
    </w:tbl>
    <w:p w14:paraId="4E24B636"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CF3DBD6" w14:textId="77777777">
        <w:trPr>
          <w:divId w:val="1138719875"/>
        </w:trPr>
        <w:tc>
          <w:tcPr>
            <w:tcW w:w="720" w:type="dxa"/>
            <w:vAlign w:val="center"/>
            <w:hideMark/>
          </w:tcPr>
          <w:p w14:paraId="716F1380" w14:textId="77777777" w:rsidR="00000000" w:rsidRDefault="001F1B20">
            <w:pPr>
              <w:rPr>
                <w:rFonts w:eastAsia="Times New Roman"/>
              </w:rPr>
            </w:pPr>
          </w:p>
        </w:tc>
        <w:tc>
          <w:tcPr>
            <w:tcW w:w="360" w:type="dxa"/>
            <w:noWrap/>
            <w:tcMar>
              <w:top w:w="0" w:type="dxa"/>
              <w:left w:w="0" w:type="dxa"/>
              <w:bottom w:w="0" w:type="dxa"/>
              <w:right w:w="0" w:type="dxa"/>
            </w:tcMar>
            <w:hideMark/>
          </w:tcPr>
          <w:p w14:paraId="4D4C0631"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89666D4" w14:textId="77777777" w:rsidR="00000000" w:rsidRDefault="001F1B20">
            <w:pPr>
              <w:spacing w:after="200"/>
              <w:rPr>
                <w:rFonts w:eastAsia="Times New Roman"/>
                <w:sz w:val="20"/>
                <w:szCs w:val="20"/>
              </w:rPr>
            </w:pPr>
            <w:r>
              <w:rPr>
                <w:rFonts w:eastAsia="Times New Roman"/>
                <w:sz w:val="20"/>
                <w:szCs w:val="20"/>
              </w:rPr>
              <w:t>developments or disputes as to patent or other proprietary rights;</w:t>
            </w:r>
          </w:p>
        </w:tc>
      </w:tr>
    </w:tbl>
    <w:p w14:paraId="72456E4A"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205107B" w14:textId="77777777">
        <w:trPr>
          <w:divId w:val="1138719875"/>
        </w:trPr>
        <w:tc>
          <w:tcPr>
            <w:tcW w:w="720" w:type="dxa"/>
            <w:vAlign w:val="center"/>
            <w:hideMark/>
          </w:tcPr>
          <w:p w14:paraId="6CA50D02" w14:textId="77777777" w:rsidR="00000000" w:rsidRDefault="001F1B20">
            <w:pPr>
              <w:rPr>
                <w:rFonts w:eastAsia="Times New Roman"/>
              </w:rPr>
            </w:pPr>
          </w:p>
        </w:tc>
        <w:tc>
          <w:tcPr>
            <w:tcW w:w="360" w:type="dxa"/>
            <w:noWrap/>
            <w:tcMar>
              <w:top w:w="0" w:type="dxa"/>
              <w:left w:w="0" w:type="dxa"/>
              <w:bottom w:w="0" w:type="dxa"/>
              <w:right w:w="0" w:type="dxa"/>
            </w:tcMar>
            <w:hideMark/>
          </w:tcPr>
          <w:p w14:paraId="12F0F6F2"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13E6713" w14:textId="77777777" w:rsidR="00000000" w:rsidRDefault="001F1B20">
            <w:pPr>
              <w:spacing w:after="200"/>
              <w:rPr>
                <w:rFonts w:eastAsia="Times New Roman"/>
                <w:sz w:val="20"/>
                <w:szCs w:val="20"/>
              </w:rPr>
            </w:pPr>
            <w:r>
              <w:rPr>
                <w:rFonts w:eastAsia="Times New Roman"/>
                <w:sz w:val="20"/>
                <w:szCs w:val="20"/>
              </w:rPr>
              <w:t>approval or introduction of competing products and technologies;</w:t>
            </w:r>
          </w:p>
        </w:tc>
      </w:tr>
    </w:tbl>
    <w:p w14:paraId="67560A95"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462A356" w14:textId="77777777">
        <w:trPr>
          <w:divId w:val="1138719875"/>
        </w:trPr>
        <w:tc>
          <w:tcPr>
            <w:tcW w:w="720" w:type="dxa"/>
            <w:vAlign w:val="center"/>
            <w:hideMark/>
          </w:tcPr>
          <w:p w14:paraId="6AE0F667" w14:textId="77777777" w:rsidR="00000000" w:rsidRDefault="001F1B20">
            <w:pPr>
              <w:rPr>
                <w:rFonts w:eastAsia="Times New Roman"/>
              </w:rPr>
            </w:pPr>
          </w:p>
        </w:tc>
        <w:tc>
          <w:tcPr>
            <w:tcW w:w="360" w:type="dxa"/>
            <w:noWrap/>
            <w:tcMar>
              <w:top w:w="0" w:type="dxa"/>
              <w:left w:w="0" w:type="dxa"/>
              <w:bottom w:w="0" w:type="dxa"/>
              <w:right w:w="0" w:type="dxa"/>
            </w:tcMar>
            <w:hideMark/>
          </w:tcPr>
          <w:p w14:paraId="5359CC6C"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7042094" w14:textId="77777777" w:rsidR="00000000" w:rsidRDefault="001F1B20">
            <w:pPr>
              <w:spacing w:after="200"/>
              <w:rPr>
                <w:rFonts w:eastAsia="Times New Roman"/>
                <w:sz w:val="20"/>
                <w:szCs w:val="20"/>
              </w:rPr>
            </w:pPr>
            <w:r>
              <w:rPr>
                <w:rFonts w:eastAsia="Times New Roman"/>
                <w:sz w:val="20"/>
                <w:szCs w:val="20"/>
              </w:rPr>
              <w:t>results of clinical trials;</w:t>
            </w:r>
          </w:p>
        </w:tc>
      </w:tr>
    </w:tbl>
    <w:p w14:paraId="4720DE5A"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75C0DD5" w14:textId="77777777">
        <w:trPr>
          <w:divId w:val="1138719875"/>
        </w:trPr>
        <w:tc>
          <w:tcPr>
            <w:tcW w:w="720" w:type="dxa"/>
            <w:vAlign w:val="center"/>
            <w:hideMark/>
          </w:tcPr>
          <w:p w14:paraId="52FF00CE" w14:textId="77777777" w:rsidR="00000000" w:rsidRDefault="001F1B20">
            <w:pPr>
              <w:rPr>
                <w:rFonts w:eastAsia="Times New Roman"/>
              </w:rPr>
            </w:pPr>
          </w:p>
        </w:tc>
        <w:tc>
          <w:tcPr>
            <w:tcW w:w="360" w:type="dxa"/>
            <w:noWrap/>
            <w:tcMar>
              <w:top w:w="0" w:type="dxa"/>
              <w:left w:w="0" w:type="dxa"/>
              <w:bottom w:w="0" w:type="dxa"/>
              <w:right w:w="0" w:type="dxa"/>
            </w:tcMar>
            <w:hideMark/>
          </w:tcPr>
          <w:p w14:paraId="1BCEBE13"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55E8D35" w14:textId="77777777" w:rsidR="00000000" w:rsidRDefault="001F1B20">
            <w:pPr>
              <w:spacing w:after="200"/>
              <w:rPr>
                <w:rFonts w:eastAsia="Times New Roman"/>
                <w:sz w:val="20"/>
                <w:szCs w:val="20"/>
              </w:rPr>
            </w:pPr>
            <w:r>
              <w:rPr>
                <w:rFonts w:eastAsia="Times New Roman"/>
                <w:sz w:val="20"/>
                <w:szCs w:val="20"/>
              </w:rPr>
              <w:t>failures or unexpected delays in timelines for our potential products in development, including the obtaining of regulatory approvals;</w:t>
            </w:r>
          </w:p>
        </w:tc>
      </w:tr>
    </w:tbl>
    <w:p w14:paraId="218B8D95" w14:textId="77777777" w:rsidR="00000000" w:rsidRDefault="001F1B20">
      <w:pPr>
        <w:divId w:val="11387198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4CB7011" w14:textId="77777777">
        <w:trPr>
          <w:divId w:val="1138719875"/>
        </w:trPr>
        <w:tc>
          <w:tcPr>
            <w:tcW w:w="720" w:type="dxa"/>
            <w:vAlign w:val="center"/>
            <w:hideMark/>
          </w:tcPr>
          <w:p w14:paraId="01C34182" w14:textId="77777777" w:rsidR="00000000" w:rsidRDefault="001F1B20">
            <w:pPr>
              <w:rPr>
                <w:rFonts w:eastAsia="Times New Roman"/>
              </w:rPr>
            </w:pPr>
          </w:p>
        </w:tc>
        <w:tc>
          <w:tcPr>
            <w:tcW w:w="360" w:type="dxa"/>
            <w:noWrap/>
            <w:tcMar>
              <w:top w:w="0" w:type="dxa"/>
              <w:left w:w="0" w:type="dxa"/>
              <w:bottom w:w="0" w:type="dxa"/>
              <w:right w:w="0" w:type="dxa"/>
            </w:tcMar>
            <w:hideMark/>
          </w:tcPr>
          <w:p w14:paraId="3AB4CA6E"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4C6AC43" w14:textId="77777777" w:rsidR="00000000" w:rsidRDefault="001F1B20">
            <w:pPr>
              <w:spacing w:after="200"/>
              <w:rPr>
                <w:rFonts w:eastAsia="Times New Roman"/>
                <w:sz w:val="20"/>
                <w:szCs w:val="20"/>
              </w:rPr>
            </w:pPr>
            <w:r>
              <w:rPr>
                <w:rFonts w:eastAsia="Times New Roman"/>
                <w:sz w:val="20"/>
                <w:szCs w:val="20"/>
              </w:rPr>
              <w:t>delays in manufacturing adversely affecting clinical or commercial operations;</w:t>
            </w:r>
          </w:p>
        </w:tc>
      </w:tr>
    </w:tbl>
    <w:p w14:paraId="5B96FAF7" w14:textId="77777777" w:rsidR="00000000" w:rsidRDefault="001F1B20">
      <w:pPr>
        <w:pStyle w:val="a3"/>
        <w:spacing w:before="360" w:beforeAutospacing="0" w:after="0" w:afterAutospacing="0"/>
        <w:jc w:val="center"/>
        <w:divId w:val="1621645752"/>
        <w:rPr>
          <w:sz w:val="20"/>
          <w:szCs w:val="20"/>
        </w:rPr>
      </w:pPr>
      <w:r>
        <w:rPr>
          <w:sz w:val="20"/>
          <w:szCs w:val="20"/>
        </w:rPr>
        <w:t>71</w:t>
      </w:r>
    </w:p>
    <w:p w14:paraId="4A26B7D0" w14:textId="77777777" w:rsidR="00000000" w:rsidRDefault="001F1B20">
      <w:pPr>
        <w:pStyle w:val="a3"/>
        <w:spacing w:before="0" w:beforeAutospacing="0" w:after="600" w:afterAutospacing="0"/>
        <w:divId w:val="342243552"/>
        <w:rPr>
          <w:sz w:val="20"/>
          <w:szCs w:val="20"/>
        </w:rPr>
      </w:pPr>
      <w:hyperlink w:anchor="TOC" w:history="1">
        <w:r>
          <w:rPr>
            <w:rStyle w:val="a4"/>
            <w:sz w:val="20"/>
            <w:szCs w:val="20"/>
          </w:rPr>
          <w:t>Table o</w:t>
        </w:r>
        <w:r>
          <w:rPr>
            <w:rStyle w:val="a4"/>
            <w:sz w:val="20"/>
            <w:szCs w:val="20"/>
          </w:rPr>
          <w:t>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EE9ED7B" w14:textId="77777777">
        <w:trPr>
          <w:divId w:val="166557075"/>
        </w:trPr>
        <w:tc>
          <w:tcPr>
            <w:tcW w:w="720" w:type="dxa"/>
            <w:vAlign w:val="center"/>
            <w:hideMark/>
          </w:tcPr>
          <w:p w14:paraId="4A66777C" w14:textId="77777777" w:rsidR="00000000" w:rsidRDefault="001F1B20">
            <w:pPr>
              <w:rPr>
                <w:sz w:val="20"/>
                <w:szCs w:val="20"/>
              </w:rPr>
            </w:pPr>
          </w:p>
        </w:tc>
        <w:tc>
          <w:tcPr>
            <w:tcW w:w="360" w:type="dxa"/>
            <w:noWrap/>
            <w:tcMar>
              <w:top w:w="0" w:type="dxa"/>
              <w:left w:w="0" w:type="dxa"/>
              <w:bottom w:w="0" w:type="dxa"/>
              <w:right w:w="0" w:type="dxa"/>
            </w:tcMar>
            <w:hideMark/>
          </w:tcPr>
          <w:p w14:paraId="5802B07A"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A392FC1" w14:textId="77777777" w:rsidR="00000000" w:rsidRDefault="001F1B20">
            <w:pPr>
              <w:spacing w:after="200"/>
              <w:rPr>
                <w:rFonts w:eastAsia="Times New Roman"/>
                <w:sz w:val="20"/>
                <w:szCs w:val="20"/>
              </w:rPr>
            </w:pPr>
            <w:r>
              <w:rPr>
                <w:rFonts w:eastAsia="Times New Roman"/>
                <w:sz w:val="20"/>
                <w:szCs w:val="20"/>
              </w:rPr>
              <w:t>fluctuations in our operating results;</w:t>
            </w:r>
          </w:p>
        </w:tc>
      </w:tr>
    </w:tbl>
    <w:p w14:paraId="6F4876F3" w14:textId="77777777" w:rsidR="00000000" w:rsidRDefault="001F1B20">
      <w:pPr>
        <w:divId w:val="1665570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76AC2CB8" w14:textId="77777777">
        <w:trPr>
          <w:divId w:val="166557075"/>
        </w:trPr>
        <w:tc>
          <w:tcPr>
            <w:tcW w:w="720" w:type="dxa"/>
            <w:vAlign w:val="center"/>
            <w:hideMark/>
          </w:tcPr>
          <w:p w14:paraId="4A083E70" w14:textId="77777777" w:rsidR="00000000" w:rsidRDefault="001F1B20">
            <w:pPr>
              <w:rPr>
                <w:rFonts w:eastAsia="Times New Roman"/>
              </w:rPr>
            </w:pPr>
          </w:p>
        </w:tc>
        <w:tc>
          <w:tcPr>
            <w:tcW w:w="360" w:type="dxa"/>
            <w:noWrap/>
            <w:tcMar>
              <w:top w:w="0" w:type="dxa"/>
              <w:left w:w="0" w:type="dxa"/>
              <w:bottom w:w="0" w:type="dxa"/>
              <w:right w:w="0" w:type="dxa"/>
            </w:tcMar>
            <w:hideMark/>
          </w:tcPr>
          <w:p w14:paraId="395039C3"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5C4B6F8" w14:textId="77777777" w:rsidR="00000000" w:rsidRDefault="001F1B20">
            <w:pPr>
              <w:spacing w:after="200"/>
              <w:rPr>
                <w:rFonts w:eastAsia="Times New Roman"/>
                <w:sz w:val="20"/>
                <w:szCs w:val="20"/>
              </w:rPr>
            </w:pPr>
            <w:r>
              <w:rPr>
                <w:rFonts w:eastAsia="Times New Roman"/>
                <w:sz w:val="20"/>
                <w:szCs w:val="20"/>
              </w:rPr>
              <w:t>market reaction to announcements by other biotechnology or pharmaceutical companies;</w:t>
            </w:r>
          </w:p>
        </w:tc>
      </w:tr>
    </w:tbl>
    <w:p w14:paraId="463C8CE0" w14:textId="77777777" w:rsidR="00000000" w:rsidRDefault="001F1B20">
      <w:pPr>
        <w:divId w:val="1665570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3332634" w14:textId="77777777">
        <w:trPr>
          <w:divId w:val="166557075"/>
        </w:trPr>
        <w:tc>
          <w:tcPr>
            <w:tcW w:w="720" w:type="dxa"/>
            <w:vAlign w:val="center"/>
            <w:hideMark/>
          </w:tcPr>
          <w:p w14:paraId="1BF534EF" w14:textId="77777777" w:rsidR="00000000" w:rsidRDefault="001F1B20">
            <w:pPr>
              <w:rPr>
                <w:rFonts w:eastAsia="Times New Roman"/>
              </w:rPr>
            </w:pPr>
          </w:p>
        </w:tc>
        <w:tc>
          <w:tcPr>
            <w:tcW w:w="360" w:type="dxa"/>
            <w:noWrap/>
            <w:tcMar>
              <w:top w:w="0" w:type="dxa"/>
              <w:left w:w="0" w:type="dxa"/>
              <w:bottom w:w="0" w:type="dxa"/>
              <w:right w:w="0" w:type="dxa"/>
            </w:tcMar>
            <w:hideMark/>
          </w:tcPr>
          <w:p w14:paraId="28FC7A36"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8E924BC" w14:textId="77777777" w:rsidR="00000000" w:rsidRDefault="001F1B20">
            <w:pPr>
              <w:spacing w:after="200"/>
              <w:rPr>
                <w:rFonts w:eastAsia="Times New Roman"/>
                <w:sz w:val="20"/>
                <w:szCs w:val="20"/>
              </w:rPr>
            </w:pPr>
            <w:r>
              <w:rPr>
                <w:rFonts w:eastAsia="Times New Roman"/>
                <w:sz w:val="20"/>
                <w:szCs w:val="20"/>
              </w:rPr>
              <w:t>initiation, termination or modification of agreements with our collaborators or disputes or disagreements with collaborators;</w:t>
            </w:r>
          </w:p>
        </w:tc>
      </w:tr>
    </w:tbl>
    <w:p w14:paraId="7C4D4D90" w14:textId="77777777" w:rsidR="00000000" w:rsidRDefault="001F1B20">
      <w:pPr>
        <w:divId w:val="1665570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0683C321" w14:textId="77777777">
        <w:trPr>
          <w:divId w:val="166557075"/>
        </w:trPr>
        <w:tc>
          <w:tcPr>
            <w:tcW w:w="720" w:type="dxa"/>
            <w:vAlign w:val="center"/>
            <w:hideMark/>
          </w:tcPr>
          <w:p w14:paraId="3CA581C0" w14:textId="77777777" w:rsidR="00000000" w:rsidRDefault="001F1B20">
            <w:pPr>
              <w:rPr>
                <w:rFonts w:eastAsia="Times New Roman"/>
              </w:rPr>
            </w:pPr>
          </w:p>
        </w:tc>
        <w:tc>
          <w:tcPr>
            <w:tcW w:w="360" w:type="dxa"/>
            <w:noWrap/>
            <w:tcMar>
              <w:top w:w="0" w:type="dxa"/>
              <w:left w:w="0" w:type="dxa"/>
              <w:bottom w:w="0" w:type="dxa"/>
              <w:right w:w="0" w:type="dxa"/>
            </w:tcMar>
            <w:hideMark/>
          </w:tcPr>
          <w:p w14:paraId="346F8714"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59DEC6C" w14:textId="77777777" w:rsidR="00000000" w:rsidRDefault="001F1B20">
            <w:pPr>
              <w:spacing w:after="200"/>
              <w:rPr>
                <w:rFonts w:eastAsia="Times New Roman"/>
                <w:sz w:val="20"/>
                <w:szCs w:val="20"/>
              </w:rPr>
            </w:pPr>
            <w:r>
              <w:rPr>
                <w:rFonts w:eastAsia="Times New Roman"/>
                <w:sz w:val="20"/>
                <w:szCs w:val="20"/>
              </w:rPr>
              <w:t>litigation or the threat of litigation;</w:t>
            </w:r>
          </w:p>
        </w:tc>
      </w:tr>
    </w:tbl>
    <w:p w14:paraId="07E17EF1" w14:textId="77777777" w:rsidR="00000000" w:rsidRDefault="001F1B20">
      <w:pPr>
        <w:divId w:val="1665570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5A04FC5" w14:textId="77777777">
        <w:trPr>
          <w:divId w:val="166557075"/>
        </w:trPr>
        <w:tc>
          <w:tcPr>
            <w:tcW w:w="720" w:type="dxa"/>
            <w:vAlign w:val="center"/>
            <w:hideMark/>
          </w:tcPr>
          <w:p w14:paraId="70CF8EA2" w14:textId="77777777" w:rsidR="00000000" w:rsidRDefault="001F1B20">
            <w:pPr>
              <w:rPr>
                <w:rFonts w:eastAsia="Times New Roman"/>
              </w:rPr>
            </w:pPr>
          </w:p>
        </w:tc>
        <w:tc>
          <w:tcPr>
            <w:tcW w:w="360" w:type="dxa"/>
            <w:noWrap/>
            <w:tcMar>
              <w:top w:w="0" w:type="dxa"/>
              <w:left w:w="0" w:type="dxa"/>
              <w:bottom w:w="0" w:type="dxa"/>
              <w:right w:w="0" w:type="dxa"/>
            </w:tcMar>
            <w:hideMark/>
          </w:tcPr>
          <w:p w14:paraId="659FC7B3"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DBCF8C4" w14:textId="77777777" w:rsidR="00000000" w:rsidRDefault="001F1B20">
            <w:pPr>
              <w:spacing w:after="200"/>
              <w:rPr>
                <w:rFonts w:eastAsia="Times New Roman"/>
                <w:sz w:val="20"/>
                <w:szCs w:val="20"/>
              </w:rPr>
            </w:pPr>
            <w:r>
              <w:rPr>
                <w:rFonts w:eastAsia="Times New Roman"/>
                <w:sz w:val="20"/>
                <w:szCs w:val="20"/>
              </w:rPr>
              <w:t xml:space="preserve">public concern as to the safety of product candidates or medicines developed by </w:t>
            </w:r>
            <w:r>
              <w:rPr>
                <w:rFonts w:eastAsia="Times New Roman"/>
                <w:sz w:val="20"/>
                <w:szCs w:val="20"/>
              </w:rPr>
              <w:t>us; and</w:t>
            </w:r>
          </w:p>
        </w:tc>
      </w:tr>
    </w:tbl>
    <w:p w14:paraId="422106DE" w14:textId="77777777" w:rsidR="00000000" w:rsidRDefault="001F1B20">
      <w:pPr>
        <w:divId w:val="1665570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FFA9EC8" w14:textId="77777777">
        <w:trPr>
          <w:divId w:val="166557075"/>
        </w:trPr>
        <w:tc>
          <w:tcPr>
            <w:tcW w:w="720" w:type="dxa"/>
            <w:vAlign w:val="center"/>
            <w:hideMark/>
          </w:tcPr>
          <w:p w14:paraId="0811455F" w14:textId="77777777" w:rsidR="00000000" w:rsidRDefault="001F1B20">
            <w:pPr>
              <w:rPr>
                <w:rFonts w:eastAsia="Times New Roman"/>
              </w:rPr>
            </w:pPr>
          </w:p>
        </w:tc>
        <w:tc>
          <w:tcPr>
            <w:tcW w:w="360" w:type="dxa"/>
            <w:noWrap/>
            <w:tcMar>
              <w:top w:w="0" w:type="dxa"/>
              <w:left w:w="0" w:type="dxa"/>
              <w:bottom w:w="0" w:type="dxa"/>
              <w:right w:w="0" w:type="dxa"/>
            </w:tcMar>
            <w:hideMark/>
          </w:tcPr>
          <w:p w14:paraId="199F155F"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7039869" w14:textId="77777777" w:rsidR="00000000" w:rsidRDefault="001F1B20">
            <w:pPr>
              <w:rPr>
                <w:rFonts w:eastAsia="Times New Roman"/>
                <w:sz w:val="20"/>
                <w:szCs w:val="20"/>
              </w:rPr>
            </w:pPr>
            <w:r>
              <w:rPr>
                <w:rFonts w:eastAsia="Times New Roman"/>
                <w:sz w:val="20"/>
                <w:szCs w:val="20"/>
              </w:rPr>
              <w:t>comments and expectations of results made by securities analysts or investors.</w:t>
            </w:r>
          </w:p>
        </w:tc>
      </w:tr>
    </w:tbl>
    <w:p w14:paraId="3CAA1FB2" w14:textId="77777777" w:rsidR="00000000" w:rsidRDefault="001F1B20">
      <w:pPr>
        <w:pStyle w:val="a3"/>
        <w:spacing w:before="0" w:beforeAutospacing="0" w:after="200" w:afterAutospacing="0"/>
        <w:ind w:firstLine="720"/>
        <w:divId w:val="166557075"/>
        <w:rPr>
          <w:sz w:val="20"/>
          <w:szCs w:val="20"/>
        </w:rPr>
      </w:pPr>
      <w:r>
        <w:rPr>
          <w:sz w:val="20"/>
          <w:szCs w:val="20"/>
        </w:rPr>
        <w:t>If any of these factors causes us to fail to meet the expectations of securities analysts or investors, or if adverse conditions prevail or are perceived to prevai</w:t>
      </w:r>
      <w:r>
        <w:rPr>
          <w:sz w:val="20"/>
          <w:szCs w:val="20"/>
        </w:rPr>
        <w:t>l with respect to our business, the price of the ordinary shares would likely drop significantly. For example, our stock price dropped significantly when we announced that izencitinib did not meet its primary endpoint in our Phase 2b/3 induction and mainte</w:t>
      </w:r>
      <w:r>
        <w:rPr>
          <w:sz w:val="20"/>
          <w:szCs w:val="20"/>
        </w:rPr>
        <w:t xml:space="preserve">nance study of izencitinib in ulcerative colitis. In addition, though none has been filed to our knowledge, a significant drop in the price of a company’s securities often leads to the filing of securities class action litigation against the company. This </w:t>
      </w:r>
      <w:r>
        <w:rPr>
          <w:sz w:val="20"/>
          <w:szCs w:val="20"/>
        </w:rPr>
        <w:t>type of litigation against us could result in substantial costs and a diversion of management’s attention and resources.</w:t>
      </w:r>
    </w:p>
    <w:p w14:paraId="658EBC9D" w14:textId="77777777" w:rsidR="00000000" w:rsidRDefault="001F1B20">
      <w:pPr>
        <w:pStyle w:val="a3"/>
        <w:spacing w:before="0" w:beforeAutospacing="0" w:after="120" w:afterAutospacing="0"/>
        <w:divId w:val="166557075"/>
        <w:rPr>
          <w:rFonts w:ascii="Times" w:hAnsi="Times"/>
          <w:b/>
          <w:bCs/>
          <w:i/>
          <w:iCs/>
          <w:sz w:val="20"/>
          <w:szCs w:val="20"/>
        </w:rPr>
      </w:pPr>
      <w:r>
        <w:rPr>
          <w:b/>
          <w:bCs/>
          <w:i/>
          <w:iCs/>
          <w:sz w:val="20"/>
          <w:szCs w:val="20"/>
        </w:rPr>
        <w:t xml:space="preserve">Concentration of ownership will limit your ability to influence corporate matters. </w:t>
      </w:r>
    </w:p>
    <w:p w14:paraId="2FE6C1C8" w14:textId="77777777" w:rsidR="00000000" w:rsidRDefault="001F1B20">
      <w:pPr>
        <w:pStyle w:val="a3"/>
        <w:spacing w:before="0" w:beforeAutospacing="0" w:after="200" w:afterAutospacing="0"/>
        <w:ind w:firstLine="720"/>
        <w:divId w:val="166557075"/>
        <w:rPr>
          <w:sz w:val="20"/>
          <w:szCs w:val="20"/>
        </w:rPr>
      </w:pPr>
      <w:r>
        <w:rPr>
          <w:sz w:val="20"/>
          <w:szCs w:val="20"/>
        </w:rPr>
        <w:t>Based on our review of publicly available filings, as of September 30, 2021, our three largest shareholders collectively owned 33.7% of our outstanding ordinary shares. These shareholders could control the outcome of actions taken by us that require shareh</w:t>
      </w:r>
      <w:r>
        <w:rPr>
          <w:sz w:val="20"/>
          <w:szCs w:val="20"/>
        </w:rPr>
        <w:t>older approval, including a transaction in which shareholders might receive a premium over the prevailing market price for their shares.</w:t>
      </w:r>
    </w:p>
    <w:p w14:paraId="42A4DAF7" w14:textId="77777777" w:rsidR="00000000" w:rsidRDefault="001F1B20">
      <w:pPr>
        <w:pStyle w:val="a3"/>
        <w:spacing w:before="0" w:beforeAutospacing="0" w:after="120" w:afterAutospacing="0"/>
        <w:divId w:val="166557075"/>
        <w:rPr>
          <w:sz w:val="20"/>
          <w:szCs w:val="20"/>
        </w:rPr>
      </w:pPr>
      <w:r>
        <w:rPr>
          <w:b/>
          <w:bCs/>
          <w:i/>
          <w:iCs/>
          <w:sz w:val="20"/>
          <w:szCs w:val="20"/>
        </w:rPr>
        <w:t>Certain provisions in our constitutional and other documents may discourage our acquisition by a third-party, which cou</w:t>
      </w:r>
      <w:r>
        <w:rPr>
          <w:b/>
          <w:bCs/>
          <w:i/>
          <w:iCs/>
          <w:sz w:val="20"/>
          <w:szCs w:val="20"/>
        </w:rPr>
        <w:t>ld limit your opportunity to sell shares at a premium.</w:t>
      </w:r>
    </w:p>
    <w:p w14:paraId="4971103E" w14:textId="77777777" w:rsidR="00000000" w:rsidRDefault="001F1B20">
      <w:pPr>
        <w:pStyle w:val="a3"/>
        <w:spacing w:before="0" w:beforeAutospacing="0" w:after="200" w:afterAutospacing="0"/>
        <w:ind w:firstLine="720"/>
        <w:divId w:val="166557075"/>
        <w:rPr>
          <w:sz w:val="20"/>
          <w:szCs w:val="20"/>
        </w:rPr>
      </w:pPr>
      <w:r>
        <w:rPr>
          <w:sz w:val="20"/>
          <w:szCs w:val="20"/>
        </w:rPr>
        <w:t>Our constitutional documents include provisions that could limit the ability of others to acquire control of us, modify our structure or cause us to engage in change-of-control transactions, including,</w:t>
      </w:r>
      <w:r>
        <w:rPr>
          <w:sz w:val="20"/>
          <w:szCs w:val="20"/>
        </w:rPr>
        <w:t xml:space="preserve"> among other things, provisions that: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39CD5537" w14:textId="77777777">
        <w:trPr>
          <w:divId w:val="166557075"/>
        </w:trPr>
        <w:tc>
          <w:tcPr>
            <w:tcW w:w="720" w:type="dxa"/>
            <w:vAlign w:val="center"/>
            <w:hideMark/>
          </w:tcPr>
          <w:p w14:paraId="1189048D" w14:textId="77777777" w:rsidR="00000000" w:rsidRDefault="001F1B20">
            <w:pPr>
              <w:rPr>
                <w:sz w:val="20"/>
                <w:szCs w:val="20"/>
              </w:rPr>
            </w:pPr>
          </w:p>
        </w:tc>
        <w:tc>
          <w:tcPr>
            <w:tcW w:w="360" w:type="dxa"/>
            <w:noWrap/>
            <w:tcMar>
              <w:top w:w="0" w:type="dxa"/>
              <w:left w:w="0" w:type="dxa"/>
              <w:bottom w:w="0" w:type="dxa"/>
              <w:right w:w="0" w:type="dxa"/>
            </w:tcMar>
            <w:hideMark/>
          </w:tcPr>
          <w:p w14:paraId="50804986"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4916B46" w14:textId="77777777" w:rsidR="00000000" w:rsidRDefault="001F1B20">
            <w:pPr>
              <w:spacing w:after="200"/>
              <w:rPr>
                <w:rFonts w:eastAsia="Times New Roman"/>
                <w:sz w:val="20"/>
                <w:szCs w:val="20"/>
              </w:rPr>
            </w:pPr>
            <w:r>
              <w:rPr>
                <w:rFonts w:eastAsia="Times New Roman"/>
                <w:sz w:val="20"/>
                <w:szCs w:val="20"/>
              </w:rPr>
              <w:t>require supermajority shareholder voting to effect certain amendments to our amended and restated memorandum and articles of association;</w:t>
            </w:r>
          </w:p>
        </w:tc>
      </w:tr>
    </w:tbl>
    <w:p w14:paraId="154AF154" w14:textId="77777777" w:rsidR="00000000" w:rsidRDefault="001F1B20">
      <w:pPr>
        <w:divId w:val="1665570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914AF1D" w14:textId="77777777">
        <w:trPr>
          <w:divId w:val="166557075"/>
        </w:trPr>
        <w:tc>
          <w:tcPr>
            <w:tcW w:w="720" w:type="dxa"/>
            <w:vAlign w:val="center"/>
            <w:hideMark/>
          </w:tcPr>
          <w:p w14:paraId="7718EEE4" w14:textId="77777777" w:rsidR="00000000" w:rsidRDefault="001F1B20">
            <w:pPr>
              <w:rPr>
                <w:rFonts w:eastAsia="Times New Roman"/>
              </w:rPr>
            </w:pPr>
          </w:p>
        </w:tc>
        <w:tc>
          <w:tcPr>
            <w:tcW w:w="360" w:type="dxa"/>
            <w:noWrap/>
            <w:tcMar>
              <w:top w:w="0" w:type="dxa"/>
              <w:left w:w="0" w:type="dxa"/>
              <w:bottom w:w="0" w:type="dxa"/>
              <w:right w:w="0" w:type="dxa"/>
            </w:tcMar>
            <w:hideMark/>
          </w:tcPr>
          <w:p w14:paraId="129196B2"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64ED37F" w14:textId="77777777" w:rsidR="00000000" w:rsidRDefault="001F1B20">
            <w:pPr>
              <w:spacing w:after="200"/>
              <w:rPr>
                <w:rFonts w:eastAsia="Times New Roman"/>
                <w:sz w:val="20"/>
                <w:szCs w:val="20"/>
              </w:rPr>
            </w:pPr>
            <w:r>
              <w:rPr>
                <w:rFonts w:eastAsia="Times New Roman"/>
                <w:sz w:val="20"/>
                <w:szCs w:val="20"/>
              </w:rPr>
              <w:t>establish a classified board of directors;</w:t>
            </w:r>
          </w:p>
        </w:tc>
      </w:tr>
    </w:tbl>
    <w:p w14:paraId="398ECEAA" w14:textId="77777777" w:rsidR="00000000" w:rsidRDefault="001F1B20">
      <w:pPr>
        <w:divId w:val="1665570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13563D5" w14:textId="77777777">
        <w:trPr>
          <w:divId w:val="166557075"/>
        </w:trPr>
        <w:tc>
          <w:tcPr>
            <w:tcW w:w="720" w:type="dxa"/>
            <w:vAlign w:val="center"/>
            <w:hideMark/>
          </w:tcPr>
          <w:p w14:paraId="369B3583" w14:textId="77777777" w:rsidR="00000000" w:rsidRDefault="001F1B20">
            <w:pPr>
              <w:rPr>
                <w:rFonts w:eastAsia="Times New Roman"/>
              </w:rPr>
            </w:pPr>
          </w:p>
        </w:tc>
        <w:tc>
          <w:tcPr>
            <w:tcW w:w="360" w:type="dxa"/>
            <w:noWrap/>
            <w:tcMar>
              <w:top w:w="0" w:type="dxa"/>
              <w:left w:w="0" w:type="dxa"/>
              <w:bottom w:w="0" w:type="dxa"/>
              <w:right w:w="0" w:type="dxa"/>
            </w:tcMar>
            <w:hideMark/>
          </w:tcPr>
          <w:p w14:paraId="7B60AFB0"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740EF9E" w14:textId="77777777" w:rsidR="00000000" w:rsidRDefault="001F1B20">
            <w:pPr>
              <w:spacing w:after="200"/>
              <w:rPr>
                <w:rFonts w:eastAsia="Times New Roman"/>
                <w:sz w:val="20"/>
                <w:szCs w:val="20"/>
              </w:rPr>
            </w:pPr>
            <w:r>
              <w:rPr>
                <w:rFonts w:eastAsia="Times New Roman"/>
                <w:sz w:val="20"/>
                <w:szCs w:val="20"/>
              </w:rPr>
              <w:t>restrict our shareholder</w:t>
            </w:r>
            <w:r>
              <w:rPr>
                <w:rFonts w:eastAsia="Times New Roman"/>
                <w:sz w:val="20"/>
                <w:szCs w:val="20"/>
              </w:rPr>
              <w:t>s from calling meetings or acting by written consent in lieu of a meeting;</w:t>
            </w:r>
          </w:p>
        </w:tc>
      </w:tr>
    </w:tbl>
    <w:p w14:paraId="18439748" w14:textId="77777777" w:rsidR="00000000" w:rsidRDefault="001F1B20">
      <w:pPr>
        <w:divId w:val="1665570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4F9CBF80" w14:textId="77777777">
        <w:trPr>
          <w:divId w:val="166557075"/>
        </w:trPr>
        <w:tc>
          <w:tcPr>
            <w:tcW w:w="720" w:type="dxa"/>
            <w:vAlign w:val="center"/>
            <w:hideMark/>
          </w:tcPr>
          <w:p w14:paraId="740F61C5" w14:textId="77777777" w:rsidR="00000000" w:rsidRDefault="001F1B20">
            <w:pPr>
              <w:rPr>
                <w:rFonts w:eastAsia="Times New Roman"/>
              </w:rPr>
            </w:pPr>
          </w:p>
        </w:tc>
        <w:tc>
          <w:tcPr>
            <w:tcW w:w="360" w:type="dxa"/>
            <w:noWrap/>
            <w:tcMar>
              <w:top w:w="0" w:type="dxa"/>
              <w:left w:w="0" w:type="dxa"/>
              <w:bottom w:w="0" w:type="dxa"/>
              <w:right w:w="0" w:type="dxa"/>
            </w:tcMar>
            <w:hideMark/>
          </w:tcPr>
          <w:p w14:paraId="0D26C0C0"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2BD34BB" w14:textId="77777777" w:rsidR="00000000" w:rsidRDefault="001F1B20">
            <w:pPr>
              <w:spacing w:after="200"/>
              <w:rPr>
                <w:rFonts w:eastAsia="Times New Roman"/>
                <w:sz w:val="20"/>
                <w:szCs w:val="20"/>
              </w:rPr>
            </w:pPr>
            <w:r>
              <w:rPr>
                <w:rFonts w:eastAsia="Times New Roman"/>
                <w:sz w:val="20"/>
                <w:szCs w:val="20"/>
              </w:rPr>
              <w:t>limit the ability of our shareholders to propose actions at duly convened meetings; and</w:t>
            </w:r>
          </w:p>
        </w:tc>
      </w:tr>
    </w:tbl>
    <w:p w14:paraId="4B6B7BF9" w14:textId="77777777" w:rsidR="00000000" w:rsidRDefault="001F1B20">
      <w:pPr>
        <w:divId w:val="1665570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9149583" w14:textId="77777777">
        <w:trPr>
          <w:divId w:val="166557075"/>
        </w:trPr>
        <w:tc>
          <w:tcPr>
            <w:tcW w:w="720" w:type="dxa"/>
            <w:vAlign w:val="center"/>
            <w:hideMark/>
          </w:tcPr>
          <w:p w14:paraId="757FDD90" w14:textId="77777777" w:rsidR="00000000" w:rsidRDefault="001F1B20">
            <w:pPr>
              <w:rPr>
                <w:rFonts w:eastAsia="Times New Roman"/>
              </w:rPr>
            </w:pPr>
          </w:p>
        </w:tc>
        <w:tc>
          <w:tcPr>
            <w:tcW w:w="360" w:type="dxa"/>
            <w:noWrap/>
            <w:tcMar>
              <w:top w:w="0" w:type="dxa"/>
              <w:left w:w="0" w:type="dxa"/>
              <w:bottom w:w="0" w:type="dxa"/>
              <w:right w:w="0" w:type="dxa"/>
            </w:tcMar>
            <w:hideMark/>
          </w:tcPr>
          <w:p w14:paraId="4563E2E9"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404D964" w14:textId="77777777" w:rsidR="00000000" w:rsidRDefault="001F1B20">
            <w:pPr>
              <w:rPr>
                <w:rFonts w:eastAsia="Times New Roman"/>
                <w:sz w:val="20"/>
                <w:szCs w:val="20"/>
              </w:rPr>
            </w:pPr>
            <w:r>
              <w:rPr>
                <w:rFonts w:eastAsia="Times New Roman"/>
                <w:sz w:val="20"/>
                <w:szCs w:val="20"/>
              </w:rPr>
              <w:t>authorize our board of directors, without action by our shareholders, to issue preferred shares and additional ordinary shares.</w:t>
            </w:r>
          </w:p>
        </w:tc>
      </w:tr>
    </w:tbl>
    <w:p w14:paraId="55B8A7AB" w14:textId="77777777" w:rsidR="00000000" w:rsidRDefault="001F1B20">
      <w:pPr>
        <w:pStyle w:val="a3"/>
        <w:spacing w:before="0" w:beforeAutospacing="0" w:after="200" w:afterAutospacing="0"/>
        <w:ind w:firstLine="720"/>
        <w:divId w:val="166557075"/>
        <w:rPr>
          <w:sz w:val="20"/>
          <w:szCs w:val="20"/>
        </w:rPr>
      </w:pPr>
      <w:r>
        <w:rPr>
          <w:sz w:val="20"/>
          <w:szCs w:val="20"/>
        </w:rPr>
        <w:t>In addition, in May 2018, our shareholders approved a resolution authorizing our board of directors to adopt a shareholder righ</w:t>
      </w:r>
      <w:r>
        <w:rPr>
          <w:sz w:val="20"/>
          <w:szCs w:val="20"/>
        </w:rPr>
        <w:t>ts plan in the future intended to deter any person from acquiring more than 19.9% of our outstanding ordinary shares without the approval of our board of directors.</w:t>
      </w:r>
    </w:p>
    <w:p w14:paraId="2805263C" w14:textId="77777777" w:rsidR="00000000" w:rsidRDefault="001F1B20">
      <w:pPr>
        <w:pStyle w:val="a3"/>
        <w:spacing w:before="0" w:beforeAutospacing="0" w:after="200" w:afterAutospacing="0"/>
        <w:ind w:firstLine="720"/>
        <w:divId w:val="166557075"/>
        <w:rPr>
          <w:sz w:val="20"/>
          <w:szCs w:val="20"/>
        </w:rPr>
      </w:pPr>
      <w:r>
        <w:rPr>
          <w:sz w:val="20"/>
          <w:szCs w:val="20"/>
        </w:rPr>
        <w:t>These provisions could have the effect of depriving you of an opportunity to sell your ordi</w:t>
      </w:r>
      <w:r>
        <w:rPr>
          <w:sz w:val="20"/>
          <w:szCs w:val="20"/>
        </w:rPr>
        <w:t>nary shares at a premium over prevailing market prices by discouraging third parties from seeking to acquire control of us in a tender offer or similar transaction.</w:t>
      </w:r>
    </w:p>
    <w:p w14:paraId="6898A0D7" w14:textId="77777777" w:rsidR="00000000" w:rsidRDefault="001F1B20">
      <w:pPr>
        <w:pStyle w:val="a3"/>
        <w:spacing w:before="360" w:beforeAutospacing="0" w:after="0" w:afterAutospacing="0"/>
        <w:jc w:val="center"/>
        <w:divId w:val="806623458"/>
        <w:rPr>
          <w:sz w:val="20"/>
          <w:szCs w:val="20"/>
        </w:rPr>
      </w:pPr>
      <w:r>
        <w:rPr>
          <w:sz w:val="20"/>
          <w:szCs w:val="20"/>
        </w:rPr>
        <w:t>72</w:t>
      </w:r>
    </w:p>
    <w:p w14:paraId="425F382A" w14:textId="77777777" w:rsidR="00000000" w:rsidRDefault="001F1B20">
      <w:pPr>
        <w:pStyle w:val="a3"/>
        <w:spacing w:before="0" w:beforeAutospacing="0" w:after="600" w:afterAutospacing="0"/>
        <w:divId w:val="567351842"/>
        <w:rPr>
          <w:sz w:val="20"/>
          <w:szCs w:val="20"/>
        </w:rPr>
      </w:pPr>
      <w:hyperlink w:anchor="TOC" w:history="1">
        <w:r>
          <w:rPr>
            <w:rStyle w:val="a4"/>
            <w:sz w:val="20"/>
            <w:szCs w:val="20"/>
          </w:rPr>
          <w:t>Table of Contents</w:t>
        </w:r>
      </w:hyperlink>
    </w:p>
    <w:p w14:paraId="59FA77DA" w14:textId="77777777" w:rsidR="00000000" w:rsidRDefault="001F1B20">
      <w:pPr>
        <w:pStyle w:val="a3"/>
        <w:spacing w:before="0" w:beforeAutospacing="0" w:after="120" w:afterAutospacing="0"/>
        <w:divId w:val="1246378822"/>
        <w:rPr>
          <w:sz w:val="20"/>
          <w:szCs w:val="20"/>
        </w:rPr>
      </w:pPr>
      <w:r>
        <w:rPr>
          <w:b/>
          <w:bCs/>
          <w:i/>
          <w:iCs/>
          <w:sz w:val="20"/>
          <w:szCs w:val="20"/>
        </w:rPr>
        <w:t>Our shareholders may face difficulties in pr</w:t>
      </w:r>
      <w:r>
        <w:rPr>
          <w:b/>
          <w:bCs/>
          <w:i/>
          <w:iCs/>
          <w:sz w:val="20"/>
          <w:szCs w:val="20"/>
        </w:rPr>
        <w:t>otecting their interests because we are incorporated under Cayman Islands law.</w:t>
      </w:r>
    </w:p>
    <w:p w14:paraId="78D4C2CE" w14:textId="77777777" w:rsidR="00000000" w:rsidRDefault="001F1B20">
      <w:pPr>
        <w:pStyle w:val="a3"/>
        <w:spacing w:before="0" w:beforeAutospacing="0" w:after="200" w:afterAutospacing="0"/>
        <w:ind w:firstLine="720"/>
        <w:divId w:val="1246378822"/>
        <w:rPr>
          <w:sz w:val="20"/>
          <w:szCs w:val="20"/>
        </w:rPr>
      </w:pPr>
      <w:r>
        <w:rPr>
          <w:sz w:val="20"/>
          <w:szCs w:val="20"/>
        </w:rPr>
        <w:t>Our corporate affairs are governed by our amended and restated memorandum and articles of association, by the Companies Law (2020 Revision) of the Cayman Islands and by the comm</w:t>
      </w:r>
      <w:r>
        <w:rPr>
          <w:sz w:val="20"/>
          <w:szCs w:val="20"/>
        </w:rPr>
        <w:t>on law of the Cayman Islands. The rights of our shareholders and the fiduciary responsibilities of our directors under the laws of the Cayman Islands are different from those under statutes or judicial precedent in existence in jurisdictions in the US. The</w:t>
      </w:r>
      <w:r>
        <w:rPr>
          <w:sz w:val="20"/>
          <w:szCs w:val="20"/>
        </w:rPr>
        <w:t>refore, you may have more difficulty in protecting your interests than would shareholders of a corporation incorporated in a jurisdiction in the US, due to the different nature of Cayman Islands law in this area.</w:t>
      </w:r>
    </w:p>
    <w:p w14:paraId="15424629" w14:textId="77777777" w:rsidR="00000000" w:rsidRDefault="001F1B20">
      <w:pPr>
        <w:pStyle w:val="a3"/>
        <w:spacing w:before="0" w:beforeAutospacing="0" w:after="200" w:afterAutospacing="0"/>
        <w:ind w:firstLine="720"/>
        <w:divId w:val="1246378822"/>
        <w:rPr>
          <w:sz w:val="20"/>
          <w:szCs w:val="20"/>
        </w:rPr>
      </w:pPr>
      <w:r>
        <w:rPr>
          <w:sz w:val="20"/>
          <w:szCs w:val="20"/>
        </w:rPr>
        <w:t>Shareholders of Cayman Islands exempted com</w:t>
      </w:r>
      <w:r>
        <w:rPr>
          <w:sz w:val="20"/>
          <w:szCs w:val="20"/>
        </w:rPr>
        <w:t>panies such as our company have no general rights under Cayman Islands law to inspect corporate records and accounts or to obtain copies of lists of shareholders. Our directors have discretion under our amended and restated memorandum and articles of assoc</w:t>
      </w:r>
      <w:r>
        <w:rPr>
          <w:sz w:val="20"/>
          <w:szCs w:val="20"/>
        </w:rPr>
        <w:t>iation to determine whether or not, and under what conditions, our corporate records may be inspected by our shareholders, but are not obliged to make them available to our shareholders. This may make it more difficult for you to obtain the information nee</w:t>
      </w:r>
      <w:r>
        <w:rPr>
          <w:sz w:val="20"/>
          <w:szCs w:val="20"/>
        </w:rPr>
        <w:t>ded to establish any facts necessary for a shareholder motion or to solicit proxies from other shareholders in connection with a proxy contest.</w:t>
      </w:r>
    </w:p>
    <w:p w14:paraId="2A8A46F9" w14:textId="77777777" w:rsidR="00000000" w:rsidRDefault="001F1B20">
      <w:pPr>
        <w:pStyle w:val="a3"/>
        <w:spacing w:before="0" w:beforeAutospacing="0" w:after="200" w:afterAutospacing="0"/>
        <w:ind w:firstLine="720"/>
        <w:divId w:val="1246378822"/>
        <w:rPr>
          <w:sz w:val="20"/>
          <w:szCs w:val="20"/>
        </w:rPr>
      </w:pPr>
      <w:r>
        <w:rPr>
          <w:sz w:val="20"/>
          <w:szCs w:val="20"/>
        </w:rPr>
        <w:t xml:space="preserve">Our Cayman Islands counsel, Maples and Calder, is not aware of any reported class action having been brought in </w:t>
      </w:r>
      <w:r>
        <w:rPr>
          <w:sz w:val="20"/>
          <w:szCs w:val="20"/>
        </w:rPr>
        <w:t>a Cayman Islands court. Derivative actions have been brought in the Cayman Islands courts, and the Cayman Islands courts have confirmed the availability for such actions. In most cases, the Company will be the proper plaintiff in any claim based on a breac</w:t>
      </w:r>
      <w:r>
        <w:rPr>
          <w:sz w:val="20"/>
          <w:szCs w:val="20"/>
        </w:rPr>
        <w:t xml:space="preserve">h of duty owed to it, and a claim against (for example) our officers or directors usually may not be brought by a shareholder. However, based on English authorities, which would in all likelihood be of persuasive authority and be applied by a court in the </w:t>
      </w:r>
      <w:r>
        <w:rPr>
          <w:sz w:val="20"/>
          <w:szCs w:val="20"/>
        </w:rPr>
        <w:t>Cayman Islands, exceptions to the foregoing principle apply in circumstances in which:</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15EEB636" w14:textId="77777777">
        <w:trPr>
          <w:divId w:val="1246378822"/>
        </w:trPr>
        <w:tc>
          <w:tcPr>
            <w:tcW w:w="720" w:type="dxa"/>
            <w:vAlign w:val="center"/>
            <w:hideMark/>
          </w:tcPr>
          <w:p w14:paraId="15D17B27" w14:textId="77777777" w:rsidR="00000000" w:rsidRDefault="001F1B20">
            <w:pPr>
              <w:rPr>
                <w:sz w:val="20"/>
                <w:szCs w:val="20"/>
              </w:rPr>
            </w:pPr>
          </w:p>
        </w:tc>
        <w:tc>
          <w:tcPr>
            <w:tcW w:w="360" w:type="dxa"/>
            <w:noWrap/>
            <w:tcMar>
              <w:top w:w="0" w:type="dxa"/>
              <w:left w:w="0" w:type="dxa"/>
              <w:bottom w:w="0" w:type="dxa"/>
              <w:right w:w="0" w:type="dxa"/>
            </w:tcMar>
            <w:hideMark/>
          </w:tcPr>
          <w:p w14:paraId="206E3F97"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08A5514" w14:textId="77777777" w:rsidR="00000000" w:rsidRDefault="001F1B20">
            <w:pPr>
              <w:spacing w:after="200"/>
              <w:rPr>
                <w:rFonts w:eastAsia="Times New Roman"/>
                <w:sz w:val="20"/>
                <w:szCs w:val="20"/>
              </w:rPr>
            </w:pPr>
            <w:r>
              <w:rPr>
                <w:rFonts w:eastAsia="Times New Roman"/>
                <w:sz w:val="20"/>
                <w:szCs w:val="20"/>
              </w:rPr>
              <w:t>a company is acting, or proposing to act, illegally or beyond the scope of its authority;</w:t>
            </w:r>
          </w:p>
        </w:tc>
      </w:tr>
    </w:tbl>
    <w:p w14:paraId="01D0F636" w14:textId="77777777" w:rsidR="00000000" w:rsidRDefault="001F1B20">
      <w:pPr>
        <w:divId w:val="12463788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2410F52A" w14:textId="77777777">
        <w:trPr>
          <w:divId w:val="1246378822"/>
        </w:trPr>
        <w:tc>
          <w:tcPr>
            <w:tcW w:w="720" w:type="dxa"/>
            <w:vAlign w:val="center"/>
            <w:hideMark/>
          </w:tcPr>
          <w:p w14:paraId="488218C2" w14:textId="77777777" w:rsidR="00000000" w:rsidRDefault="001F1B20">
            <w:pPr>
              <w:rPr>
                <w:rFonts w:eastAsia="Times New Roman"/>
              </w:rPr>
            </w:pPr>
          </w:p>
        </w:tc>
        <w:tc>
          <w:tcPr>
            <w:tcW w:w="360" w:type="dxa"/>
            <w:noWrap/>
            <w:tcMar>
              <w:top w:w="0" w:type="dxa"/>
              <w:left w:w="0" w:type="dxa"/>
              <w:bottom w:w="0" w:type="dxa"/>
              <w:right w:w="0" w:type="dxa"/>
            </w:tcMar>
            <w:hideMark/>
          </w:tcPr>
          <w:p w14:paraId="41FCAB96" w14:textId="77777777" w:rsidR="00000000" w:rsidRDefault="001F1B20">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54F738F" w14:textId="77777777" w:rsidR="00000000" w:rsidRDefault="001F1B20">
            <w:pPr>
              <w:spacing w:after="200"/>
              <w:rPr>
                <w:rFonts w:eastAsia="Times New Roman"/>
                <w:sz w:val="20"/>
                <w:szCs w:val="20"/>
              </w:rPr>
            </w:pPr>
            <w:r>
              <w:rPr>
                <w:rFonts w:eastAsia="Times New Roman"/>
                <w:sz w:val="20"/>
                <w:szCs w:val="20"/>
              </w:rPr>
              <w:t>the act complained of, although not beyond the scope of the authority, could be effected if duly authorized by more than the number of votes which have actually been obtained; or</w:t>
            </w:r>
          </w:p>
        </w:tc>
      </w:tr>
    </w:tbl>
    <w:p w14:paraId="399A1949" w14:textId="77777777" w:rsidR="00000000" w:rsidRDefault="001F1B20">
      <w:pPr>
        <w:divId w:val="12463788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14:paraId="66B19C02" w14:textId="77777777">
        <w:trPr>
          <w:divId w:val="1246378822"/>
        </w:trPr>
        <w:tc>
          <w:tcPr>
            <w:tcW w:w="720" w:type="dxa"/>
            <w:vAlign w:val="center"/>
            <w:hideMark/>
          </w:tcPr>
          <w:p w14:paraId="67C8D4DE" w14:textId="77777777" w:rsidR="00000000" w:rsidRDefault="001F1B20">
            <w:pPr>
              <w:rPr>
                <w:rFonts w:eastAsia="Times New Roman"/>
              </w:rPr>
            </w:pPr>
          </w:p>
        </w:tc>
        <w:tc>
          <w:tcPr>
            <w:tcW w:w="360" w:type="dxa"/>
            <w:noWrap/>
            <w:tcMar>
              <w:top w:w="0" w:type="dxa"/>
              <w:left w:w="0" w:type="dxa"/>
              <w:bottom w:w="0" w:type="dxa"/>
              <w:right w:w="0" w:type="dxa"/>
            </w:tcMar>
            <w:hideMark/>
          </w:tcPr>
          <w:p w14:paraId="1E9B3034" w14:textId="77777777" w:rsidR="00000000" w:rsidRDefault="001F1B2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294EF6A" w14:textId="77777777" w:rsidR="00000000" w:rsidRDefault="001F1B20">
            <w:pPr>
              <w:rPr>
                <w:rFonts w:eastAsia="Times New Roman"/>
                <w:sz w:val="20"/>
                <w:szCs w:val="20"/>
              </w:rPr>
            </w:pPr>
            <w:r>
              <w:rPr>
                <w:rFonts w:eastAsia="Times New Roman"/>
                <w:sz w:val="20"/>
                <w:szCs w:val="20"/>
              </w:rPr>
              <w:t>those who control the company are perpetrating a “fraud on the minority.</w:t>
            </w:r>
            <w:r>
              <w:rPr>
                <w:rFonts w:eastAsia="Times New Roman"/>
                <w:sz w:val="20"/>
                <w:szCs w:val="20"/>
              </w:rPr>
              <w:t>”</w:t>
            </w:r>
          </w:p>
        </w:tc>
      </w:tr>
    </w:tbl>
    <w:p w14:paraId="46BAE526" w14:textId="77777777" w:rsidR="00000000" w:rsidRDefault="001F1B20">
      <w:pPr>
        <w:pStyle w:val="a3"/>
        <w:spacing w:before="0" w:beforeAutospacing="0" w:after="200" w:afterAutospacing="0"/>
        <w:ind w:firstLine="720"/>
        <w:divId w:val="1246378822"/>
        <w:rPr>
          <w:sz w:val="20"/>
          <w:szCs w:val="20"/>
        </w:rPr>
      </w:pPr>
      <w:r>
        <w:rPr>
          <w:sz w:val="20"/>
          <w:szCs w:val="20"/>
        </w:rPr>
        <w:t>A shareholder may have a direct right of action against the company where the individual rights of that shareholder have been infringed or are about to be infringed.</w:t>
      </w:r>
    </w:p>
    <w:p w14:paraId="0AF5B647" w14:textId="77777777" w:rsidR="00000000" w:rsidRDefault="001F1B20">
      <w:pPr>
        <w:pStyle w:val="a3"/>
        <w:spacing w:before="0" w:beforeAutospacing="0" w:after="120" w:afterAutospacing="0"/>
        <w:divId w:val="1246378822"/>
        <w:rPr>
          <w:sz w:val="20"/>
          <w:szCs w:val="20"/>
        </w:rPr>
      </w:pPr>
      <w:r>
        <w:rPr>
          <w:b/>
          <w:bCs/>
          <w:i/>
          <w:iCs/>
          <w:sz w:val="20"/>
          <w:szCs w:val="20"/>
        </w:rPr>
        <w:t>There is uncertainty as to shareholders’ ability to enforce certain foreign civil liabi</w:t>
      </w:r>
      <w:r>
        <w:rPr>
          <w:b/>
          <w:bCs/>
          <w:i/>
          <w:iCs/>
          <w:sz w:val="20"/>
          <w:szCs w:val="20"/>
        </w:rPr>
        <w:t>lities in the Cayman Islands.</w:t>
      </w:r>
    </w:p>
    <w:p w14:paraId="0F5E829C" w14:textId="77777777" w:rsidR="00000000" w:rsidRDefault="001F1B20">
      <w:pPr>
        <w:pStyle w:val="a3"/>
        <w:spacing w:before="0" w:beforeAutospacing="0" w:after="200" w:afterAutospacing="0"/>
        <w:ind w:firstLine="720"/>
        <w:divId w:val="1246378822"/>
        <w:rPr>
          <w:sz w:val="20"/>
          <w:szCs w:val="20"/>
        </w:rPr>
      </w:pPr>
      <w:r>
        <w:rPr>
          <w:sz w:val="20"/>
          <w:szCs w:val="20"/>
        </w:rPr>
        <w:t>We are incorporated as an exempted company limited by shares with limited liability under the laws of the Cayman Islands. A material portion of our assets are located outside of the US. As a result, it may be difficult for our</w:t>
      </w:r>
      <w:r>
        <w:rPr>
          <w:sz w:val="20"/>
          <w:szCs w:val="20"/>
        </w:rPr>
        <w:t xml:space="preserve"> shareholders to enforce judgments against us or judgments obtained in US courts predicated upon the civil liability provisions of the federal securities laws of the US or any state of the US.</w:t>
      </w:r>
    </w:p>
    <w:p w14:paraId="37C552B8" w14:textId="77777777" w:rsidR="00000000" w:rsidRDefault="001F1B20">
      <w:pPr>
        <w:pStyle w:val="a3"/>
        <w:spacing w:before="0" w:beforeAutospacing="0" w:after="200" w:afterAutospacing="0"/>
        <w:ind w:firstLine="720"/>
        <w:divId w:val="1246378822"/>
        <w:rPr>
          <w:sz w:val="20"/>
          <w:szCs w:val="20"/>
        </w:rPr>
      </w:pPr>
      <w:r>
        <w:rPr>
          <w:sz w:val="20"/>
          <w:szCs w:val="20"/>
        </w:rPr>
        <w:t>We understand that the courts of the Cayman Islands are unlikel</w:t>
      </w:r>
      <w:r>
        <w:rPr>
          <w:sz w:val="20"/>
          <w:szCs w:val="20"/>
        </w:rPr>
        <w:t>y (i) to recognize or enforce against Theravance Biopharma judgments of courts of the US predicated upon the civil liability provisions of the securities laws of the US or any State; and (ii) in original actions brought in the Cayman Islands, to impose lia</w:t>
      </w:r>
      <w:r>
        <w:rPr>
          <w:sz w:val="20"/>
          <w:szCs w:val="20"/>
        </w:rPr>
        <w:t>bilities against Theravance Biopharma predicated upon the civil liability provisions of the securities laws of the US or any State, on the grounds that such provisions are penal in nature. However, in the case of laws that are not penal in nature, although</w:t>
      </w:r>
      <w:r>
        <w:rPr>
          <w:sz w:val="20"/>
          <w:szCs w:val="20"/>
        </w:rPr>
        <w:t xml:space="preserve"> there is no statutory enforcement in the Cayman Islands of judgments obtained in the US, the courts of the Cayman Islands will recognize and enforce a foreign money judgment of a foreign court of competent jurisdiction without retrial on the merits based </w:t>
      </w:r>
      <w:r>
        <w:rPr>
          <w:sz w:val="20"/>
          <w:szCs w:val="20"/>
        </w:rPr>
        <w:t xml:space="preserve">on the principle that a judgment of a competent foreign court imposes upon the judgment debtor an obligation to pay the sum for which judgment has been given provided certain conditions are met. For a foreign judgment to be enforced in the Cayman Islands, </w:t>
      </w:r>
      <w:r>
        <w:rPr>
          <w:sz w:val="20"/>
          <w:szCs w:val="20"/>
        </w:rPr>
        <w:t xml:space="preserve">such judgment must be final and conclusive and for a liquidated sum, and must not be in respect of taxes or a fine or penalty, inconsistent with a Cayman Islands’ judgment in respect of the same matter, impeachable on the grounds of fraud or obtained in a </w:t>
      </w:r>
      <w:r>
        <w:rPr>
          <w:sz w:val="20"/>
          <w:szCs w:val="20"/>
        </w:rPr>
        <w:t>manner, and or be of a kind the enforcement of which is, contrary to natural justice or the public policy of the Cayman Islands (awards of punitive or multiple damages may well be held to be contrary to public policy). A Cayman Islands court, including the</w:t>
      </w:r>
      <w:r>
        <w:rPr>
          <w:sz w:val="20"/>
          <w:szCs w:val="20"/>
        </w:rPr>
        <w:t xml:space="preserve"> Grand Court of the Cayman Islands, may stay proceedings if concurrent proceedings are being brought elsewhere, which would delay proceedings and make it more difficult for our shareholders to bring action against us.</w:t>
      </w:r>
    </w:p>
    <w:p w14:paraId="28033197" w14:textId="77777777" w:rsidR="00000000" w:rsidRDefault="001F1B20">
      <w:pPr>
        <w:pStyle w:val="a3"/>
        <w:spacing w:before="360" w:beforeAutospacing="0" w:after="0" w:afterAutospacing="0"/>
        <w:jc w:val="center"/>
        <w:divId w:val="93015311"/>
        <w:rPr>
          <w:sz w:val="20"/>
          <w:szCs w:val="20"/>
        </w:rPr>
      </w:pPr>
      <w:r>
        <w:rPr>
          <w:sz w:val="20"/>
          <w:szCs w:val="20"/>
        </w:rPr>
        <w:t>73</w:t>
      </w:r>
    </w:p>
    <w:p w14:paraId="1D92320B" w14:textId="77777777" w:rsidR="00000000" w:rsidRDefault="001F1B20">
      <w:pPr>
        <w:pStyle w:val="a3"/>
        <w:spacing w:before="0" w:beforeAutospacing="0" w:after="600" w:afterAutospacing="0"/>
        <w:divId w:val="2092194334"/>
        <w:rPr>
          <w:sz w:val="20"/>
          <w:szCs w:val="20"/>
        </w:rPr>
      </w:pPr>
      <w:hyperlink w:anchor="TOC" w:history="1">
        <w:r>
          <w:rPr>
            <w:rStyle w:val="a4"/>
            <w:sz w:val="20"/>
            <w:szCs w:val="20"/>
          </w:rPr>
          <w:t>Table of Contents</w:t>
        </w:r>
      </w:hyperlink>
    </w:p>
    <w:p w14:paraId="0C968EB7" w14:textId="77777777" w:rsidR="00000000" w:rsidRDefault="001F1B20">
      <w:pPr>
        <w:pStyle w:val="a3"/>
        <w:spacing w:before="0" w:beforeAutospacing="0" w:after="120" w:afterAutospacing="0"/>
        <w:divId w:val="1142964676"/>
        <w:rPr>
          <w:sz w:val="20"/>
          <w:szCs w:val="20"/>
        </w:rPr>
      </w:pPr>
      <w:r>
        <w:rPr>
          <w:b/>
          <w:bCs/>
          <w:i/>
          <w:iCs/>
          <w:sz w:val="20"/>
          <w:szCs w:val="20"/>
        </w:rPr>
        <w:t>If securities or industry analysts cease coverage of us or do not publish research, or publish inaccurate or unfavorable research, about our business, the price of our ordinary shares and trading volume could decline.</w:t>
      </w:r>
    </w:p>
    <w:p w14:paraId="06EDB73C" w14:textId="77777777" w:rsidR="00000000" w:rsidRDefault="001F1B20">
      <w:pPr>
        <w:pStyle w:val="a3"/>
        <w:spacing w:before="0" w:beforeAutospacing="0" w:after="200" w:afterAutospacing="0"/>
        <w:ind w:firstLine="720"/>
        <w:divId w:val="1142964676"/>
        <w:rPr>
          <w:sz w:val="20"/>
          <w:szCs w:val="20"/>
        </w:rPr>
      </w:pPr>
      <w:r>
        <w:rPr>
          <w:sz w:val="20"/>
          <w:szCs w:val="20"/>
        </w:rPr>
        <w:t>The trading market f</w:t>
      </w:r>
      <w:r>
        <w:rPr>
          <w:sz w:val="20"/>
          <w:szCs w:val="20"/>
        </w:rPr>
        <w:t>or our ordinary shares depends in part on the research and reports that securities or industry analysts publish about us or our business. If few securities analysts commence coverage of us, or if industry analysts cease coverage of us, the trading price fo</w:t>
      </w:r>
      <w:r>
        <w:rPr>
          <w:sz w:val="20"/>
          <w:szCs w:val="20"/>
        </w:rPr>
        <w:t>r our ordinary shares could be negatively affected. If one or more of the analysts who cover us downgrade our ordinary shares or publish inaccurate or unfavorable research about our business or if our results fail to meet the expectations of these analysts</w:t>
      </w:r>
      <w:r>
        <w:rPr>
          <w:sz w:val="20"/>
          <w:szCs w:val="20"/>
        </w:rPr>
        <w:t>, the price of our ordinary shares would likely decline. If one or more of these analysts cease coverage of us or fail to publish reports on us regularly, demand for our ordinary shares could decrease, which might cause our share price and trading volume t</w:t>
      </w:r>
      <w:r>
        <w:rPr>
          <w:sz w:val="20"/>
          <w:szCs w:val="20"/>
        </w:rPr>
        <w:t>o decline.</w:t>
      </w:r>
    </w:p>
    <w:p w14:paraId="689B277A" w14:textId="77777777" w:rsidR="00000000" w:rsidRDefault="001F1B20">
      <w:pPr>
        <w:pStyle w:val="a3"/>
        <w:spacing w:before="0" w:beforeAutospacing="0" w:after="120" w:afterAutospacing="0"/>
        <w:divId w:val="1142964676"/>
        <w:rPr>
          <w:sz w:val="20"/>
          <w:szCs w:val="20"/>
        </w:rPr>
      </w:pPr>
      <w:r>
        <w:rPr>
          <w:b/>
          <w:bCs/>
          <w:i/>
          <w:iCs/>
          <w:sz w:val="20"/>
          <w:szCs w:val="20"/>
        </w:rPr>
        <w:t>We do not anticipate paying any cash dividends on our capital shares in the foreseeable future; as a result, capital appreciation, if any, of our ordinary shares will be your sole source of gain for the foreseeable future.</w:t>
      </w:r>
    </w:p>
    <w:p w14:paraId="23465361" w14:textId="77777777" w:rsidR="00000000" w:rsidRDefault="001F1B20">
      <w:pPr>
        <w:pStyle w:val="a3"/>
        <w:spacing w:before="0" w:beforeAutospacing="0" w:after="120" w:afterAutospacing="0"/>
        <w:ind w:firstLine="720"/>
        <w:divId w:val="1142964676"/>
        <w:rPr>
          <w:sz w:val="20"/>
          <w:szCs w:val="20"/>
        </w:rPr>
      </w:pPr>
      <w:r>
        <w:rPr>
          <w:sz w:val="20"/>
          <w:szCs w:val="20"/>
        </w:rPr>
        <w:t>We have never declared</w:t>
      </w:r>
      <w:r>
        <w:rPr>
          <w:sz w:val="20"/>
          <w:szCs w:val="20"/>
        </w:rPr>
        <w:t xml:space="preserve"> or paid cash dividends on our capital shares. We do not anticipate paying any cash dividends on our capital shares in the foreseeable future. We currently intend to retain all available funds and any future earnings to fund the development and growth of o</w:t>
      </w:r>
      <w:r>
        <w:rPr>
          <w:sz w:val="20"/>
          <w:szCs w:val="20"/>
        </w:rPr>
        <w:t>ur business. In addition, the terms of any future debt financing arrangement may contain terms prohibiting or limiting the amount of dividends that may be declared or paid on our ordinary shares. As a result, capital appreciation, if any, of our ordinary s</w:t>
      </w:r>
      <w:r>
        <w:rPr>
          <w:sz w:val="20"/>
          <w:szCs w:val="20"/>
        </w:rPr>
        <w:t>hares will be your sole source of gain for the foreseeable future.</w:t>
      </w:r>
    </w:p>
    <w:p w14:paraId="5BF984D5" w14:textId="77777777" w:rsidR="00000000" w:rsidRDefault="001F1B20">
      <w:pPr>
        <w:pStyle w:val="a3"/>
        <w:spacing w:before="0" w:beforeAutospacing="0" w:after="0" w:afterAutospacing="0"/>
        <w:divId w:val="1142964676"/>
        <w:rPr>
          <w:sz w:val="20"/>
          <w:szCs w:val="20"/>
        </w:rPr>
      </w:pPr>
      <w:r>
        <w:rPr>
          <w:sz w:val="20"/>
          <w:szCs w:val="20"/>
        </w:rPr>
        <w:t>​</w:t>
      </w:r>
    </w:p>
    <w:p w14:paraId="0E69BBFE" w14:textId="77777777" w:rsidR="00000000" w:rsidRDefault="001F1B20">
      <w:pPr>
        <w:pStyle w:val="a3"/>
        <w:spacing w:before="0" w:beforeAutospacing="0" w:after="0" w:afterAutospacing="0"/>
        <w:divId w:val="1142964676"/>
        <w:rPr>
          <w:sz w:val="20"/>
          <w:szCs w:val="20"/>
        </w:rPr>
      </w:pPr>
      <w:r>
        <w:rPr>
          <w:b/>
          <w:bCs/>
          <w:sz w:val="20"/>
          <w:szCs w:val="20"/>
        </w:rPr>
        <w:t>ITEM 2.   UNREGISTERED SALES OF EQUITY SECURITIES AND USE OF PROCEEDS</w:t>
      </w:r>
    </w:p>
    <w:p w14:paraId="095DC63C" w14:textId="77777777" w:rsidR="00000000" w:rsidRDefault="001F1B20">
      <w:pPr>
        <w:pStyle w:val="a3"/>
        <w:spacing w:before="0" w:beforeAutospacing="0" w:after="0" w:afterAutospacing="0"/>
        <w:divId w:val="1142964676"/>
        <w:rPr>
          <w:sz w:val="20"/>
          <w:szCs w:val="20"/>
        </w:rPr>
      </w:pPr>
      <w:r>
        <w:rPr>
          <w:sz w:val="20"/>
          <w:szCs w:val="20"/>
        </w:rPr>
        <w:t>​</w:t>
      </w:r>
    </w:p>
    <w:p w14:paraId="6D8A9FCB" w14:textId="77777777" w:rsidR="00000000" w:rsidRDefault="001F1B20">
      <w:pPr>
        <w:pStyle w:val="a3"/>
        <w:spacing w:before="0" w:beforeAutospacing="0" w:after="0" w:afterAutospacing="0"/>
        <w:ind w:firstLine="720"/>
        <w:divId w:val="1142964676"/>
        <w:rPr>
          <w:sz w:val="20"/>
          <w:szCs w:val="20"/>
        </w:rPr>
      </w:pPr>
      <w:r>
        <w:rPr>
          <w:sz w:val="20"/>
          <w:szCs w:val="20"/>
        </w:rPr>
        <w:t>None.</w:t>
      </w:r>
    </w:p>
    <w:p w14:paraId="7A213131" w14:textId="77777777" w:rsidR="00000000" w:rsidRDefault="001F1B20">
      <w:pPr>
        <w:pStyle w:val="a3"/>
        <w:spacing w:before="0" w:beforeAutospacing="0" w:after="0" w:afterAutospacing="0"/>
        <w:divId w:val="1142964676"/>
        <w:rPr>
          <w:sz w:val="20"/>
          <w:szCs w:val="20"/>
        </w:rPr>
      </w:pPr>
      <w:r>
        <w:rPr>
          <w:b/>
          <w:bCs/>
          <w:sz w:val="20"/>
          <w:szCs w:val="20"/>
        </w:rPr>
        <w:t>​</w:t>
      </w:r>
    </w:p>
    <w:p w14:paraId="66692E24" w14:textId="77777777" w:rsidR="00000000" w:rsidRDefault="001F1B20">
      <w:pPr>
        <w:pStyle w:val="a3"/>
        <w:spacing w:before="0" w:beforeAutospacing="0" w:after="0" w:afterAutospacing="0"/>
        <w:divId w:val="1142964676"/>
        <w:rPr>
          <w:sz w:val="20"/>
          <w:szCs w:val="20"/>
        </w:rPr>
      </w:pPr>
      <w:r>
        <w:rPr>
          <w:b/>
          <w:bCs/>
          <w:sz w:val="20"/>
          <w:szCs w:val="20"/>
        </w:rPr>
        <w:t>​</w:t>
      </w:r>
    </w:p>
    <w:p w14:paraId="6C1C1954" w14:textId="77777777" w:rsidR="00000000" w:rsidRDefault="001F1B20">
      <w:pPr>
        <w:pStyle w:val="a3"/>
        <w:spacing w:before="360" w:beforeAutospacing="0" w:after="0" w:afterAutospacing="0"/>
        <w:jc w:val="center"/>
        <w:divId w:val="83037572"/>
        <w:rPr>
          <w:sz w:val="20"/>
          <w:szCs w:val="20"/>
        </w:rPr>
      </w:pPr>
      <w:r>
        <w:rPr>
          <w:sz w:val="20"/>
          <w:szCs w:val="20"/>
        </w:rPr>
        <w:t>74</w:t>
      </w:r>
    </w:p>
    <w:p w14:paraId="0D04AE32" w14:textId="77777777" w:rsidR="00000000" w:rsidRDefault="001F1B20">
      <w:pPr>
        <w:pStyle w:val="a3"/>
        <w:spacing w:before="0" w:beforeAutospacing="0" w:after="600" w:afterAutospacing="0"/>
        <w:divId w:val="164784229"/>
        <w:rPr>
          <w:sz w:val="20"/>
          <w:szCs w:val="20"/>
        </w:rPr>
      </w:pPr>
      <w:hyperlink w:anchor="TOC" w:history="1">
        <w:r>
          <w:rPr>
            <w:rStyle w:val="a4"/>
            <w:sz w:val="20"/>
            <w:szCs w:val="20"/>
          </w:rPr>
          <w:t>Table of Contents</w:t>
        </w:r>
      </w:hyperlink>
    </w:p>
    <w:p w14:paraId="079B5F40" w14:textId="77777777" w:rsidR="00000000" w:rsidRDefault="001F1B20">
      <w:pPr>
        <w:pStyle w:val="a3"/>
        <w:spacing w:before="0" w:beforeAutospacing="0" w:after="0" w:afterAutospacing="0"/>
        <w:divId w:val="1477793552"/>
        <w:rPr>
          <w:sz w:val="20"/>
          <w:szCs w:val="20"/>
        </w:rPr>
      </w:pPr>
      <w:r>
        <w:rPr>
          <w:b/>
          <w:bCs/>
          <w:sz w:val="20"/>
          <w:szCs w:val="20"/>
        </w:rPr>
        <w:t>ITEM 6.   EXHIBITS</w:t>
      </w:r>
    </w:p>
    <w:p w14:paraId="6EA1DEBB" w14:textId="77777777" w:rsidR="00000000" w:rsidRDefault="001F1B20">
      <w:pPr>
        <w:pStyle w:val="a3"/>
        <w:spacing w:before="0" w:beforeAutospacing="0" w:after="0" w:afterAutospacing="0"/>
        <w:divId w:val="147779355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
        <w:gridCol w:w="204"/>
        <w:gridCol w:w="3822"/>
        <w:gridCol w:w="204"/>
        <w:gridCol w:w="1027"/>
        <w:gridCol w:w="205"/>
        <w:gridCol w:w="995"/>
        <w:gridCol w:w="205"/>
        <w:gridCol w:w="1068"/>
      </w:tblGrid>
      <w:tr w:rsidR="00000000" w14:paraId="4A9D0C51" w14:textId="77777777">
        <w:trPr>
          <w:divId w:val="1477793552"/>
          <w:trHeight w:val="20"/>
        </w:trPr>
        <w:tc>
          <w:tcPr>
            <w:tcW w:w="349" w:type="pct"/>
            <w:tcMar>
              <w:top w:w="0" w:type="dxa"/>
              <w:left w:w="0" w:type="dxa"/>
              <w:bottom w:w="0" w:type="dxa"/>
              <w:right w:w="0" w:type="dxa"/>
            </w:tcMar>
            <w:vAlign w:val="bottom"/>
            <w:hideMark/>
          </w:tcPr>
          <w:p w14:paraId="52EAACE2" w14:textId="77777777" w:rsidR="00000000" w:rsidRDefault="001F1B20">
            <w:pPr>
              <w:rPr>
                <w:sz w:val="20"/>
                <w:szCs w:val="20"/>
              </w:rPr>
            </w:pPr>
          </w:p>
        </w:tc>
        <w:tc>
          <w:tcPr>
            <w:tcW w:w="125" w:type="pct"/>
            <w:tcMar>
              <w:top w:w="0" w:type="dxa"/>
              <w:left w:w="0" w:type="dxa"/>
              <w:bottom w:w="0" w:type="dxa"/>
              <w:right w:w="0" w:type="dxa"/>
            </w:tcMar>
            <w:vAlign w:val="bottom"/>
            <w:hideMark/>
          </w:tcPr>
          <w:p w14:paraId="0FF74B2C" w14:textId="77777777" w:rsidR="00000000" w:rsidRDefault="001F1B20">
            <w:pPr>
              <w:rPr>
                <w:rFonts w:eastAsia="Times New Roman"/>
                <w:sz w:val="20"/>
                <w:szCs w:val="20"/>
              </w:rPr>
            </w:pPr>
          </w:p>
        </w:tc>
        <w:tc>
          <w:tcPr>
            <w:tcW w:w="2303" w:type="pct"/>
            <w:tcMar>
              <w:top w:w="0" w:type="dxa"/>
              <w:left w:w="0" w:type="dxa"/>
              <w:bottom w:w="0" w:type="dxa"/>
              <w:right w:w="0" w:type="dxa"/>
            </w:tcMar>
            <w:vAlign w:val="bottom"/>
            <w:hideMark/>
          </w:tcPr>
          <w:p w14:paraId="1D0B8E22" w14:textId="77777777" w:rsidR="00000000" w:rsidRDefault="001F1B20">
            <w:pPr>
              <w:rPr>
                <w:rFonts w:eastAsia="Times New Roman"/>
                <w:sz w:val="20"/>
                <w:szCs w:val="20"/>
              </w:rPr>
            </w:pPr>
          </w:p>
        </w:tc>
        <w:tc>
          <w:tcPr>
            <w:tcW w:w="125" w:type="pct"/>
            <w:tcMar>
              <w:top w:w="0" w:type="dxa"/>
              <w:left w:w="0" w:type="dxa"/>
              <w:bottom w:w="0" w:type="dxa"/>
              <w:right w:w="0" w:type="dxa"/>
            </w:tcMar>
            <w:vAlign w:val="bottom"/>
            <w:hideMark/>
          </w:tcPr>
          <w:p w14:paraId="5F587C33" w14:textId="77777777" w:rsidR="00000000" w:rsidRDefault="001F1B20">
            <w:pPr>
              <w:rPr>
                <w:rFonts w:eastAsia="Times New Roman"/>
                <w:sz w:val="20"/>
                <w:szCs w:val="20"/>
              </w:rPr>
            </w:pPr>
          </w:p>
        </w:tc>
        <w:tc>
          <w:tcPr>
            <w:tcW w:w="601" w:type="pct"/>
            <w:tcMar>
              <w:top w:w="0" w:type="dxa"/>
              <w:left w:w="0" w:type="dxa"/>
              <w:bottom w:w="0" w:type="dxa"/>
              <w:right w:w="0" w:type="dxa"/>
            </w:tcMar>
            <w:vAlign w:val="bottom"/>
            <w:hideMark/>
          </w:tcPr>
          <w:p w14:paraId="60A1A62A" w14:textId="77777777" w:rsidR="00000000" w:rsidRDefault="001F1B20">
            <w:pPr>
              <w:rPr>
                <w:rFonts w:eastAsia="Times New Roman"/>
                <w:sz w:val="20"/>
                <w:szCs w:val="20"/>
              </w:rPr>
            </w:pPr>
          </w:p>
        </w:tc>
        <w:tc>
          <w:tcPr>
            <w:tcW w:w="125" w:type="pct"/>
            <w:tcMar>
              <w:top w:w="0" w:type="dxa"/>
              <w:left w:w="0" w:type="dxa"/>
              <w:bottom w:w="0" w:type="dxa"/>
              <w:right w:w="0" w:type="dxa"/>
            </w:tcMar>
            <w:vAlign w:val="bottom"/>
            <w:hideMark/>
          </w:tcPr>
          <w:p w14:paraId="347079D7" w14:textId="77777777" w:rsidR="00000000" w:rsidRDefault="001F1B20">
            <w:pPr>
              <w:rPr>
                <w:rFonts w:eastAsia="Times New Roman"/>
                <w:sz w:val="20"/>
                <w:szCs w:val="20"/>
              </w:rPr>
            </w:pPr>
          </w:p>
        </w:tc>
        <w:tc>
          <w:tcPr>
            <w:tcW w:w="601" w:type="pct"/>
            <w:tcMar>
              <w:top w:w="0" w:type="dxa"/>
              <w:left w:w="0" w:type="dxa"/>
              <w:bottom w:w="0" w:type="dxa"/>
              <w:right w:w="0" w:type="dxa"/>
            </w:tcMar>
            <w:vAlign w:val="bottom"/>
            <w:hideMark/>
          </w:tcPr>
          <w:p w14:paraId="59FF0C1D" w14:textId="77777777" w:rsidR="00000000" w:rsidRDefault="001F1B20">
            <w:pPr>
              <w:rPr>
                <w:rFonts w:eastAsia="Times New Roman"/>
                <w:sz w:val="20"/>
                <w:szCs w:val="20"/>
              </w:rPr>
            </w:pPr>
          </w:p>
        </w:tc>
        <w:tc>
          <w:tcPr>
            <w:tcW w:w="125" w:type="pct"/>
            <w:tcMar>
              <w:top w:w="0" w:type="dxa"/>
              <w:left w:w="0" w:type="dxa"/>
              <w:bottom w:w="0" w:type="dxa"/>
              <w:right w:w="0" w:type="dxa"/>
            </w:tcMar>
            <w:vAlign w:val="bottom"/>
            <w:hideMark/>
          </w:tcPr>
          <w:p w14:paraId="28809AAA" w14:textId="77777777" w:rsidR="00000000" w:rsidRDefault="001F1B20">
            <w:pPr>
              <w:rPr>
                <w:rFonts w:eastAsia="Times New Roman"/>
                <w:sz w:val="20"/>
                <w:szCs w:val="20"/>
              </w:rPr>
            </w:pPr>
          </w:p>
        </w:tc>
        <w:tc>
          <w:tcPr>
            <w:tcW w:w="644" w:type="pct"/>
            <w:tcMar>
              <w:top w:w="0" w:type="dxa"/>
              <w:left w:w="0" w:type="dxa"/>
              <w:bottom w:w="0" w:type="dxa"/>
              <w:right w:w="0" w:type="dxa"/>
            </w:tcMar>
            <w:vAlign w:val="bottom"/>
            <w:hideMark/>
          </w:tcPr>
          <w:p w14:paraId="68BA3556" w14:textId="77777777" w:rsidR="00000000" w:rsidRDefault="001F1B20">
            <w:pPr>
              <w:rPr>
                <w:rFonts w:eastAsia="Times New Roman"/>
                <w:sz w:val="20"/>
                <w:szCs w:val="20"/>
              </w:rPr>
            </w:pPr>
          </w:p>
        </w:tc>
      </w:tr>
      <w:tr w:rsidR="00000000" w14:paraId="466AB517" w14:textId="77777777">
        <w:trPr>
          <w:divId w:val="1477793552"/>
        </w:trPr>
        <w:tc>
          <w:tcPr>
            <w:tcW w:w="349" w:type="pct"/>
            <w:tcMar>
              <w:top w:w="0" w:type="dxa"/>
              <w:left w:w="0" w:type="dxa"/>
              <w:bottom w:w="0" w:type="dxa"/>
              <w:right w:w="0" w:type="dxa"/>
            </w:tcMar>
            <w:vAlign w:val="bottom"/>
            <w:hideMark/>
          </w:tcPr>
          <w:p w14:paraId="05EE64BC" w14:textId="77777777" w:rsidR="00000000" w:rsidRDefault="001F1B20">
            <w:pPr>
              <w:pStyle w:val="a3"/>
              <w:spacing w:before="0" w:beforeAutospacing="0" w:after="0" w:afterAutospacing="0"/>
              <w:rPr>
                <w:sz w:val="20"/>
                <w:szCs w:val="20"/>
              </w:rPr>
            </w:pPr>
            <w:r>
              <w:rPr>
                <w:b/>
                <w:bCs/>
                <w:sz w:val="16"/>
                <w:szCs w:val="16"/>
              </w:rPr>
              <w:t>​</w:t>
            </w:r>
          </w:p>
        </w:tc>
        <w:tc>
          <w:tcPr>
            <w:tcW w:w="125" w:type="pct"/>
            <w:tcMar>
              <w:top w:w="0" w:type="dxa"/>
              <w:left w:w="0" w:type="dxa"/>
              <w:bottom w:w="0" w:type="dxa"/>
              <w:right w:w="0" w:type="dxa"/>
            </w:tcMar>
            <w:vAlign w:val="bottom"/>
            <w:hideMark/>
          </w:tcPr>
          <w:p w14:paraId="259B2397" w14:textId="77777777" w:rsidR="00000000" w:rsidRDefault="001F1B20">
            <w:pPr>
              <w:pStyle w:val="a3"/>
              <w:spacing w:before="0" w:beforeAutospacing="0" w:after="0" w:afterAutospacing="0"/>
              <w:jc w:val="center"/>
              <w:rPr>
                <w:sz w:val="20"/>
                <w:szCs w:val="20"/>
              </w:rPr>
            </w:pPr>
            <w:r>
              <w:rPr>
                <w:b/>
                <w:bCs/>
                <w:sz w:val="16"/>
                <w:szCs w:val="16"/>
              </w:rPr>
              <w:t>​</w:t>
            </w:r>
          </w:p>
        </w:tc>
        <w:tc>
          <w:tcPr>
            <w:tcW w:w="2303" w:type="pct"/>
            <w:tcMar>
              <w:top w:w="0" w:type="dxa"/>
              <w:left w:w="0" w:type="dxa"/>
              <w:bottom w:w="0" w:type="dxa"/>
              <w:right w:w="0" w:type="dxa"/>
            </w:tcMar>
            <w:vAlign w:val="bottom"/>
            <w:hideMark/>
          </w:tcPr>
          <w:p w14:paraId="4BB12089" w14:textId="77777777" w:rsidR="00000000" w:rsidRDefault="001F1B20">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14:paraId="653A08F3" w14:textId="77777777" w:rsidR="00000000" w:rsidRDefault="001F1B20">
            <w:pPr>
              <w:pStyle w:val="a3"/>
              <w:spacing w:before="0" w:beforeAutospacing="0" w:after="0" w:afterAutospacing="0"/>
              <w:jc w:val="center"/>
              <w:rPr>
                <w:sz w:val="20"/>
                <w:szCs w:val="20"/>
              </w:rPr>
            </w:pPr>
            <w:r>
              <w:rPr>
                <w:b/>
                <w:bCs/>
                <w:sz w:val="16"/>
                <w:szCs w:val="16"/>
              </w:rPr>
              <w:t>​</w:t>
            </w:r>
          </w:p>
        </w:tc>
        <w:tc>
          <w:tcPr>
            <w:tcW w:w="601" w:type="pct"/>
            <w:tcMar>
              <w:top w:w="0" w:type="dxa"/>
              <w:left w:w="0" w:type="dxa"/>
              <w:bottom w:w="0" w:type="dxa"/>
              <w:right w:w="0" w:type="dxa"/>
            </w:tcMar>
            <w:vAlign w:val="bottom"/>
            <w:hideMark/>
          </w:tcPr>
          <w:p w14:paraId="7E7642AB" w14:textId="77777777" w:rsidR="00000000" w:rsidRDefault="001F1B20">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14:paraId="19E885A5" w14:textId="77777777" w:rsidR="00000000" w:rsidRDefault="001F1B20">
            <w:pPr>
              <w:pStyle w:val="a3"/>
              <w:spacing w:before="0" w:beforeAutospacing="0" w:after="0" w:afterAutospacing="0"/>
              <w:jc w:val="center"/>
              <w:rPr>
                <w:sz w:val="20"/>
                <w:szCs w:val="20"/>
              </w:rPr>
            </w:pPr>
            <w:r>
              <w:rPr>
                <w:b/>
                <w:bCs/>
                <w:sz w:val="16"/>
                <w:szCs w:val="16"/>
              </w:rPr>
              <w:t>​</w:t>
            </w:r>
          </w:p>
        </w:tc>
        <w:tc>
          <w:tcPr>
            <w:tcW w:w="1371" w:type="pct"/>
            <w:gridSpan w:val="3"/>
            <w:tcBorders>
              <w:bottom w:val="single" w:sz="6" w:space="0" w:color="000000"/>
            </w:tcBorders>
            <w:tcMar>
              <w:top w:w="0" w:type="dxa"/>
              <w:left w:w="0" w:type="dxa"/>
              <w:bottom w:w="0" w:type="dxa"/>
              <w:right w:w="0" w:type="dxa"/>
            </w:tcMar>
            <w:vAlign w:val="bottom"/>
            <w:hideMark/>
          </w:tcPr>
          <w:p w14:paraId="085BD799" w14:textId="77777777" w:rsidR="00000000" w:rsidRDefault="001F1B20">
            <w:pPr>
              <w:pStyle w:val="a3"/>
              <w:spacing w:before="0" w:beforeAutospacing="0" w:after="0" w:afterAutospacing="0"/>
              <w:jc w:val="center"/>
              <w:rPr>
                <w:sz w:val="16"/>
                <w:szCs w:val="16"/>
              </w:rPr>
            </w:pPr>
            <w:r>
              <w:rPr>
                <w:b/>
                <w:bCs/>
                <w:sz w:val="16"/>
                <w:szCs w:val="16"/>
              </w:rPr>
              <w:t>Incorporated by Reference</w:t>
            </w:r>
          </w:p>
        </w:tc>
      </w:tr>
      <w:tr w:rsidR="00000000" w14:paraId="2E421493" w14:textId="77777777">
        <w:trPr>
          <w:divId w:val="1477793552"/>
        </w:trPr>
        <w:tc>
          <w:tcPr>
            <w:tcW w:w="349" w:type="pct"/>
            <w:tcBorders>
              <w:bottom w:val="single" w:sz="6" w:space="0" w:color="000000"/>
            </w:tcBorders>
            <w:tcMar>
              <w:top w:w="0" w:type="dxa"/>
              <w:left w:w="0" w:type="dxa"/>
              <w:bottom w:w="0" w:type="dxa"/>
              <w:right w:w="0" w:type="dxa"/>
            </w:tcMar>
            <w:vAlign w:val="bottom"/>
            <w:hideMark/>
          </w:tcPr>
          <w:p w14:paraId="06B20927" w14:textId="77777777" w:rsidR="00000000" w:rsidRDefault="001F1B20">
            <w:pPr>
              <w:pStyle w:val="a3"/>
              <w:spacing w:before="0" w:beforeAutospacing="0" w:after="0" w:afterAutospacing="0"/>
              <w:jc w:val="center"/>
              <w:rPr>
                <w:sz w:val="16"/>
                <w:szCs w:val="16"/>
              </w:rPr>
            </w:pPr>
            <w:r>
              <w:rPr>
                <w:b/>
                <w:bCs/>
                <w:sz w:val="16"/>
                <w:szCs w:val="16"/>
              </w:rPr>
              <w:t>Exhibit</w:t>
            </w:r>
            <w:r>
              <w:rPr>
                <w:sz w:val="16"/>
                <w:szCs w:val="16"/>
              </w:rPr>
              <w:br/>
            </w:r>
            <w:r>
              <w:rPr>
                <w:b/>
                <w:bCs/>
                <w:sz w:val="16"/>
                <w:szCs w:val="16"/>
              </w:rPr>
              <w:t>Number</w:t>
            </w:r>
          </w:p>
        </w:tc>
        <w:tc>
          <w:tcPr>
            <w:tcW w:w="125" w:type="pct"/>
            <w:tcMar>
              <w:top w:w="0" w:type="dxa"/>
              <w:left w:w="0" w:type="dxa"/>
              <w:bottom w:w="0" w:type="dxa"/>
              <w:right w:w="0" w:type="dxa"/>
            </w:tcMar>
            <w:vAlign w:val="bottom"/>
            <w:hideMark/>
          </w:tcPr>
          <w:p w14:paraId="7715CFD1" w14:textId="77777777" w:rsidR="00000000" w:rsidRDefault="001F1B20">
            <w:pPr>
              <w:pStyle w:val="a3"/>
              <w:spacing w:before="0" w:beforeAutospacing="0" w:after="0" w:afterAutospacing="0"/>
              <w:rPr>
                <w:sz w:val="16"/>
                <w:szCs w:val="16"/>
              </w:rPr>
            </w:pPr>
            <w:r>
              <w:rPr>
                <w:b/>
                <w:bCs/>
                <w:sz w:val="16"/>
                <w:szCs w:val="16"/>
              </w:rPr>
              <w:t>    </w:t>
            </w:r>
          </w:p>
        </w:tc>
        <w:tc>
          <w:tcPr>
            <w:tcW w:w="2303" w:type="pct"/>
            <w:tcBorders>
              <w:bottom w:val="single" w:sz="6" w:space="0" w:color="000000"/>
            </w:tcBorders>
            <w:tcMar>
              <w:top w:w="0" w:type="dxa"/>
              <w:left w:w="0" w:type="dxa"/>
              <w:bottom w:w="0" w:type="dxa"/>
              <w:right w:w="0" w:type="dxa"/>
            </w:tcMar>
            <w:vAlign w:val="bottom"/>
            <w:hideMark/>
          </w:tcPr>
          <w:p w14:paraId="1AD27D0A" w14:textId="77777777" w:rsidR="00000000" w:rsidRDefault="001F1B20">
            <w:pPr>
              <w:pStyle w:val="a3"/>
              <w:spacing w:before="0" w:beforeAutospacing="0" w:after="0" w:afterAutospacing="0"/>
              <w:jc w:val="center"/>
              <w:rPr>
                <w:sz w:val="16"/>
                <w:szCs w:val="16"/>
              </w:rPr>
            </w:pPr>
            <w:r>
              <w:rPr>
                <w:b/>
                <w:bCs/>
                <w:sz w:val="16"/>
                <w:szCs w:val="16"/>
              </w:rPr>
              <w:t>Exhibit Description</w:t>
            </w:r>
          </w:p>
        </w:tc>
        <w:tc>
          <w:tcPr>
            <w:tcW w:w="125" w:type="pct"/>
            <w:tcMar>
              <w:top w:w="0" w:type="dxa"/>
              <w:left w:w="0" w:type="dxa"/>
              <w:bottom w:w="0" w:type="dxa"/>
              <w:right w:w="0" w:type="dxa"/>
            </w:tcMar>
            <w:vAlign w:val="bottom"/>
            <w:hideMark/>
          </w:tcPr>
          <w:p w14:paraId="1813A2B4" w14:textId="77777777" w:rsidR="00000000" w:rsidRDefault="001F1B20">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14:paraId="4455A477" w14:textId="77777777" w:rsidR="00000000" w:rsidRDefault="001F1B20">
            <w:pPr>
              <w:pStyle w:val="a3"/>
              <w:spacing w:before="0" w:beforeAutospacing="0" w:after="0" w:afterAutospacing="0"/>
              <w:jc w:val="center"/>
              <w:rPr>
                <w:sz w:val="16"/>
                <w:szCs w:val="16"/>
              </w:rPr>
            </w:pPr>
            <w:r>
              <w:rPr>
                <w:b/>
                <w:bCs/>
                <w:sz w:val="16"/>
                <w:szCs w:val="16"/>
              </w:rPr>
              <w:t>Filed Herewith</w:t>
            </w:r>
          </w:p>
        </w:tc>
        <w:tc>
          <w:tcPr>
            <w:tcW w:w="125" w:type="pct"/>
            <w:tcMar>
              <w:top w:w="0" w:type="dxa"/>
              <w:left w:w="0" w:type="dxa"/>
              <w:bottom w:w="0" w:type="dxa"/>
              <w:right w:w="0" w:type="dxa"/>
            </w:tcMar>
            <w:vAlign w:val="bottom"/>
            <w:hideMark/>
          </w:tcPr>
          <w:p w14:paraId="2493313D" w14:textId="77777777" w:rsidR="00000000" w:rsidRDefault="001F1B20">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14:paraId="3DD4B9FE" w14:textId="77777777" w:rsidR="00000000" w:rsidRDefault="001F1B20">
            <w:pPr>
              <w:pStyle w:val="a3"/>
              <w:spacing w:before="0" w:beforeAutospacing="0" w:after="0" w:afterAutospacing="0"/>
              <w:jc w:val="center"/>
              <w:rPr>
                <w:sz w:val="16"/>
                <w:szCs w:val="16"/>
              </w:rPr>
            </w:pPr>
            <w:r>
              <w:rPr>
                <w:b/>
                <w:bCs/>
                <w:sz w:val="16"/>
                <w:szCs w:val="16"/>
              </w:rPr>
              <w:t>Form</w:t>
            </w:r>
          </w:p>
        </w:tc>
        <w:tc>
          <w:tcPr>
            <w:tcW w:w="125" w:type="pct"/>
            <w:tcMar>
              <w:top w:w="0" w:type="dxa"/>
              <w:left w:w="0" w:type="dxa"/>
              <w:bottom w:w="0" w:type="dxa"/>
              <w:right w:w="0" w:type="dxa"/>
            </w:tcMar>
            <w:vAlign w:val="bottom"/>
            <w:hideMark/>
          </w:tcPr>
          <w:p w14:paraId="24F00E08" w14:textId="77777777" w:rsidR="00000000" w:rsidRDefault="001F1B20">
            <w:pPr>
              <w:pStyle w:val="a3"/>
              <w:spacing w:before="0" w:beforeAutospacing="0" w:after="0" w:afterAutospacing="0"/>
              <w:rPr>
                <w:sz w:val="16"/>
                <w:szCs w:val="16"/>
              </w:rPr>
            </w:pPr>
            <w:r>
              <w:rPr>
                <w:b/>
                <w:bCs/>
                <w:sz w:val="16"/>
                <w:szCs w:val="16"/>
              </w:rPr>
              <w:t>    </w:t>
            </w:r>
          </w:p>
        </w:tc>
        <w:tc>
          <w:tcPr>
            <w:tcW w:w="644" w:type="pct"/>
            <w:tcBorders>
              <w:bottom w:val="single" w:sz="6" w:space="0" w:color="000000"/>
            </w:tcBorders>
            <w:tcMar>
              <w:top w:w="0" w:type="dxa"/>
              <w:left w:w="0" w:type="dxa"/>
              <w:bottom w:w="0" w:type="dxa"/>
              <w:right w:w="0" w:type="dxa"/>
            </w:tcMar>
            <w:vAlign w:val="bottom"/>
            <w:hideMark/>
          </w:tcPr>
          <w:p w14:paraId="28570AB2" w14:textId="77777777" w:rsidR="00000000" w:rsidRDefault="001F1B20">
            <w:pPr>
              <w:pStyle w:val="a3"/>
              <w:spacing w:before="0" w:beforeAutospacing="0" w:after="0" w:afterAutospacing="0"/>
              <w:jc w:val="center"/>
              <w:rPr>
                <w:sz w:val="16"/>
                <w:szCs w:val="16"/>
              </w:rPr>
            </w:pPr>
            <w:r>
              <w:rPr>
                <w:b/>
                <w:bCs/>
                <w:sz w:val="16"/>
                <w:szCs w:val="16"/>
              </w:rPr>
              <w:t>Filing</w:t>
            </w:r>
            <w:r>
              <w:rPr>
                <w:sz w:val="16"/>
                <w:szCs w:val="16"/>
              </w:rPr>
              <w:br/>
            </w:r>
            <w:r>
              <w:rPr>
                <w:b/>
                <w:bCs/>
                <w:sz w:val="16"/>
                <w:szCs w:val="16"/>
              </w:rPr>
              <w:t>Date/Period</w:t>
            </w:r>
            <w:r>
              <w:rPr>
                <w:sz w:val="16"/>
                <w:szCs w:val="16"/>
              </w:rPr>
              <w:br/>
            </w:r>
            <w:r>
              <w:rPr>
                <w:b/>
                <w:bCs/>
                <w:sz w:val="16"/>
                <w:szCs w:val="16"/>
              </w:rPr>
              <w:t>End Date</w:t>
            </w:r>
          </w:p>
        </w:tc>
      </w:tr>
      <w:tr w:rsidR="00000000" w14:paraId="72DC2204" w14:textId="77777777">
        <w:trPr>
          <w:divId w:val="1477793552"/>
        </w:trPr>
        <w:tc>
          <w:tcPr>
            <w:tcW w:w="349" w:type="pct"/>
            <w:tcMar>
              <w:top w:w="0" w:type="dxa"/>
              <w:left w:w="0" w:type="dxa"/>
              <w:bottom w:w="0" w:type="dxa"/>
              <w:right w:w="0" w:type="dxa"/>
            </w:tcMar>
            <w:vAlign w:val="bottom"/>
            <w:hideMark/>
          </w:tcPr>
          <w:p w14:paraId="381C10F0" w14:textId="77777777" w:rsidR="00000000" w:rsidRDefault="001F1B20">
            <w:pPr>
              <w:pStyle w:val="a3"/>
              <w:spacing w:before="0" w:beforeAutospacing="0" w:after="0" w:afterAutospacing="0"/>
              <w:rPr>
                <w:sz w:val="20"/>
                <w:szCs w:val="20"/>
              </w:rPr>
            </w:pPr>
            <w:r>
              <w:rPr>
                <w:b/>
                <w:bCs/>
                <w:sz w:val="20"/>
                <w:szCs w:val="20"/>
              </w:rPr>
              <w:t>​</w:t>
            </w:r>
          </w:p>
        </w:tc>
        <w:tc>
          <w:tcPr>
            <w:tcW w:w="125" w:type="pct"/>
            <w:tcMar>
              <w:top w:w="0" w:type="dxa"/>
              <w:left w:w="0" w:type="dxa"/>
              <w:bottom w:w="0" w:type="dxa"/>
              <w:right w:w="0" w:type="dxa"/>
            </w:tcMar>
            <w:vAlign w:val="bottom"/>
            <w:hideMark/>
          </w:tcPr>
          <w:p w14:paraId="27C2903F" w14:textId="77777777" w:rsidR="00000000" w:rsidRDefault="001F1B20">
            <w:pPr>
              <w:pStyle w:val="a3"/>
              <w:spacing w:before="0" w:beforeAutospacing="0" w:after="0" w:afterAutospacing="0"/>
              <w:jc w:val="center"/>
              <w:rPr>
                <w:sz w:val="20"/>
                <w:szCs w:val="20"/>
              </w:rPr>
            </w:pPr>
            <w:r>
              <w:rPr>
                <w:b/>
                <w:bCs/>
                <w:sz w:val="20"/>
                <w:szCs w:val="20"/>
              </w:rPr>
              <w:t>​</w:t>
            </w:r>
          </w:p>
        </w:tc>
        <w:tc>
          <w:tcPr>
            <w:tcW w:w="2303" w:type="pct"/>
            <w:tcMar>
              <w:top w:w="0" w:type="dxa"/>
              <w:left w:w="0" w:type="dxa"/>
              <w:bottom w:w="0" w:type="dxa"/>
              <w:right w:w="0" w:type="dxa"/>
            </w:tcMar>
            <w:vAlign w:val="bottom"/>
            <w:hideMark/>
          </w:tcPr>
          <w:p w14:paraId="6E24782E" w14:textId="77777777" w:rsidR="00000000" w:rsidRDefault="001F1B20">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14:paraId="08237EDD" w14:textId="77777777" w:rsidR="00000000" w:rsidRDefault="001F1B20">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14:paraId="54C6AB64" w14:textId="77777777" w:rsidR="00000000" w:rsidRDefault="001F1B20">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14:paraId="64AA03A0" w14:textId="77777777" w:rsidR="00000000" w:rsidRDefault="001F1B20">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14:paraId="695A0B55" w14:textId="77777777" w:rsidR="00000000" w:rsidRDefault="001F1B20">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14:paraId="3E719F89" w14:textId="77777777" w:rsidR="00000000" w:rsidRDefault="001F1B20">
            <w:pPr>
              <w:pStyle w:val="a3"/>
              <w:spacing w:before="0" w:beforeAutospacing="0" w:after="0" w:afterAutospacing="0"/>
              <w:jc w:val="center"/>
              <w:rPr>
                <w:sz w:val="20"/>
                <w:szCs w:val="20"/>
              </w:rPr>
            </w:pPr>
            <w:r>
              <w:rPr>
                <w:b/>
                <w:bCs/>
                <w:sz w:val="20"/>
                <w:szCs w:val="20"/>
              </w:rPr>
              <w:t>​</w:t>
            </w:r>
          </w:p>
        </w:tc>
        <w:tc>
          <w:tcPr>
            <w:tcW w:w="644" w:type="pct"/>
            <w:tcMar>
              <w:top w:w="0" w:type="dxa"/>
              <w:left w:w="0" w:type="dxa"/>
              <w:bottom w:w="0" w:type="dxa"/>
              <w:right w:w="0" w:type="dxa"/>
            </w:tcMar>
            <w:vAlign w:val="bottom"/>
            <w:hideMark/>
          </w:tcPr>
          <w:p w14:paraId="28021493" w14:textId="77777777" w:rsidR="00000000" w:rsidRDefault="001F1B20">
            <w:pPr>
              <w:pStyle w:val="a3"/>
              <w:spacing w:before="0" w:beforeAutospacing="0" w:after="0" w:afterAutospacing="0"/>
              <w:jc w:val="center"/>
              <w:rPr>
                <w:sz w:val="20"/>
                <w:szCs w:val="20"/>
              </w:rPr>
            </w:pPr>
            <w:r>
              <w:rPr>
                <w:b/>
                <w:bCs/>
                <w:sz w:val="20"/>
                <w:szCs w:val="20"/>
              </w:rPr>
              <w:t>​</w:t>
            </w:r>
          </w:p>
        </w:tc>
      </w:tr>
      <w:tr w:rsidR="00000000" w14:paraId="521191F4" w14:textId="77777777">
        <w:trPr>
          <w:divId w:val="1477793552"/>
        </w:trPr>
        <w:tc>
          <w:tcPr>
            <w:tcW w:w="349" w:type="pct"/>
            <w:tcMar>
              <w:top w:w="0" w:type="dxa"/>
              <w:left w:w="0" w:type="dxa"/>
              <w:bottom w:w="0" w:type="dxa"/>
              <w:right w:w="0" w:type="dxa"/>
            </w:tcMar>
            <w:hideMark/>
          </w:tcPr>
          <w:p w14:paraId="0211F2C3" w14:textId="77777777" w:rsidR="00000000" w:rsidRDefault="001F1B20">
            <w:pPr>
              <w:pStyle w:val="a3"/>
              <w:spacing w:before="0" w:beforeAutospacing="0" w:after="0" w:afterAutospacing="0"/>
              <w:ind w:hanging="202"/>
              <w:jc w:val="right"/>
              <w:rPr>
                <w:sz w:val="20"/>
                <w:szCs w:val="20"/>
              </w:rPr>
            </w:pPr>
            <w:r>
              <w:rPr>
                <w:sz w:val="20"/>
                <w:szCs w:val="20"/>
              </w:rPr>
              <w:t>31.1</w:t>
            </w:r>
          </w:p>
        </w:tc>
        <w:tc>
          <w:tcPr>
            <w:tcW w:w="125" w:type="pct"/>
            <w:tcMar>
              <w:top w:w="0" w:type="dxa"/>
              <w:left w:w="0" w:type="dxa"/>
              <w:bottom w:w="0" w:type="dxa"/>
              <w:right w:w="0" w:type="dxa"/>
            </w:tcMar>
            <w:vAlign w:val="bottom"/>
            <w:hideMark/>
          </w:tcPr>
          <w:p w14:paraId="059AC755" w14:textId="77777777" w:rsidR="00000000" w:rsidRDefault="001F1B20">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1DDDCCF8" w14:textId="77777777" w:rsidR="00000000" w:rsidRDefault="001F1B20">
            <w:pPr>
              <w:pStyle w:val="a3"/>
              <w:spacing w:before="0" w:beforeAutospacing="0" w:after="0" w:afterAutospacing="0"/>
              <w:rPr>
                <w:sz w:val="20"/>
                <w:szCs w:val="20"/>
              </w:rPr>
            </w:pPr>
            <w:hyperlink r:id="rId4" w:history="1">
              <w:r>
                <w:rPr>
                  <w:rStyle w:val="a4"/>
                  <w:sz w:val="20"/>
                  <w:szCs w:val="20"/>
                </w:rPr>
                <w:t>Certification of Chief Executive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14:paraId="610CFC55"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4A3926F3" w14:textId="77777777" w:rsidR="00000000" w:rsidRDefault="001F1B20">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0D98272D"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2123963B" w14:textId="77777777" w:rsidR="00000000" w:rsidRDefault="001F1B20">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6D4727B4" w14:textId="77777777" w:rsidR="00000000" w:rsidRDefault="001F1B20">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5DCB0F29" w14:textId="77777777" w:rsidR="00000000" w:rsidRDefault="001F1B20">
            <w:pPr>
              <w:pStyle w:val="a3"/>
              <w:spacing w:before="0" w:beforeAutospacing="0" w:after="0" w:afterAutospacing="0"/>
              <w:jc w:val="right"/>
              <w:rPr>
                <w:sz w:val="20"/>
                <w:szCs w:val="20"/>
              </w:rPr>
            </w:pPr>
            <w:r>
              <w:rPr>
                <w:sz w:val="20"/>
                <w:szCs w:val="20"/>
              </w:rPr>
              <w:t>​</w:t>
            </w:r>
          </w:p>
        </w:tc>
      </w:tr>
      <w:tr w:rsidR="00000000" w14:paraId="352CB985" w14:textId="77777777">
        <w:trPr>
          <w:divId w:val="1477793552"/>
        </w:trPr>
        <w:tc>
          <w:tcPr>
            <w:tcW w:w="349" w:type="pct"/>
            <w:tcMar>
              <w:top w:w="0" w:type="dxa"/>
              <w:left w:w="0" w:type="dxa"/>
              <w:bottom w:w="0" w:type="dxa"/>
              <w:right w:w="0" w:type="dxa"/>
            </w:tcMar>
            <w:hideMark/>
          </w:tcPr>
          <w:p w14:paraId="0719135D" w14:textId="77777777" w:rsidR="00000000" w:rsidRDefault="001F1B20">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14:paraId="68088277" w14:textId="77777777" w:rsidR="00000000" w:rsidRDefault="001F1B20">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29820B77" w14:textId="77777777" w:rsidR="00000000" w:rsidRDefault="001F1B20">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14:paraId="7CFE8DD9"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4C94B1D2" w14:textId="77777777" w:rsidR="00000000" w:rsidRDefault="001F1B20">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14:paraId="7F76A605"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05CBFAC4" w14:textId="77777777" w:rsidR="00000000" w:rsidRDefault="001F1B20">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7D5FE8DF" w14:textId="77777777" w:rsidR="00000000" w:rsidRDefault="001F1B20">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6375B1A4" w14:textId="77777777" w:rsidR="00000000" w:rsidRDefault="001F1B20">
            <w:pPr>
              <w:pStyle w:val="a3"/>
              <w:spacing w:before="0" w:beforeAutospacing="0" w:after="0" w:afterAutospacing="0"/>
              <w:jc w:val="right"/>
              <w:rPr>
                <w:sz w:val="20"/>
                <w:szCs w:val="20"/>
              </w:rPr>
            </w:pPr>
            <w:r>
              <w:rPr>
                <w:sz w:val="20"/>
                <w:szCs w:val="20"/>
              </w:rPr>
              <w:t>​</w:t>
            </w:r>
          </w:p>
        </w:tc>
      </w:tr>
      <w:tr w:rsidR="00000000" w14:paraId="7A5B75D9" w14:textId="77777777">
        <w:trPr>
          <w:divId w:val="1477793552"/>
        </w:trPr>
        <w:tc>
          <w:tcPr>
            <w:tcW w:w="349" w:type="pct"/>
            <w:tcMar>
              <w:top w:w="0" w:type="dxa"/>
              <w:left w:w="0" w:type="dxa"/>
              <w:bottom w:w="0" w:type="dxa"/>
              <w:right w:w="0" w:type="dxa"/>
            </w:tcMar>
            <w:hideMark/>
          </w:tcPr>
          <w:p w14:paraId="0FD5EE19" w14:textId="77777777" w:rsidR="00000000" w:rsidRDefault="001F1B20">
            <w:pPr>
              <w:pStyle w:val="a3"/>
              <w:spacing w:before="0" w:beforeAutospacing="0" w:after="0" w:afterAutospacing="0"/>
              <w:ind w:hanging="202"/>
              <w:jc w:val="right"/>
              <w:rPr>
                <w:sz w:val="20"/>
                <w:szCs w:val="20"/>
              </w:rPr>
            </w:pPr>
            <w:r>
              <w:rPr>
                <w:sz w:val="20"/>
                <w:szCs w:val="20"/>
              </w:rPr>
              <w:t>31.2</w:t>
            </w:r>
          </w:p>
        </w:tc>
        <w:tc>
          <w:tcPr>
            <w:tcW w:w="125" w:type="pct"/>
            <w:tcMar>
              <w:top w:w="0" w:type="dxa"/>
              <w:left w:w="0" w:type="dxa"/>
              <w:bottom w:w="0" w:type="dxa"/>
              <w:right w:w="0" w:type="dxa"/>
            </w:tcMar>
            <w:vAlign w:val="bottom"/>
            <w:hideMark/>
          </w:tcPr>
          <w:p w14:paraId="1D1BF333" w14:textId="77777777" w:rsidR="00000000" w:rsidRDefault="001F1B20">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544DB542" w14:textId="77777777" w:rsidR="00000000" w:rsidRDefault="001F1B20">
            <w:pPr>
              <w:pStyle w:val="a3"/>
              <w:spacing w:before="0" w:beforeAutospacing="0" w:after="0" w:afterAutospacing="0"/>
              <w:rPr>
                <w:sz w:val="20"/>
                <w:szCs w:val="20"/>
              </w:rPr>
            </w:pPr>
            <w:hyperlink r:id="rId5" w:history="1">
              <w:r>
                <w:rPr>
                  <w:rStyle w:val="a4"/>
                  <w:sz w:val="20"/>
                  <w:szCs w:val="20"/>
                </w:rPr>
                <w:t>Certification of Chief Financial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14:paraId="442F74A0"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6B99FB2F" w14:textId="77777777" w:rsidR="00000000" w:rsidRDefault="001F1B20">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0D462AD8"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57E6622E" w14:textId="77777777" w:rsidR="00000000" w:rsidRDefault="001F1B20">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3C516404" w14:textId="77777777" w:rsidR="00000000" w:rsidRDefault="001F1B20">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1976B71C" w14:textId="77777777" w:rsidR="00000000" w:rsidRDefault="001F1B20">
            <w:pPr>
              <w:pStyle w:val="a3"/>
              <w:spacing w:before="0" w:beforeAutospacing="0" w:after="0" w:afterAutospacing="0"/>
              <w:jc w:val="right"/>
              <w:rPr>
                <w:sz w:val="20"/>
                <w:szCs w:val="20"/>
              </w:rPr>
            </w:pPr>
            <w:r>
              <w:rPr>
                <w:sz w:val="20"/>
                <w:szCs w:val="20"/>
              </w:rPr>
              <w:t>​</w:t>
            </w:r>
          </w:p>
        </w:tc>
      </w:tr>
      <w:tr w:rsidR="00000000" w14:paraId="2656639A" w14:textId="77777777">
        <w:trPr>
          <w:divId w:val="1477793552"/>
        </w:trPr>
        <w:tc>
          <w:tcPr>
            <w:tcW w:w="349" w:type="pct"/>
            <w:tcMar>
              <w:top w:w="0" w:type="dxa"/>
              <w:left w:w="0" w:type="dxa"/>
              <w:bottom w:w="0" w:type="dxa"/>
              <w:right w:w="0" w:type="dxa"/>
            </w:tcMar>
            <w:hideMark/>
          </w:tcPr>
          <w:p w14:paraId="21C50D61" w14:textId="77777777" w:rsidR="00000000" w:rsidRDefault="001F1B20">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14:paraId="1F9F0C58" w14:textId="77777777" w:rsidR="00000000" w:rsidRDefault="001F1B20">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33A95819" w14:textId="77777777" w:rsidR="00000000" w:rsidRDefault="001F1B20">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14:paraId="02A57F8B"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221A9D69" w14:textId="77777777" w:rsidR="00000000" w:rsidRDefault="001F1B20">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14:paraId="72159B89"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41FCD82C" w14:textId="77777777" w:rsidR="00000000" w:rsidRDefault="001F1B20">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1BFDDE23" w14:textId="77777777" w:rsidR="00000000" w:rsidRDefault="001F1B20">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753FA97F" w14:textId="77777777" w:rsidR="00000000" w:rsidRDefault="001F1B20">
            <w:pPr>
              <w:pStyle w:val="a3"/>
              <w:spacing w:before="0" w:beforeAutospacing="0" w:after="0" w:afterAutospacing="0"/>
              <w:jc w:val="right"/>
              <w:rPr>
                <w:sz w:val="20"/>
                <w:szCs w:val="20"/>
              </w:rPr>
            </w:pPr>
            <w:r>
              <w:rPr>
                <w:sz w:val="20"/>
                <w:szCs w:val="20"/>
              </w:rPr>
              <w:t>​</w:t>
            </w:r>
          </w:p>
        </w:tc>
      </w:tr>
      <w:tr w:rsidR="00000000" w14:paraId="78505245" w14:textId="77777777">
        <w:trPr>
          <w:divId w:val="1477793552"/>
        </w:trPr>
        <w:tc>
          <w:tcPr>
            <w:tcW w:w="349" w:type="pct"/>
            <w:tcMar>
              <w:top w:w="0" w:type="dxa"/>
              <w:left w:w="0" w:type="dxa"/>
              <w:bottom w:w="0" w:type="dxa"/>
              <w:right w:w="0" w:type="dxa"/>
            </w:tcMar>
            <w:hideMark/>
          </w:tcPr>
          <w:p w14:paraId="5B37C52A" w14:textId="77777777" w:rsidR="00000000" w:rsidRDefault="001F1B20">
            <w:pPr>
              <w:pStyle w:val="a3"/>
              <w:spacing w:before="0" w:beforeAutospacing="0" w:after="0" w:afterAutospacing="0"/>
              <w:ind w:hanging="202"/>
              <w:jc w:val="right"/>
              <w:rPr>
                <w:sz w:val="20"/>
                <w:szCs w:val="20"/>
              </w:rPr>
            </w:pPr>
            <w:r>
              <w:rPr>
                <w:sz w:val="20"/>
                <w:szCs w:val="20"/>
              </w:rPr>
              <w:t>3</w:t>
            </w:r>
            <w:r>
              <w:rPr>
                <w:sz w:val="20"/>
                <w:szCs w:val="20"/>
              </w:rPr>
              <w:t>2</w:t>
            </w:r>
            <w:r>
              <w:rPr>
                <w:sz w:val="17"/>
                <w:szCs w:val="17"/>
                <w:vertAlign w:val="superscript"/>
              </w:rPr>
              <w:t>(1)</w:t>
            </w:r>
          </w:p>
        </w:tc>
        <w:tc>
          <w:tcPr>
            <w:tcW w:w="125" w:type="pct"/>
            <w:tcMar>
              <w:top w:w="0" w:type="dxa"/>
              <w:left w:w="0" w:type="dxa"/>
              <w:bottom w:w="0" w:type="dxa"/>
              <w:right w:w="0" w:type="dxa"/>
            </w:tcMar>
            <w:vAlign w:val="bottom"/>
            <w:hideMark/>
          </w:tcPr>
          <w:p w14:paraId="0593BB45" w14:textId="77777777" w:rsidR="00000000" w:rsidRDefault="001F1B20">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0F8405D5" w14:textId="77777777" w:rsidR="00000000" w:rsidRDefault="001F1B20">
            <w:pPr>
              <w:pStyle w:val="a3"/>
              <w:spacing w:before="0" w:beforeAutospacing="0" w:after="0" w:afterAutospacing="0"/>
              <w:rPr>
                <w:sz w:val="20"/>
                <w:szCs w:val="20"/>
              </w:rPr>
            </w:pPr>
            <w:hyperlink r:id="rId6" w:history="1">
              <w:r>
                <w:rPr>
                  <w:rStyle w:val="a4"/>
                  <w:sz w:val="20"/>
                  <w:szCs w:val="20"/>
                </w:rPr>
                <w:t>Certifications of Chief Executive Officer and Chief Financial Officer pursuant to 18 U.S.C. Section 1350, as adopted pursuant to Section 906 of the Sarbanes-Oxley Act of 2002</w:t>
              </w:r>
            </w:hyperlink>
          </w:p>
        </w:tc>
        <w:tc>
          <w:tcPr>
            <w:tcW w:w="125" w:type="pct"/>
            <w:tcMar>
              <w:top w:w="0" w:type="dxa"/>
              <w:left w:w="0" w:type="dxa"/>
              <w:bottom w:w="0" w:type="dxa"/>
              <w:right w:w="0" w:type="dxa"/>
            </w:tcMar>
            <w:vAlign w:val="bottom"/>
            <w:hideMark/>
          </w:tcPr>
          <w:p w14:paraId="56E085F5"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7E7FF013" w14:textId="77777777" w:rsidR="00000000" w:rsidRDefault="001F1B20">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0D2A1492"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2263EEB2" w14:textId="77777777" w:rsidR="00000000" w:rsidRDefault="001F1B20">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6EC8EB58" w14:textId="77777777" w:rsidR="00000000" w:rsidRDefault="001F1B20">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2CF97027" w14:textId="77777777" w:rsidR="00000000" w:rsidRDefault="001F1B20">
            <w:pPr>
              <w:pStyle w:val="a3"/>
              <w:spacing w:before="0" w:beforeAutospacing="0" w:after="0" w:afterAutospacing="0"/>
              <w:jc w:val="right"/>
              <w:rPr>
                <w:sz w:val="20"/>
                <w:szCs w:val="20"/>
              </w:rPr>
            </w:pPr>
            <w:r>
              <w:rPr>
                <w:sz w:val="20"/>
                <w:szCs w:val="20"/>
              </w:rPr>
              <w:t>​</w:t>
            </w:r>
          </w:p>
        </w:tc>
      </w:tr>
      <w:tr w:rsidR="00000000" w14:paraId="38255CCD" w14:textId="77777777">
        <w:trPr>
          <w:divId w:val="1477793552"/>
        </w:trPr>
        <w:tc>
          <w:tcPr>
            <w:tcW w:w="349" w:type="pct"/>
            <w:tcMar>
              <w:top w:w="0" w:type="dxa"/>
              <w:left w:w="0" w:type="dxa"/>
              <w:bottom w:w="0" w:type="dxa"/>
              <w:right w:w="0" w:type="dxa"/>
            </w:tcMar>
            <w:hideMark/>
          </w:tcPr>
          <w:p w14:paraId="3C71138F" w14:textId="77777777" w:rsidR="00000000" w:rsidRDefault="001F1B20">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14:paraId="59081D67" w14:textId="77777777" w:rsidR="00000000" w:rsidRDefault="001F1B20">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275CEB0F" w14:textId="77777777" w:rsidR="00000000" w:rsidRDefault="001F1B20">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14:paraId="32B274D8"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03394682" w14:textId="77777777" w:rsidR="00000000" w:rsidRDefault="001F1B20">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14:paraId="47529A01"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46EAFBB8" w14:textId="77777777" w:rsidR="00000000" w:rsidRDefault="001F1B20">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3FC7AD24" w14:textId="77777777" w:rsidR="00000000" w:rsidRDefault="001F1B20">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6A4A1C1C" w14:textId="77777777" w:rsidR="00000000" w:rsidRDefault="001F1B20">
            <w:pPr>
              <w:pStyle w:val="a3"/>
              <w:spacing w:before="0" w:beforeAutospacing="0" w:after="0" w:afterAutospacing="0"/>
              <w:jc w:val="right"/>
              <w:rPr>
                <w:sz w:val="20"/>
                <w:szCs w:val="20"/>
              </w:rPr>
            </w:pPr>
            <w:r>
              <w:rPr>
                <w:sz w:val="20"/>
                <w:szCs w:val="20"/>
              </w:rPr>
              <w:t>​</w:t>
            </w:r>
          </w:p>
        </w:tc>
      </w:tr>
      <w:tr w:rsidR="00000000" w14:paraId="54F6AA73" w14:textId="77777777">
        <w:trPr>
          <w:divId w:val="1477793552"/>
        </w:trPr>
        <w:tc>
          <w:tcPr>
            <w:tcW w:w="349" w:type="pct"/>
            <w:tcMar>
              <w:top w:w="0" w:type="dxa"/>
              <w:left w:w="0" w:type="dxa"/>
              <w:bottom w:w="0" w:type="dxa"/>
              <w:right w:w="0" w:type="dxa"/>
            </w:tcMar>
            <w:hideMark/>
          </w:tcPr>
          <w:p w14:paraId="0C65FD44" w14:textId="77777777" w:rsidR="00000000" w:rsidRDefault="001F1B20">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14:paraId="3FB1D68C" w14:textId="77777777" w:rsidR="00000000" w:rsidRDefault="001F1B20">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24807F38" w14:textId="77777777" w:rsidR="00000000" w:rsidRDefault="001F1B20">
            <w:pPr>
              <w:pStyle w:val="a3"/>
              <w:spacing w:before="0" w:beforeAutospacing="0" w:after="0" w:afterAutospacing="0"/>
              <w:rPr>
                <w:sz w:val="20"/>
                <w:szCs w:val="20"/>
              </w:rPr>
            </w:pPr>
            <w:r>
              <w:rPr>
                <w:sz w:val="20"/>
                <w:szCs w:val="20"/>
              </w:rPr>
              <w:t>Financial statements from the quarterly report on Form 10-Q of the Company for the quarter ended September 30, 2021, formatted in iXBRL: (i) the Condensed Consolidated Balance Sheets, (ii) the Condensed Consolidated Statements of Operations and Comprehensi</w:t>
            </w:r>
            <w:r>
              <w:rPr>
                <w:sz w:val="20"/>
                <w:szCs w:val="20"/>
              </w:rPr>
              <w:t>ve Loss, (iii) Condensed Consolidated Statements of Shareholders’ Deficit, (iv) the Condensed Consolidated Statements of Cash Flows, and (v) the Notes to the Condensed Consolidated Financial Statements</w:t>
            </w:r>
          </w:p>
        </w:tc>
        <w:tc>
          <w:tcPr>
            <w:tcW w:w="125" w:type="pct"/>
            <w:tcMar>
              <w:top w:w="0" w:type="dxa"/>
              <w:left w:w="0" w:type="dxa"/>
              <w:bottom w:w="0" w:type="dxa"/>
              <w:right w:w="0" w:type="dxa"/>
            </w:tcMar>
            <w:vAlign w:val="bottom"/>
            <w:hideMark/>
          </w:tcPr>
          <w:p w14:paraId="709D5052"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5E1F56D8" w14:textId="77777777" w:rsidR="00000000" w:rsidRDefault="001F1B20">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73537C73"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64DA3BC4" w14:textId="77777777" w:rsidR="00000000" w:rsidRDefault="001F1B20">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2333AEF0" w14:textId="77777777" w:rsidR="00000000" w:rsidRDefault="001F1B20">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10CAF3C6" w14:textId="77777777" w:rsidR="00000000" w:rsidRDefault="001F1B20">
            <w:pPr>
              <w:pStyle w:val="a3"/>
              <w:spacing w:before="0" w:beforeAutospacing="0" w:after="0" w:afterAutospacing="0"/>
              <w:jc w:val="right"/>
              <w:rPr>
                <w:sz w:val="20"/>
                <w:szCs w:val="20"/>
              </w:rPr>
            </w:pPr>
            <w:r>
              <w:rPr>
                <w:sz w:val="20"/>
                <w:szCs w:val="20"/>
              </w:rPr>
              <w:t>​</w:t>
            </w:r>
          </w:p>
        </w:tc>
      </w:tr>
      <w:tr w:rsidR="00000000" w14:paraId="08BD4CBC" w14:textId="77777777">
        <w:trPr>
          <w:divId w:val="1477793552"/>
        </w:trPr>
        <w:tc>
          <w:tcPr>
            <w:tcW w:w="349" w:type="pct"/>
            <w:tcMar>
              <w:top w:w="0" w:type="dxa"/>
              <w:left w:w="0" w:type="dxa"/>
              <w:bottom w:w="0" w:type="dxa"/>
              <w:right w:w="0" w:type="dxa"/>
            </w:tcMar>
            <w:hideMark/>
          </w:tcPr>
          <w:p w14:paraId="15F5EE79" w14:textId="77777777" w:rsidR="00000000" w:rsidRDefault="001F1B20">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14:paraId="16CA52A1" w14:textId="77777777" w:rsidR="00000000" w:rsidRDefault="001F1B20">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6AD0A694" w14:textId="77777777" w:rsidR="00000000" w:rsidRDefault="001F1B20">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14:paraId="61936F87"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702A804E" w14:textId="77777777" w:rsidR="00000000" w:rsidRDefault="001F1B20">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14:paraId="2989309D"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0F1ACFAE" w14:textId="77777777" w:rsidR="00000000" w:rsidRDefault="001F1B20">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129DF51F" w14:textId="77777777" w:rsidR="00000000" w:rsidRDefault="001F1B20">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50D14E7F" w14:textId="77777777" w:rsidR="00000000" w:rsidRDefault="001F1B20">
            <w:pPr>
              <w:pStyle w:val="a3"/>
              <w:spacing w:before="0" w:beforeAutospacing="0" w:after="0" w:afterAutospacing="0"/>
              <w:jc w:val="right"/>
              <w:rPr>
                <w:sz w:val="20"/>
                <w:szCs w:val="20"/>
              </w:rPr>
            </w:pPr>
            <w:r>
              <w:rPr>
                <w:sz w:val="20"/>
                <w:szCs w:val="20"/>
              </w:rPr>
              <w:t>​</w:t>
            </w:r>
          </w:p>
        </w:tc>
      </w:tr>
      <w:tr w:rsidR="00000000" w14:paraId="7201B471" w14:textId="77777777">
        <w:trPr>
          <w:divId w:val="1477793552"/>
        </w:trPr>
        <w:tc>
          <w:tcPr>
            <w:tcW w:w="349" w:type="pct"/>
            <w:tcMar>
              <w:top w:w="0" w:type="dxa"/>
              <w:left w:w="0" w:type="dxa"/>
              <w:bottom w:w="0" w:type="dxa"/>
              <w:right w:w="0" w:type="dxa"/>
            </w:tcMar>
            <w:hideMark/>
          </w:tcPr>
          <w:p w14:paraId="61357FAB" w14:textId="77777777" w:rsidR="00000000" w:rsidRDefault="001F1B20">
            <w:pPr>
              <w:pStyle w:val="a3"/>
              <w:spacing w:before="0" w:beforeAutospacing="0" w:after="0" w:afterAutospacing="0"/>
              <w:ind w:hanging="202"/>
              <w:jc w:val="right"/>
              <w:rPr>
                <w:sz w:val="20"/>
                <w:szCs w:val="20"/>
              </w:rPr>
            </w:pPr>
            <w:r>
              <w:rPr>
                <w:sz w:val="20"/>
                <w:szCs w:val="20"/>
              </w:rPr>
              <w:t>104</w:t>
            </w:r>
          </w:p>
        </w:tc>
        <w:tc>
          <w:tcPr>
            <w:tcW w:w="125" w:type="pct"/>
            <w:tcMar>
              <w:top w:w="0" w:type="dxa"/>
              <w:left w:w="0" w:type="dxa"/>
              <w:bottom w:w="0" w:type="dxa"/>
              <w:right w:w="0" w:type="dxa"/>
            </w:tcMar>
            <w:vAlign w:val="bottom"/>
            <w:hideMark/>
          </w:tcPr>
          <w:p w14:paraId="5C6FA5E0" w14:textId="77777777" w:rsidR="00000000" w:rsidRDefault="001F1B20">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14:paraId="423B6BA6" w14:textId="77777777" w:rsidR="00000000" w:rsidRDefault="001F1B20">
            <w:pPr>
              <w:pStyle w:val="a3"/>
              <w:spacing w:before="0" w:beforeAutospacing="0" w:after="0" w:afterAutospacing="0"/>
              <w:rPr>
                <w:sz w:val="20"/>
                <w:szCs w:val="20"/>
              </w:rPr>
            </w:pPr>
            <w:r>
              <w:rPr>
                <w:sz w:val="20"/>
                <w:szCs w:val="20"/>
              </w:rPr>
              <w:t>Cover Page Interactive Data File (Formatted in iXBRL and contained in Exhibit 101)</w:t>
            </w:r>
          </w:p>
        </w:tc>
        <w:tc>
          <w:tcPr>
            <w:tcW w:w="125" w:type="pct"/>
            <w:tcMar>
              <w:top w:w="0" w:type="dxa"/>
              <w:left w:w="0" w:type="dxa"/>
              <w:bottom w:w="0" w:type="dxa"/>
              <w:right w:w="0" w:type="dxa"/>
            </w:tcMar>
            <w:vAlign w:val="bottom"/>
            <w:hideMark/>
          </w:tcPr>
          <w:p w14:paraId="7C9DA102"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14:paraId="4636C489" w14:textId="77777777" w:rsidR="00000000" w:rsidRDefault="001F1B20">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14:paraId="3E1E8A85" w14:textId="77777777" w:rsidR="00000000" w:rsidRDefault="001F1B20">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14:paraId="34B4E67C" w14:textId="77777777" w:rsidR="00000000" w:rsidRDefault="001F1B20">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14:paraId="1AFAF88B" w14:textId="77777777" w:rsidR="00000000" w:rsidRDefault="001F1B20">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14:paraId="291DA9A4" w14:textId="77777777" w:rsidR="00000000" w:rsidRDefault="001F1B20">
            <w:pPr>
              <w:pStyle w:val="a3"/>
              <w:spacing w:before="0" w:beforeAutospacing="0" w:after="0" w:afterAutospacing="0"/>
              <w:jc w:val="right"/>
              <w:rPr>
                <w:sz w:val="20"/>
                <w:szCs w:val="20"/>
              </w:rPr>
            </w:pPr>
            <w:r>
              <w:rPr>
                <w:sz w:val="20"/>
                <w:szCs w:val="20"/>
              </w:rPr>
              <w:t>​</w:t>
            </w:r>
          </w:p>
        </w:tc>
      </w:tr>
    </w:tbl>
    <w:p w14:paraId="46745846" w14:textId="77777777" w:rsidR="00000000" w:rsidRDefault="001F1B20">
      <w:pPr>
        <w:divId w:val="147779355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14:paraId="7B967562" w14:textId="77777777">
        <w:trPr>
          <w:divId w:val="1477793552"/>
        </w:trPr>
        <w:tc>
          <w:tcPr>
            <w:tcW w:w="360" w:type="dxa"/>
            <w:noWrap/>
            <w:tcMar>
              <w:top w:w="0" w:type="dxa"/>
              <w:left w:w="0" w:type="dxa"/>
              <w:bottom w:w="0" w:type="dxa"/>
              <w:right w:w="0" w:type="dxa"/>
            </w:tcMar>
            <w:hideMark/>
          </w:tcPr>
          <w:p w14:paraId="786B4DC4" w14:textId="77777777" w:rsidR="00000000" w:rsidRDefault="001F1B20">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14:paraId="47935E53" w14:textId="77777777" w:rsidR="00000000" w:rsidRDefault="001F1B20">
            <w:pPr>
              <w:rPr>
                <w:rFonts w:eastAsia="Times New Roman"/>
                <w:sz w:val="20"/>
                <w:szCs w:val="20"/>
              </w:rPr>
            </w:pPr>
            <w:r>
              <w:rPr>
                <w:rFonts w:eastAsia="Times New Roman"/>
                <w:sz w:val="20"/>
                <w:szCs w:val="20"/>
              </w:rPr>
              <w:t>The certifications provided as Exhibit </w:t>
            </w:r>
            <w:r>
              <w:rPr>
                <w:rFonts w:eastAsia="Times New Roman"/>
                <w:sz w:val="20"/>
                <w:szCs w:val="20"/>
              </w:rPr>
              <w:t>32 are being furnished to accompany the Report pursuant to 18 U.S.C. Section 1350 and shall not be deemed filed by the Company for purposes of Section 18 of the Securities Exchange Act of 1934, as amended, and is not to be incorporated by reference into an</w:t>
            </w:r>
            <w:r>
              <w:rPr>
                <w:rFonts w:eastAsia="Times New Roman"/>
                <w:sz w:val="20"/>
                <w:szCs w:val="20"/>
              </w:rPr>
              <w:t>y filing of the Company, whether made before or after the date hereof, regardless of any general incorporation language in such filing.</w:t>
            </w:r>
          </w:p>
        </w:tc>
      </w:tr>
    </w:tbl>
    <w:p w14:paraId="56222BA2" w14:textId="77777777" w:rsidR="00000000" w:rsidRDefault="001F1B20">
      <w:pPr>
        <w:pStyle w:val="a3"/>
        <w:spacing w:before="0" w:beforeAutospacing="0" w:after="0" w:afterAutospacing="0"/>
        <w:divId w:val="1477793552"/>
        <w:rPr>
          <w:sz w:val="20"/>
          <w:szCs w:val="20"/>
        </w:rPr>
      </w:pPr>
      <w:r>
        <w:rPr>
          <w:sz w:val="20"/>
          <w:szCs w:val="20"/>
        </w:rPr>
        <w:t>​</w:t>
      </w:r>
    </w:p>
    <w:p w14:paraId="77F0C994" w14:textId="77777777" w:rsidR="00000000" w:rsidRDefault="001F1B20">
      <w:pPr>
        <w:pStyle w:val="a3"/>
        <w:spacing w:before="360" w:beforeAutospacing="0" w:after="0" w:afterAutospacing="0"/>
        <w:jc w:val="center"/>
        <w:divId w:val="704254259"/>
        <w:rPr>
          <w:sz w:val="20"/>
          <w:szCs w:val="20"/>
        </w:rPr>
      </w:pPr>
      <w:r>
        <w:rPr>
          <w:sz w:val="20"/>
          <w:szCs w:val="20"/>
        </w:rPr>
        <w:t>75</w:t>
      </w:r>
    </w:p>
    <w:p w14:paraId="6B7229E6" w14:textId="77777777" w:rsidR="00000000" w:rsidRDefault="001F1B20">
      <w:pPr>
        <w:pStyle w:val="a3"/>
        <w:spacing w:before="0" w:beforeAutospacing="0" w:after="600" w:afterAutospacing="0"/>
        <w:divId w:val="833885521"/>
        <w:rPr>
          <w:sz w:val="20"/>
          <w:szCs w:val="20"/>
        </w:rPr>
      </w:pPr>
      <w:hyperlink w:anchor="TOC" w:history="1">
        <w:r>
          <w:rPr>
            <w:rStyle w:val="a4"/>
            <w:sz w:val="20"/>
            <w:szCs w:val="20"/>
          </w:rPr>
          <w:t>Table of Contents</w:t>
        </w:r>
      </w:hyperlink>
    </w:p>
    <w:p w14:paraId="15BE5591" w14:textId="77777777" w:rsidR="00000000" w:rsidRDefault="001F1B20">
      <w:pPr>
        <w:pStyle w:val="a3"/>
        <w:spacing w:before="0" w:beforeAutospacing="0" w:after="0" w:afterAutospacing="0"/>
        <w:jc w:val="center"/>
        <w:divId w:val="516694864"/>
        <w:rPr>
          <w:sz w:val="20"/>
          <w:szCs w:val="20"/>
        </w:rPr>
      </w:pPr>
      <w:r>
        <w:rPr>
          <w:b/>
          <w:bCs/>
          <w:sz w:val="20"/>
          <w:szCs w:val="20"/>
        </w:rPr>
        <w:t>SIGNATURES</w:t>
      </w:r>
    </w:p>
    <w:p w14:paraId="41E55CA4" w14:textId="77777777" w:rsidR="00000000" w:rsidRDefault="001F1B20">
      <w:pPr>
        <w:pStyle w:val="a3"/>
        <w:spacing w:before="0" w:beforeAutospacing="0" w:after="0" w:afterAutospacing="0"/>
        <w:divId w:val="516694864"/>
        <w:rPr>
          <w:sz w:val="20"/>
          <w:szCs w:val="20"/>
        </w:rPr>
      </w:pPr>
      <w:r>
        <w:rPr>
          <w:sz w:val="20"/>
          <w:szCs w:val="20"/>
        </w:rPr>
        <w:t>​</w:t>
      </w:r>
    </w:p>
    <w:p w14:paraId="171FC590" w14:textId="77777777" w:rsidR="00000000" w:rsidRDefault="001F1B20">
      <w:pPr>
        <w:pStyle w:val="a3"/>
        <w:spacing w:before="0" w:beforeAutospacing="0" w:after="0" w:afterAutospacing="0"/>
        <w:divId w:val="516694864"/>
        <w:rPr>
          <w:sz w:val="20"/>
          <w:szCs w:val="20"/>
        </w:rPr>
      </w:pPr>
      <w:r>
        <w:rPr>
          <w:sz w:val="20"/>
          <w:szCs w:val="20"/>
        </w:rPr>
        <w:t>Pursuant to the Securities Exchange Act of 1934, the registrant has duly caused this report to be signed on its behalf by the undersigned thereunto duly authorized.</w:t>
      </w:r>
    </w:p>
    <w:p w14:paraId="38EAF1D1" w14:textId="77777777" w:rsidR="00000000" w:rsidRDefault="001F1B20">
      <w:pPr>
        <w:pStyle w:val="a3"/>
        <w:spacing w:before="0" w:beforeAutospacing="0" w:after="0" w:afterAutospacing="0"/>
        <w:divId w:val="5166948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14:paraId="602FEB45" w14:textId="77777777">
        <w:trPr>
          <w:divId w:val="516694864"/>
          <w:trHeight w:val="20"/>
        </w:trPr>
        <w:tc>
          <w:tcPr>
            <w:tcW w:w="2500" w:type="pct"/>
            <w:tcMar>
              <w:top w:w="0" w:type="dxa"/>
              <w:left w:w="0" w:type="dxa"/>
              <w:bottom w:w="0" w:type="dxa"/>
              <w:right w:w="0" w:type="dxa"/>
            </w:tcMar>
            <w:hideMark/>
          </w:tcPr>
          <w:p w14:paraId="284BA3DD" w14:textId="77777777" w:rsidR="00000000" w:rsidRDefault="001F1B20">
            <w:pPr>
              <w:pStyle w:val="a3"/>
              <w:spacing w:before="0" w:beforeAutospacing="0" w:after="0" w:afterAutospacing="0"/>
              <w:divId w:val="1357653880"/>
              <w:rPr>
                <w:sz w:val="20"/>
                <w:szCs w:val="20"/>
              </w:rPr>
            </w:pPr>
            <w:r>
              <w:rPr>
                <w:sz w:val="20"/>
                <w:szCs w:val="20"/>
              </w:rPr>
              <w:t>​</w:t>
            </w:r>
          </w:p>
        </w:tc>
        <w:tc>
          <w:tcPr>
            <w:tcW w:w="2500" w:type="pct"/>
            <w:tcMar>
              <w:top w:w="0" w:type="dxa"/>
              <w:left w:w="0" w:type="dxa"/>
              <w:bottom w:w="0" w:type="dxa"/>
              <w:right w:w="0" w:type="dxa"/>
            </w:tcMar>
            <w:hideMark/>
          </w:tcPr>
          <w:p w14:paraId="78DA0CF4" w14:textId="77777777" w:rsidR="00000000" w:rsidRDefault="001F1B20">
            <w:pPr>
              <w:rPr>
                <w:sz w:val="20"/>
                <w:szCs w:val="20"/>
              </w:rPr>
            </w:pPr>
          </w:p>
        </w:tc>
      </w:tr>
      <w:tr w:rsidR="00000000" w14:paraId="1577DB58" w14:textId="77777777">
        <w:trPr>
          <w:divId w:val="516694864"/>
        </w:trPr>
        <w:tc>
          <w:tcPr>
            <w:tcW w:w="2500" w:type="pct"/>
            <w:tcMar>
              <w:top w:w="0" w:type="dxa"/>
              <w:left w:w="0" w:type="dxa"/>
              <w:bottom w:w="0" w:type="dxa"/>
              <w:right w:w="0" w:type="dxa"/>
            </w:tcMar>
            <w:hideMark/>
          </w:tcPr>
          <w:p w14:paraId="29618F02" w14:textId="77777777" w:rsidR="00000000" w:rsidRDefault="001F1B20">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1EB80A82" w14:textId="77777777" w:rsidR="00000000" w:rsidRDefault="001F1B20">
            <w:pPr>
              <w:pStyle w:val="a3"/>
              <w:spacing w:before="0" w:beforeAutospacing="0" w:after="0" w:afterAutospacing="0"/>
              <w:rPr>
                <w:sz w:val="20"/>
                <w:szCs w:val="20"/>
              </w:rPr>
            </w:pPr>
            <w:r>
              <w:rPr>
                <w:sz w:val="20"/>
                <w:szCs w:val="20"/>
              </w:rPr>
              <w:t>Theravance Biopharma, Inc.</w:t>
            </w:r>
          </w:p>
        </w:tc>
      </w:tr>
      <w:tr w:rsidR="00000000" w14:paraId="25416BE9" w14:textId="77777777">
        <w:trPr>
          <w:divId w:val="516694864"/>
        </w:trPr>
        <w:tc>
          <w:tcPr>
            <w:tcW w:w="2500" w:type="pct"/>
            <w:tcMar>
              <w:top w:w="0" w:type="dxa"/>
              <w:left w:w="0" w:type="dxa"/>
              <w:bottom w:w="0" w:type="dxa"/>
              <w:right w:w="0" w:type="dxa"/>
            </w:tcMar>
            <w:hideMark/>
          </w:tcPr>
          <w:p w14:paraId="322688B3" w14:textId="77777777" w:rsidR="00000000" w:rsidRDefault="001F1B20">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0B570AAE" w14:textId="77777777" w:rsidR="00000000" w:rsidRDefault="001F1B20">
            <w:pPr>
              <w:pStyle w:val="a3"/>
              <w:spacing w:before="0" w:beforeAutospacing="0" w:after="0" w:afterAutospacing="0"/>
              <w:rPr>
                <w:sz w:val="20"/>
                <w:szCs w:val="20"/>
              </w:rPr>
            </w:pPr>
            <w:r>
              <w:rPr>
                <w:sz w:val="20"/>
                <w:szCs w:val="20"/>
              </w:rPr>
              <w:t>​</w:t>
            </w:r>
          </w:p>
        </w:tc>
      </w:tr>
      <w:tr w:rsidR="00000000" w14:paraId="411F3FC2" w14:textId="77777777">
        <w:trPr>
          <w:divId w:val="516694864"/>
        </w:trPr>
        <w:tc>
          <w:tcPr>
            <w:tcW w:w="2500" w:type="pct"/>
            <w:tcMar>
              <w:top w:w="0" w:type="dxa"/>
              <w:left w:w="0" w:type="dxa"/>
              <w:bottom w:w="0" w:type="dxa"/>
              <w:right w:w="0" w:type="dxa"/>
            </w:tcMar>
            <w:hideMark/>
          </w:tcPr>
          <w:p w14:paraId="59D5940C" w14:textId="77777777" w:rsidR="00000000" w:rsidRDefault="001F1B20">
            <w:pPr>
              <w:pStyle w:val="a3"/>
              <w:spacing w:before="0" w:beforeAutospacing="0" w:after="0" w:afterAutospacing="0"/>
              <w:rPr>
                <w:sz w:val="20"/>
                <w:szCs w:val="20"/>
              </w:rPr>
            </w:pPr>
            <w:r>
              <w:rPr>
                <w:sz w:val="20"/>
                <w:szCs w:val="20"/>
              </w:rPr>
              <w:t>Date: November 8, 2021</w:t>
            </w:r>
          </w:p>
        </w:tc>
        <w:tc>
          <w:tcPr>
            <w:tcW w:w="2500" w:type="pct"/>
            <w:tcBorders>
              <w:bottom w:val="single" w:sz="6" w:space="0" w:color="000000"/>
            </w:tcBorders>
            <w:tcMar>
              <w:top w:w="0" w:type="dxa"/>
              <w:left w:w="0" w:type="dxa"/>
              <w:bottom w:w="0" w:type="dxa"/>
              <w:right w:w="0" w:type="dxa"/>
            </w:tcMar>
            <w:hideMark/>
          </w:tcPr>
          <w:p w14:paraId="719D785B" w14:textId="77777777" w:rsidR="00000000" w:rsidRDefault="001F1B20">
            <w:pPr>
              <w:pStyle w:val="a3"/>
              <w:spacing w:before="0" w:beforeAutospacing="0" w:after="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14:paraId="3277F1F7" w14:textId="77777777">
        <w:trPr>
          <w:divId w:val="516694864"/>
        </w:trPr>
        <w:tc>
          <w:tcPr>
            <w:tcW w:w="2500" w:type="pct"/>
            <w:tcMar>
              <w:top w:w="0" w:type="dxa"/>
              <w:left w:w="0" w:type="dxa"/>
              <w:bottom w:w="0" w:type="dxa"/>
              <w:right w:w="0" w:type="dxa"/>
            </w:tcMar>
            <w:hideMark/>
          </w:tcPr>
          <w:p w14:paraId="66DDC353" w14:textId="77777777" w:rsidR="00000000" w:rsidRDefault="001F1B20">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14:paraId="649B3CCA" w14:textId="77777777" w:rsidR="00000000" w:rsidRDefault="001F1B20">
            <w:pPr>
              <w:pStyle w:val="a3"/>
              <w:spacing w:before="0" w:beforeAutospacing="0" w:after="0" w:afterAutospacing="0"/>
              <w:jc w:val="center"/>
              <w:rPr>
                <w:sz w:val="20"/>
                <w:szCs w:val="20"/>
              </w:rPr>
            </w:pPr>
            <w:r>
              <w:rPr>
                <w:sz w:val="20"/>
                <w:szCs w:val="20"/>
              </w:rPr>
              <w:t>Rick E Winningham</w:t>
            </w:r>
          </w:p>
        </w:tc>
      </w:tr>
      <w:tr w:rsidR="00000000" w14:paraId="37188DF7" w14:textId="77777777">
        <w:trPr>
          <w:divId w:val="516694864"/>
        </w:trPr>
        <w:tc>
          <w:tcPr>
            <w:tcW w:w="2500" w:type="pct"/>
            <w:tcMar>
              <w:top w:w="0" w:type="dxa"/>
              <w:left w:w="0" w:type="dxa"/>
              <w:bottom w:w="0" w:type="dxa"/>
              <w:right w:w="0" w:type="dxa"/>
            </w:tcMar>
            <w:hideMark/>
          </w:tcPr>
          <w:p w14:paraId="3E8A6FBD" w14:textId="77777777" w:rsidR="00000000" w:rsidRDefault="001F1B20">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5FED8BC9" w14:textId="77777777" w:rsidR="00000000" w:rsidRDefault="001F1B20">
            <w:pPr>
              <w:pStyle w:val="a3"/>
              <w:spacing w:before="0" w:beforeAutospacing="0" w:after="0" w:afterAutospacing="0"/>
              <w:jc w:val="center"/>
              <w:rPr>
                <w:sz w:val="20"/>
                <w:szCs w:val="20"/>
              </w:rPr>
            </w:pPr>
            <w:r>
              <w:rPr>
                <w:sz w:val="20"/>
                <w:szCs w:val="20"/>
              </w:rPr>
              <w:t>Chairman of the Board and Chief Executive Officer</w:t>
            </w:r>
          </w:p>
        </w:tc>
      </w:tr>
      <w:tr w:rsidR="00000000" w14:paraId="6E8FDEB6" w14:textId="77777777">
        <w:trPr>
          <w:divId w:val="516694864"/>
        </w:trPr>
        <w:tc>
          <w:tcPr>
            <w:tcW w:w="2500" w:type="pct"/>
            <w:tcMar>
              <w:top w:w="0" w:type="dxa"/>
              <w:left w:w="0" w:type="dxa"/>
              <w:bottom w:w="0" w:type="dxa"/>
              <w:right w:w="0" w:type="dxa"/>
            </w:tcMar>
            <w:hideMark/>
          </w:tcPr>
          <w:p w14:paraId="440AFE71" w14:textId="77777777" w:rsidR="00000000" w:rsidRDefault="001F1B20">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74D01A5A" w14:textId="77777777" w:rsidR="00000000" w:rsidRDefault="001F1B20">
            <w:pPr>
              <w:pStyle w:val="a3"/>
              <w:spacing w:before="0" w:beforeAutospacing="0" w:after="0" w:afterAutospacing="0"/>
              <w:jc w:val="center"/>
              <w:rPr>
                <w:sz w:val="20"/>
                <w:szCs w:val="20"/>
              </w:rPr>
            </w:pPr>
            <w:r>
              <w:rPr>
                <w:sz w:val="20"/>
                <w:szCs w:val="20"/>
              </w:rPr>
              <w:t>(Principal Executive Officer)</w:t>
            </w:r>
          </w:p>
        </w:tc>
      </w:tr>
      <w:tr w:rsidR="00000000" w14:paraId="4718340E" w14:textId="77777777">
        <w:trPr>
          <w:divId w:val="516694864"/>
        </w:trPr>
        <w:tc>
          <w:tcPr>
            <w:tcW w:w="2500" w:type="pct"/>
            <w:tcMar>
              <w:top w:w="0" w:type="dxa"/>
              <w:left w:w="0" w:type="dxa"/>
              <w:bottom w:w="0" w:type="dxa"/>
              <w:right w:w="0" w:type="dxa"/>
            </w:tcMar>
            <w:hideMark/>
          </w:tcPr>
          <w:p w14:paraId="205FDB3D" w14:textId="77777777" w:rsidR="00000000" w:rsidRDefault="001F1B20">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186A7506" w14:textId="77777777" w:rsidR="00000000" w:rsidRDefault="001F1B20">
            <w:pPr>
              <w:pStyle w:val="a3"/>
              <w:spacing w:before="0" w:beforeAutospacing="0" w:after="0" w:afterAutospacing="0"/>
              <w:jc w:val="center"/>
              <w:rPr>
                <w:sz w:val="20"/>
                <w:szCs w:val="20"/>
              </w:rPr>
            </w:pPr>
            <w:r>
              <w:rPr>
                <w:sz w:val="20"/>
                <w:szCs w:val="20"/>
              </w:rPr>
              <w:t>​</w:t>
            </w:r>
          </w:p>
        </w:tc>
      </w:tr>
      <w:tr w:rsidR="00000000" w14:paraId="44FF359F" w14:textId="77777777">
        <w:trPr>
          <w:divId w:val="516694864"/>
        </w:trPr>
        <w:tc>
          <w:tcPr>
            <w:tcW w:w="2500" w:type="pct"/>
            <w:tcMar>
              <w:top w:w="0" w:type="dxa"/>
              <w:left w:w="0" w:type="dxa"/>
              <w:bottom w:w="0" w:type="dxa"/>
              <w:right w:w="0" w:type="dxa"/>
            </w:tcMar>
            <w:hideMark/>
          </w:tcPr>
          <w:p w14:paraId="0691E4DE" w14:textId="77777777" w:rsidR="00000000" w:rsidRDefault="001F1B20">
            <w:pPr>
              <w:pStyle w:val="a3"/>
              <w:spacing w:before="0" w:beforeAutospacing="0" w:after="0" w:afterAutospacing="0"/>
              <w:rPr>
                <w:sz w:val="20"/>
                <w:szCs w:val="20"/>
              </w:rPr>
            </w:pPr>
            <w:r>
              <w:rPr>
                <w:sz w:val="20"/>
                <w:szCs w:val="20"/>
              </w:rPr>
              <w:t>Date: November 8, 2021</w:t>
            </w:r>
          </w:p>
        </w:tc>
        <w:tc>
          <w:tcPr>
            <w:tcW w:w="2500" w:type="pct"/>
            <w:tcBorders>
              <w:bottom w:val="single" w:sz="6" w:space="0" w:color="000000"/>
            </w:tcBorders>
            <w:tcMar>
              <w:top w:w="0" w:type="dxa"/>
              <w:left w:w="0" w:type="dxa"/>
              <w:bottom w:w="0" w:type="dxa"/>
              <w:right w:w="0" w:type="dxa"/>
            </w:tcMar>
            <w:hideMark/>
          </w:tcPr>
          <w:p w14:paraId="2605BBB7" w14:textId="77777777" w:rsidR="00000000" w:rsidRDefault="001F1B20">
            <w:pPr>
              <w:pStyle w:val="a3"/>
              <w:spacing w:before="0" w:beforeAutospacing="0" w:after="0" w:afterAutospacing="0"/>
              <w:jc w:val="center"/>
              <w:rPr>
                <w:sz w:val="20"/>
                <w:szCs w:val="20"/>
              </w:rPr>
            </w:pPr>
            <w:r>
              <w:rPr>
                <w:sz w:val="20"/>
                <w:szCs w:val="20"/>
              </w:rPr>
              <w:t>/s/ A</w:t>
            </w:r>
            <w:r>
              <w:rPr>
                <w:smallCaps/>
                <w:sz w:val="20"/>
                <w:szCs w:val="20"/>
              </w:rPr>
              <w:t>ndrew</w:t>
            </w:r>
            <w:r>
              <w:rPr>
                <w:sz w:val="20"/>
                <w:szCs w:val="20"/>
              </w:rPr>
              <w:t xml:space="preserve"> H</w:t>
            </w:r>
            <w:r>
              <w:rPr>
                <w:smallCaps/>
                <w:sz w:val="20"/>
                <w:szCs w:val="20"/>
              </w:rPr>
              <w:t>indman</w:t>
            </w:r>
          </w:p>
        </w:tc>
      </w:tr>
      <w:tr w:rsidR="00000000" w14:paraId="40E6321F" w14:textId="77777777">
        <w:trPr>
          <w:divId w:val="516694864"/>
        </w:trPr>
        <w:tc>
          <w:tcPr>
            <w:tcW w:w="2500" w:type="pct"/>
            <w:tcMar>
              <w:top w:w="0" w:type="dxa"/>
              <w:left w:w="0" w:type="dxa"/>
              <w:bottom w:w="0" w:type="dxa"/>
              <w:right w:w="0" w:type="dxa"/>
            </w:tcMar>
            <w:hideMark/>
          </w:tcPr>
          <w:p w14:paraId="0DB8DBF2" w14:textId="77777777" w:rsidR="00000000" w:rsidRDefault="001F1B20">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14:paraId="07DA9BD3" w14:textId="77777777" w:rsidR="00000000" w:rsidRDefault="001F1B20">
            <w:pPr>
              <w:pStyle w:val="a3"/>
              <w:spacing w:before="0" w:beforeAutospacing="0" w:after="0" w:afterAutospacing="0"/>
              <w:jc w:val="center"/>
              <w:rPr>
                <w:sz w:val="20"/>
                <w:szCs w:val="20"/>
              </w:rPr>
            </w:pPr>
            <w:r>
              <w:rPr>
                <w:sz w:val="20"/>
                <w:szCs w:val="20"/>
              </w:rPr>
              <w:t>Andrew Hindman</w:t>
            </w:r>
          </w:p>
          <w:p w14:paraId="68989703" w14:textId="77777777" w:rsidR="00000000" w:rsidRDefault="001F1B20">
            <w:pPr>
              <w:pStyle w:val="a3"/>
              <w:spacing w:before="0" w:beforeAutospacing="0" w:after="0" w:afterAutospacing="0"/>
              <w:jc w:val="center"/>
              <w:rPr>
                <w:sz w:val="20"/>
                <w:szCs w:val="20"/>
              </w:rPr>
            </w:pPr>
            <w:r>
              <w:rPr>
                <w:sz w:val="20"/>
                <w:szCs w:val="20"/>
              </w:rPr>
              <w:t>Senior Vice President and Chief Financial Officer</w:t>
            </w:r>
          </w:p>
        </w:tc>
      </w:tr>
      <w:tr w:rsidR="00000000" w14:paraId="3B928ED3" w14:textId="77777777">
        <w:trPr>
          <w:divId w:val="516694864"/>
        </w:trPr>
        <w:tc>
          <w:tcPr>
            <w:tcW w:w="2500" w:type="pct"/>
            <w:tcMar>
              <w:top w:w="0" w:type="dxa"/>
              <w:left w:w="0" w:type="dxa"/>
              <w:bottom w:w="0" w:type="dxa"/>
              <w:right w:w="0" w:type="dxa"/>
            </w:tcMar>
            <w:hideMark/>
          </w:tcPr>
          <w:p w14:paraId="5A1D958B" w14:textId="77777777" w:rsidR="00000000" w:rsidRDefault="001F1B20">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3BFEDDDF" w14:textId="77777777" w:rsidR="00000000" w:rsidRDefault="001F1B20">
            <w:pPr>
              <w:pStyle w:val="a3"/>
              <w:spacing w:before="0" w:beforeAutospacing="0" w:after="0" w:afterAutospacing="0"/>
              <w:jc w:val="center"/>
              <w:rPr>
                <w:sz w:val="20"/>
                <w:szCs w:val="20"/>
              </w:rPr>
            </w:pPr>
            <w:r>
              <w:rPr>
                <w:sz w:val="20"/>
                <w:szCs w:val="20"/>
              </w:rPr>
              <w:t>(Principal Financial Officer)</w:t>
            </w:r>
          </w:p>
        </w:tc>
      </w:tr>
      <w:tr w:rsidR="00000000" w14:paraId="4C6A637F" w14:textId="77777777">
        <w:trPr>
          <w:divId w:val="516694864"/>
        </w:trPr>
        <w:tc>
          <w:tcPr>
            <w:tcW w:w="2500" w:type="pct"/>
            <w:tcMar>
              <w:top w:w="0" w:type="dxa"/>
              <w:left w:w="0" w:type="dxa"/>
              <w:bottom w:w="0" w:type="dxa"/>
              <w:right w:w="0" w:type="dxa"/>
            </w:tcMar>
            <w:hideMark/>
          </w:tcPr>
          <w:p w14:paraId="007E1431" w14:textId="77777777" w:rsidR="00000000" w:rsidRDefault="001F1B20">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14:paraId="7FD93F9D" w14:textId="77777777" w:rsidR="00000000" w:rsidRDefault="001F1B20">
            <w:pPr>
              <w:pStyle w:val="a3"/>
              <w:spacing w:before="0" w:beforeAutospacing="0" w:after="0" w:afterAutospacing="0"/>
              <w:jc w:val="center"/>
              <w:rPr>
                <w:sz w:val="20"/>
                <w:szCs w:val="20"/>
              </w:rPr>
            </w:pPr>
            <w:r>
              <w:rPr>
                <w:sz w:val="20"/>
                <w:szCs w:val="20"/>
              </w:rPr>
              <w:t>​</w:t>
            </w:r>
          </w:p>
        </w:tc>
      </w:tr>
    </w:tbl>
    <w:p w14:paraId="2877CF16" w14:textId="77777777" w:rsidR="00000000" w:rsidRDefault="001F1B20">
      <w:pPr>
        <w:pStyle w:val="a3"/>
        <w:spacing w:before="0" w:beforeAutospacing="0" w:after="0" w:afterAutospacing="0"/>
        <w:divId w:val="516694864"/>
        <w:rPr>
          <w:sz w:val="20"/>
          <w:szCs w:val="20"/>
        </w:rPr>
      </w:pPr>
      <w:r>
        <w:rPr>
          <w:sz w:val="2"/>
          <w:szCs w:val="2"/>
        </w:rPr>
        <w:t>​</w:t>
      </w:r>
    </w:p>
    <w:p w14:paraId="17505191" w14:textId="77777777" w:rsidR="00000000" w:rsidRDefault="001F1B20">
      <w:pPr>
        <w:pStyle w:val="a3"/>
        <w:spacing w:before="0" w:beforeAutospacing="0" w:after="0" w:afterAutospacing="0"/>
        <w:divId w:val="516694864"/>
        <w:rPr>
          <w:sz w:val="20"/>
          <w:szCs w:val="20"/>
        </w:rPr>
      </w:pPr>
      <w:r>
        <w:rPr>
          <w:sz w:val="20"/>
          <w:szCs w:val="20"/>
        </w:rPr>
        <w:t>​</w:t>
      </w:r>
    </w:p>
    <w:p w14:paraId="7F55E198" w14:textId="77777777" w:rsidR="00000000" w:rsidRDefault="001F1B20">
      <w:pPr>
        <w:pStyle w:val="a3"/>
        <w:spacing w:before="0" w:beforeAutospacing="0" w:after="0" w:afterAutospacing="0"/>
        <w:divId w:val="516694864"/>
        <w:rPr>
          <w:sz w:val="20"/>
          <w:szCs w:val="20"/>
        </w:rPr>
      </w:pPr>
      <w:r>
        <w:rPr>
          <w:sz w:val="20"/>
          <w:szCs w:val="20"/>
        </w:rPr>
        <w:t>​</w:t>
      </w:r>
    </w:p>
    <w:p w14:paraId="1CBC6DB8" w14:textId="77777777" w:rsidR="001F1B20" w:rsidRDefault="001F1B20">
      <w:pPr>
        <w:pStyle w:val="a3"/>
        <w:spacing w:before="360" w:beforeAutospacing="0" w:after="0" w:afterAutospacing="0"/>
        <w:jc w:val="center"/>
        <w:divId w:val="1389454648"/>
        <w:rPr>
          <w:sz w:val="20"/>
          <w:szCs w:val="20"/>
        </w:rPr>
      </w:pPr>
      <w:r>
        <w:rPr>
          <w:sz w:val="20"/>
          <w:szCs w:val="20"/>
        </w:rPr>
        <w:t>76</w:t>
      </w:r>
    </w:p>
    <w:sectPr w:rsidR="001F1B2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F1B20"/>
    <w:rsid w:val="001F1B20"/>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theravance.com/20210930"/>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8ECCC"/>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825">
      <w:marLeft w:val="0"/>
      <w:marRight w:val="0"/>
      <w:marTop w:val="0"/>
      <w:marBottom w:val="0"/>
      <w:divBdr>
        <w:top w:val="none" w:sz="0" w:space="0" w:color="auto"/>
        <w:left w:val="none" w:sz="0" w:space="0" w:color="auto"/>
        <w:bottom w:val="none" w:sz="0" w:space="0" w:color="auto"/>
        <w:right w:val="none" w:sz="0" w:space="0" w:color="auto"/>
      </w:divBdr>
      <w:divsChild>
        <w:div w:id="1006438437">
          <w:marLeft w:val="0"/>
          <w:marRight w:val="0"/>
          <w:marTop w:val="547"/>
          <w:marBottom w:val="0"/>
          <w:divBdr>
            <w:top w:val="none" w:sz="0" w:space="0" w:color="auto"/>
            <w:left w:val="none" w:sz="0" w:space="0" w:color="auto"/>
            <w:bottom w:val="none" w:sz="0" w:space="0" w:color="auto"/>
            <w:right w:val="none" w:sz="0" w:space="0" w:color="auto"/>
          </w:divBdr>
        </w:div>
        <w:div w:id="1806119942">
          <w:marLeft w:val="0"/>
          <w:marRight w:val="0"/>
          <w:marTop w:val="0"/>
          <w:marBottom w:val="0"/>
          <w:divBdr>
            <w:top w:val="none" w:sz="0" w:space="0" w:color="auto"/>
            <w:left w:val="none" w:sz="0" w:space="0" w:color="auto"/>
            <w:bottom w:val="none" w:sz="0" w:space="0" w:color="auto"/>
            <w:right w:val="none" w:sz="0" w:space="0" w:color="auto"/>
          </w:divBdr>
        </w:div>
        <w:div w:id="1670524955">
          <w:marLeft w:val="0"/>
          <w:marRight w:val="0"/>
          <w:marTop w:val="0"/>
          <w:marBottom w:val="600"/>
          <w:divBdr>
            <w:top w:val="none" w:sz="0" w:space="0" w:color="auto"/>
            <w:left w:val="none" w:sz="0" w:space="0" w:color="auto"/>
            <w:bottom w:val="none" w:sz="0" w:space="0" w:color="auto"/>
            <w:right w:val="none" w:sz="0" w:space="0" w:color="auto"/>
          </w:divBdr>
        </w:div>
      </w:divsChild>
    </w:div>
    <w:div w:id="57561622">
      <w:marLeft w:val="0"/>
      <w:marRight w:val="0"/>
      <w:marTop w:val="0"/>
      <w:marBottom w:val="0"/>
      <w:divBdr>
        <w:top w:val="none" w:sz="0" w:space="0" w:color="auto"/>
        <w:left w:val="none" w:sz="0" w:space="0" w:color="auto"/>
        <w:bottom w:val="none" w:sz="0" w:space="0" w:color="auto"/>
        <w:right w:val="none" w:sz="0" w:space="0" w:color="auto"/>
      </w:divBdr>
      <w:divsChild>
        <w:div w:id="834105939">
          <w:marLeft w:val="0"/>
          <w:marRight w:val="0"/>
          <w:marTop w:val="547"/>
          <w:marBottom w:val="0"/>
          <w:divBdr>
            <w:top w:val="none" w:sz="0" w:space="0" w:color="auto"/>
            <w:left w:val="none" w:sz="0" w:space="0" w:color="auto"/>
            <w:bottom w:val="none" w:sz="0" w:space="0" w:color="auto"/>
            <w:right w:val="none" w:sz="0" w:space="0" w:color="auto"/>
          </w:divBdr>
        </w:div>
        <w:div w:id="1901865854">
          <w:marLeft w:val="0"/>
          <w:marRight w:val="0"/>
          <w:marTop w:val="0"/>
          <w:marBottom w:val="0"/>
          <w:divBdr>
            <w:top w:val="none" w:sz="0" w:space="0" w:color="auto"/>
            <w:left w:val="none" w:sz="0" w:space="0" w:color="auto"/>
            <w:bottom w:val="none" w:sz="0" w:space="0" w:color="auto"/>
            <w:right w:val="none" w:sz="0" w:space="0" w:color="auto"/>
          </w:divBdr>
          <w:divsChild>
            <w:div w:id="637032906">
              <w:marLeft w:val="0"/>
              <w:marRight w:val="0"/>
              <w:marTop w:val="0"/>
              <w:marBottom w:val="0"/>
              <w:divBdr>
                <w:top w:val="none" w:sz="0" w:space="0" w:color="auto"/>
                <w:left w:val="none" w:sz="0" w:space="0" w:color="auto"/>
                <w:bottom w:val="none" w:sz="0" w:space="0" w:color="auto"/>
                <w:right w:val="none" w:sz="0" w:space="0" w:color="auto"/>
              </w:divBdr>
              <w:divsChild>
                <w:div w:id="4014616">
                  <w:marLeft w:val="0"/>
                  <w:marRight w:val="0"/>
                  <w:marTop w:val="0"/>
                  <w:marBottom w:val="0"/>
                  <w:divBdr>
                    <w:top w:val="none" w:sz="0" w:space="0" w:color="auto"/>
                    <w:left w:val="none" w:sz="0" w:space="0" w:color="auto"/>
                    <w:bottom w:val="none" w:sz="0" w:space="0" w:color="auto"/>
                    <w:right w:val="none" w:sz="0" w:space="0" w:color="auto"/>
                  </w:divBdr>
                </w:div>
              </w:divsChild>
            </w:div>
            <w:div w:id="1131898567">
              <w:marLeft w:val="0"/>
              <w:marRight w:val="0"/>
              <w:marTop w:val="0"/>
              <w:marBottom w:val="0"/>
              <w:divBdr>
                <w:top w:val="none" w:sz="0" w:space="0" w:color="auto"/>
                <w:left w:val="none" w:sz="0" w:space="0" w:color="auto"/>
                <w:bottom w:val="none" w:sz="0" w:space="0" w:color="auto"/>
                <w:right w:val="none" w:sz="0" w:space="0" w:color="auto"/>
              </w:divBdr>
              <w:divsChild>
                <w:div w:id="1059283439">
                  <w:marLeft w:val="0"/>
                  <w:marRight w:val="0"/>
                  <w:marTop w:val="0"/>
                  <w:marBottom w:val="0"/>
                  <w:divBdr>
                    <w:top w:val="none" w:sz="0" w:space="0" w:color="auto"/>
                    <w:left w:val="none" w:sz="0" w:space="0" w:color="auto"/>
                    <w:bottom w:val="none" w:sz="0" w:space="0" w:color="auto"/>
                    <w:right w:val="none" w:sz="0" w:space="0" w:color="auto"/>
                  </w:divBdr>
                </w:div>
              </w:divsChild>
            </w:div>
            <w:div w:id="1035812733">
              <w:marLeft w:val="0"/>
              <w:marRight w:val="0"/>
              <w:marTop w:val="0"/>
              <w:marBottom w:val="0"/>
              <w:divBdr>
                <w:top w:val="none" w:sz="0" w:space="0" w:color="auto"/>
                <w:left w:val="none" w:sz="0" w:space="0" w:color="auto"/>
                <w:bottom w:val="none" w:sz="0" w:space="0" w:color="auto"/>
                <w:right w:val="none" w:sz="0" w:space="0" w:color="auto"/>
              </w:divBdr>
              <w:divsChild>
                <w:div w:id="63916966">
                  <w:marLeft w:val="0"/>
                  <w:marRight w:val="0"/>
                  <w:marTop w:val="0"/>
                  <w:marBottom w:val="0"/>
                  <w:divBdr>
                    <w:top w:val="none" w:sz="0" w:space="0" w:color="auto"/>
                    <w:left w:val="none" w:sz="0" w:space="0" w:color="auto"/>
                    <w:bottom w:val="none" w:sz="0" w:space="0" w:color="auto"/>
                    <w:right w:val="none" w:sz="0" w:space="0" w:color="auto"/>
                  </w:divBdr>
                </w:div>
              </w:divsChild>
            </w:div>
            <w:div w:id="915895473">
              <w:marLeft w:val="0"/>
              <w:marRight w:val="0"/>
              <w:marTop w:val="0"/>
              <w:marBottom w:val="0"/>
              <w:divBdr>
                <w:top w:val="none" w:sz="0" w:space="0" w:color="auto"/>
                <w:left w:val="none" w:sz="0" w:space="0" w:color="auto"/>
                <w:bottom w:val="none" w:sz="0" w:space="0" w:color="auto"/>
                <w:right w:val="none" w:sz="0" w:space="0" w:color="auto"/>
              </w:divBdr>
              <w:divsChild>
                <w:div w:id="1248030038">
                  <w:marLeft w:val="0"/>
                  <w:marRight w:val="0"/>
                  <w:marTop w:val="0"/>
                  <w:marBottom w:val="0"/>
                  <w:divBdr>
                    <w:top w:val="none" w:sz="0" w:space="0" w:color="auto"/>
                    <w:left w:val="none" w:sz="0" w:space="0" w:color="auto"/>
                    <w:bottom w:val="none" w:sz="0" w:space="0" w:color="auto"/>
                    <w:right w:val="none" w:sz="0" w:space="0" w:color="auto"/>
                  </w:divBdr>
                </w:div>
              </w:divsChild>
            </w:div>
            <w:div w:id="2035424564">
              <w:marLeft w:val="0"/>
              <w:marRight w:val="0"/>
              <w:marTop w:val="0"/>
              <w:marBottom w:val="0"/>
              <w:divBdr>
                <w:top w:val="none" w:sz="0" w:space="0" w:color="auto"/>
                <w:left w:val="none" w:sz="0" w:space="0" w:color="auto"/>
                <w:bottom w:val="none" w:sz="0" w:space="0" w:color="auto"/>
                <w:right w:val="none" w:sz="0" w:space="0" w:color="auto"/>
              </w:divBdr>
              <w:divsChild>
                <w:div w:id="1554927738">
                  <w:marLeft w:val="0"/>
                  <w:marRight w:val="0"/>
                  <w:marTop w:val="0"/>
                  <w:marBottom w:val="0"/>
                  <w:divBdr>
                    <w:top w:val="none" w:sz="0" w:space="0" w:color="auto"/>
                    <w:left w:val="none" w:sz="0" w:space="0" w:color="auto"/>
                    <w:bottom w:val="none" w:sz="0" w:space="0" w:color="auto"/>
                    <w:right w:val="none" w:sz="0" w:space="0" w:color="auto"/>
                  </w:divBdr>
                </w:div>
              </w:divsChild>
            </w:div>
            <w:div w:id="1994329422">
              <w:marLeft w:val="0"/>
              <w:marRight w:val="0"/>
              <w:marTop w:val="0"/>
              <w:marBottom w:val="0"/>
              <w:divBdr>
                <w:top w:val="none" w:sz="0" w:space="0" w:color="auto"/>
                <w:left w:val="none" w:sz="0" w:space="0" w:color="auto"/>
                <w:bottom w:val="none" w:sz="0" w:space="0" w:color="auto"/>
                <w:right w:val="none" w:sz="0" w:space="0" w:color="auto"/>
              </w:divBdr>
              <w:divsChild>
                <w:div w:id="1871719036">
                  <w:marLeft w:val="0"/>
                  <w:marRight w:val="0"/>
                  <w:marTop w:val="0"/>
                  <w:marBottom w:val="0"/>
                  <w:divBdr>
                    <w:top w:val="none" w:sz="0" w:space="0" w:color="auto"/>
                    <w:left w:val="none" w:sz="0" w:space="0" w:color="auto"/>
                    <w:bottom w:val="none" w:sz="0" w:space="0" w:color="auto"/>
                    <w:right w:val="none" w:sz="0" w:space="0" w:color="auto"/>
                  </w:divBdr>
                </w:div>
              </w:divsChild>
            </w:div>
            <w:div w:id="2044940243">
              <w:marLeft w:val="0"/>
              <w:marRight w:val="0"/>
              <w:marTop w:val="0"/>
              <w:marBottom w:val="0"/>
              <w:divBdr>
                <w:top w:val="none" w:sz="0" w:space="0" w:color="auto"/>
                <w:left w:val="none" w:sz="0" w:space="0" w:color="auto"/>
                <w:bottom w:val="none" w:sz="0" w:space="0" w:color="auto"/>
                <w:right w:val="none" w:sz="0" w:space="0" w:color="auto"/>
              </w:divBdr>
              <w:divsChild>
                <w:div w:id="132215255">
                  <w:marLeft w:val="0"/>
                  <w:marRight w:val="0"/>
                  <w:marTop w:val="0"/>
                  <w:marBottom w:val="0"/>
                  <w:divBdr>
                    <w:top w:val="none" w:sz="0" w:space="0" w:color="auto"/>
                    <w:left w:val="none" w:sz="0" w:space="0" w:color="auto"/>
                    <w:bottom w:val="none" w:sz="0" w:space="0" w:color="auto"/>
                    <w:right w:val="none" w:sz="0" w:space="0" w:color="auto"/>
                  </w:divBdr>
                </w:div>
              </w:divsChild>
            </w:div>
            <w:div w:id="1455054545">
              <w:marLeft w:val="0"/>
              <w:marRight w:val="0"/>
              <w:marTop w:val="0"/>
              <w:marBottom w:val="0"/>
              <w:divBdr>
                <w:top w:val="none" w:sz="0" w:space="0" w:color="auto"/>
                <w:left w:val="none" w:sz="0" w:space="0" w:color="auto"/>
                <w:bottom w:val="none" w:sz="0" w:space="0" w:color="auto"/>
                <w:right w:val="none" w:sz="0" w:space="0" w:color="auto"/>
              </w:divBdr>
              <w:divsChild>
                <w:div w:id="39012653">
                  <w:marLeft w:val="0"/>
                  <w:marRight w:val="0"/>
                  <w:marTop w:val="0"/>
                  <w:marBottom w:val="0"/>
                  <w:divBdr>
                    <w:top w:val="none" w:sz="0" w:space="0" w:color="auto"/>
                    <w:left w:val="none" w:sz="0" w:space="0" w:color="auto"/>
                    <w:bottom w:val="none" w:sz="0" w:space="0" w:color="auto"/>
                    <w:right w:val="none" w:sz="0" w:space="0" w:color="auto"/>
                  </w:divBdr>
                </w:div>
              </w:divsChild>
            </w:div>
            <w:div w:id="1473520358">
              <w:marLeft w:val="0"/>
              <w:marRight w:val="0"/>
              <w:marTop w:val="0"/>
              <w:marBottom w:val="0"/>
              <w:divBdr>
                <w:top w:val="none" w:sz="0" w:space="0" w:color="auto"/>
                <w:left w:val="none" w:sz="0" w:space="0" w:color="auto"/>
                <w:bottom w:val="none" w:sz="0" w:space="0" w:color="auto"/>
                <w:right w:val="none" w:sz="0" w:space="0" w:color="auto"/>
              </w:divBdr>
              <w:divsChild>
                <w:div w:id="536551789">
                  <w:marLeft w:val="0"/>
                  <w:marRight w:val="0"/>
                  <w:marTop w:val="0"/>
                  <w:marBottom w:val="0"/>
                  <w:divBdr>
                    <w:top w:val="none" w:sz="0" w:space="0" w:color="auto"/>
                    <w:left w:val="none" w:sz="0" w:space="0" w:color="auto"/>
                    <w:bottom w:val="none" w:sz="0" w:space="0" w:color="auto"/>
                    <w:right w:val="none" w:sz="0" w:space="0" w:color="auto"/>
                  </w:divBdr>
                </w:div>
              </w:divsChild>
            </w:div>
            <w:div w:id="1871723495">
              <w:marLeft w:val="0"/>
              <w:marRight w:val="0"/>
              <w:marTop w:val="0"/>
              <w:marBottom w:val="0"/>
              <w:divBdr>
                <w:top w:val="none" w:sz="0" w:space="0" w:color="auto"/>
                <w:left w:val="none" w:sz="0" w:space="0" w:color="auto"/>
                <w:bottom w:val="none" w:sz="0" w:space="0" w:color="auto"/>
                <w:right w:val="none" w:sz="0" w:space="0" w:color="auto"/>
              </w:divBdr>
              <w:divsChild>
                <w:div w:id="1407413479">
                  <w:marLeft w:val="0"/>
                  <w:marRight w:val="0"/>
                  <w:marTop w:val="0"/>
                  <w:marBottom w:val="0"/>
                  <w:divBdr>
                    <w:top w:val="none" w:sz="0" w:space="0" w:color="auto"/>
                    <w:left w:val="none" w:sz="0" w:space="0" w:color="auto"/>
                    <w:bottom w:val="none" w:sz="0" w:space="0" w:color="auto"/>
                    <w:right w:val="none" w:sz="0" w:space="0" w:color="auto"/>
                  </w:divBdr>
                </w:div>
              </w:divsChild>
            </w:div>
            <w:div w:id="1838424057">
              <w:marLeft w:val="0"/>
              <w:marRight w:val="0"/>
              <w:marTop w:val="0"/>
              <w:marBottom w:val="0"/>
              <w:divBdr>
                <w:top w:val="none" w:sz="0" w:space="0" w:color="auto"/>
                <w:left w:val="none" w:sz="0" w:space="0" w:color="auto"/>
                <w:bottom w:val="none" w:sz="0" w:space="0" w:color="auto"/>
                <w:right w:val="none" w:sz="0" w:space="0" w:color="auto"/>
              </w:divBdr>
              <w:divsChild>
                <w:div w:id="945498097">
                  <w:marLeft w:val="0"/>
                  <w:marRight w:val="0"/>
                  <w:marTop w:val="0"/>
                  <w:marBottom w:val="0"/>
                  <w:divBdr>
                    <w:top w:val="none" w:sz="0" w:space="0" w:color="auto"/>
                    <w:left w:val="none" w:sz="0" w:space="0" w:color="auto"/>
                    <w:bottom w:val="none" w:sz="0" w:space="0" w:color="auto"/>
                    <w:right w:val="none" w:sz="0" w:space="0" w:color="auto"/>
                  </w:divBdr>
                </w:div>
              </w:divsChild>
            </w:div>
            <w:div w:id="1879858566">
              <w:marLeft w:val="0"/>
              <w:marRight w:val="0"/>
              <w:marTop w:val="0"/>
              <w:marBottom w:val="0"/>
              <w:divBdr>
                <w:top w:val="none" w:sz="0" w:space="0" w:color="auto"/>
                <w:left w:val="none" w:sz="0" w:space="0" w:color="auto"/>
                <w:bottom w:val="none" w:sz="0" w:space="0" w:color="auto"/>
                <w:right w:val="none" w:sz="0" w:space="0" w:color="auto"/>
              </w:divBdr>
              <w:divsChild>
                <w:div w:id="377633739">
                  <w:marLeft w:val="0"/>
                  <w:marRight w:val="0"/>
                  <w:marTop w:val="0"/>
                  <w:marBottom w:val="0"/>
                  <w:divBdr>
                    <w:top w:val="none" w:sz="0" w:space="0" w:color="auto"/>
                    <w:left w:val="none" w:sz="0" w:space="0" w:color="auto"/>
                    <w:bottom w:val="none" w:sz="0" w:space="0" w:color="auto"/>
                    <w:right w:val="none" w:sz="0" w:space="0" w:color="auto"/>
                  </w:divBdr>
                </w:div>
              </w:divsChild>
            </w:div>
            <w:div w:id="1313486210">
              <w:marLeft w:val="0"/>
              <w:marRight w:val="0"/>
              <w:marTop w:val="0"/>
              <w:marBottom w:val="0"/>
              <w:divBdr>
                <w:top w:val="none" w:sz="0" w:space="0" w:color="auto"/>
                <w:left w:val="none" w:sz="0" w:space="0" w:color="auto"/>
                <w:bottom w:val="none" w:sz="0" w:space="0" w:color="auto"/>
                <w:right w:val="none" w:sz="0" w:space="0" w:color="auto"/>
              </w:divBdr>
              <w:divsChild>
                <w:div w:id="118383541">
                  <w:marLeft w:val="0"/>
                  <w:marRight w:val="0"/>
                  <w:marTop w:val="0"/>
                  <w:marBottom w:val="0"/>
                  <w:divBdr>
                    <w:top w:val="none" w:sz="0" w:space="0" w:color="auto"/>
                    <w:left w:val="none" w:sz="0" w:space="0" w:color="auto"/>
                    <w:bottom w:val="none" w:sz="0" w:space="0" w:color="auto"/>
                    <w:right w:val="none" w:sz="0" w:space="0" w:color="auto"/>
                  </w:divBdr>
                </w:div>
              </w:divsChild>
            </w:div>
            <w:div w:id="844049333">
              <w:marLeft w:val="0"/>
              <w:marRight w:val="0"/>
              <w:marTop w:val="0"/>
              <w:marBottom w:val="0"/>
              <w:divBdr>
                <w:top w:val="none" w:sz="0" w:space="0" w:color="auto"/>
                <w:left w:val="none" w:sz="0" w:space="0" w:color="auto"/>
                <w:bottom w:val="none" w:sz="0" w:space="0" w:color="auto"/>
                <w:right w:val="none" w:sz="0" w:space="0" w:color="auto"/>
              </w:divBdr>
              <w:divsChild>
                <w:div w:id="1692413446">
                  <w:marLeft w:val="0"/>
                  <w:marRight w:val="0"/>
                  <w:marTop w:val="0"/>
                  <w:marBottom w:val="0"/>
                  <w:divBdr>
                    <w:top w:val="none" w:sz="0" w:space="0" w:color="auto"/>
                    <w:left w:val="none" w:sz="0" w:space="0" w:color="auto"/>
                    <w:bottom w:val="none" w:sz="0" w:space="0" w:color="auto"/>
                    <w:right w:val="none" w:sz="0" w:space="0" w:color="auto"/>
                  </w:divBdr>
                </w:div>
              </w:divsChild>
            </w:div>
            <w:div w:id="1683897856">
              <w:marLeft w:val="0"/>
              <w:marRight w:val="0"/>
              <w:marTop w:val="0"/>
              <w:marBottom w:val="0"/>
              <w:divBdr>
                <w:top w:val="none" w:sz="0" w:space="0" w:color="auto"/>
                <w:left w:val="none" w:sz="0" w:space="0" w:color="auto"/>
                <w:bottom w:val="none" w:sz="0" w:space="0" w:color="auto"/>
                <w:right w:val="none" w:sz="0" w:space="0" w:color="auto"/>
              </w:divBdr>
              <w:divsChild>
                <w:div w:id="1441680325">
                  <w:marLeft w:val="0"/>
                  <w:marRight w:val="0"/>
                  <w:marTop w:val="0"/>
                  <w:marBottom w:val="0"/>
                  <w:divBdr>
                    <w:top w:val="none" w:sz="0" w:space="0" w:color="auto"/>
                    <w:left w:val="none" w:sz="0" w:space="0" w:color="auto"/>
                    <w:bottom w:val="none" w:sz="0" w:space="0" w:color="auto"/>
                    <w:right w:val="none" w:sz="0" w:space="0" w:color="auto"/>
                  </w:divBdr>
                </w:div>
              </w:divsChild>
            </w:div>
            <w:div w:id="618411549">
              <w:marLeft w:val="0"/>
              <w:marRight w:val="0"/>
              <w:marTop w:val="0"/>
              <w:marBottom w:val="0"/>
              <w:divBdr>
                <w:top w:val="none" w:sz="0" w:space="0" w:color="auto"/>
                <w:left w:val="none" w:sz="0" w:space="0" w:color="auto"/>
                <w:bottom w:val="none" w:sz="0" w:space="0" w:color="auto"/>
                <w:right w:val="none" w:sz="0" w:space="0" w:color="auto"/>
              </w:divBdr>
              <w:divsChild>
                <w:div w:id="552615311">
                  <w:marLeft w:val="0"/>
                  <w:marRight w:val="0"/>
                  <w:marTop w:val="0"/>
                  <w:marBottom w:val="0"/>
                  <w:divBdr>
                    <w:top w:val="none" w:sz="0" w:space="0" w:color="auto"/>
                    <w:left w:val="none" w:sz="0" w:space="0" w:color="auto"/>
                    <w:bottom w:val="none" w:sz="0" w:space="0" w:color="auto"/>
                    <w:right w:val="none" w:sz="0" w:space="0" w:color="auto"/>
                  </w:divBdr>
                </w:div>
              </w:divsChild>
            </w:div>
            <w:div w:id="2139445162">
              <w:marLeft w:val="0"/>
              <w:marRight w:val="0"/>
              <w:marTop w:val="0"/>
              <w:marBottom w:val="0"/>
              <w:divBdr>
                <w:top w:val="none" w:sz="0" w:space="0" w:color="auto"/>
                <w:left w:val="none" w:sz="0" w:space="0" w:color="auto"/>
                <w:bottom w:val="none" w:sz="0" w:space="0" w:color="auto"/>
                <w:right w:val="none" w:sz="0" w:space="0" w:color="auto"/>
              </w:divBdr>
              <w:divsChild>
                <w:div w:id="2075619482">
                  <w:marLeft w:val="0"/>
                  <w:marRight w:val="0"/>
                  <w:marTop w:val="0"/>
                  <w:marBottom w:val="0"/>
                  <w:divBdr>
                    <w:top w:val="none" w:sz="0" w:space="0" w:color="auto"/>
                    <w:left w:val="none" w:sz="0" w:space="0" w:color="auto"/>
                    <w:bottom w:val="none" w:sz="0" w:space="0" w:color="auto"/>
                    <w:right w:val="none" w:sz="0" w:space="0" w:color="auto"/>
                  </w:divBdr>
                </w:div>
              </w:divsChild>
            </w:div>
            <w:div w:id="1880506266">
              <w:marLeft w:val="0"/>
              <w:marRight w:val="0"/>
              <w:marTop w:val="0"/>
              <w:marBottom w:val="0"/>
              <w:divBdr>
                <w:top w:val="none" w:sz="0" w:space="0" w:color="auto"/>
                <w:left w:val="none" w:sz="0" w:space="0" w:color="auto"/>
                <w:bottom w:val="none" w:sz="0" w:space="0" w:color="auto"/>
                <w:right w:val="none" w:sz="0" w:space="0" w:color="auto"/>
              </w:divBdr>
              <w:divsChild>
                <w:div w:id="11419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2749">
          <w:marLeft w:val="0"/>
          <w:marRight w:val="0"/>
          <w:marTop w:val="0"/>
          <w:marBottom w:val="600"/>
          <w:divBdr>
            <w:top w:val="none" w:sz="0" w:space="0" w:color="auto"/>
            <w:left w:val="none" w:sz="0" w:space="0" w:color="auto"/>
            <w:bottom w:val="none" w:sz="0" w:space="0" w:color="auto"/>
            <w:right w:val="none" w:sz="0" w:space="0" w:color="auto"/>
          </w:divBdr>
        </w:div>
      </w:divsChild>
    </w:div>
    <w:div w:id="75397092">
      <w:marLeft w:val="0"/>
      <w:marRight w:val="0"/>
      <w:marTop w:val="0"/>
      <w:marBottom w:val="0"/>
      <w:divBdr>
        <w:top w:val="none" w:sz="0" w:space="0" w:color="auto"/>
        <w:left w:val="none" w:sz="0" w:space="0" w:color="auto"/>
        <w:bottom w:val="none" w:sz="0" w:space="0" w:color="auto"/>
        <w:right w:val="none" w:sz="0" w:space="0" w:color="auto"/>
      </w:divBdr>
      <w:divsChild>
        <w:div w:id="1089156058">
          <w:marLeft w:val="0"/>
          <w:marRight w:val="0"/>
          <w:marTop w:val="547"/>
          <w:marBottom w:val="0"/>
          <w:divBdr>
            <w:top w:val="none" w:sz="0" w:space="0" w:color="auto"/>
            <w:left w:val="none" w:sz="0" w:space="0" w:color="auto"/>
            <w:bottom w:val="none" w:sz="0" w:space="0" w:color="auto"/>
            <w:right w:val="none" w:sz="0" w:space="0" w:color="auto"/>
          </w:divBdr>
        </w:div>
        <w:div w:id="1535534629">
          <w:marLeft w:val="0"/>
          <w:marRight w:val="0"/>
          <w:marTop w:val="0"/>
          <w:marBottom w:val="0"/>
          <w:divBdr>
            <w:top w:val="none" w:sz="0" w:space="0" w:color="auto"/>
            <w:left w:val="none" w:sz="0" w:space="0" w:color="auto"/>
            <w:bottom w:val="none" w:sz="0" w:space="0" w:color="auto"/>
            <w:right w:val="none" w:sz="0" w:space="0" w:color="auto"/>
          </w:divBdr>
        </w:div>
        <w:div w:id="1251740609">
          <w:marLeft w:val="0"/>
          <w:marRight w:val="0"/>
          <w:marTop w:val="0"/>
          <w:marBottom w:val="600"/>
          <w:divBdr>
            <w:top w:val="none" w:sz="0" w:space="0" w:color="auto"/>
            <w:left w:val="none" w:sz="0" w:space="0" w:color="auto"/>
            <w:bottom w:val="none" w:sz="0" w:space="0" w:color="auto"/>
            <w:right w:val="none" w:sz="0" w:space="0" w:color="auto"/>
          </w:divBdr>
        </w:div>
      </w:divsChild>
    </w:div>
    <w:div w:id="94323088">
      <w:marLeft w:val="0"/>
      <w:marRight w:val="0"/>
      <w:marTop w:val="0"/>
      <w:marBottom w:val="0"/>
      <w:divBdr>
        <w:top w:val="none" w:sz="0" w:space="0" w:color="auto"/>
        <w:left w:val="none" w:sz="0" w:space="0" w:color="auto"/>
        <w:bottom w:val="none" w:sz="0" w:space="0" w:color="auto"/>
        <w:right w:val="none" w:sz="0" w:space="0" w:color="auto"/>
      </w:divBdr>
      <w:divsChild>
        <w:div w:id="1177305008">
          <w:marLeft w:val="0"/>
          <w:marRight w:val="0"/>
          <w:marTop w:val="547"/>
          <w:marBottom w:val="0"/>
          <w:divBdr>
            <w:top w:val="none" w:sz="0" w:space="0" w:color="auto"/>
            <w:left w:val="none" w:sz="0" w:space="0" w:color="auto"/>
            <w:bottom w:val="none" w:sz="0" w:space="0" w:color="auto"/>
            <w:right w:val="none" w:sz="0" w:space="0" w:color="auto"/>
          </w:divBdr>
        </w:div>
        <w:div w:id="1815827297">
          <w:marLeft w:val="0"/>
          <w:marRight w:val="0"/>
          <w:marTop w:val="0"/>
          <w:marBottom w:val="0"/>
          <w:divBdr>
            <w:top w:val="none" w:sz="0" w:space="0" w:color="auto"/>
            <w:left w:val="none" w:sz="0" w:space="0" w:color="auto"/>
            <w:bottom w:val="none" w:sz="0" w:space="0" w:color="auto"/>
            <w:right w:val="none" w:sz="0" w:space="0" w:color="auto"/>
          </w:divBdr>
        </w:div>
        <w:div w:id="1246381101">
          <w:marLeft w:val="0"/>
          <w:marRight w:val="0"/>
          <w:marTop w:val="0"/>
          <w:marBottom w:val="600"/>
          <w:divBdr>
            <w:top w:val="none" w:sz="0" w:space="0" w:color="auto"/>
            <w:left w:val="none" w:sz="0" w:space="0" w:color="auto"/>
            <w:bottom w:val="none" w:sz="0" w:space="0" w:color="auto"/>
            <w:right w:val="none" w:sz="0" w:space="0" w:color="auto"/>
          </w:divBdr>
        </w:div>
      </w:divsChild>
    </w:div>
    <w:div w:id="129252823">
      <w:marLeft w:val="0"/>
      <w:marRight w:val="0"/>
      <w:marTop w:val="0"/>
      <w:marBottom w:val="0"/>
      <w:divBdr>
        <w:top w:val="none" w:sz="0" w:space="0" w:color="auto"/>
        <w:left w:val="none" w:sz="0" w:space="0" w:color="auto"/>
        <w:bottom w:val="none" w:sz="0" w:space="0" w:color="auto"/>
        <w:right w:val="none" w:sz="0" w:space="0" w:color="auto"/>
      </w:divBdr>
      <w:divsChild>
        <w:div w:id="1114012037">
          <w:marLeft w:val="0"/>
          <w:marRight w:val="0"/>
          <w:marTop w:val="547"/>
          <w:marBottom w:val="0"/>
          <w:divBdr>
            <w:top w:val="none" w:sz="0" w:space="0" w:color="auto"/>
            <w:left w:val="none" w:sz="0" w:space="0" w:color="auto"/>
            <w:bottom w:val="none" w:sz="0" w:space="0" w:color="auto"/>
            <w:right w:val="none" w:sz="0" w:space="0" w:color="auto"/>
          </w:divBdr>
        </w:div>
        <w:div w:id="1096832075">
          <w:marLeft w:val="0"/>
          <w:marRight w:val="0"/>
          <w:marTop w:val="0"/>
          <w:marBottom w:val="0"/>
          <w:divBdr>
            <w:top w:val="none" w:sz="0" w:space="0" w:color="auto"/>
            <w:left w:val="none" w:sz="0" w:space="0" w:color="auto"/>
            <w:bottom w:val="none" w:sz="0" w:space="0" w:color="auto"/>
            <w:right w:val="none" w:sz="0" w:space="0" w:color="auto"/>
          </w:divBdr>
          <w:divsChild>
            <w:div w:id="191306621">
              <w:marLeft w:val="0"/>
              <w:marRight w:val="0"/>
              <w:marTop w:val="0"/>
              <w:marBottom w:val="0"/>
              <w:divBdr>
                <w:top w:val="none" w:sz="0" w:space="0" w:color="auto"/>
                <w:left w:val="none" w:sz="0" w:space="0" w:color="auto"/>
                <w:bottom w:val="none" w:sz="0" w:space="0" w:color="auto"/>
                <w:right w:val="none" w:sz="0" w:space="0" w:color="auto"/>
              </w:divBdr>
              <w:divsChild>
                <w:div w:id="2115906376">
                  <w:marLeft w:val="0"/>
                  <w:marRight w:val="0"/>
                  <w:marTop w:val="0"/>
                  <w:marBottom w:val="0"/>
                  <w:divBdr>
                    <w:top w:val="none" w:sz="0" w:space="0" w:color="auto"/>
                    <w:left w:val="none" w:sz="0" w:space="0" w:color="auto"/>
                    <w:bottom w:val="none" w:sz="0" w:space="0" w:color="auto"/>
                    <w:right w:val="none" w:sz="0" w:space="0" w:color="auto"/>
                  </w:divBdr>
                </w:div>
              </w:divsChild>
            </w:div>
            <w:div w:id="1689140385">
              <w:marLeft w:val="0"/>
              <w:marRight w:val="0"/>
              <w:marTop w:val="0"/>
              <w:marBottom w:val="0"/>
              <w:divBdr>
                <w:top w:val="none" w:sz="0" w:space="0" w:color="auto"/>
                <w:left w:val="none" w:sz="0" w:space="0" w:color="auto"/>
                <w:bottom w:val="none" w:sz="0" w:space="0" w:color="auto"/>
                <w:right w:val="none" w:sz="0" w:space="0" w:color="auto"/>
              </w:divBdr>
              <w:divsChild>
                <w:div w:id="640575538">
                  <w:marLeft w:val="0"/>
                  <w:marRight w:val="0"/>
                  <w:marTop w:val="0"/>
                  <w:marBottom w:val="0"/>
                  <w:divBdr>
                    <w:top w:val="none" w:sz="0" w:space="0" w:color="auto"/>
                    <w:left w:val="none" w:sz="0" w:space="0" w:color="auto"/>
                    <w:bottom w:val="none" w:sz="0" w:space="0" w:color="auto"/>
                    <w:right w:val="none" w:sz="0" w:space="0" w:color="auto"/>
                  </w:divBdr>
                </w:div>
              </w:divsChild>
            </w:div>
            <w:div w:id="889339049">
              <w:marLeft w:val="0"/>
              <w:marRight w:val="0"/>
              <w:marTop w:val="0"/>
              <w:marBottom w:val="0"/>
              <w:divBdr>
                <w:top w:val="none" w:sz="0" w:space="0" w:color="auto"/>
                <w:left w:val="none" w:sz="0" w:space="0" w:color="auto"/>
                <w:bottom w:val="none" w:sz="0" w:space="0" w:color="auto"/>
                <w:right w:val="none" w:sz="0" w:space="0" w:color="auto"/>
              </w:divBdr>
              <w:divsChild>
                <w:div w:id="145168320">
                  <w:marLeft w:val="0"/>
                  <w:marRight w:val="0"/>
                  <w:marTop w:val="0"/>
                  <w:marBottom w:val="0"/>
                  <w:divBdr>
                    <w:top w:val="none" w:sz="0" w:space="0" w:color="auto"/>
                    <w:left w:val="none" w:sz="0" w:space="0" w:color="auto"/>
                    <w:bottom w:val="none" w:sz="0" w:space="0" w:color="auto"/>
                    <w:right w:val="none" w:sz="0" w:space="0" w:color="auto"/>
                  </w:divBdr>
                </w:div>
              </w:divsChild>
            </w:div>
            <w:div w:id="1045448323">
              <w:marLeft w:val="0"/>
              <w:marRight w:val="0"/>
              <w:marTop w:val="0"/>
              <w:marBottom w:val="0"/>
              <w:divBdr>
                <w:top w:val="none" w:sz="0" w:space="0" w:color="auto"/>
                <w:left w:val="none" w:sz="0" w:space="0" w:color="auto"/>
                <w:bottom w:val="none" w:sz="0" w:space="0" w:color="auto"/>
                <w:right w:val="none" w:sz="0" w:space="0" w:color="auto"/>
              </w:divBdr>
              <w:divsChild>
                <w:div w:id="803040966">
                  <w:marLeft w:val="0"/>
                  <w:marRight w:val="0"/>
                  <w:marTop w:val="0"/>
                  <w:marBottom w:val="0"/>
                  <w:divBdr>
                    <w:top w:val="none" w:sz="0" w:space="0" w:color="auto"/>
                    <w:left w:val="none" w:sz="0" w:space="0" w:color="auto"/>
                    <w:bottom w:val="none" w:sz="0" w:space="0" w:color="auto"/>
                    <w:right w:val="none" w:sz="0" w:space="0" w:color="auto"/>
                  </w:divBdr>
                </w:div>
              </w:divsChild>
            </w:div>
            <w:div w:id="1956909395">
              <w:marLeft w:val="0"/>
              <w:marRight w:val="0"/>
              <w:marTop w:val="0"/>
              <w:marBottom w:val="0"/>
              <w:divBdr>
                <w:top w:val="none" w:sz="0" w:space="0" w:color="auto"/>
                <w:left w:val="none" w:sz="0" w:space="0" w:color="auto"/>
                <w:bottom w:val="none" w:sz="0" w:space="0" w:color="auto"/>
                <w:right w:val="none" w:sz="0" w:space="0" w:color="auto"/>
              </w:divBdr>
              <w:divsChild>
                <w:div w:id="864169810">
                  <w:marLeft w:val="0"/>
                  <w:marRight w:val="0"/>
                  <w:marTop w:val="0"/>
                  <w:marBottom w:val="0"/>
                  <w:divBdr>
                    <w:top w:val="none" w:sz="0" w:space="0" w:color="auto"/>
                    <w:left w:val="none" w:sz="0" w:space="0" w:color="auto"/>
                    <w:bottom w:val="none" w:sz="0" w:space="0" w:color="auto"/>
                    <w:right w:val="none" w:sz="0" w:space="0" w:color="auto"/>
                  </w:divBdr>
                </w:div>
              </w:divsChild>
            </w:div>
            <w:div w:id="990644389">
              <w:marLeft w:val="0"/>
              <w:marRight w:val="0"/>
              <w:marTop w:val="0"/>
              <w:marBottom w:val="0"/>
              <w:divBdr>
                <w:top w:val="none" w:sz="0" w:space="0" w:color="auto"/>
                <w:left w:val="none" w:sz="0" w:space="0" w:color="auto"/>
                <w:bottom w:val="none" w:sz="0" w:space="0" w:color="auto"/>
                <w:right w:val="none" w:sz="0" w:space="0" w:color="auto"/>
              </w:divBdr>
              <w:divsChild>
                <w:div w:id="465006651">
                  <w:marLeft w:val="0"/>
                  <w:marRight w:val="0"/>
                  <w:marTop w:val="0"/>
                  <w:marBottom w:val="0"/>
                  <w:divBdr>
                    <w:top w:val="none" w:sz="0" w:space="0" w:color="auto"/>
                    <w:left w:val="none" w:sz="0" w:space="0" w:color="auto"/>
                    <w:bottom w:val="none" w:sz="0" w:space="0" w:color="auto"/>
                    <w:right w:val="none" w:sz="0" w:space="0" w:color="auto"/>
                  </w:divBdr>
                </w:div>
              </w:divsChild>
            </w:div>
            <w:div w:id="1555892273">
              <w:marLeft w:val="0"/>
              <w:marRight w:val="0"/>
              <w:marTop w:val="0"/>
              <w:marBottom w:val="0"/>
              <w:divBdr>
                <w:top w:val="none" w:sz="0" w:space="0" w:color="auto"/>
                <w:left w:val="none" w:sz="0" w:space="0" w:color="auto"/>
                <w:bottom w:val="none" w:sz="0" w:space="0" w:color="auto"/>
                <w:right w:val="none" w:sz="0" w:space="0" w:color="auto"/>
              </w:divBdr>
              <w:divsChild>
                <w:div w:id="730155249">
                  <w:marLeft w:val="0"/>
                  <w:marRight w:val="0"/>
                  <w:marTop w:val="0"/>
                  <w:marBottom w:val="0"/>
                  <w:divBdr>
                    <w:top w:val="none" w:sz="0" w:space="0" w:color="auto"/>
                    <w:left w:val="none" w:sz="0" w:space="0" w:color="auto"/>
                    <w:bottom w:val="none" w:sz="0" w:space="0" w:color="auto"/>
                    <w:right w:val="none" w:sz="0" w:space="0" w:color="auto"/>
                  </w:divBdr>
                </w:div>
              </w:divsChild>
            </w:div>
            <w:div w:id="1732073170">
              <w:marLeft w:val="0"/>
              <w:marRight w:val="0"/>
              <w:marTop w:val="0"/>
              <w:marBottom w:val="0"/>
              <w:divBdr>
                <w:top w:val="none" w:sz="0" w:space="0" w:color="auto"/>
                <w:left w:val="none" w:sz="0" w:space="0" w:color="auto"/>
                <w:bottom w:val="none" w:sz="0" w:space="0" w:color="auto"/>
                <w:right w:val="none" w:sz="0" w:space="0" w:color="auto"/>
              </w:divBdr>
              <w:divsChild>
                <w:div w:id="1302880572">
                  <w:marLeft w:val="0"/>
                  <w:marRight w:val="0"/>
                  <w:marTop w:val="0"/>
                  <w:marBottom w:val="0"/>
                  <w:divBdr>
                    <w:top w:val="none" w:sz="0" w:space="0" w:color="auto"/>
                    <w:left w:val="none" w:sz="0" w:space="0" w:color="auto"/>
                    <w:bottom w:val="none" w:sz="0" w:space="0" w:color="auto"/>
                    <w:right w:val="none" w:sz="0" w:space="0" w:color="auto"/>
                  </w:divBdr>
                </w:div>
              </w:divsChild>
            </w:div>
            <w:div w:id="2071535783">
              <w:marLeft w:val="0"/>
              <w:marRight w:val="0"/>
              <w:marTop w:val="0"/>
              <w:marBottom w:val="0"/>
              <w:divBdr>
                <w:top w:val="none" w:sz="0" w:space="0" w:color="auto"/>
                <w:left w:val="none" w:sz="0" w:space="0" w:color="auto"/>
                <w:bottom w:val="none" w:sz="0" w:space="0" w:color="auto"/>
                <w:right w:val="none" w:sz="0" w:space="0" w:color="auto"/>
              </w:divBdr>
              <w:divsChild>
                <w:div w:id="1428771776">
                  <w:marLeft w:val="0"/>
                  <w:marRight w:val="0"/>
                  <w:marTop w:val="0"/>
                  <w:marBottom w:val="0"/>
                  <w:divBdr>
                    <w:top w:val="none" w:sz="0" w:space="0" w:color="auto"/>
                    <w:left w:val="none" w:sz="0" w:space="0" w:color="auto"/>
                    <w:bottom w:val="none" w:sz="0" w:space="0" w:color="auto"/>
                    <w:right w:val="none" w:sz="0" w:space="0" w:color="auto"/>
                  </w:divBdr>
                </w:div>
              </w:divsChild>
            </w:div>
            <w:div w:id="2066249788">
              <w:marLeft w:val="0"/>
              <w:marRight w:val="0"/>
              <w:marTop w:val="0"/>
              <w:marBottom w:val="0"/>
              <w:divBdr>
                <w:top w:val="none" w:sz="0" w:space="0" w:color="auto"/>
                <w:left w:val="none" w:sz="0" w:space="0" w:color="auto"/>
                <w:bottom w:val="none" w:sz="0" w:space="0" w:color="auto"/>
                <w:right w:val="none" w:sz="0" w:space="0" w:color="auto"/>
              </w:divBdr>
              <w:divsChild>
                <w:div w:id="851921171">
                  <w:marLeft w:val="0"/>
                  <w:marRight w:val="0"/>
                  <w:marTop w:val="0"/>
                  <w:marBottom w:val="0"/>
                  <w:divBdr>
                    <w:top w:val="none" w:sz="0" w:space="0" w:color="auto"/>
                    <w:left w:val="none" w:sz="0" w:space="0" w:color="auto"/>
                    <w:bottom w:val="none" w:sz="0" w:space="0" w:color="auto"/>
                    <w:right w:val="none" w:sz="0" w:space="0" w:color="auto"/>
                  </w:divBdr>
                </w:div>
              </w:divsChild>
            </w:div>
            <w:div w:id="631398220">
              <w:marLeft w:val="0"/>
              <w:marRight w:val="0"/>
              <w:marTop w:val="0"/>
              <w:marBottom w:val="0"/>
              <w:divBdr>
                <w:top w:val="none" w:sz="0" w:space="0" w:color="auto"/>
                <w:left w:val="none" w:sz="0" w:space="0" w:color="auto"/>
                <w:bottom w:val="none" w:sz="0" w:space="0" w:color="auto"/>
                <w:right w:val="none" w:sz="0" w:space="0" w:color="auto"/>
              </w:divBdr>
              <w:divsChild>
                <w:div w:id="1146094483">
                  <w:marLeft w:val="0"/>
                  <w:marRight w:val="0"/>
                  <w:marTop w:val="0"/>
                  <w:marBottom w:val="0"/>
                  <w:divBdr>
                    <w:top w:val="none" w:sz="0" w:space="0" w:color="auto"/>
                    <w:left w:val="none" w:sz="0" w:space="0" w:color="auto"/>
                    <w:bottom w:val="none" w:sz="0" w:space="0" w:color="auto"/>
                    <w:right w:val="none" w:sz="0" w:space="0" w:color="auto"/>
                  </w:divBdr>
                </w:div>
              </w:divsChild>
            </w:div>
            <w:div w:id="1516385779">
              <w:marLeft w:val="0"/>
              <w:marRight w:val="0"/>
              <w:marTop w:val="0"/>
              <w:marBottom w:val="0"/>
              <w:divBdr>
                <w:top w:val="none" w:sz="0" w:space="0" w:color="auto"/>
                <w:left w:val="none" w:sz="0" w:space="0" w:color="auto"/>
                <w:bottom w:val="none" w:sz="0" w:space="0" w:color="auto"/>
                <w:right w:val="none" w:sz="0" w:space="0" w:color="auto"/>
              </w:divBdr>
              <w:divsChild>
                <w:div w:id="2098360217">
                  <w:marLeft w:val="0"/>
                  <w:marRight w:val="0"/>
                  <w:marTop w:val="0"/>
                  <w:marBottom w:val="0"/>
                  <w:divBdr>
                    <w:top w:val="none" w:sz="0" w:space="0" w:color="auto"/>
                    <w:left w:val="none" w:sz="0" w:space="0" w:color="auto"/>
                    <w:bottom w:val="none" w:sz="0" w:space="0" w:color="auto"/>
                    <w:right w:val="none" w:sz="0" w:space="0" w:color="auto"/>
                  </w:divBdr>
                </w:div>
              </w:divsChild>
            </w:div>
            <w:div w:id="1825464581">
              <w:marLeft w:val="0"/>
              <w:marRight w:val="0"/>
              <w:marTop w:val="0"/>
              <w:marBottom w:val="0"/>
              <w:divBdr>
                <w:top w:val="none" w:sz="0" w:space="0" w:color="auto"/>
                <w:left w:val="none" w:sz="0" w:space="0" w:color="auto"/>
                <w:bottom w:val="none" w:sz="0" w:space="0" w:color="auto"/>
                <w:right w:val="none" w:sz="0" w:space="0" w:color="auto"/>
              </w:divBdr>
              <w:divsChild>
                <w:div w:id="1085805298">
                  <w:marLeft w:val="0"/>
                  <w:marRight w:val="0"/>
                  <w:marTop w:val="0"/>
                  <w:marBottom w:val="0"/>
                  <w:divBdr>
                    <w:top w:val="none" w:sz="0" w:space="0" w:color="auto"/>
                    <w:left w:val="none" w:sz="0" w:space="0" w:color="auto"/>
                    <w:bottom w:val="none" w:sz="0" w:space="0" w:color="auto"/>
                    <w:right w:val="none" w:sz="0" w:space="0" w:color="auto"/>
                  </w:divBdr>
                </w:div>
              </w:divsChild>
            </w:div>
            <w:div w:id="1787970203">
              <w:marLeft w:val="0"/>
              <w:marRight w:val="0"/>
              <w:marTop w:val="0"/>
              <w:marBottom w:val="0"/>
              <w:divBdr>
                <w:top w:val="none" w:sz="0" w:space="0" w:color="auto"/>
                <w:left w:val="none" w:sz="0" w:space="0" w:color="auto"/>
                <w:bottom w:val="none" w:sz="0" w:space="0" w:color="auto"/>
                <w:right w:val="none" w:sz="0" w:space="0" w:color="auto"/>
              </w:divBdr>
              <w:divsChild>
                <w:div w:id="653877147">
                  <w:marLeft w:val="0"/>
                  <w:marRight w:val="0"/>
                  <w:marTop w:val="0"/>
                  <w:marBottom w:val="0"/>
                  <w:divBdr>
                    <w:top w:val="none" w:sz="0" w:space="0" w:color="auto"/>
                    <w:left w:val="none" w:sz="0" w:space="0" w:color="auto"/>
                    <w:bottom w:val="none" w:sz="0" w:space="0" w:color="auto"/>
                    <w:right w:val="none" w:sz="0" w:space="0" w:color="auto"/>
                  </w:divBdr>
                </w:div>
              </w:divsChild>
            </w:div>
            <w:div w:id="1403404337">
              <w:marLeft w:val="0"/>
              <w:marRight w:val="0"/>
              <w:marTop w:val="0"/>
              <w:marBottom w:val="0"/>
              <w:divBdr>
                <w:top w:val="none" w:sz="0" w:space="0" w:color="auto"/>
                <w:left w:val="none" w:sz="0" w:space="0" w:color="auto"/>
                <w:bottom w:val="none" w:sz="0" w:space="0" w:color="auto"/>
                <w:right w:val="none" w:sz="0" w:space="0" w:color="auto"/>
              </w:divBdr>
              <w:divsChild>
                <w:div w:id="1132013997">
                  <w:marLeft w:val="0"/>
                  <w:marRight w:val="0"/>
                  <w:marTop w:val="0"/>
                  <w:marBottom w:val="0"/>
                  <w:divBdr>
                    <w:top w:val="none" w:sz="0" w:space="0" w:color="auto"/>
                    <w:left w:val="none" w:sz="0" w:space="0" w:color="auto"/>
                    <w:bottom w:val="none" w:sz="0" w:space="0" w:color="auto"/>
                    <w:right w:val="none" w:sz="0" w:space="0" w:color="auto"/>
                  </w:divBdr>
                </w:div>
              </w:divsChild>
            </w:div>
            <w:div w:id="540168520">
              <w:marLeft w:val="0"/>
              <w:marRight w:val="0"/>
              <w:marTop w:val="0"/>
              <w:marBottom w:val="0"/>
              <w:divBdr>
                <w:top w:val="none" w:sz="0" w:space="0" w:color="auto"/>
                <w:left w:val="none" w:sz="0" w:space="0" w:color="auto"/>
                <w:bottom w:val="none" w:sz="0" w:space="0" w:color="auto"/>
                <w:right w:val="none" w:sz="0" w:space="0" w:color="auto"/>
              </w:divBdr>
              <w:divsChild>
                <w:div w:id="1081098118">
                  <w:marLeft w:val="0"/>
                  <w:marRight w:val="0"/>
                  <w:marTop w:val="0"/>
                  <w:marBottom w:val="0"/>
                  <w:divBdr>
                    <w:top w:val="none" w:sz="0" w:space="0" w:color="auto"/>
                    <w:left w:val="none" w:sz="0" w:space="0" w:color="auto"/>
                    <w:bottom w:val="none" w:sz="0" w:space="0" w:color="auto"/>
                    <w:right w:val="none" w:sz="0" w:space="0" w:color="auto"/>
                  </w:divBdr>
                </w:div>
              </w:divsChild>
            </w:div>
            <w:div w:id="844445008">
              <w:marLeft w:val="0"/>
              <w:marRight w:val="0"/>
              <w:marTop w:val="0"/>
              <w:marBottom w:val="0"/>
              <w:divBdr>
                <w:top w:val="none" w:sz="0" w:space="0" w:color="auto"/>
                <w:left w:val="none" w:sz="0" w:space="0" w:color="auto"/>
                <w:bottom w:val="none" w:sz="0" w:space="0" w:color="auto"/>
                <w:right w:val="none" w:sz="0" w:space="0" w:color="auto"/>
              </w:divBdr>
              <w:divsChild>
                <w:div w:id="1233858271">
                  <w:marLeft w:val="0"/>
                  <w:marRight w:val="0"/>
                  <w:marTop w:val="0"/>
                  <w:marBottom w:val="0"/>
                  <w:divBdr>
                    <w:top w:val="none" w:sz="0" w:space="0" w:color="auto"/>
                    <w:left w:val="none" w:sz="0" w:space="0" w:color="auto"/>
                    <w:bottom w:val="none" w:sz="0" w:space="0" w:color="auto"/>
                    <w:right w:val="none" w:sz="0" w:space="0" w:color="auto"/>
                  </w:divBdr>
                </w:div>
              </w:divsChild>
            </w:div>
            <w:div w:id="1394546513">
              <w:marLeft w:val="0"/>
              <w:marRight w:val="0"/>
              <w:marTop w:val="0"/>
              <w:marBottom w:val="0"/>
              <w:divBdr>
                <w:top w:val="none" w:sz="0" w:space="0" w:color="auto"/>
                <w:left w:val="none" w:sz="0" w:space="0" w:color="auto"/>
                <w:bottom w:val="none" w:sz="0" w:space="0" w:color="auto"/>
                <w:right w:val="none" w:sz="0" w:space="0" w:color="auto"/>
              </w:divBdr>
              <w:divsChild>
                <w:div w:id="1498568212">
                  <w:marLeft w:val="0"/>
                  <w:marRight w:val="0"/>
                  <w:marTop w:val="0"/>
                  <w:marBottom w:val="0"/>
                  <w:divBdr>
                    <w:top w:val="none" w:sz="0" w:space="0" w:color="auto"/>
                    <w:left w:val="none" w:sz="0" w:space="0" w:color="auto"/>
                    <w:bottom w:val="none" w:sz="0" w:space="0" w:color="auto"/>
                    <w:right w:val="none" w:sz="0" w:space="0" w:color="auto"/>
                  </w:divBdr>
                </w:div>
              </w:divsChild>
            </w:div>
            <w:div w:id="1413622822">
              <w:marLeft w:val="0"/>
              <w:marRight w:val="0"/>
              <w:marTop w:val="0"/>
              <w:marBottom w:val="0"/>
              <w:divBdr>
                <w:top w:val="none" w:sz="0" w:space="0" w:color="auto"/>
                <w:left w:val="none" w:sz="0" w:space="0" w:color="auto"/>
                <w:bottom w:val="none" w:sz="0" w:space="0" w:color="auto"/>
                <w:right w:val="none" w:sz="0" w:space="0" w:color="auto"/>
              </w:divBdr>
              <w:divsChild>
                <w:div w:id="283851282">
                  <w:marLeft w:val="0"/>
                  <w:marRight w:val="0"/>
                  <w:marTop w:val="0"/>
                  <w:marBottom w:val="0"/>
                  <w:divBdr>
                    <w:top w:val="none" w:sz="0" w:space="0" w:color="auto"/>
                    <w:left w:val="none" w:sz="0" w:space="0" w:color="auto"/>
                    <w:bottom w:val="none" w:sz="0" w:space="0" w:color="auto"/>
                    <w:right w:val="none" w:sz="0" w:space="0" w:color="auto"/>
                  </w:divBdr>
                </w:div>
              </w:divsChild>
            </w:div>
            <w:div w:id="736634484">
              <w:marLeft w:val="0"/>
              <w:marRight w:val="0"/>
              <w:marTop w:val="0"/>
              <w:marBottom w:val="0"/>
              <w:divBdr>
                <w:top w:val="none" w:sz="0" w:space="0" w:color="auto"/>
                <w:left w:val="none" w:sz="0" w:space="0" w:color="auto"/>
                <w:bottom w:val="none" w:sz="0" w:space="0" w:color="auto"/>
                <w:right w:val="none" w:sz="0" w:space="0" w:color="auto"/>
              </w:divBdr>
              <w:divsChild>
                <w:div w:id="1302879403">
                  <w:marLeft w:val="0"/>
                  <w:marRight w:val="0"/>
                  <w:marTop w:val="0"/>
                  <w:marBottom w:val="0"/>
                  <w:divBdr>
                    <w:top w:val="none" w:sz="0" w:space="0" w:color="auto"/>
                    <w:left w:val="none" w:sz="0" w:space="0" w:color="auto"/>
                    <w:bottom w:val="none" w:sz="0" w:space="0" w:color="auto"/>
                    <w:right w:val="none" w:sz="0" w:space="0" w:color="auto"/>
                  </w:divBdr>
                </w:div>
              </w:divsChild>
            </w:div>
            <w:div w:id="1644042235">
              <w:marLeft w:val="0"/>
              <w:marRight w:val="0"/>
              <w:marTop w:val="0"/>
              <w:marBottom w:val="0"/>
              <w:divBdr>
                <w:top w:val="none" w:sz="0" w:space="0" w:color="auto"/>
                <w:left w:val="none" w:sz="0" w:space="0" w:color="auto"/>
                <w:bottom w:val="none" w:sz="0" w:space="0" w:color="auto"/>
                <w:right w:val="none" w:sz="0" w:space="0" w:color="auto"/>
              </w:divBdr>
              <w:divsChild>
                <w:div w:id="1037196937">
                  <w:marLeft w:val="0"/>
                  <w:marRight w:val="0"/>
                  <w:marTop w:val="0"/>
                  <w:marBottom w:val="0"/>
                  <w:divBdr>
                    <w:top w:val="none" w:sz="0" w:space="0" w:color="auto"/>
                    <w:left w:val="none" w:sz="0" w:space="0" w:color="auto"/>
                    <w:bottom w:val="none" w:sz="0" w:space="0" w:color="auto"/>
                    <w:right w:val="none" w:sz="0" w:space="0" w:color="auto"/>
                  </w:divBdr>
                </w:div>
              </w:divsChild>
            </w:div>
            <w:div w:id="1433548458">
              <w:marLeft w:val="0"/>
              <w:marRight w:val="0"/>
              <w:marTop w:val="0"/>
              <w:marBottom w:val="0"/>
              <w:divBdr>
                <w:top w:val="none" w:sz="0" w:space="0" w:color="auto"/>
                <w:left w:val="none" w:sz="0" w:space="0" w:color="auto"/>
                <w:bottom w:val="none" w:sz="0" w:space="0" w:color="auto"/>
                <w:right w:val="none" w:sz="0" w:space="0" w:color="auto"/>
              </w:divBdr>
              <w:divsChild>
                <w:div w:id="2087219574">
                  <w:marLeft w:val="0"/>
                  <w:marRight w:val="0"/>
                  <w:marTop w:val="0"/>
                  <w:marBottom w:val="0"/>
                  <w:divBdr>
                    <w:top w:val="none" w:sz="0" w:space="0" w:color="auto"/>
                    <w:left w:val="none" w:sz="0" w:space="0" w:color="auto"/>
                    <w:bottom w:val="none" w:sz="0" w:space="0" w:color="auto"/>
                    <w:right w:val="none" w:sz="0" w:space="0" w:color="auto"/>
                  </w:divBdr>
                </w:div>
              </w:divsChild>
            </w:div>
            <w:div w:id="1233662885">
              <w:marLeft w:val="0"/>
              <w:marRight w:val="0"/>
              <w:marTop w:val="0"/>
              <w:marBottom w:val="0"/>
              <w:divBdr>
                <w:top w:val="none" w:sz="0" w:space="0" w:color="auto"/>
                <w:left w:val="none" w:sz="0" w:space="0" w:color="auto"/>
                <w:bottom w:val="none" w:sz="0" w:space="0" w:color="auto"/>
                <w:right w:val="none" w:sz="0" w:space="0" w:color="auto"/>
              </w:divBdr>
              <w:divsChild>
                <w:div w:id="942342202">
                  <w:marLeft w:val="0"/>
                  <w:marRight w:val="0"/>
                  <w:marTop w:val="0"/>
                  <w:marBottom w:val="0"/>
                  <w:divBdr>
                    <w:top w:val="none" w:sz="0" w:space="0" w:color="auto"/>
                    <w:left w:val="none" w:sz="0" w:space="0" w:color="auto"/>
                    <w:bottom w:val="none" w:sz="0" w:space="0" w:color="auto"/>
                    <w:right w:val="none" w:sz="0" w:space="0" w:color="auto"/>
                  </w:divBdr>
                </w:div>
              </w:divsChild>
            </w:div>
            <w:div w:id="2059432852">
              <w:marLeft w:val="0"/>
              <w:marRight w:val="0"/>
              <w:marTop w:val="0"/>
              <w:marBottom w:val="0"/>
              <w:divBdr>
                <w:top w:val="none" w:sz="0" w:space="0" w:color="auto"/>
                <w:left w:val="none" w:sz="0" w:space="0" w:color="auto"/>
                <w:bottom w:val="none" w:sz="0" w:space="0" w:color="auto"/>
                <w:right w:val="none" w:sz="0" w:space="0" w:color="auto"/>
              </w:divBdr>
              <w:divsChild>
                <w:div w:id="1584995169">
                  <w:marLeft w:val="0"/>
                  <w:marRight w:val="0"/>
                  <w:marTop w:val="0"/>
                  <w:marBottom w:val="0"/>
                  <w:divBdr>
                    <w:top w:val="none" w:sz="0" w:space="0" w:color="auto"/>
                    <w:left w:val="none" w:sz="0" w:space="0" w:color="auto"/>
                    <w:bottom w:val="none" w:sz="0" w:space="0" w:color="auto"/>
                    <w:right w:val="none" w:sz="0" w:space="0" w:color="auto"/>
                  </w:divBdr>
                </w:div>
              </w:divsChild>
            </w:div>
            <w:div w:id="761994691">
              <w:marLeft w:val="0"/>
              <w:marRight w:val="0"/>
              <w:marTop w:val="0"/>
              <w:marBottom w:val="0"/>
              <w:divBdr>
                <w:top w:val="none" w:sz="0" w:space="0" w:color="auto"/>
                <w:left w:val="none" w:sz="0" w:space="0" w:color="auto"/>
                <w:bottom w:val="none" w:sz="0" w:space="0" w:color="auto"/>
                <w:right w:val="none" w:sz="0" w:space="0" w:color="auto"/>
              </w:divBdr>
              <w:divsChild>
                <w:div w:id="2154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2419">
          <w:marLeft w:val="0"/>
          <w:marRight w:val="0"/>
          <w:marTop w:val="0"/>
          <w:marBottom w:val="600"/>
          <w:divBdr>
            <w:top w:val="none" w:sz="0" w:space="0" w:color="auto"/>
            <w:left w:val="none" w:sz="0" w:space="0" w:color="auto"/>
            <w:bottom w:val="none" w:sz="0" w:space="0" w:color="auto"/>
            <w:right w:val="none" w:sz="0" w:space="0" w:color="auto"/>
          </w:divBdr>
        </w:div>
      </w:divsChild>
    </w:div>
    <w:div w:id="144051098">
      <w:marLeft w:val="0"/>
      <w:marRight w:val="0"/>
      <w:marTop w:val="0"/>
      <w:marBottom w:val="0"/>
      <w:divBdr>
        <w:top w:val="none" w:sz="0" w:space="0" w:color="auto"/>
        <w:left w:val="none" w:sz="0" w:space="0" w:color="auto"/>
        <w:bottom w:val="none" w:sz="0" w:space="0" w:color="auto"/>
        <w:right w:val="none" w:sz="0" w:space="0" w:color="auto"/>
      </w:divBdr>
      <w:divsChild>
        <w:div w:id="1228153445">
          <w:marLeft w:val="0"/>
          <w:marRight w:val="0"/>
          <w:marTop w:val="547"/>
          <w:marBottom w:val="0"/>
          <w:divBdr>
            <w:top w:val="none" w:sz="0" w:space="0" w:color="auto"/>
            <w:left w:val="none" w:sz="0" w:space="0" w:color="auto"/>
            <w:bottom w:val="none" w:sz="0" w:space="0" w:color="auto"/>
            <w:right w:val="none" w:sz="0" w:space="0" w:color="auto"/>
          </w:divBdr>
        </w:div>
        <w:div w:id="1097943259">
          <w:marLeft w:val="0"/>
          <w:marRight w:val="0"/>
          <w:marTop w:val="0"/>
          <w:marBottom w:val="0"/>
          <w:divBdr>
            <w:top w:val="none" w:sz="0" w:space="0" w:color="auto"/>
            <w:left w:val="none" w:sz="0" w:space="0" w:color="auto"/>
            <w:bottom w:val="none" w:sz="0" w:space="0" w:color="auto"/>
            <w:right w:val="none" w:sz="0" w:space="0" w:color="auto"/>
          </w:divBdr>
        </w:div>
        <w:div w:id="227234545">
          <w:marLeft w:val="0"/>
          <w:marRight w:val="0"/>
          <w:marTop w:val="0"/>
          <w:marBottom w:val="600"/>
          <w:divBdr>
            <w:top w:val="none" w:sz="0" w:space="0" w:color="auto"/>
            <w:left w:val="none" w:sz="0" w:space="0" w:color="auto"/>
            <w:bottom w:val="none" w:sz="0" w:space="0" w:color="auto"/>
            <w:right w:val="none" w:sz="0" w:space="0" w:color="auto"/>
          </w:divBdr>
        </w:div>
      </w:divsChild>
    </w:div>
    <w:div w:id="214704411">
      <w:marLeft w:val="0"/>
      <w:marRight w:val="0"/>
      <w:marTop w:val="0"/>
      <w:marBottom w:val="0"/>
      <w:divBdr>
        <w:top w:val="none" w:sz="0" w:space="0" w:color="auto"/>
        <w:left w:val="none" w:sz="0" w:space="0" w:color="auto"/>
        <w:bottom w:val="none" w:sz="0" w:space="0" w:color="auto"/>
        <w:right w:val="none" w:sz="0" w:space="0" w:color="auto"/>
      </w:divBdr>
      <w:divsChild>
        <w:div w:id="1628270211">
          <w:marLeft w:val="0"/>
          <w:marRight w:val="0"/>
          <w:marTop w:val="547"/>
          <w:marBottom w:val="0"/>
          <w:divBdr>
            <w:top w:val="none" w:sz="0" w:space="0" w:color="auto"/>
            <w:left w:val="none" w:sz="0" w:space="0" w:color="auto"/>
            <w:bottom w:val="none" w:sz="0" w:space="0" w:color="auto"/>
            <w:right w:val="none" w:sz="0" w:space="0" w:color="auto"/>
          </w:divBdr>
        </w:div>
        <w:div w:id="2142069819">
          <w:marLeft w:val="0"/>
          <w:marRight w:val="0"/>
          <w:marTop w:val="0"/>
          <w:marBottom w:val="0"/>
          <w:divBdr>
            <w:top w:val="none" w:sz="0" w:space="0" w:color="auto"/>
            <w:left w:val="none" w:sz="0" w:space="0" w:color="auto"/>
            <w:bottom w:val="none" w:sz="0" w:space="0" w:color="auto"/>
            <w:right w:val="none" w:sz="0" w:space="0" w:color="auto"/>
          </w:divBdr>
        </w:div>
        <w:div w:id="1291979870">
          <w:marLeft w:val="0"/>
          <w:marRight w:val="0"/>
          <w:marTop w:val="0"/>
          <w:marBottom w:val="600"/>
          <w:divBdr>
            <w:top w:val="none" w:sz="0" w:space="0" w:color="auto"/>
            <w:left w:val="none" w:sz="0" w:space="0" w:color="auto"/>
            <w:bottom w:val="none" w:sz="0" w:space="0" w:color="auto"/>
            <w:right w:val="none" w:sz="0" w:space="0" w:color="auto"/>
          </w:divBdr>
        </w:div>
      </w:divsChild>
    </w:div>
    <w:div w:id="234096213">
      <w:marLeft w:val="0"/>
      <w:marRight w:val="0"/>
      <w:marTop w:val="0"/>
      <w:marBottom w:val="0"/>
      <w:divBdr>
        <w:top w:val="none" w:sz="0" w:space="0" w:color="auto"/>
        <w:left w:val="none" w:sz="0" w:space="0" w:color="auto"/>
        <w:bottom w:val="none" w:sz="0" w:space="0" w:color="auto"/>
        <w:right w:val="none" w:sz="0" w:space="0" w:color="auto"/>
      </w:divBdr>
      <w:divsChild>
        <w:div w:id="596716667">
          <w:marLeft w:val="0"/>
          <w:marRight w:val="0"/>
          <w:marTop w:val="547"/>
          <w:marBottom w:val="0"/>
          <w:divBdr>
            <w:top w:val="none" w:sz="0" w:space="0" w:color="auto"/>
            <w:left w:val="none" w:sz="0" w:space="0" w:color="auto"/>
            <w:bottom w:val="none" w:sz="0" w:space="0" w:color="auto"/>
            <w:right w:val="none" w:sz="0" w:space="0" w:color="auto"/>
          </w:divBdr>
        </w:div>
        <w:div w:id="20937255">
          <w:marLeft w:val="0"/>
          <w:marRight w:val="0"/>
          <w:marTop w:val="0"/>
          <w:marBottom w:val="0"/>
          <w:divBdr>
            <w:top w:val="none" w:sz="0" w:space="0" w:color="auto"/>
            <w:left w:val="none" w:sz="0" w:space="0" w:color="auto"/>
            <w:bottom w:val="none" w:sz="0" w:space="0" w:color="auto"/>
            <w:right w:val="none" w:sz="0" w:space="0" w:color="auto"/>
          </w:divBdr>
        </w:div>
        <w:div w:id="1728801423">
          <w:marLeft w:val="0"/>
          <w:marRight w:val="0"/>
          <w:marTop w:val="0"/>
          <w:marBottom w:val="600"/>
          <w:divBdr>
            <w:top w:val="none" w:sz="0" w:space="0" w:color="auto"/>
            <w:left w:val="none" w:sz="0" w:space="0" w:color="auto"/>
            <w:bottom w:val="none" w:sz="0" w:space="0" w:color="auto"/>
            <w:right w:val="none" w:sz="0" w:space="0" w:color="auto"/>
          </w:divBdr>
        </w:div>
      </w:divsChild>
    </w:div>
    <w:div w:id="264458967">
      <w:marLeft w:val="0"/>
      <w:marRight w:val="0"/>
      <w:marTop w:val="0"/>
      <w:marBottom w:val="0"/>
      <w:divBdr>
        <w:top w:val="none" w:sz="0" w:space="0" w:color="auto"/>
        <w:left w:val="none" w:sz="0" w:space="0" w:color="auto"/>
        <w:bottom w:val="none" w:sz="0" w:space="0" w:color="auto"/>
        <w:right w:val="none" w:sz="0" w:space="0" w:color="auto"/>
      </w:divBdr>
      <w:divsChild>
        <w:div w:id="1571884536">
          <w:marLeft w:val="0"/>
          <w:marRight w:val="0"/>
          <w:marTop w:val="547"/>
          <w:marBottom w:val="0"/>
          <w:divBdr>
            <w:top w:val="none" w:sz="0" w:space="0" w:color="auto"/>
            <w:left w:val="none" w:sz="0" w:space="0" w:color="auto"/>
            <w:bottom w:val="none" w:sz="0" w:space="0" w:color="auto"/>
            <w:right w:val="none" w:sz="0" w:space="0" w:color="auto"/>
          </w:divBdr>
        </w:div>
        <w:div w:id="1138719875">
          <w:marLeft w:val="0"/>
          <w:marRight w:val="0"/>
          <w:marTop w:val="0"/>
          <w:marBottom w:val="0"/>
          <w:divBdr>
            <w:top w:val="none" w:sz="0" w:space="0" w:color="auto"/>
            <w:left w:val="none" w:sz="0" w:space="0" w:color="auto"/>
            <w:bottom w:val="none" w:sz="0" w:space="0" w:color="auto"/>
            <w:right w:val="none" w:sz="0" w:space="0" w:color="auto"/>
          </w:divBdr>
        </w:div>
        <w:div w:id="1621645752">
          <w:marLeft w:val="0"/>
          <w:marRight w:val="0"/>
          <w:marTop w:val="0"/>
          <w:marBottom w:val="600"/>
          <w:divBdr>
            <w:top w:val="none" w:sz="0" w:space="0" w:color="auto"/>
            <w:left w:val="none" w:sz="0" w:space="0" w:color="auto"/>
            <w:bottom w:val="none" w:sz="0" w:space="0" w:color="auto"/>
            <w:right w:val="none" w:sz="0" w:space="0" w:color="auto"/>
          </w:divBdr>
        </w:div>
      </w:divsChild>
    </w:div>
    <w:div w:id="291903387">
      <w:marLeft w:val="0"/>
      <w:marRight w:val="0"/>
      <w:marTop w:val="0"/>
      <w:marBottom w:val="0"/>
      <w:divBdr>
        <w:top w:val="none" w:sz="0" w:space="0" w:color="auto"/>
        <w:left w:val="none" w:sz="0" w:space="0" w:color="auto"/>
        <w:bottom w:val="none" w:sz="0" w:space="0" w:color="auto"/>
        <w:right w:val="none" w:sz="0" w:space="0" w:color="auto"/>
      </w:divBdr>
      <w:divsChild>
        <w:div w:id="1521241711">
          <w:marLeft w:val="0"/>
          <w:marRight w:val="0"/>
          <w:marTop w:val="547"/>
          <w:marBottom w:val="0"/>
          <w:divBdr>
            <w:top w:val="none" w:sz="0" w:space="0" w:color="auto"/>
            <w:left w:val="none" w:sz="0" w:space="0" w:color="auto"/>
            <w:bottom w:val="none" w:sz="0" w:space="0" w:color="auto"/>
            <w:right w:val="none" w:sz="0" w:space="0" w:color="auto"/>
          </w:divBdr>
        </w:div>
        <w:div w:id="208734019">
          <w:marLeft w:val="0"/>
          <w:marRight w:val="0"/>
          <w:marTop w:val="0"/>
          <w:marBottom w:val="0"/>
          <w:divBdr>
            <w:top w:val="none" w:sz="0" w:space="0" w:color="auto"/>
            <w:left w:val="none" w:sz="0" w:space="0" w:color="auto"/>
            <w:bottom w:val="none" w:sz="0" w:space="0" w:color="auto"/>
            <w:right w:val="none" w:sz="0" w:space="0" w:color="auto"/>
          </w:divBdr>
        </w:div>
        <w:div w:id="844635475">
          <w:marLeft w:val="0"/>
          <w:marRight w:val="0"/>
          <w:marTop w:val="0"/>
          <w:marBottom w:val="600"/>
          <w:divBdr>
            <w:top w:val="none" w:sz="0" w:space="0" w:color="auto"/>
            <w:left w:val="none" w:sz="0" w:space="0" w:color="auto"/>
            <w:bottom w:val="none" w:sz="0" w:space="0" w:color="auto"/>
            <w:right w:val="none" w:sz="0" w:space="0" w:color="auto"/>
          </w:divBdr>
        </w:div>
      </w:divsChild>
    </w:div>
    <w:div w:id="321082388">
      <w:marLeft w:val="0"/>
      <w:marRight w:val="0"/>
      <w:marTop w:val="0"/>
      <w:marBottom w:val="0"/>
      <w:divBdr>
        <w:top w:val="none" w:sz="0" w:space="0" w:color="auto"/>
        <w:left w:val="none" w:sz="0" w:space="0" w:color="auto"/>
        <w:bottom w:val="none" w:sz="0" w:space="0" w:color="auto"/>
        <w:right w:val="none" w:sz="0" w:space="0" w:color="auto"/>
      </w:divBdr>
      <w:divsChild>
        <w:div w:id="1915243520">
          <w:marLeft w:val="0"/>
          <w:marRight w:val="0"/>
          <w:marTop w:val="547"/>
          <w:marBottom w:val="0"/>
          <w:divBdr>
            <w:top w:val="none" w:sz="0" w:space="0" w:color="auto"/>
            <w:left w:val="none" w:sz="0" w:space="0" w:color="auto"/>
            <w:bottom w:val="none" w:sz="0" w:space="0" w:color="auto"/>
            <w:right w:val="none" w:sz="0" w:space="0" w:color="auto"/>
          </w:divBdr>
        </w:div>
        <w:div w:id="945577011">
          <w:marLeft w:val="0"/>
          <w:marRight w:val="0"/>
          <w:marTop w:val="0"/>
          <w:marBottom w:val="0"/>
          <w:divBdr>
            <w:top w:val="none" w:sz="0" w:space="0" w:color="auto"/>
            <w:left w:val="none" w:sz="0" w:space="0" w:color="auto"/>
            <w:bottom w:val="none" w:sz="0" w:space="0" w:color="auto"/>
            <w:right w:val="none" w:sz="0" w:space="0" w:color="auto"/>
          </w:divBdr>
        </w:div>
        <w:div w:id="716318269">
          <w:marLeft w:val="0"/>
          <w:marRight w:val="0"/>
          <w:marTop w:val="0"/>
          <w:marBottom w:val="600"/>
          <w:divBdr>
            <w:top w:val="none" w:sz="0" w:space="0" w:color="auto"/>
            <w:left w:val="none" w:sz="0" w:space="0" w:color="auto"/>
            <w:bottom w:val="none" w:sz="0" w:space="0" w:color="auto"/>
            <w:right w:val="none" w:sz="0" w:space="0" w:color="auto"/>
          </w:divBdr>
        </w:div>
      </w:divsChild>
    </w:div>
    <w:div w:id="339161090">
      <w:marLeft w:val="0"/>
      <w:marRight w:val="0"/>
      <w:marTop w:val="0"/>
      <w:marBottom w:val="0"/>
      <w:divBdr>
        <w:top w:val="none" w:sz="0" w:space="0" w:color="auto"/>
        <w:left w:val="none" w:sz="0" w:space="0" w:color="auto"/>
        <w:bottom w:val="none" w:sz="0" w:space="0" w:color="auto"/>
        <w:right w:val="none" w:sz="0" w:space="0" w:color="auto"/>
      </w:divBdr>
      <w:divsChild>
        <w:div w:id="1378699327">
          <w:marLeft w:val="0"/>
          <w:marRight w:val="0"/>
          <w:marTop w:val="547"/>
          <w:marBottom w:val="0"/>
          <w:divBdr>
            <w:top w:val="none" w:sz="0" w:space="0" w:color="auto"/>
            <w:left w:val="none" w:sz="0" w:space="0" w:color="auto"/>
            <w:bottom w:val="none" w:sz="0" w:space="0" w:color="auto"/>
            <w:right w:val="none" w:sz="0" w:space="0" w:color="auto"/>
          </w:divBdr>
        </w:div>
        <w:div w:id="1543791040">
          <w:marLeft w:val="0"/>
          <w:marRight w:val="0"/>
          <w:marTop w:val="0"/>
          <w:marBottom w:val="0"/>
          <w:divBdr>
            <w:top w:val="none" w:sz="0" w:space="0" w:color="auto"/>
            <w:left w:val="none" w:sz="0" w:space="0" w:color="auto"/>
            <w:bottom w:val="none" w:sz="0" w:space="0" w:color="auto"/>
            <w:right w:val="none" w:sz="0" w:space="0" w:color="auto"/>
          </w:divBdr>
        </w:div>
        <w:div w:id="465440616">
          <w:marLeft w:val="0"/>
          <w:marRight w:val="0"/>
          <w:marTop w:val="0"/>
          <w:marBottom w:val="600"/>
          <w:divBdr>
            <w:top w:val="none" w:sz="0" w:space="0" w:color="auto"/>
            <w:left w:val="none" w:sz="0" w:space="0" w:color="auto"/>
            <w:bottom w:val="none" w:sz="0" w:space="0" w:color="auto"/>
            <w:right w:val="none" w:sz="0" w:space="0" w:color="auto"/>
          </w:divBdr>
        </w:div>
      </w:divsChild>
    </w:div>
    <w:div w:id="341396414">
      <w:marLeft w:val="0"/>
      <w:marRight w:val="0"/>
      <w:marTop w:val="0"/>
      <w:marBottom w:val="0"/>
      <w:divBdr>
        <w:top w:val="none" w:sz="0" w:space="0" w:color="auto"/>
        <w:left w:val="none" w:sz="0" w:space="0" w:color="auto"/>
        <w:bottom w:val="none" w:sz="0" w:space="0" w:color="auto"/>
        <w:right w:val="none" w:sz="0" w:space="0" w:color="auto"/>
      </w:divBdr>
      <w:divsChild>
        <w:div w:id="3830412">
          <w:marLeft w:val="0"/>
          <w:marRight w:val="0"/>
          <w:marTop w:val="547"/>
          <w:marBottom w:val="0"/>
          <w:divBdr>
            <w:top w:val="none" w:sz="0" w:space="0" w:color="auto"/>
            <w:left w:val="none" w:sz="0" w:space="0" w:color="auto"/>
            <w:bottom w:val="none" w:sz="0" w:space="0" w:color="auto"/>
            <w:right w:val="none" w:sz="0" w:space="0" w:color="auto"/>
          </w:divBdr>
        </w:div>
        <w:div w:id="321932196">
          <w:marLeft w:val="0"/>
          <w:marRight w:val="0"/>
          <w:marTop w:val="0"/>
          <w:marBottom w:val="0"/>
          <w:divBdr>
            <w:top w:val="none" w:sz="0" w:space="0" w:color="auto"/>
            <w:left w:val="none" w:sz="0" w:space="0" w:color="auto"/>
            <w:bottom w:val="none" w:sz="0" w:space="0" w:color="auto"/>
            <w:right w:val="none" w:sz="0" w:space="0" w:color="auto"/>
          </w:divBdr>
        </w:div>
        <w:div w:id="1788114876">
          <w:marLeft w:val="0"/>
          <w:marRight w:val="0"/>
          <w:marTop w:val="0"/>
          <w:marBottom w:val="600"/>
          <w:divBdr>
            <w:top w:val="none" w:sz="0" w:space="0" w:color="auto"/>
            <w:left w:val="none" w:sz="0" w:space="0" w:color="auto"/>
            <w:bottom w:val="none" w:sz="0" w:space="0" w:color="auto"/>
            <w:right w:val="none" w:sz="0" w:space="0" w:color="auto"/>
          </w:divBdr>
        </w:div>
      </w:divsChild>
    </w:div>
    <w:div w:id="353457785">
      <w:marLeft w:val="0"/>
      <w:marRight w:val="0"/>
      <w:marTop w:val="0"/>
      <w:marBottom w:val="0"/>
      <w:divBdr>
        <w:top w:val="none" w:sz="0" w:space="0" w:color="auto"/>
        <w:left w:val="none" w:sz="0" w:space="0" w:color="auto"/>
        <w:bottom w:val="none" w:sz="0" w:space="0" w:color="auto"/>
        <w:right w:val="none" w:sz="0" w:space="0" w:color="auto"/>
      </w:divBdr>
      <w:divsChild>
        <w:div w:id="570894942">
          <w:marLeft w:val="0"/>
          <w:marRight w:val="0"/>
          <w:marTop w:val="547"/>
          <w:marBottom w:val="0"/>
          <w:divBdr>
            <w:top w:val="none" w:sz="0" w:space="0" w:color="auto"/>
            <w:left w:val="none" w:sz="0" w:space="0" w:color="auto"/>
            <w:bottom w:val="none" w:sz="0" w:space="0" w:color="auto"/>
            <w:right w:val="none" w:sz="0" w:space="0" w:color="auto"/>
          </w:divBdr>
        </w:div>
        <w:div w:id="2096323066">
          <w:marLeft w:val="0"/>
          <w:marRight w:val="0"/>
          <w:marTop w:val="0"/>
          <w:marBottom w:val="0"/>
          <w:divBdr>
            <w:top w:val="none" w:sz="0" w:space="0" w:color="auto"/>
            <w:left w:val="none" w:sz="0" w:space="0" w:color="auto"/>
            <w:bottom w:val="none" w:sz="0" w:space="0" w:color="auto"/>
            <w:right w:val="none" w:sz="0" w:space="0" w:color="auto"/>
          </w:divBdr>
        </w:div>
        <w:div w:id="1739666253">
          <w:marLeft w:val="0"/>
          <w:marRight w:val="0"/>
          <w:marTop w:val="0"/>
          <w:marBottom w:val="600"/>
          <w:divBdr>
            <w:top w:val="none" w:sz="0" w:space="0" w:color="auto"/>
            <w:left w:val="none" w:sz="0" w:space="0" w:color="auto"/>
            <w:bottom w:val="none" w:sz="0" w:space="0" w:color="auto"/>
            <w:right w:val="none" w:sz="0" w:space="0" w:color="auto"/>
          </w:divBdr>
        </w:div>
      </w:divsChild>
    </w:div>
    <w:div w:id="355039852">
      <w:marLeft w:val="0"/>
      <w:marRight w:val="0"/>
      <w:marTop w:val="0"/>
      <w:marBottom w:val="0"/>
      <w:divBdr>
        <w:top w:val="none" w:sz="0" w:space="0" w:color="auto"/>
        <w:left w:val="none" w:sz="0" w:space="0" w:color="auto"/>
        <w:bottom w:val="none" w:sz="0" w:space="0" w:color="auto"/>
        <w:right w:val="none" w:sz="0" w:space="0" w:color="auto"/>
      </w:divBdr>
      <w:divsChild>
        <w:div w:id="506752345">
          <w:marLeft w:val="0"/>
          <w:marRight w:val="0"/>
          <w:marTop w:val="547"/>
          <w:marBottom w:val="0"/>
          <w:divBdr>
            <w:top w:val="none" w:sz="0" w:space="0" w:color="auto"/>
            <w:left w:val="none" w:sz="0" w:space="0" w:color="auto"/>
            <w:bottom w:val="none" w:sz="0" w:space="0" w:color="auto"/>
            <w:right w:val="none" w:sz="0" w:space="0" w:color="auto"/>
          </w:divBdr>
        </w:div>
        <w:div w:id="120736838">
          <w:marLeft w:val="0"/>
          <w:marRight w:val="0"/>
          <w:marTop w:val="0"/>
          <w:marBottom w:val="0"/>
          <w:divBdr>
            <w:top w:val="none" w:sz="0" w:space="0" w:color="auto"/>
            <w:left w:val="none" w:sz="0" w:space="0" w:color="auto"/>
            <w:bottom w:val="none" w:sz="0" w:space="0" w:color="auto"/>
            <w:right w:val="none" w:sz="0" w:space="0" w:color="auto"/>
          </w:divBdr>
        </w:div>
        <w:div w:id="782849544">
          <w:marLeft w:val="0"/>
          <w:marRight w:val="0"/>
          <w:marTop w:val="0"/>
          <w:marBottom w:val="600"/>
          <w:divBdr>
            <w:top w:val="none" w:sz="0" w:space="0" w:color="auto"/>
            <w:left w:val="none" w:sz="0" w:space="0" w:color="auto"/>
            <w:bottom w:val="none" w:sz="0" w:space="0" w:color="auto"/>
            <w:right w:val="none" w:sz="0" w:space="0" w:color="auto"/>
          </w:divBdr>
        </w:div>
      </w:divsChild>
    </w:div>
    <w:div w:id="364715027">
      <w:marLeft w:val="0"/>
      <w:marRight w:val="0"/>
      <w:marTop w:val="0"/>
      <w:marBottom w:val="0"/>
      <w:divBdr>
        <w:top w:val="none" w:sz="0" w:space="0" w:color="auto"/>
        <w:left w:val="none" w:sz="0" w:space="0" w:color="auto"/>
        <w:bottom w:val="none" w:sz="0" w:space="0" w:color="auto"/>
        <w:right w:val="none" w:sz="0" w:space="0" w:color="auto"/>
      </w:divBdr>
      <w:divsChild>
        <w:div w:id="956832821">
          <w:marLeft w:val="0"/>
          <w:marRight w:val="0"/>
          <w:marTop w:val="547"/>
          <w:marBottom w:val="0"/>
          <w:divBdr>
            <w:top w:val="none" w:sz="0" w:space="0" w:color="auto"/>
            <w:left w:val="none" w:sz="0" w:space="0" w:color="auto"/>
            <w:bottom w:val="none" w:sz="0" w:space="0" w:color="auto"/>
            <w:right w:val="none" w:sz="0" w:space="0" w:color="auto"/>
          </w:divBdr>
        </w:div>
        <w:div w:id="1012606413">
          <w:marLeft w:val="0"/>
          <w:marRight w:val="0"/>
          <w:marTop w:val="0"/>
          <w:marBottom w:val="0"/>
          <w:divBdr>
            <w:top w:val="none" w:sz="0" w:space="0" w:color="auto"/>
            <w:left w:val="none" w:sz="0" w:space="0" w:color="auto"/>
            <w:bottom w:val="none" w:sz="0" w:space="0" w:color="auto"/>
            <w:right w:val="none" w:sz="0" w:space="0" w:color="auto"/>
          </w:divBdr>
        </w:div>
        <w:div w:id="995038066">
          <w:marLeft w:val="0"/>
          <w:marRight w:val="0"/>
          <w:marTop w:val="0"/>
          <w:marBottom w:val="600"/>
          <w:divBdr>
            <w:top w:val="none" w:sz="0" w:space="0" w:color="auto"/>
            <w:left w:val="none" w:sz="0" w:space="0" w:color="auto"/>
            <w:bottom w:val="none" w:sz="0" w:space="0" w:color="auto"/>
            <w:right w:val="none" w:sz="0" w:space="0" w:color="auto"/>
          </w:divBdr>
        </w:div>
      </w:divsChild>
    </w:div>
    <w:div w:id="449666168">
      <w:marLeft w:val="0"/>
      <w:marRight w:val="0"/>
      <w:marTop w:val="0"/>
      <w:marBottom w:val="0"/>
      <w:divBdr>
        <w:top w:val="none" w:sz="0" w:space="0" w:color="auto"/>
        <w:left w:val="none" w:sz="0" w:space="0" w:color="auto"/>
        <w:bottom w:val="none" w:sz="0" w:space="0" w:color="auto"/>
        <w:right w:val="none" w:sz="0" w:space="0" w:color="auto"/>
      </w:divBdr>
      <w:divsChild>
        <w:div w:id="2092194334">
          <w:marLeft w:val="0"/>
          <w:marRight w:val="0"/>
          <w:marTop w:val="547"/>
          <w:marBottom w:val="0"/>
          <w:divBdr>
            <w:top w:val="none" w:sz="0" w:space="0" w:color="auto"/>
            <w:left w:val="none" w:sz="0" w:space="0" w:color="auto"/>
            <w:bottom w:val="none" w:sz="0" w:space="0" w:color="auto"/>
            <w:right w:val="none" w:sz="0" w:space="0" w:color="auto"/>
          </w:divBdr>
        </w:div>
        <w:div w:id="1142964676">
          <w:marLeft w:val="0"/>
          <w:marRight w:val="0"/>
          <w:marTop w:val="0"/>
          <w:marBottom w:val="0"/>
          <w:divBdr>
            <w:top w:val="none" w:sz="0" w:space="0" w:color="auto"/>
            <w:left w:val="none" w:sz="0" w:space="0" w:color="auto"/>
            <w:bottom w:val="none" w:sz="0" w:space="0" w:color="auto"/>
            <w:right w:val="none" w:sz="0" w:space="0" w:color="auto"/>
          </w:divBdr>
        </w:div>
        <w:div w:id="83037572">
          <w:marLeft w:val="0"/>
          <w:marRight w:val="0"/>
          <w:marTop w:val="0"/>
          <w:marBottom w:val="600"/>
          <w:divBdr>
            <w:top w:val="none" w:sz="0" w:space="0" w:color="auto"/>
            <w:left w:val="none" w:sz="0" w:space="0" w:color="auto"/>
            <w:bottom w:val="none" w:sz="0" w:space="0" w:color="auto"/>
            <w:right w:val="none" w:sz="0" w:space="0" w:color="auto"/>
          </w:divBdr>
        </w:div>
      </w:divsChild>
    </w:div>
    <w:div w:id="466121202">
      <w:marLeft w:val="0"/>
      <w:marRight w:val="0"/>
      <w:marTop w:val="0"/>
      <w:marBottom w:val="0"/>
      <w:divBdr>
        <w:top w:val="none" w:sz="0" w:space="0" w:color="auto"/>
        <w:left w:val="none" w:sz="0" w:space="0" w:color="auto"/>
        <w:bottom w:val="none" w:sz="0" w:space="0" w:color="auto"/>
        <w:right w:val="none" w:sz="0" w:space="0" w:color="auto"/>
      </w:divBdr>
      <w:divsChild>
        <w:div w:id="2068916021">
          <w:marLeft w:val="0"/>
          <w:marRight w:val="0"/>
          <w:marTop w:val="547"/>
          <w:marBottom w:val="0"/>
          <w:divBdr>
            <w:top w:val="none" w:sz="0" w:space="0" w:color="auto"/>
            <w:left w:val="none" w:sz="0" w:space="0" w:color="auto"/>
            <w:bottom w:val="none" w:sz="0" w:space="0" w:color="auto"/>
            <w:right w:val="none" w:sz="0" w:space="0" w:color="auto"/>
          </w:divBdr>
        </w:div>
        <w:div w:id="1031421998">
          <w:marLeft w:val="0"/>
          <w:marRight w:val="0"/>
          <w:marTop w:val="0"/>
          <w:marBottom w:val="0"/>
          <w:divBdr>
            <w:top w:val="none" w:sz="0" w:space="0" w:color="auto"/>
            <w:left w:val="none" w:sz="0" w:space="0" w:color="auto"/>
            <w:bottom w:val="none" w:sz="0" w:space="0" w:color="auto"/>
            <w:right w:val="none" w:sz="0" w:space="0" w:color="auto"/>
          </w:divBdr>
        </w:div>
        <w:div w:id="1204441555">
          <w:marLeft w:val="0"/>
          <w:marRight w:val="0"/>
          <w:marTop w:val="0"/>
          <w:marBottom w:val="600"/>
          <w:divBdr>
            <w:top w:val="none" w:sz="0" w:space="0" w:color="auto"/>
            <w:left w:val="none" w:sz="0" w:space="0" w:color="auto"/>
            <w:bottom w:val="none" w:sz="0" w:space="0" w:color="auto"/>
            <w:right w:val="none" w:sz="0" w:space="0" w:color="auto"/>
          </w:divBdr>
        </w:div>
      </w:divsChild>
    </w:div>
    <w:div w:id="477041450">
      <w:marLeft w:val="0"/>
      <w:marRight w:val="0"/>
      <w:marTop w:val="0"/>
      <w:marBottom w:val="0"/>
      <w:divBdr>
        <w:top w:val="none" w:sz="0" w:space="0" w:color="auto"/>
        <w:left w:val="none" w:sz="0" w:space="0" w:color="auto"/>
        <w:bottom w:val="none" w:sz="0" w:space="0" w:color="auto"/>
        <w:right w:val="none" w:sz="0" w:space="0" w:color="auto"/>
      </w:divBdr>
      <w:divsChild>
        <w:div w:id="625548651">
          <w:marLeft w:val="0"/>
          <w:marRight w:val="0"/>
          <w:marTop w:val="547"/>
          <w:marBottom w:val="0"/>
          <w:divBdr>
            <w:top w:val="none" w:sz="0" w:space="0" w:color="auto"/>
            <w:left w:val="none" w:sz="0" w:space="0" w:color="auto"/>
            <w:bottom w:val="none" w:sz="0" w:space="0" w:color="auto"/>
            <w:right w:val="none" w:sz="0" w:space="0" w:color="auto"/>
          </w:divBdr>
        </w:div>
        <w:div w:id="1199971243">
          <w:marLeft w:val="0"/>
          <w:marRight w:val="0"/>
          <w:marTop w:val="0"/>
          <w:marBottom w:val="0"/>
          <w:divBdr>
            <w:top w:val="none" w:sz="0" w:space="0" w:color="auto"/>
            <w:left w:val="none" w:sz="0" w:space="0" w:color="auto"/>
            <w:bottom w:val="none" w:sz="0" w:space="0" w:color="auto"/>
            <w:right w:val="none" w:sz="0" w:space="0" w:color="auto"/>
          </w:divBdr>
          <w:divsChild>
            <w:div w:id="1694528593">
              <w:marLeft w:val="0"/>
              <w:marRight w:val="0"/>
              <w:marTop w:val="0"/>
              <w:marBottom w:val="0"/>
              <w:divBdr>
                <w:top w:val="none" w:sz="0" w:space="0" w:color="auto"/>
                <w:left w:val="none" w:sz="0" w:space="0" w:color="auto"/>
                <w:bottom w:val="none" w:sz="0" w:space="0" w:color="auto"/>
                <w:right w:val="none" w:sz="0" w:space="0" w:color="auto"/>
              </w:divBdr>
              <w:divsChild>
                <w:div w:id="369383633">
                  <w:marLeft w:val="0"/>
                  <w:marRight w:val="0"/>
                  <w:marTop w:val="0"/>
                  <w:marBottom w:val="0"/>
                  <w:divBdr>
                    <w:top w:val="none" w:sz="0" w:space="0" w:color="auto"/>
                    <w:left w:val="none" w:sz="0" w:space="0" w:color="auto"/>
                    <w:bottom w:val="none" w:sz="0" w:space="0" w:color="auto"/>
                    <w:right w:val="none" w:sz="0" w:space="0" w:color="auto"/>
                  </w:divBdr>
                </w:div>
              </w:divsChild>
            </w:div>
            <w:div w:id="872887413">
              <w:marLeft w:val="0"/>
              <w:marRight w:val="0"/>
              <w:marTop w:val="0"/>
              <w:marBottom w:val="0"/>
              <w:divBdr>
                <w:top w:val="none" w:sz="0" w:space="0" w:color="auto"/>
                <w:left w:val="none" w:sz="0" w:space="0" w:color="auto"/>
                <w:bottom w:val="none" w:sz="0" w:space="0" w:color="auto"/>
                <w:right w:val="none" w:sz="0" w:space="0" w:color="auto"/>
              </w:divBdr>
              <w:divsChild>
                <w:div w:id="1697349168">
                  <w:marLeft w:val="0"/>
                  <w:marRight w:val="0"/>
                  <w:marTop w:val="0"/>
                  <w:marBottom w:val="0"/>
                  <w:divBdr>
                    <w:top w:val="none" w:sz="0" w:space="0" w:color="auto"/>
                    <w:left w:val="none" w:sz="0" w:space="0" w:color="auto"/>
                    <w:bottom w:val="none" w:sz="0" w:space="0" w:color="auto"/>
                    <w:right w:val="none" w:sz="0" w:space="0" w:color="auto"/>
                  </w:divBdr>
                </w:div>
              </w:divsChild>
            </w:div>
            <w:div w:id="795022645">
              <w:marLeft w:val="0"/>
              <w:marRight w:val="0"/>
              <w:marTop w:val="0"/>
              <w:marBottom w:val="0"/>
              <w:divBdr>
                <w:top w:val="none" w:sz="0" w:space="0" w:color="auto"/>
                <w:left w:val="none" w:sz="0" w:space="0" w:color="auto"/>
                <w:bottom w:val="none" w:sz="0" w:space="0" w:color="auto"/>
                <w:right w:val="none" w:sz="0" w:space="0" w:color="auto"/>
              </w:divBdr>
              <w:divsChild>
                <w:div w:id="1955096247">
                  <w:marLeft w:val="0"/>
                  <w:marRight w:val="0"/>
                  <w:marTop w:val="0"/>
                  <w:marBottom w:val="0"/>
                  <w:divBdr>
                    <w:top w:val="none" w:sz="0" w:space="0" w:color="auto"/>
                    <w:left w:val="none" w:sz="0" w:space="0" w:color="auto"/>
                    <w:bottom w:val="none" w:sz="0" w:space="0" w:color="auto"/>
                    <w:right w:val="none" w:sz="0" w:space="0" w:color="auto"/>
                  </w:divBdr>
                </w:div>
              </w:divsChild>
            </w:div>
            <w:div w:id="1056857494">
              <w:marLeft w:val="0"/>
              <w:marRight w:val="0"/>
              <w:marTop w:val="0"/>
              <w:marBottom w:val="0"/>
              <w:divBdr>
                <w:top w:val="none" w:sz="0" w:space="0" w:color="auto"/>
                <w:left w:val="none" w:sz="0" w:space="0" w:color="auto"/>
                <w:bottom w:val="none" w:sz="0" w:space="0" w:color="auto"/>
                <w:right w:val="none" w:sz="0" w:space="0" w:color="auto"/>
              </w:divBdr>
              <w:divsChild>
                <w:div w:id="583998217">
                  <w:marLeft w:val="0"/>
                  <w:marRight w:val="0"/>
                  <w:marTop w:val="0"/>
                  <w:marBottom w:val="0"/>
                  <w:divBdr>
                    <w:top w:val="none" w:sz="0" w:space="0" w:color="auto"/>
                    <w:left w:val="none" w:sz="0" w:space="0" w:color="auto"/>
                    <w:bottom w:val="none" w:sz="0" w:space="0" w:color="auto"/>
                    <w:right w:val="none" w:sz="0" w:space="0" w:color="auto"/>
                  </w:divBdr>
                </w:div>
              </w:divsChild>
            </w:div>
            <w:div w:id="2006006341">
              <w:marLeft w:val="0"/>
              <w:marRight w:val="0"/>
              <w:marTop w:val="0"/>
              <w:marBottom w:val="0"/>
              <w:divBdr>
                <w:top w:val="none" w:sz="0" w:space="0" w:color="auto"/>
                <w:left w:val="none" w:sz="0" w:space="0" w:color="auto"/>
                <w:bottom w:val="none" w:sz="0" w:space="0" w:color="auto"/>
                <w:right w:val="none" w:sz="0" w:space="0" w:color="auto"/>
              </w:divBdr>
              <w:divsChild>
                <w:div w:id="1440875850">
                  <w:marLeft w:val="0"/>
                  <w:marRight w:val="0"/>
                  <w:marTop w:val="0"/>
                  <w:marBottom w:val="0"/>
                  <w:divBdr>
                    <w:top w:val="none" w:sz="0" w:space="0" w:color="auto"/>
                    <w:left w:val="none" w:sz="0" w:space="0" w:color="auto"/>
                    <w:bottom w:val="none" w:sz="0" w:space="0" w:color="auto"/>
                    <w:right w:val="none" w:sz="0" w:space="0" w:color="auto"/>
                  </w:divBdr>
                </w:div>
              </w:divsChild>
            </w:div>
            <w:div w:id="1054036679">
              <w:marLeft w:val="0"/>
              <w:marRight w:val="0"/>
              <w:marTop w:val="0"/>
              <w:marBottom w:val="0"/>
              <w:divBdr>
                <w:top w:val="none" w:sz="0" w:space="0" w:color="auto"/>
                <w:left w:val="none" w:sz="0" w:space="0" w:color="auto"/>
                <w:bottom w:val="none" w:sz="0" w:space="0" w:color="auto"/>
                <w:right w:val="none" w:sz="0" w:space="0" w:color="auto"/>
              </w:divBdr>
              <w:divsChild>
                <w:div w:id="1984963118">
                  <w:marLeft w:val="0"/>
                  <w:marRight w:val="0"/>
                  <w:marTop w:val="0"/>
                  <w:marBottom w:val="0"/>
                  <w:divBdr>
                    <w:top w:val="none" w:sz="0" w:space="0" w:color="auto"/>
                    <w:left w:val="none" w:sz="0" w:space="0" w:color="auto"/>
                    <w:bottom w:val="none" w:sz="0" w:space="0" w:color="auto"/>
                    <w:right w:val="none" w:sz="0" w:space="0" w:color="auto"/>
                  </w:divBdr>
                </w:div>
              </w:divsChild>
            </w:div>
            <w:div w:id="549994948">
              <w:marLeft w:val="0"/>
              <w:marRight w:val="0"/>
              <w:marTop w:val="0"/>
              <w:marBottom w:val="0"/>
              <w:divBdr>
                <w:top w:val="none" w:sz="0" w:space="0" w:color="auto"/>
                <w:left w:val="none" w:sz="0" w:space="0" w:color="auto"/>
                <w:bottom w:val="none" w:sz="0" w:space="0" w:color="auto"/>
                <w:right w:val="none" w:sz="0" w:space="0" w:color="auto"/>
              </w:divBdr>
              <w:divsChild>
                <w:div w:id="747270857">
                  <w:marLeft w:val="0"/>
                  <w:marRight w:val="0"/>
                  <w:marTop w:val="0"/>
                  <w:marBottom w:val="0"/>
                  <w:divBdr>
                    <w:top w:val="none" w:sz="0" w:space="0" w:color="auto"/>
                    <w:left w:val="none" w:sz="0" w:space="0" w:color="auto"/>
                    <w:bottom w:val="none" w:sz="0" w:space="0" w:color="auto"/>
                    <w:right w:val="none" w:sz="0" w:space="0" w:color="auto"/>
                  </w:divBdr>
                </w:div>
              </w:divsChild>
            </w:div>
            <w:div w:id="1713580621">
              <w:marLeft w:val="0"/>
              <w:marRight w:val="0"/>
              <w:marTop w:val="0"/>
              <w:marBottom w:val="0"/>
              <w:divBdr>
                <w:top w:val="none" w:sz="0" w:space="0" w:color="auto"/>
                <w:left w:val="none" w:sz="0" w:space="0" w:color="auto"/>
                <w:bottom w:val="none" w:sz="0" w:space="0" w:color="auto"/>
                <w:right w:val="none" w:sz="0" w:space="0" w:color="auto"/>
              </w:divBdr>
              <w:divsChild>
                <w:div w:id="563029090">
                  <w:marLeft w:val="0"/>
                  <w:marRight w:val="0"/>
                  <w:marTop w:val="0"/>
                  <w:marBottom w:val="0"/>
                  <w:divBdr>
                    <w:top w:val="none" w:sz="0" w:space="0" w:color="auto"/>
                    <w:left w:val="none" w:sz="0" w:space="0" w:color="auto"/>
                    <w:bottom w:val="none" w:sz="0" w:space="0" w:color="auto"/>
                    <w:right w:val="none" w:sz="0" w:space="0" w:color="auto"/>
                  </w:divBdr>
                </w:div>
              </w:divsChild>
            </w:div>
            <w:div w:id="586160256">
              <w:marLeft w:val="0"/>
              <w:marRight w:val="0"/>
              <w:marTop w:val="0"/>
              <w:marBottom w:val="0"/>
              <w:divBdr>
                <w:top w:val="none" w:sz="0" w:space="0" w:color="auto"/>
                <w:left w:val="none" w:sz="0" w:space="0" w:color="auto"/>
                <w:bottom w:val="none" w:sz="0" w:space="0" w:color="auto"/>
                <w:right w:val="none" w:sz="0" w:space="0" w:color="auto"/>
              </w:divBdr>
              <w:divsChild>
                <w:div w:id="1398481723">
                  <w:marLeft w:val="0"/>
                  <w:marRight w:val="0"/>
                  <w:marTop w:val="0"/>
                  <w:marBottom w:val="0"/>
                  <w:divBdr>
                    <w:top w:val="none" w:sz="0" w:space="0" w:color="auto"/>
                    <w:left w:val="none" w:sz="0" w:space="0" w:color="auto"/>
                    <w:bottom w:val="none" w:sz="0" w:space="0" w:color="auto"/>
                    <w:right w:val="none" w:sz="0" w:space="0" w:color="auto"/>
                  </w:divBdr>
                </w:div>
              </w:divsChild>
            </w:div>
            <w:div w:id="21831318">
              <w:marLeft w:val="0"/>
              <w:marRight w:val="0"/>
              <w:marTop w:val="0"/>
              <w:marBottom w:val="0"/>
              <w:divBdr>
                <w:top w:val="none" w:sz="0" w:space="0" w:color="auto"/>
                <w:left w:val="none" w:sz="0" w:space="0" w:color="auto"/>
                <w:bottom w:val="none" w:sz="0" w:space="0" w:color="auto"/>
                <w:right w:val="none" w:sz="0" w:space="0" w:color="auto"/>
              </w:divBdr>
              <w:divsChild>
                <w:div w:id="2022003184">
                  <w:marLeft w:val="0"/>
                  <w:marRight w:val="0"/>
                  <w:marTop w:val="0"/>
                  <w:marBottom w:val="0"/>
                  <w:divBdr>
                    <w:top w:val="none" w:sz="0" w:space="0" w:color="auto"/>
                    <w:left w:val="none" w:sz="0" w:space="0" w:color="auto"/>
                    <w:bottom w:val="none" w:sz="0" w:space="0" w:color="auto"/>
                    <w:right w:val="none" w:sz="0" w:space="0" w:color="auto"/>
                  </w:divBdr>
                </w:div>
              </w:divsChild>
            </w:div>
            <w:div w:id="626594706">
              <w:marLeft w:val="0"/>
              <w:marRight w:val="0"/>
              <w:marTop w:val="0"/>
              <w:marBottom w:val="0"/>
              <w:divBdr>
                <w:top w:val="none" w:sz="0" w:space="0" w:color="auto"/>
                <w:left w:val="none" w:sz="0" w:space="0" w:color="auto"/>
                <w:bottom w:val="none" w:sz="0" w:space="0" w:color="auto"/>
                <w:right w:val="none" w:sz="0" w:space="0" w:color="auto"/>
              </w:divBdr>
              <w:divsChild>
                <w:div w:id="1913268391">
                  <w:marLeft w:val="0"/>
                  <w:marRight w:val="0"/>
                  <w:marTop w:val="0"/>
                  <w:marBottom w:val="0"/>
                  <w:divBdr>
                    <w:top w:val="none" w:sz="0" w:space="0" w:color="auto"/>
                    <w:left w:val="none" w:sz="0" w:space="0" w:color="auto"/>
                    <w:bottom w:val="none" w:sz="0" w:space="0" w:color="auto"/>
                    <w:right w:val="none" w:sz="0" w:space="0" w:color="auto"/>
                  </w:divBdr>
                </w:div>
              </w:divsChild>
            </w:div>
            <w:div w:id="1640380727">
              <w:marLeft w:val="0"/>
              <w:marRight w:val="0"/>
              <w:marTop w:val="0"/>
              <w:marBottom w:val="0"/>
              <w:divBdr>
                <w:top w:val="none" w:sz="0" w:space="0" w:color="auto"/>
                <w:left w:val="none" w:sz="0" w:space="0" w:color="auto"/>
                <w:bottom w:val="none" w:sz="0" w:space="0" w:color="auto"/>
                <w:right w:val="none" w:sz="0" w:space="0" w:color="auto"/>
              </w:divBdr>
              <w:divsChild>
                <w:div w:id="1365519539">
                  <w:marLeft w:val="0"/>
                  <w:marRight w:val="0"/>
                  <w:marTop w:val="0"/>
                  <w:marBottom w:val="0"/>
                  <w:divBdr>
                    <w:top w:val="none" w:sz="0" w:space="0" w:color="auto"/>
                    <w:left w:val="none" w:sz="0" w:space="0" w:color="auto"/>
                    <w:bottom w:val="none" w:sz="0" w:space="0" w:color="auto"/>
                    <w:right w:val="none" w:sz="0" w:space="0" w:color="auto"/>
                  </w:divBdr>
                </w:div>
              </w:divsChild>
            </w:div>
            <w:div w:id="1310328611">
              <w:marLeft w:val="0"/>
              <w:marRight w:val="0"/>
              <w:marTop w:val="0"/>
              <w:marBottom w:val="0"/>
              <w:divBdr>
                <w:top w:val="none" w:sz="0" w:space="0" w:color="auto"/>
                <w:left w:val="none" w:sz="0" w:space="0" w:color="auto"/>
                <w:bottom w:val="none" w:sz="0" w:space="0" w:color="auto"/>
                <w:right w:val="none" w:sz="0" w:space="0" w:color="auto"/>
              </w:divBdr>
              <w:divsChild>
                <w:div w:id="192813090">
                  <w:marLeft w:val="0"/>
                  <w:marRight w:val="0"/>
                  <w:marTop w:val="0"/>
                  <w:marBottom w:val="0"/>
                  <w:divBdr>
                    <w:top w:val="none" w:sz="0" w:space="0" w:color="auto"/>
                    <w:left w:val="none" w:sz="0" w:space="0" w:color="auto"/>
                    <w:bottom w:val="none" w:sz="0" w:space="0" w:color="auto"/>
                    <w:right w:val="none" w:sz="0" w:space="0" w:color="auto"/>
                  </w:divBdr>
                </w:div>
              </w:divsChild>
            </w:div>
            <w:div w:id="1463185576">
              <w:marLeft w:val="0"/>
              <w:marRight w:val="0"/>
              <w:marTop w:val="0"/>
              <w:marBottom w:val="0"/>
              <w:divBdr>
                <w:top w:val="none" w:sz="0" w:space="0" w:color="auto"/>
                <w:left w:val="none" w:sz="0" w:space="0" w:color="auto"/>
                <w:bottom w:val="none" w:sz="0" w:space="0" w:color="auto"/>
                <w:right w:val="none" w:sz="0" w:space="0" w:color="auto"/>
              </w:divBdr>
              <w:divsChild>
                <w:div w:id="1603876570">
                  <w:marLeft w:val="0"/>
                  <w:marRight w:val="0"/>
                  <w:marTop w:val="0"/>
                  <w:marBottom w:val="0"/>
                  <w:divBdr>
                    <w:top w:val="none" w:sz="0" w:space="0" w:color="auto"/>
                    <w:left w:val="none" w:sz="0" w:space="0" w:color="auto"/>
                    <w:bottom w:val="none" w:sz="0" w:space="0" w:color="auto"/>
                    <w:right w:val="none" w:sz="0" w:space="0" w:color="auto"/>
                  </w:divBdr>
                </w:div>
              </w:divsChild>
            </w:div>
            <w:div w:id="451822012">
              <w:marLeft w:val="0"/>
              <w:marRight w:val="0"/>
              <w:marTop w:val="0"/>
              <w:marBottom w:val="0"/>
              <w:divBdr>
                <w:top w:val="none" w:sz="0" w:space="0" w:color="auto"/>
                <w:left w:val="none" w:sz="0" w:space="0" w:color="auto"/>
                <w:bottom w:val="none" w:sz="0" w:space="0" w:color="auto"/>
                <w:right w:val="none" w:sz="0" w:space="0" w:color="auto"/>
              </w:divBdr>
              <w:divsChild>
                <w:div w:id="1972788708">
                  <w:marLeft w:val="0"/>
                  <w:marRight w:val="0"/>
                  <w:marTop w:val="0"/>
                  <w:marBottom w:val="0"/>
                  <w:divBdr>
                    <w:top w:val="none" w:sz="0" w:space="0" w:color="auto"/>
                    <w:left w:val="none" w:sz="0" w:space="0" w:color="auto"/>
                    <w:bottom w:val="none" w:sz="0" w:space="0" w:color="auto"/>
                    <w:right w:val="none" w:sz="0" w:space="0" w:color="auto"/>
                  </w:divBdr>
                </w:div>
              </w:divsChild>
            </w:div>
            <w:div w:id="1183935027">
              <w:marLeft w:val="0"/>
              <w:marRight w:val="0"/>
              <w:marTop w:val="0"/>
              <w:marBottom w:val="0"/>
              <w:divBdr>
                <w:top w:val="none" w:sz="0" w:space="0" w:color="auto"/>
                <w:left w:val="none" w:sz="0" w:space="0" w:color="auto"/>
                <w:bottom w:val="none" w:sz="0" w:space="0" w:color="auto"/>
                <w:right w:val="none" w:sz="0" w:space="0" w:color="auto"/>
              </w:divBdr>
              <w:divsChild>
                <w:div w:id="1977834184">
                  <w:marLeft w:val="0"/>
                  <w:marRight w:val="0"/>
                  <w:marTop w:val="0"/>
                  <w:marBottom w:val="0"/>
                  <w:divBdr>
                    <w:top w:val="none" w:sz="0" w:space="0" w:color="auto"/>
                    <w:left w:val="none" w:sz="0" w:space="0" w:color="auto"/>
                    <w:bottom w:val="none" w:sz="0" w:space="0" w:color="auto"/>
                    <w:right w:val="none" w:sz="0" w:space="0" w:color="auto"/>
                  </w:divBdr>
                </w:div>
              </w:divsChild>
            </w:div>
            <w:div w:id="412122848">
              <w:marLeft w:val="0"/>
              <w:marRight w:val="0"/>
              <w:marTop w:val="0"/>
              <w:marBottom w:val="0"/>
              <w:divBdr>
                <w:top w:val="none" w:sz="0" w:space="0" w:color="auto"/>
                <w:left w:val="none" w:sz="0" w:space="0" w:color="auto"/>
                <w:bottom w:val="none" w:sz="0" w:space="0" w:color="auto"/>
                <w:right w:val="none" w:sz="0" w:space="0" w:color="auto"/>
              </w:divBdr>
              <w:divsChild>
                <w:div w:id="1526792443">
                  <w:marLeft w:val="0"/>
                  <w:marRight w:val="0"/>
                  <w:marTop w:val="0"/>
                  <w:marBottom w:val="0"/>
                  <w:divBdr>
                    <w:top w:val="none" w:sz="0" w:space="0" w:color="auto"/>
                    <w:left w:val="none" w:sz="0" w:space="0" w:color="auto"/>
                    <w:bottom w:val="none" w:sz="0" w:space="0" w:color="auto"/>
                    <w:right w:val="none" w:sz="0" w:space="0" w:color="auto"/>
                  </w:divBdr>
                </w:div>
              </w:divsChild>
            </w:div>
            <w:div w:id="762070097">
              <w:marLeft w:val="0"/>
              <w:marRight w:val="0"/>
              <w:marTop w:val="0"/>
              <w:marBottom w:val="0"/>
              <w:divBdr>
                <w:top w:val="none" w:sz="0" w:space="0" w:color="auto"/>
                <w:left w:val="none" w:sz="0" w:space="0" w:color="auto"/>
                <w:bottom w:val="none" w:sz="0" w:space="0" w:color="auto"/>
                <w:right w:val="none" w:sz="0" w:space="0" w:color="auto"/>
              </w:divBdr>
              <w:divsChild>
                <w:div w:id="367535014">
                  <w:marLeft w:val="0"/>
                  <w:marRight w:val="0"/>
                  <w:marTop w:val="0"/>
                  <w:marBottom w:val="0"/>
                  <w:divBdr>
                    <w:top w:val="none" w:sz="0" w:space="0" w:color="auto"/>
                    <w:left w:val="none" w:sz="0" w:space="0" w:color="auto"/>
                    <w:bottom w:val="none" w:sz="0" w:space="0" w:color="auto"/>
                    <w:right w:val="none" w:sz="0" w:space="0" w:color="auto"/>
                  </w:divBdr>
                </w:div>
              </w:divsChild>
            </w:div>
            <w:div w:id="1194267585">
              <w:marLeft w:val="0"/>
              <w:marRight w:val="0"/>
              <w:marTop w:val="0"/>
              <w:marBottom w:val="0"/>
              <w:divBdr>
                <w:top w:val="none" w:sz="0" w:space="0" w:color="auto"/>
                <w:left w:val="none" w:sz="0" w:space="0" w:color="auto"/>
                <w:bottom w:val="none" w:sz="0" w:space="0" w:color="auto"/>
                <w:right w:val="none" w:sz="0" w:space="0" w:color="auto"/>
              </w:divBdr>
              <w:divsChild>
                <w:div w:id="52313674">
                  <w:marLeft w:val="0"/>
                  <w:marRight w:val="0"/>
                  <w:marTop w:val="0"/>
                  <w:marBottom w:val="0"/>
                  <w:divBdr>
                    <w:top w:val="none" w:sz="0" w:space="0" w:color="auto"/>
                    <w:left w:val="none" w:sz="0" w:space="0" w:color="auto"/>
                    <w:bottom w:val="none" w:sz="0" w:space="0" w:color="auto"/>
                    <w:right w:val="none" w:sz="0" w:space="0" w:color="auto"/>
                  </w:divBdr>
                </w:div>
              </w:divsChild>
            </w:div>
            <w:div w:id="1357387264">
              <w:marLeft w:val="0"/>
              <w:marRight w:val="0"/>
              <w:marTop w:val="0"/>
              <w:marBottom w:val="0"/>
              <w:divBdr>
                <w:top w:val="none" w:sz="0" w:space="0" w:color="auto"/>
                <w:left w:val="none" w:sz="0" w:space="0" w:color="auto"/>
                <w:bottom w:val="none" w:sz="0" w:space="0" w:color="auto"/>
                <w:right w:val="none" w:sz="0" w:space="0" w:color="auto"/>
              </w:divBdr>
              <w:divsChild>
                <w:div w:id="1677003809">
                  <w:marLeft w:val="0"/>
                  <w:marRight w:val="0"/>
                  <w:marTop w:val="0"/>
                  <w:marBottom w:val="0"/>
                  <w:divBdr>
                    <w:top w:val="none" w:sz="0" w:space="0" w:color="auto"/>
                    <w:left w:val="none" w:sz="0" w:space="0" w:color="auto"/>
                    <w:bottom w:val="none" w:sz="0" w:space="0" w:color="auto"/>
                    <w:right w:val="none" w:sz="0" w:space="0" w:color="auto"/>
                  </w:divBdr>
                </w:div>
              </w:divsChild>
            </w:div>
            <w:div w:id="1612124818">
              <w:marLeft w:val="0"/>
              <w:marRight w:val="0"/>
              <w:marTop w:val="0"/>
              <w:marBottom w:val="0"/>
              <w:divBdr>
                <w:top w:val="none" w:sz="0" w:space="0" w:color="auto"/>
                <w:left w:val="none" w:sz="0" w:space="0" w:color="auto"/>
                <w:bottom w:val="none" w:sz="0" w:space="0" w:color="auto"/>
                <w:right w:val="none" w:sz="0" w:space="0" w:color="auto"/>
              </w:divBdr>
              <w:divsChild>
                <w:div w:id="144979757">
                  <w:marLeft w:val="0"/>
                  <w:marRight w:val="0"/>
                  <w:marTop w:val="0"/>
                  <w:marBottom w:val="0"/>
                  <w:divBdr>
                    <w:top w:val="none" w:sz="0" w:space="0" w:color="auto"/>
                    <w:left w:val="none" w:sz="0" w:space="0" w:color="auto"/>
                    <w:bottom w:val="none" w:sz="0" w:space="0" w:color="auto"/>
                    <w:right w:val="none" w:sz="0" w:space="0" w:color="auto"/>
                  </w:divBdr>
                </w:div>
              </w:divsChild>
            </w:div>
            <w:div w:id="789739537">
              <w:marLeft w:val="0"/>
              <w:marRight w:val="0"/>
              <w:marTop w:val="0"/>
              <w:marBottom w:val="0"/>
              <w:divBdr>
                <w:top w:val="none" w:sz="0" w:space="0" w:color="auto"/>
                <w:left w:val="none" w:sz="0" w:space="0" w:color="auto"/>
                <w:bottom w:val="none" w:sz="0" w:space="0" w:color="auto"/>
                <w:right w:val="none" w:sz="0" w:space="0" w:color="auto"/>
              </w:divBdr>
              <w:divsChild>
                <w:div w:id="125861124">
                  <w:marLeft w:val="0"/>
                  <w:marRight w:val="0"/>
                  <w:marTop w:val="0"/>
                  <w:marBottom w:val="0"/>
                  <w:divBdr>
                    <w:top w:val="none" w:sz="0" w:space="0" w:color="auto"/>
                    <w:left w:val="none" w:sz="0" w:space="0" w:color="auto"/>
                    <w:bottom w:val="none" w:sz="0" w:space="0" w:color="auto"/>
                    <w:right w:val="none" w:sz="0" w:space="0" w:color="auto"/>
                  </w:divBdr>
                </w:div>
              </w:divsChild>
            </w:div>
            <w:div w:id="598030877">
              <w:marLeft w:val="0"/>
              <w:marRight w:val="0"/>
              <w:marTop w:val="0"/>
              <w:marBottom w:val="0"/>
              <w:divBdr>
                <w:top w:val="none" w:sz="0" w:space="0" w:color="auto"/>
                <w:left w:val="none" w:sz="0" w:space="0" w:color="auto"/>
                <w:bottom w:val="none" w:sz="0" w:space="0" w:color="auto"/>
                <w:right w:val="none" w:sz="0" w:space="0" w:color="auto"/>
              </w:divBdr>
              <w:divsChild>
                <w:div w:id="1225484820">
                  <w:marLeft w:val="0"/>
                  <w:marRight w:val="0"/>
                  <w:marTop w:val="0"/>
                  <w:marBottom w:val="0"/>
                  <w:divBdr>
                    <w:top w:val="none" w:sz="0" w:space="0" w:color="auto"/>
                    <w:left w:val="none" w:sz="0" w:space="0" w:color="auto"/>
                    <w:bottom w:val="none" w:sz="0" w:space="0" w:color="auto"/>
                    <w:right w:val="none" w:sz="0" w:space="0" w:color="auto"/>
                  </w:divBdr>
                </w:div>
              </w:divsChild>
            </w:div>
            <w:div w:id="1449353496">
              <w:marLeft w:val="0"/>
              <w:marRight w:val="0"/>
              <w:marTop w:val="0"/>
              <w:marBottom w:val="0"/>
              <w:divBdr>
                <w:top w:val="none" w:sz="0" w:space="0" w:color="auto"/>
                <w:left w:val="none" w:sz="0" w:space="0" w:color="auto"/>
                <w:bottom w:val="none" w:sz="0" w:space="0" w:color="auto"/>
                <w:right w:val="none" w:sz="0" w:space="0" w:color="auto"/>
              </w:divBdr>
              <w:divsChild>
                <w:div w:id="2045251644">
                  <w:marLeft w:val="0"/>
                  <w:marRight w:val="0"/>
                  <w:marTop w:val="0"/>
                  <w:marBottom w:val="0"/>
                  <w:divBdr>
                    <w:top w:val="none" w:sz="0" w:space="0" w:color="auto"/>
                    <w:left w:val="none" w:sz="0" w:space="0" w:color="auto"/>
                    <w:bottom w:val="none" w:sz="0" w:space="0" w:color="auto"/>
                    <w:right w:val="none" w:sz="0" w:space="0" w:color="auto"/>
                  </w:divBdr>
                </w:div>
              </w:divsChild>
            </w:div>
            <w:div w:id="1129081315">
              <w:marLeft w:val="0"/>
              <w:marRight w:val="0"/>
              <w:marTop w:val="0"/>
              <w:marBottom w:val="0"/>
              <w:divBdr>
                <w:top w:val="none" w:sz="0" w:space="0" w:color="auto"/>
                <w:left w:val="none" w:sz="0" w:space="0" w:color="auto"/>
                <w:bottom w:val="none" w:sz="0" w:space="0" w:color="auto"/>
                <w:right w:val="none" w:sz="0" w:space="0" w:color="auto"/>
              </w:divBdr>
              <w:divsChild>
                <w:div w:id="1836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691">
          <w:marLeft w:val="0"/>
          <w:marRight w:val="0"/>
          <w:marTop w:val="0"/>
          <w:marBottom w:val="600"/>
          <w:divBdr>
            <w:top w:val="none" w:sz="0" w:space="0" w:color="auto"/>
            <w:left w:val="none" w:sz="0" w:space="0" w:color="auto"/>
            <w:bottom w:val="none" w:sz="0" w:space="0" w:color="auto"/>
            <w:right w:val="none" w:sz="0" w:space="0" w:color="auto"/>
          </w:divBdr>
        </w:div>
      </w:divsChild>
    </w:div>
    <w:div w:id="564293500">
      <w:marLeft w:val="0"/>
      <w:marRight w:val="0"/>
      <w:marTop w:val="0"/>
      <w:marBottom w:val="0"/>
      <w:divBdr>
        <w:top w:val="none" w:sz="0" w:space="0" w:color="auto"/>
        <w:left w:val="none" w:sz="0" w:space="0" w:color="auto"/>
        <w:bottom w:val="none" w:sz="0" w:space="0" w:color="auto"/>
        <w:right w:val="none" w:sz="0" w:space="0" w:color="auto"/>
      </w:divBdr>
      <w:divsChild>
        <w:div w:id="1156725503">
          <w:marLeft w:val="0"/>
          <w:marRight w:val="0"/>
          <w:marTop w:val="547"/>
          <w:marBottom w:val="0"/>
          <w:divBdr>
            <w:top w:val="none" w:sz="0" w:space="0" w:color="auto"/>
            <w:left w:val="none" w:sz="0" w:space="0" w:color="auto"/>
            <w:bottom w:val="none" w:sz="0" w:space="0" w:color="auto"/>
            <w:right w:val="none" w:sz="0" w:space="0" w:color="auto"/>
          </w:divBdr>
        </w:div>
        <w:div w:id="2073698176">
          <w:marLeft w:val="0"/>
          <w:marRight w:val="0"/>
          <w:marTop w:val="0"/>
          <w:marBottom w:val="0"/>
          <w:divBdr>
            <w:top w:val="none" w:sz="0" w:space="0" w:color="auto"/>
            <w:left w:val="none" w:sz="0" w:space="0" w:color="auto"/>
            <w:bottom w:val="none" w:sz="0" w:space="0" w:color="auto"/>
            <w:right w:val="none" w:sz="0" w:space="0" w:color="auto"/>
          </w:divBdr>
          <w:divsChild>
            <w:div w:id="2065828962">
              <w:marLeft w:val="0"/>
              <w:marRight w:val="0"/>
              <w:marTop w:val="0"/>
              <w:marBottom w:val="0"/>
              <w:divBdr>
                <w:top w:val="none" w:sz="0" w:space="0" w:color="auto"/>
                <w:left w:val="none" w:sz="0" w:space="0" w:color="auto"/>
                <w:bottom w:val="none" w:sz="0" w:space="0" w:color="auto"/>
                <w:right w:val="none" w:sz="0" w:space="0" w:color="auto"/>
              </w:divBdr>
              <w:divsChild>
                <w:div w:id="1470324212">
                  <w:marLeft w:val="0"/>
                  <w:marRight w:val="0"/>
                  <w:marTop w:val="0"/>
                  <w:marBottom w:val="0"/>
                  <w:divBdr>
                    <w:top w:val="none" w:sz="0" w:space="0" w:color="auto"/>
                    <w:left w:val="none" w:sz="0" w:space="0" w:color="auto"/>
                    <w:bottom w:val="none" w:sz="0" w:space="0" w:color="auto"/>
                    <w:right w:val="none" w:sz="0" w:space="0" w:color="auto"/>
                  </w:divBdr>
                </w:div>
              </w:divsChild>
            </w:div>
            <w:div w:id="1077094246">
              <w:marLeft w:val="0"/>
              <w:marRight w:val="0"/>
              <w:marTop w:val="0"/>
              <w:marBottom w:val="0"/>
              <w:divBdr>
                <w:top w:val="none" w:sz="0" w:space="0" w:color="auto"/>
                <w:left w:val="none" w:sz="0" w:space="0" w:color="auto"/>
                <w:bottom w:val="none" w:sz="0" w:space="0" w:color="auto"/>
                <w:right w:val="none" w:sz="0" w:space="0" w:color="auto"/>
              </w:divBdr>
              <w:divsChild>
                <w:div w:id="524827961">
                  <w:marLeft w:val="0"/>
                  <w:marRight w:val="0"/>
                  <w:marTop w:val="0"/>
                  <w:marBottom w:val="0"/>
                  <w:divBdr>
                    <w:top w:val="none" w:sz="0" w:space="0" w:color="auto"/>
                    <w:left w:val="none" w:sz="0" w:space="0" w:color="auto"/>
                    <w:bottom w:val="none" w:sz="0" w:space="0" w:color="auto"/>
                    <w:right w:val="none" w:sz="0" w:space="0" w:color="auto"/>
                  </w:divBdr>
                </w:div>
              </w:divsChild>
            </w:div>
            <w:div w:id="1407730322">
              <w:marLeft w:val="0"/>
              <w:marRight w:val="0"/>
              <w:marTop w:val="0"/>
              <w:marBottom w:val="0"/>
              <w:divBdr>
                <w:top w:val="none" w:sz="0" w:space="0" w:color="auto"/>
                <w:left w:val="none" w:sz="0" w:space="0" w:color="auto"/>
                <w:bottom w:val="none" w:sz="0" w:space="0" w:color="auto"/>
                <w:right w:val="none" w:sz="0" w:space="0" w:color="auto"/>
              </w:divBdr>
              <w:divsChild>
                <w:div w:id="1986350524">
                  <w:marLeft w:val="0"/>
                  <w:marRight w:val="0"/>
                  <w:marTop w:val="0"/>
                  <w:marBottom w:val="0"/>
                  <w:divBdr>
                    <w:top w:val="none" w:sz="0" w:space="0" w:color="auto"/>
                    <w:left w:val="none" w:sz="0" w:space="0" w:color="auto"/>
                    <w:bottom w:val="none" w:sz="0" w:space="0" w:color="auto"/>
                    <w:right w:val="none" w:sz="0" w:space="0" w:color="auto"/>
                  </w:divBdr>
                </w:div>
              </w:divsChild>
            </w:div>
            <w:div w:id="992223086">
              <w:marLeft w:val="0"/>
              <w:marRight w:val="0"/>
              <w:marTop w:val="0"/>
              <w:marBottom w:val="0"/>
              <w:divBdr>
                <w:top w:val="none" w:sz="0" w:space="0" w:color="auto"/>
                <w:left w:val="none" w:sz="0" w:space="0" w:color="auto"/>
                <w:bottom w:val="none" w:sz="0" w:space="0" w:color="auto"/>
                <w:right w:val="none" w:sz="0" w:space="0" w:color="auto"/>
              </w:divBdr>
              <w:divsChild>
                <w:div w:id="1880891652">
                  <w:marLeft w:val="0"/>
                  <w:marRight w:val="0"/>
                  <w:marTop w:val="0"/>
                  <w:marBottom w:val="0"/>
                  <w:divBdr>
                    <w:top w:val="none" w:sz="0" w:space="0" w:color="auto"/>
                    <w:left w:val="none" w:sz="0" w:space="0" w:color="auto"/>
                    <w:bottom w:val="none" w:sz="0" w:space="0" w:color="auto"/>
                    <w:right w:val="none" w:sz="0" w:space="0" w:color="auto"/>
                  </w:divBdr>
                </w:div>
              </w:divsChild>
            </w:div>
            <w:div w:id="1560441557">
              <w:marLeft w:val="0"/>
              <w:marRight w:val="0"/>
              <w:marTop w:val="0"/>
              <w:marBottom w:val="0"/>
              <w:divBdr>
                <w:top w:val="none" w:sz="0" w:space="0" w:color="auto"/>
                <w:left w:val="none" w:sz="0" w:space="0" w:color="auto"/>
                <w:bottom w:val="none" w:sz="0" w:space="0" w:color="auto"/>
                <w:right w:val="none" w:sz="0" w:space="0" w:color="auto"/>
              </w:divBdr>
              <w:divsChild>
                <w:div w:id="1451777887">
                  <w:marLeft w:val="0"/>
                  <w:marRight w:val="0"/>
                  <w:marTop w:val="0"/>
                  <w:marBottom w:val="0"/>
                  <w:divBdr>
                    <w:top w:val="none" w:sz="0" w:space="0" w:color="auto"/>
                    <w:left w:val="none" w:sz="0" w:space="0" w:color="auto"/>
                    <w:bottom w:val="none" w:sz="0" w:space="0" w:color="auto"/>
                    <w:right w:val="none" w:sz="0" w:space="0" w:color="auto"/>
                  </w:divBdr>
                </w:div>
              </w:divsChild>
            </w:div>
            <w:div w:id="1282686393">
              <w:marLeft w:val="0"/>
              <w:marRight w:val="0"/>
              <w:marTop w:val="0"/>
              <w:marBottom w:val="0"/>
              <w:divBdr>
                <w:top w:val="none" w:sz="0" w:space="0" w:color="auto"/>
                <w:left w:val="none" w:sz="0" w:space="0" w:color="auto"/>
                <w:bottom w:val="none" w:sz="0" w:space="0" w:color="auto"/>
                <w:right w:val="none" w:sz="0" w:space="0" w:color="auto"/>
              </w:divBdr>
              <w:divsChild>
                <w:div w:id="1994289702">
                  <w:marLeft w:val="0"/>
                  <w:marRight w:val="0"/>
                  <w:marTop w:val="0"/>
                  <w:marBottom w:val="0"/>
                  <w:divBdr>
                    <w:top w:val="none" w:sz="0" w:space="0" w:color="auto"/>
                    <w:left w:val="none" w:sz="0" w:space="0" w:color="auto"/>
                    <w:bottom w:val="none" w:sz="0" w:space="0" w:color="auto"/>
                    <w:right w:val="none" w:sz="0" w:space="0" w:color="auto"/>
                  </w:divBdr>
                </w:div>
              </w:divsChild>
            </w:div>
            <w:div w:id="685063490">
              <w:marLeft w:val="0"/>
              <w:marRight w:val="0"/>
              <w:marTop w:val="0"/>
              <w:marBottom w:val="0"/>
              <w:divBdr>
                <w:top w:val="none" w:sz="0" w:space="0" w:color="auto"/>
                <w:left w:val="none" w:sz="0" w:space="0" w:color="auto"/>
                <w:bottom w:val="none" w:sz="0" w:space="0" w:color="auto"/>
                <w:right w:val="none" w:sz="0" w:space="0" w:color="auto"/>
              </w:divBdr>
              <w:divsChild>
                <w:div w:id="19029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2359">
          <w:marLeft w:val="0"/>
          <w:marRight w:val="0"/>
          <w:marTop w:val="0"/>
          <w:marBottom w:val="600"/>
          <w:divBdr>
            <w:top w:val="none" w:sz="0" w:space="0" w:color="auto"/>
            <w:left w:val="none" w:sz="0" w:space="0" w:color="auto"/>
            <w:bottom w:val="none" w:sz="0" w:space="0" w:color="auto"/>
            <w:right w:val="none" w:sz="0" w:space="0" w:color="auto"/>
          </w:divBdr>
        </w:div>
      </w:divsChild>
    </w:div>
    <w:div w:id="567495653">
      <w:marLeft w:val="0"/>
      <w:marRight w:val="0"/>
      <w:marTop w:val="0"/>
      <w:marBottom w:val="0"/>
      <w:divBdr>
        <w:top w:val="none" w:sz="0" w:space="0" w:color="auto"/>
        <w:left w:val="none" w:sz="0" w:space="0" w:color="auto"/>
        <w:bottom w:val="none" w:sz="0" w:space="0" w:color="auto"/>
        <w:right w:val="none" w:sz="0" w:space="0" w:color="auto"/>
      </w:divBdr>
      <w:divsChild>
        <w:div w:id="493107384">
          <w:marLeft w:val="0"/>
          <w:marRight w:val="0"/>
          <w:marTop w:val="547"/>
          <w:marBottom w:val="0"/>
          <w:divBdr>
            <w:top w:val="none" w:sz="0" w:space="0" w:color="auto"/>
            <w:left w:val="none" w:sz="0" w:space="0" w:color="auto"/>
            <w:bottom w:val="none" w:sz="0" w:space="0" w:color="auto"/>
            <w:right w:val="none" w:sz="0" w:space="0" w:color="auto"/>
          </w:divBdr>
        </w:div>
        <w:div w:id="1561095023">
          <w:marLeft w:val="0"/>
          <w:marRight w:val="0"/>
          <w:marTop w:val="0"/>
          <w:marBottom w:val="0"/>
          <w:divBdr>
            <w:top w:val="none" w:sz="0" w:space="0" w:color="auto"/>
            <w:left w:val="none" w:sz="0" w:space="0" w:color="auto"/>
            <w:bottom w:val="none" w:sz="0" w:space="0" w:color="auto"/>
            <w:right w:val="none" w:sz="0" w:space="0" w:color="auto"/>
          </w:divBdr>
          <w:divsChild>
            <w:div w:id="1648821564">
              <w:marLeft w:val="0"/>
              <w:marRight w:val="0"/>
              <w:marTop w:val="0"/>
              <w:marBottom w:val="0"/>
              <w:divBdr>
                <w:top w:val="none" w:sz="0" w:space="0" w:color="auto"/>
                <w:left w:val="none" w:sz="0" w:space="0" w:color="auto"/>
                <w:bottom w:val="none" w:sz="0" w:space="0" w:color="auto"/>
                <w:right w:val="none" w:sz="0" w:space="0" w:color="auto"/>
              </w:divBdr>
              <w:divsChild>
                <w:div w:id="2089185230">
                  <w:marLeft w:val="0"/>
                  <w:marRight w:val="0"/>
                  <w:marTop w:val="0"/>
                  <w:marBottom w:val="0"/>
                  <w:divBdr>
                    <w:top w:val="none" w:sz="0" w:space="0" w:color="auto"/>
                    <w:left w:val="none" w:sz="0" w:space="0" w:color="auto"/>
                    <w:bottom w:val="none" w:sz="0" w:space="0" w:color="auto"/>
                    <w:right w:val="none" w:sz="0" w:space="0" w:color="auto"/>
                  </w:divBdr>
                </w:div>
              </w:divsChild>
            </w:div>
            <w:div w:id="51850329">
              <w:marLeft w:val="0"/>
              <w:marRight w:val="0"/>
              <w:marTop w:val="0"/>
              <w:marBottom w:val="0"/>
              <w:divBdr>
                <w:top w:val="none" w:sz="0" w:space="0" w:color="auto"/>
                <w:left w:val="none" w:sz="0" w:space="0" w:color="auto"/>
                <w:bottom w:val="none" w:sz="0" w:space="0" w:color="auto"/>
                <w:right w:val="none" w:sz="0" w:space="0" w:color="auto"/>
              </w:divBdr>
              <w:divsChild>
                <w:div w:id="1335380073">
                  <w:marLeft w:val="0"/>
                  <w:marRight w:val="0"/>
                  <w:marTop w:val="0"/>
                  <w:marBottom w:val="0"/>
                  <w:divBdr>
                    <w:top w:val="none" w:sz="0" w:space="0" w:color="auto"/>
                    <w:left w:val="none" w:sz="0" w:space="0" w:color="auto"/>
                    <w:bottom w:val="none" w:sz="0" w:space="0" w:color="auto"/>
                    <w:right w:val="none" w:sz="0" w:space="0" w:color="auto"/>
                  </w:divBdr>
                </w:div>
              </w:divsChild>
            </w:div>
            <w:div w:id="839808348">
              <w:marLeft w:val="0"/>
              <w:marRight w:val="0"/>
              <w:marTop w:val="0"/>
              <w:marBottom w:val="0"/>
              <w:divBdr>
                <w:top w:val="none" w:sz="0" w:space="0" w:color="auto"/>
                <w:left w:val="none" w:sz="0" w:space="0" w:color="auto"/>
                <w:bottom w:val="none" w:sz="0" w:space="0" w:color="auto"/>
                <w:right w:val="none" w:sz="0" w:space="0" w:color="auto"/>
              </w:divBdr>
              <w:divsChild>
                <w:div w:id="1554006315">
                  <w:marLeft w:val="0"/>
                  <w:marRight w:val="0"/>
                  <w:marTop w:val="0"/>
                  <w:marBottom w:val="0"/>
                  <w:divBdr>
                    <w:top w:val="none" w:sz="0" w:space="0" w:color="auto"/>
                    <w:left w:val="none" w:sz="0" w:space="0" w:color="auto"/>
                    <w:bottom w:val="none" w:sz="0" w:space="0" w:color="auto"/>
                    <w:right w:val="none" w:sz="0" w:space="0" w:color="auto"/>
                  </w:divBdr>
                </w:div>
              </w:divsChild>
            </w:div>
            <w:div w:id="979654480">
              <w:marLeft w:val="0"/>
              <w:marRight w:val="0"/>
              <w:marTop w:val="0"/>
              <w:marBottom w:val="0"/>
              <w:divBdr>
                <w:top w:val="none" w:sz="0" w:space="0" w:color="auto"/>
                <w:left w:val="none" w:sz="0" w:space="0" w:color="auto"/>
                <w:bottom w:val="none" w:sz="0" w:space="0" w:color="auto"/>
                <w:right w:val="none" w:sz="0" w:space="0" w:color="auto"/>
              </w:divBdr>
              <w:divsChild>
                <w:div w:id="1916087030">
                  <w:marLeft w:val="0"/>
                  <w:marRight w:val="0"/>
                  <w:marTop w:val="0"/>
                  <w:marBottom w:val="0"/>
                  <w:divBdr>
                    <w:top w:val="none" w:sz="0" w:space="0" w:color="auto"/>
                    <w:left w:val="none" w:sz="0" w:space="0" w:color="auto"/>
                    <w:bottom w:val="none" w:sz="0" w:space="0" w:color="auto"/>
                    <w:right w:val="none" w:sz="0" w:space="0" w:color="auto"/>
                  </w:divBdr>
                </w:div>
              </w:divsChild>
            </w:div>
            <w:div w:id="2107264371">
              <w:marLeft w:val="0"/>
              <w:marRight w:val="0"/>
              <w:marTop w:val="0"/>
              <w:marBottom w:val="0"/>
              <w:divBdr>
                <w:top w:val="none" w:sz="0" w:space="0" w:color="auto"/>
                <w:left w:val="none" w:sz="0" w:space="0" w:color="auto"/>
                <w:bottom w:val="none" w:sz="0" w:space="0" w:color="auto"/>
                <w:right w:val="none" w:sz="0" w:space="0" w:color="auto"/>
              </w:divBdr>
              <w:divsChild>
                <w:div w:id="940063381">
                  <w:marLeft w:val="0"/>
                  <w:marRight w:val="0"/>
                  <w:marTop w:val="0"/>
                  <w:marBottom w:val="0"/>
                  <w:divBdr>
                    <w:top w:val="none" w:sz="0" w:space="0" w:color="auto"/>
                    <w:left w:val="none" w:sz="0" w:space="0" w:color="auto"/>
                    <w:bottom w:val="none" w:sz="0" w:space="0" w:color="auto"/>
                    <w:right w:val="none" w:sz="0" w:space="0" w:color="auto"/>
                  </w:divBdr>
                </w:div>
              </w:divsChild>
            </w:div>
            <w:div w:id="854271032">
              <w:marLeft w:val="0"/>
              <w:marRight w:val="0"/>
              <w:marTop w:val="0"/>
              <w:marBottom w:val="0"/>
              <w:divBdr>
                <w:top w:val="none" w:sz="0" w:space="0" w:color="auto"/>
                <w:left w:val="none" w:sz="0" w:space="0" w:color="auto"/>
                <w:bottom w:val="none" w:sz="0" w:space="0" w:color="auto"/>
                <w:right w:val="none" w:sz="0" w:space="0" w:color="auto"/>
              </w:divBdr>
              <w:divsChild>
                <w:div w:id="1480613295">
                  <w:marLeft w:val="0"/>
                  <w:marRight w:val="0"/>
                  <w:marTop w:val="0"/>
                  <w:marBottom w:val="0"/>
                  <w:divBdr>
                    <w:top w:val="none" w:sz="0" w:space="0" w:color="auto"/>
                    <w:left w:val="none" w:sz="0" w:space="0" w:color="auto"/>
                    <w:bottom w:val="none" w:sz="0" w:space="0" w:color="auto"/>
                    <w:right w:val="none" w:sz="0" w:space="0" w:color="auto"/>
                  </w:divBdr>
                </w:div>
              </w:divsChild>
            </w:div>
            <w:div w:id="1393313170">
              <w:marLeft w:val="0"/>
              <w:marRight w:val="0"/>
              <w:marTop w:val="0"/>
              <w:marBottom w:val="0"/>
              <w:divBdr>
                <w:top w:val="none" w:sz="0" w:space="0" w:color="auto"/>
                <w:left w:val="none" w:sz="0" w:space="0" w:color="auto"/>
                <w:bottom w:val="none" w:sz="0" w:space="0" w:color="auto"/>
                <w:right w:val="none" w:sz="0" w:space="0" w:color="auto"/>
              </w:divBdr>
              <w:divsChild>
                <w:div w:id="114255307">
                  <w:marLeft w:val="0"/>
                  <w:marRight w:val="0"/>
                  <w:marTop w:val="0"/>
                  <w:marBottom w:val="0"/>
                  <w:divBdr>
                    <w:top w:val="none" w:sz="0" w:space="0" w:color="auto"/>
                    <w:left w:val="none" w:sz="0" w:space="0" w:color="auto"/>
                    <w:bottom w:val="none" w:sz="0" w:space="0" w:color="auto"/>
                    <w:right w:val="none" w:sz="0" w:space="0" w:color="auto"/>
                  </w:divBdr>
                </w:div>
              </w:divsChild>
            </w:div>
            <w:div w:id="2054695761">
              <w:marLeft w:val="0"/>
              <w:marRight w:val="0"/>
              <w:marTop w:val="0"/>
              <w:marBottom w:val="0"/>
              <w:divBdr>
                <w:top w:val="none" w:sz="0" w:space="0" w:color="auto"/>
                <w:left w:val="none" w:sz="0" w:space="0" w:color="auto"/>
                <w:bottom w:val="none" w:sz="0" w:space="0" w:color="auto"/>
                <w:right w:val="none" w:sz="0" w:space="0" w:color="auto"/>
              </w:divBdr>
              <w:divsChild>
                <w:div w:id="437023075">
                  <w:marLeft w:val="0"/>
                  <w:marRight w:val="0"/>
                  <w:marTop w:val="0"/>
                  <w:marBottom w:val="0"/>
                  <w:divBdr>
                    <w:top w:val="none" w:sz="0" w:space="0" w:color="auto"/>
                    <w:left w:val="none" w:sz="0" w:space="0" w:color="auto"/>
                    <w:bottom w:val="none" w:sz="0" w:space="0" w:color="auto"/>
                    <w:right w:val="none" w:sz="0" w:space="0" w:color="auto"/>
                  </w:divBdr>
                </w:div>
              </w:divsChild>
            </w:div>
            <w:div w:id="2031636025">
              <w:marLeft w:val="0"/>
              <w:marRight w:val="0"/>
              <w:marTop w:val="0"/>
              <w:marBottom w:val="0"/>
              <w:divBdr>
                <w:top w:val="none" w:sz="0" w:space="0" w:color="auto"/>
                <w:left w:val="none" w:sz="0" w:space="0" w:color="auto"/>
                <w:bottom w:val="none" w:sz="0" w:space="0" w:color="auto"/>
                <w:right w:val="none" w:sz="0" w:space="0" w:color="auto"/>
              </w:divBdr>
              <w:divsChild>
                <w:div w:id="1611544813">
                  <w:marLeft w:val="0"/>
                  <w:marRight w:val="0"/>
                  <w:marTop w:val="0"/>
                  <w:marBottom w:val="0"/>
                  <w:divBdr>
                    <w:top w:val="none" w:sz="0" w:space="0" w:color="auto"/>
                    <w:left w:val="none" w:sz="0" w:space="0" w:color="auto"/>
                    <w:bottom w:val="none" w:sz="0" w:space="0" w:color="auto"/>
                    <w:right w:val="none" w:sz="0" w:space="0" w:color="auto"/>
                  </w:divBdr>
                </w:div>
              </w:divsChild>
            </w:div>
            <w:div w:id="1273632340">
              <w:marLeft w:val="0"/>
              <w:marRight w:val="0"/>
              <w:marTop w:val="0"/>
              <w:marBottom w:val="0"/>
              <w:divBdr>
                <w:top w:val="none" w:sz="0" w:space="0" w:color="auto"/>
                <w:left w:val="none" w:sz="0" w:space="0" w:color="auto"/>
                <w:bottom w:val="none" w:sz="0" w:space="0" w:color="auto"/>
                <w:right w:val="none" w:sz="0" w:space="0" w:color="auto"/>
              </w:divBdr>
              <w:divsChild>
                <w:div w:id="174734282">
                  <w:marLeft w:val="0"/>
                  <w:marRight w:val="0"/>
                  <w:marTop w:val="0"/>
                  <w:marBottom w:val="0"/>
                  <w:divBdr>
                    <w:top w:val="none" w:sz="0" w:space="0" w:color="auto"/>
                    <w:left w:val="none" w:sz="0" w:space="0" w:color="auto"/>
                    <w:bottom w:val="none" w:sz="0" w:space="0" w:color="auto"/>
                    <w:right w:val="none" w:sz="0" w:space="0" w:color="auto"/>
                  </w:divBdr>
                </w:div>
              </w:divsChild>
            </w:div>
            <w:div w:id="1369377110">
              <w:marLeft w:val="0"/>
              <w:marRight w:val="0"/>
              <w:marTop w:val="0"/>
              <w:marBottom w:val="0"/>
              <w:divBdr>
                <w:top w:val="none" w:sz="0" w:space="0" w:color="auto"/>
                <w:left w:val="none" w:sz="0" w:space="0" w:color="auto"/>
                <w:bottom w:val="none" w:sz="0" w:space="0" w:color="auto"/>
                <w:right w:val="none" w:sz="0" w:space="0" w:color="auto"/>
              </w:divBdr>
              <w:divsChild>
                <w:div w:id="822427091">
                  <w:marLeft w:val="0"/>
                  <w:marRight w:val="0"/>
                  <w:marTop w:val="0"/>
                  <w:marBottom w:val="0"/>
                  <w:divBdr>
                    <w:top w:val="none" w:sz="0" w:space="0" w:color="auto"/>
                    <w:left w:val="none" w:sz="0" w:space="0" w:color="auto"/>
                    <w:bottom w:val="none" w:sz="0" w:space="0" w:color="auto"/>
                    <w:right w:val="none" w:sz="0" w:space="0" w:color="auto"/>
                  </w:divBdr>
                </w:div>
              </w:divsChild>
            </w:div>
            <w:div w:id="1475413572">
              <w:marLeft w:val="0"/>
              <w:marRight w:val="0"/>
              <w:marTop w:val="0"/>
              <w:marBottom w:val="0"/>
              <w:divBdr>
                <w:top w:val="none" w:sz="0" w:space="0" w:color="auto"/>
                <w:left w:val="none" w:sz="0" w:space="0" w:color="auto"/>
                <w:bottom w:val="none" w:sz="0" w:space="0" w:color="auto"/>
                <w:right w:val="none" w:sz="0" w:space="0" w:color="auto"/>
              </w:divBdr>
              <w:divsChild>
                <w:div w:id="544832483">
                  <w:marLeft w:val="0"/>
                  <w:marRight w:val="0"/>
                  <w:marTop w:val="0"/>
                  <w:marBottom w:val="0"/>
                  <w:divBdr>
                    <w:top w:val="none" w:sz="0" w:space="0" w:color="auto"/>
                    <w:left w:val="none" w:sz="0" w:space="0" w:color="auto"/>
                    <w:bottom w:val="none" w:sz="0" w:space="0" w:color="auto"/>
                    <w:right w:val="none" w:sz="0" w:space="0" w:color="auto"/>
                  </w:divBdr>
                </w:div>
              </w:divsChild>
            </w:div>
            <w:div w:id="1214581417">
              <w:marLeft w:val="0"/>
              <w:marRight w:val="0"/>
              <w:marTop w:val="0"/>
              <w:marBottom w:val="0"/>
              <w:divBdr>
                <w:top w:val="none" w:sz="0" w:space="0" w:color="auto"/>
                <w:left w:val="none" w:sz="0" w:space="0" w:color="auto"/>
                <w:bottom w:val="none" w:sz="0" w:space="0" w:color="auto"/>
                <w:right w:val="none" w:sz="0" w:space="0" w:color="auto"/>
              </w:divBdr>
              <w:divsChild>
                <w:div w:id="1886258502">
                  <w:marLeft w:val="0"/>
                  <w:marRight w:val="0"/>
                  <w:marTop w:val="0"/>
                  <w:marBottom w:val="0"/>
                  <w:divBdr>
                    <w:top w:val="none" w:sz="0" w:space="0" w:color="auto"/>
                    <w:left w:val="none" w:sz="0" w:space="0" w:color="auto"/>
                    <w:bottom w:val="none" w:sz="0" w:space="0" w:color="auto"/>
                    <w:right w:val="none" w:sz="0" w:space="0" w:color="auto"/>
                  </w:divBdr>
                </w:div>
              </w:divsChild>
            </w:div>
            <w:div w:id="1527527108">
              <w:marLeft w:val="0"/>
              <w:marRight w:val="0"/>
              <w:marTop w:val="0"/>
              <w:marBottom w:val="0"/>
              <w:divBdr>
                <w:top w:val="none" w:sz="0" w:space="0" w:color="auto"/>
                <w:left w:val="none" w:sz="0" w:space="0" w:color="auto"/>
                <w:bottom w:val="none" w:sz="0" w:space="0" w:color="auto"/>
                <w:right w:val="none" w:sz="0" w:space="0" w:color="auto"/>
              </w:divBdr>
              <w:divsChild>
                <w:div w:id="1864900739">
                  <w:marLeft w:val="0"/>
                  <w:marRight w:val="0"/>
                  <w:marTop w:val="0"/>
                  <w:marBottom w:val="0"/>
                  <w:divBdr>
                    <w:top w:val="none" w:sz="0" w:space="0" w:color="auto"/>
                    <w:left w:val="none" w:sz="0" w:space="0" w:color="auto"/>
                    <w:bottom w:val="none" w:sz="0" w:space="0" w:color="auto"/>
                    <w:right w:val="none" w:sz="0" w:space="0" w:color="auto"/>
                  </w:divBdr>
                </w:div>
              </w:divsChild>
            </w:div>
            <w:div w:id="807868145">
              <w:marLeft w:val="0"/>
              <w:marRight w:val="0"/>
              <w:marTop w:val="0"/>
              <w:marBottom w:val="0"/>
              <w:divBdr>
                <w:top w:val="none" w:sz="0" w:space="0" w:color="auto"/>
                <w:left w:val="none" w:sz="0" w:space="0" w:color="auto"/>
                <w:bottom w:val="none" w:sz="0" w:space="0" w:color="auto"/>
                <w:right w:val="none" w:sz="0" w:space="0" w:color="auto"/>
              </w:divBdr>
              <w:divsChild>
                <w:div w:id="679434888">
                  <w:marLeft w:val="0"/>
                  <w:marRight w:val="0"/>
                  <w:marTop w:val="0"/>
                  <w:marBottom w:val="0"/>
                  <w:divBdr>
                    <w:top w:val="none" w:sz="0" w:space="0" w:color="auto"/>
                    <w:left w:val="none" w:sz="0" w:space="0" w:color="auto"/>
                    <w:bottom w:val="none" w:sz="0" w:space="0" w:color="auto"/>
                    <w:right w:val="none" w:sz="0" w:space="0" w:color="auto"/>
                  </w:divBdr>
                </w:div>
              </w:divsChild>
            </w:div>
            <w:div w:id="930353359">
              <w:marLeft w:val="0"/>
              <w:marRight w:val="0"/>
              <w:marTop w:val="0"/>
              <w:marBottom w:val="0"/>
              <w:divBdr>
                <w:top w:val="none" w:sz="0" w:space="0" w:color="auto"/>
                <w:left w:val="none" w:sz="0" w:space="0" w:color="auto"/>
                <w:bottom w:val="none" w:sz="0" w:space="0" w:color="auto"/>
                <w:right w:val="none" w:sz="0" w:space="0" w:color="auto"/>
              </w:divBdr>
              <w:divsChild>
                <w:div w:id="403723268">
                  <w:marLeft w:val="0"/>
                  <w:marRight w:val="0"/>
                  <w:marTop w:val="0"/>
                  <w:marBottom w:val="0"/>
                  <w:divBdr>
                    <w:top w:val="none" w:sz="0" w:space="0" w:color="auto"/>
                    <w:left w:val="none" w:sz="0" w:space="0" w:color="auto"/>
                    <w:bottom w:val="none" w:sz="0" w:space="0" w:color="auto"/>
                    <w:right w:val="none" w:sz="0" w:space="0" w:color="auto"/>
                  </w:divBdr>
                </w:div>
              </w:divsChild>
            </w:div>
            <w:div w:id="614412915">
              <w:marLeft w:val="0"/>
              <w:marRight w:val="0"/>
              <w:marTop w:val="0"/>
              <w:marBottom w:val="0"/>
              <w:divBdr>
                <w:top w:val="none" w:sz="0" w:space="0" w:color="auto"/>
                <w:left w:val="none" w:sz="0" w:space="0" w:color="auto"/>
                <w:bottom w:val="none" w:sz="0" w:space="0" w:color="auto"/>
                <w:right w:val="none" w:sz="0" w:space="0" w:color="auto"/>
              </w:divBdr>
              <w:divsChild>
                <w:div w:id="1431504917">
                  <w:marLeft w:val="0"/>
                  <w:marRight w:val="0"/>
                  <w:marTop w:val="0"/>
                  <w:marBottom w:val="0"/>
                  <w:divBdr>
                    <w:top w:val="none" w:sz="0" w:space="0" w:color="auto"/>
                    <w:left w:val="none" w:sz="0" w:space="0" w:color="auto"/>
                    <w:bottom w:val="none" w:sz="0" w:space="0" w:color="auto"/>
                    <w:right w:val="none" w:sz="0" w:space="0" w:color="auto"/>
                  </w:divBdr>
                </w:div>
              </w:divsChild>
            </w:div>
            <w:div w:id="1612931840">
              <w:marLeft w:val="0"/>
              <w:marRight w:val="0"/>
              <w:marTop w:val="0"/>
              <w:marBottom w:val="0"/>
              <w:divBdr>
                <w:top w:val="none" w:sz="0" w:space="0" w:color="auto"/>
                <w:left w:val="none" w:sz="0" w:space="0" w:color="auto"/>
                <w:bottom w:val="none" w:sz="0" w:space="0" w:color="auto"/>
                <w:right w:val="none" w:sz="0" w:space="0" w:color="auto"/>
              </w:divBdr>
              <w:divsChild>
                <w:div w:id="2018993949">
                  <w:marLeft w:val="0"/>
                  <w:marRight w:val="0"/>
                  <w:marTop w:val="0"/>
                  <w:marBottom w:val="0"/>
                  <w:divBdr>
                    <w:top w:val="none" w:sz="0" w:space="0" w:color="auto"/>
                    <w:left w:val="none" w:sz="0" w:space="0" w:color="auto"/>
                    <w:bottom w:val="none" w:sz="0" w:space="0" w:color="auto"/>
                    <w:right w:val="none" w:sz="0" w:space="0" w:color="auto"/>
                  </w:divBdr>
                </w:div>
              </w:divsChild>
            </w:div>
            <w:div w:id="107283745">
              <w:marLeft w:val="0"/>
              <w:marRight w:val="0"/>
              <w:marTop w:val="0"/>
              <w:marBottom w:val="0"/>
              <w:divBdr>
                <w:top w:val="none" w:sz="0" w:space="0" w:color="auto"/>
                <w:left w:val="none" w:sz="0" w:space="0" w:color="auto"/>
                <w:bottom w:val="none" w:sz="0" w:space="0" w:color="auto"/>
                <w:right w:val="none" w:sz="0" w:space="0" w:color="auto"/>
              </w:divBdr>
              <w:divsChild>
                <w:div w:id="326985312">
                  <w:marLeft w:val="0"/>
                  <w:marRight w:val="0"/>
                  <w:marTop w:val="0"/>
                  <w:marBottom w:val="0"/>
                  <w:divBdr>
                    <w:top w:val="none" w:sz="0" w:space="0" w:color="auto"/>
                    <w:left w:val="none" w:sz="0" w:space="0" w:color="auto"/>
                    <w:bottom w:val="none" w:sz="0" w:space="0" w:color="auto"/>
                    <w:right w:val="none" w:sz="0" w:space="0" w:color="auto"/>
                  </w:divBdr>
                </w:div>
              </w:divsChild>
            </w:div>
            <w:div w:id="1562792703">
              <w:marLeft w:val="0"/>
              <w:marRight w:val="0"/>
              <w:marTop w:val="0"/>
              <w:marBottom w:val="0"/>
              <w:divBdr>
                <w:top w:val="none" w:sz="0" w:space="0" w:color="auto"/>
                <w:left w:val="none" w:sz="0" w:space="0" w:color="auto"/>
                <w:bottom w:val="none" w:sz="0" w:space="0" w:color="auto"/>
                <w:right w:val="none" w:sz="0" w:space="0" w:color="auto"/>
              </w:divBdr>
              <w:divsChild>
                <w:div w:id="1243101177">
                  <w:marLeft w:val="0"/>
                  <w:marRight w:val="0"/>
                  <w:marTop w:val="0"/>
                  <w:marBottom w:val="0"/>
                  <w:divBdr>
                    <w:top w:val="none" w:sz="0" w:space="0" w:color="auto"/>
                    <w:left w:val="none" w:sz="0" w:space="0" w:color="auto"/>
                    <w:bottom w:val="none" w:sz="0" w:space="0" w:color="auto"/>
                    <w:right w:val="none" w:sz="0" w:space="0" w:color="auto"/>
                  </w:divBdr>
                </w:div>
              </w:divsChild>
            </w:div>
            <w:div w:id="896670975">
              <w:marLeft w:val="0"/>
              <w:marRight w:val="0"/>
              <w:marTop w:val="0"/>
              <w:marBottom w:val="0"/>
              <w:divBdr>
                <w:top w:val="none" w:sz="0" w:space="0" w:color="auto"/>
                <w:left w:val="none" w:sz="0" w:space="0" w:color="auto"/>
                <w:bottom w:val="none" w:sz="0" w:space="0" w:color="auto"/>
                <w:right w:val="none" w:sz="0" w:space="0" w:color="auto"/>
              </w:divBdr>
              <w:divsChild>
                <w:div w:id="365953886">
                  <w:marLeft w:val="0"/>
                  <w:marRight w:val="0"/>
                  <w:marTop w:val="0"/>
                  <w:marBottom w:val="0"/>
                  <w:divBdr>
                    <w:top w:val="none" w:sz="0" w:space="0" w:color="auto"/>
                    <w:left w:val="none" w:sz="0" w:space="0" w:color="auto"/>
                    <w:bottom w:val="none" w:sz="0" w:space="0" w:color="auto"/>
                    <w:right w:val="none" w:sz="0" w:space="0" w:color="auto"/>
                  </w:divBdr>
                </w:div>
              </w:divsChild>
            </w:div>
            <w:div w:id="407119898">
              <w:marLeft w:val="0"/>
              <w:marRight w:val="0"/>
              <w:marTop w:val="0"/>
              <w:marBottom w:val="0"/>
              <w:divBdr>
                <w:top w:val="none" w:sz="0" w:space="0" w:color="auto"/>
                <w:left w:val="none" w:sz="0" w:space="0" w:color="auto"/>
                <w:bottom w:val="none" w:sz="0" w:space="0" w:color="auto"/>
                <w:right w:val="none" w:sz="0" w:space="0" w:color="auto"/>
              </w:divBdr>
              <w:divsChild>
                <w:div w:id="62799166">
                  <w:marLeft w:val="0"/>
                  <w:marRight w:val="0"/>
                  <w:marTop w:val="0"/>
                  <w:marBottom w:val="0"/>
                  <w:divBdr>
                    <w:top w:val="none" w:sz="0" w:space="0" w:color="auto"/>
                    <w:left w:val="none" w:sz="0" w:space="0" w:color="auto"/>
                    <w:bottom w:val="none" w:sz="0" w:space="0" w:color="auto"/>
                    <w:right w:val="none" w:sz="0" w:space="0" w:color="auto"/>
                  </w:divBdr>
                </w:div>
              </w:divsChild>
            </w:div>
            <w:div w:id="2120568414">
              <w:marLeft w:val="0"/>
              <w:marRight w:val="0"/>
              <w:marTop w:val="0"/>
              <w:marBottom w:val="0"/>
              <w:divBdr>
                <w:top w:val="none" w:sz="0" w:space="0" w:color="auto"/>
                <w:left w:val="none" w:sz="0" w:space="0" w:color="auto"/>
                <w:bottom w:val="none" w:sz="0" w:space="0" w:color="auto"/>
                <w:right w:val="none" w:sz="0" w:space="0" w:color="auto"/>
              </w:divBdr>
              <w:divsChild>
                <w:div w:id="324748853">
                  <w:marLeft w:val="0"/>
                  <w:marRight w:val="0"/>
                  <w:marTop w:val="0"/>
                  <w:marBottom w:val="0"/>
                  <w:divBdr>
                    <w:top w:val="none" w:sz="0" w:space="0" w:color="auto"/>
                    <w:left w:val="none" w:sz="0" w:space="0" w:color="auto"/>
                    <w:bottom w:val="none" w:sz="0" w:space="0" w:color="auto"/>
                    <w:right w:val="none" w:sz="0" w:space="0" w:color="auto"/>
                  </w:divBdr>
                </w:div>
              </w:divsChild>
            </w:div>
            <w:div w:id="747463245">
              <w:marLeft w:val="0"/>
              <w:marRight w:val="0"/>
              <w:marTop w:val="0"/>
              <w:marBottom w:val="0"/>
              <w:divBdr>
                <w:top w:val="none" w:sz="0" w:space="0" w:color="auto"/>
                <w:left w:val="none" w:sz="0" w:space="0" w:color="auto"/>
                <w:bottom w:val="none" w:sz="0" w:space="0" w:color="auto"/>
                <w:right w:val="none" w:sz="0" w:space="0" w:color="auto"/>
              </w:divBdr>
              <w:divsChild>
                <w:div w:id="209805917">
                  <w:marLeft w:val="0"/>
                  <w:marRight w:val="0"/>
                  <w:marTop w:val="0"/>
                  <w:marBottom w:val="0"/>
                  <w:divBdr>
                    <w:top w:val="none" w:sz="0" w:space="0" w:color="auto"/>
                    <w:left w:val="none" w:sz="0" w:space="0" w:color="auto"/>
                    <w:bottom w:val="none" w:sz="0" w:space="0" w:color="auto"/>
                    <w:right w:val="none" w:sz="0" w:space="0" w:color="auto"/>
                  </w:divBdr>
                </w:div>
              </w:divsChild>
            </w:div>
            <w:div w:id="347414738">
              <w:marLeft w:val="0"/>
              <w:marRight w:val="0"/>
              <w:marTop w:val="0"/>
              <w:marBottom w:val="0"/>
              <w:divBdr>
                <w:top w:val="none" w:sz="0" w:space="0" w:color="auto"/>
                <w:left w:val="none" w:sz="0" w:space="0" w:color="auto"/>
                <w:bottom w:val="none" w:sz="0" w:space="0" w:color="auto"/>
                <w:right w:val="none" w:sz="0" w:space="0" w:color="auto"/>
              </w:divBdr>
              <w:divsChild>
                <w:div w:id="1141774632">
                  <w:marLeft w:val="0"/>
                  <w:marRight w:val="0"/>
                  <w:marTop w:val="0"/>
                  <w:marBottom w:val="0"/>
                  <w:divBdr>
                    <w:top w:val="none" w:sz="0" w:space="0" w:color="auto"/>
                    <w:left w:val="none" w:sz="0" w:space="0" w:color="auto"/>
                    <w:bottom w:val="none" w:sz="0" w:space="0" w:color="auto"/>
                    <w:right w:val="none" w:sz="0" w:space="0" w:color="auto"/>
                  </w:divBdr>
                </w:div>
              </w:divsChild>
            </w:div>
            <w:div w:id="1947958481">
              <w:marLeft w:val="0"/>
              <w:marRight w:val="0"/>
              <w:marTop w:val="0"/>
              <w:marBottom w:val="0"/>
              <w:divBdr>
                <w:top w:val="none" w:sz="0" w:space="0" w:color="auto"/>
                <w:left w:val="none" w:sz="0" w:space="0" w:color="auto"/>
                <w:bottom w:val="none" w:sz="0" w:space="0" w:color="auto"/>
                <w:right w:val="none" w:sz="0" w:space="0" w:color="auto"/>
              </w:divBdr>
              <w:divsChild>
                <w:div w:id="1989819372">
                  <w:marLeft w:val="0"/>
                  <w:marRight w:val="0"/>
                  <w:marTop w:val="0"/>
                  <w:marBottom w:val="0"/>
                  <w:divBdr>
                    <w:top w:val="none" w:sz="0" w:space="0" w:color="auto"/>
                    <w:left w:val="none" w:sz="0" w:space="0" w:color="auto"/>
                    <w:bottom w:val="none" w:sz="0" w:space="0" w:color="auto"/>
                    <w:right w:val="none" w:sz="0" w:space="0" w:color="auto"/>
                  </w:divBdr>
                </w:div>
              </w:divsChild>
            </w:div>
            <w:div w:id="191040992">
              <w:marLeft w:val="0"/>
              <w:marRight w:val="0"/>
              <w:marTop w:val="0"/>
              <w:marBottom w:val="0"/>
              <w:divBdr>
                <w:top w:val="none" w:sz="0" w:space="0" w:color="auto"/>
                <w:left w:val="none" w:sz="0" w:space="0" w:color="auto"/>
                <w:bottom w:val="none" w:sz="0" w:space="0" w:color="auto"/>
                <w:right w:val="none" w:sz="0" w:space="0" w:color="auto"/>
              </w:divBdr>
              <w:divsChild>
                <w:div w:id="2078479772">
                  <w:marLeft w:val="0"/>
                  <w:marRight w:val="0"/>
                  <w:marTop w:val="0"/>
                  <w:marBottom w:val="0"/>
                  <w:divBdr>
                    <w:top w:val="none" w:sz="0" w:space="0" w:color="auto"/>
                    <w:left w:val="none" w:sz="0" w:space="0" w:color="auto"/>
                    <w:bottom w:val="none" w:sz="0" w:space="0" w:color="auto"/>
                    <w:right w:val="none" w:sz="0" w:space="0" w:color="auto"/>
                  </w:divBdr>
                </w:div>
              </w:divsChild>
            </w:div>
            <w:div w:id="392242259">
              <w:marLeft w:val="0"/>
              <w:marRight w:val="0"/>
              <w:marTop w:val="0"/>
              <w:marBottom w:val="0"/>
              <w:divBdr>
                <w:top w:val="none" w:sz="0" w:space="0" w:color="auto"/>
                <w:left w:val="none" w:sz="0" w:space="0" w:color="auto"/>
                <w:bottom w:val="none" w:sz="0" w:space="0" w:color="auto"/>
                <w:right w:val="none" w:sz="0" w:space="0" w:color="auto"/>
              </w:divBdr>
              <w:divsChild>
                <w:div w:id="1210414759">
                  <w:marLeft w:val="0"/>
                  <w:marRight w:val="0"/>
                  <w:marTop w:val="0"/>
                  <w:marBottom w:val="0"/>
                  <w:divBdr>
                    <w:top w:val="none" w:sz="0" w:space="0" w:color="auto"/>
                    <w:left w:val="none" w:sz="0" w:space="0" w:color="auto"/>
                    <w:bottom w:val="none" w:sz="0" w:space="0" w:color="auto"/>
                    <w:right w:val="none" w:sz="0" w:space="0" w:color="auto"/>
                  </w:divBdr>
                </w:div>
              </w:divsChild>
            </w:div>
            <w:div w:id="116998352">
              <w:marLeft w:val="0"/>
              <w:marRight w:val="0"/>
              <w:marTop w:val="0"/>
              <w:marBottom w:val="0"/>
              <w:divBdr>
                <w:top w:val="none" w:sz="0" w:space="0" w:color="auto"/>
                <w:left w:val="none" w:sz="0" w:space="0" w:color="auto"/>
                <w:bottom w:val="none" w:sz="0" w:space="0" w:color="auto"/>
                <w:right w:val="none" w:sz="0" w:space="0" w:color="auto"/>
              </w:divBdr>
              <w:divsChild>
                <w:div w:id="583563479">
                  <w:marLeft w:val="0"/>
                  <w:marRight w:val="0"/>
                  <w:marTop w:val="0"/>
                  <w:marBottom w:val="0"/>
                  <w:divBdr>
                    <w:top w:val="none" w:sz="0" w:space="0" w:color="auto"/>
                    <w:left w:val="none" w:sz="0" w:space="0" w:color="auto"/>
                    <w:bottom w:val="none" w:sz="0" w:space="0" w:color="auto"/>
                    <w:right w:val="none" w:sz="0" w:space="0" w:color="auto"/>
                  </w:divBdr>
                </w:div>
              </w:divsChild>
            </w:div>
            <w:div w:id="1356542450">
              <w:marLeft w:val="0"/>
              <w:marRight w:val="0"/>
              <w:marTop w:val="0"/>
              <w:marBottom w:val="0"/>
              <w:divBdr>
                <w:top w:val="none" w:sz="0" w:space="0" w:color="auto"/>
                <w:left w:val="none" w:sz="0" w:space="0" w:color="auto"/>
                <w:bottom w:val="none" w:sz="0" w:space="0" w:color="auto"/>
                <w:right w:val="none" w:sz="0" w:space="0" w:color="auto"/>
              </w:divBdr>
              <w:divsChild>
                <w:div w:id="372772480">
                  <w:marLeft w:val="0"/>
                  <w:marRight w:val="0"/>
                  <w:marTop w:val="0"/>
                  <w:marBottom w:val="0"/>
                  <w:divBdr>
                    <w:top w:val="none" w:sz="0" w:space="0" w:color="auto"/>
                    <w:left w:val="none" w:sz="0" w:space="0" w:color="auto"/>
                    <w:bottom w:val="none" w:sz="0" w:space="0" w:color="auto"/>
                    <w:right w:val="none" w:sz="0" w:space="0" w:color="auto"/>
                  </w:divBdr>
                </w:div>
              </w:divsChild>
            </w:div>
            <w:div w:id="973022155">
              <w:marLeft w:val="0"/>
              <w:marRight w:val="0"/>
              <w:marTop w:val="0"/>
              <w:marBottom w:val="0"/>
              <w:divBdr>
                <w:top w:val="none" w:sz="0" w:space="0" w:color="auto"/>
                <w:left w:val="none" w:sz="0" w:space="0" w:color="auto"/>
                <w:bottom w:val="none" w:sz="0" w:space="0" w:color="auto"/>
                <w:right w:val="none" w:sz="0" w:space="0" w:color="auto"/>
              </w:divBdr>
              <w:divsChild>
                <w:div w:id="919414441">
                  <w:marLeft w:val="0"/>
                  <w:marRight w:val="0"/>
                  <w:marTop w:val="0"/>
                  <w:marBottom w:val="0"/>
                  <w:divBdr>
                    <w:top w:val="none" w:sz="0" w:space="0" w:color="auto"/>
                    <w:left w:val="none" w:sz="0" w:space="0" w:color="auto"/>
                    <w:bottom w:val="none" w:sz="0" w:space="0" w:color="auto"/>
                    <w:right w:val="none" w:sz="0" w:space="0" w:color="auto"/>
                  </w:divBdr>
                </w:div>
              </w:divsChild>
            </w:div>
            <w:div w:id="1622960534">
              <w:marLeft w:val="0"/>
              <w:marRight w:val="0"/>
              <w:marTop w:val="0"/>
              <w:marBottom w:val="0"/>
              <w:divBdr>
                <w:top w:val="none" w:sz="0" w:space="0" w:color="auto"/>
                <w:left w:val="none" w:sz="0" w:space="0" w:color="auto"/>
                <w:bottom w:val="none" w:sz="0" w:space="0" w:color="auto"/>
                <w:right w:val="none" w:sz="0" w:space="0" w:color="auto"/>
              </w:divBdr>
              <w:divsChild>
                <w:div w:id="957877395">
                  <w:marLeft w:val="0"/>
                  <w:marRight w:val="0"/>
                  <w:marTop w:val="0"/>
                  <w:marBottom w:val="0"/>
                  <w:divBdr>
                    <w:top w:val="none" w:sz="0" w:space="0" w:color="auto"/>
                    <w:left w:val="none" w:sz="0" w:space="0" w:color="auto"/>
                    <w:bottom w:val="none" w:sz="0" w:space="0" w:color="auto"/>
                    <w:right w:val="none" w:sz="0" w:space="0" w:color="auto"/>
                  </w:divBdr>
                </w:div>
              </w:divsChild>
            </w:div>
            <w:div w:id="1274485052">
              <w:marLeft w:val="0"/>
              <w:marRight w:val="0"/>
              <w:marTop w:val="0"/>
              <w:marBottom w:val="0"/>
              <w:divBdr>
                <w:top w:val="none" w:sz="0" w:space="0" w:color="auto"/>
                <w:left w:val="none" w:sz="0" w:space="0" w:color="auto"/>
                <w:bottom w:val="none" w:sz="0" w:space="0" w:color="auto"/>
                <w:right w:val="none" w:sz="0" w:space="0" w:color="auto"/>
              </w:divBdr>
              <w:divsChild>
                <w:div w:id="904995958">
                  <w:marLeft w:val="0"/>
                  <w:marRight w:val="0"/>
                  <w:marTop w:val="0"/>
                  <w:marBottom w:val="0"/>
                  <w:divBdr>
                    <w:top w:val="none" w:sz="0" w:space="0" w:color="auto"/>
                    <w:left w:val="none" w:sz="0" w:space="0" w:color="auto"/>
                    <w:bottom w:val="none" w:sz="0" w:space="0" w:color="auto"/>
                    <w:right w:val="none" w:sz="0" w:space="0" w:color="auto"/>
                  </w:divBdr>
                </w:div>
              </w:divsChild>
            </w:div>
            <w:div w:id="972826560">
              <w:marLeft w:val="0"/>
              <w:marRight w:val="0"/>
              <w:marTop w:val="0"/>
              <w:marBottom w:val="0"/>
              <w:divBdr>
                <w:top w:val="none" w:sz="0" w:space="0" w:color="auto"/>
                <w:left w:val="none" w:sz="0" w:space="0" w:color="auto"/>
                <w:bottom w:val="none" w:sz="0" w:space="0" w:color="auto"/>
                <w:right w:val="none" w:sz="0" w:space="0" w:color="auto"/>
              </w:divBdr>
              <w:divsChild>
                <w:div w:id="761142485">
                  <w:marLeft w:val="0"/>
                  <w:marRight w:val="0"/>
                  <w:marTop w:val="0"/>
                  <w:marBottom w:val="0"/>
                  <w:divBdr>
                    <w:top w:val="none" w:sz="0" w:space="0" w:color="auto"/>
                    <w:left w:val="none" w:sz="0" w:space="0" w:color="auto"/>
                    <w:bottom w:val="none" w:sz="0" w:space="0" w:color="auto"/>
                    <w:right w:val="none" w:sz="0" w:space="0" w:color="auto"/>
                  </w:divBdr>
                </w:div>
              </w:divsChild>
            </w:div>
            <w:div w:id="1961758687">
              <w:marLeft w:val="0"/>
              <w:marRight w:val="0"/>
              <w:marTop w:val="0"/>
              <w:marBottom w:val="0"/>
              <w:divBdr>
                <w:top w:val="none" w:sz="0" w:space="0" w:color="auto"/>
                <w:left w:val="none" w:sz="0" w:space="0" w:color="auto"/>
                <w:bottom w:val="none" w:sz="0" w:space="0" w:color="auto"/>
                <w:right w:val="none" w:sz="0" w:space="0" w:color="auto"/>
              </w:divBdr>
              <w:divsChild>
                <w:div w:id="2027705203">
                  <w:marLeft w:val="0"/>
                  <w:marRight w:val="0"/>
                  <w:marTop w:val="0"/>
                  <w:marBottom w:val="0"/>
                  <w:divBdr>
                    <w:top w:val="none" w:sz="0" w:space="0" w:color="auto"/>
                    <w:left w:val="none" w:sz="0" w:space="0" w:color="auto"/>
                    <w:bottom w:val="none" w:sz="0" w:space="0" w:color="auto"/>
                    <w:right w:val="none" w:sz="0" w:space="0" w:color="auto"/>
                  </w:divBdr>
                </w:div>
              </w:divsChild>
            </w:div>
            <w:div w:id="836576944">
              <w:marLeft w:val="0"/>
              <w:marRight w:val="0"/>
              <w:marTop w:val="0"/>
              <w:marBottom w:val="0"/>
              <w:divBdr>
                <w:top w:val="none" w:sz="0" w:space="0" w:color="auto"/>
                <w:left w:val="none" w:sz="0" w:space="0" w:color="auto"/>
                <w:bottom w:val="none" w:sz="0" w:space="0" w:color="auto"/>
                <w:right w:val="none" w:sz="0" w:space="0" w:color="auto"/>
              </w:divBdr>
              <w:divsChild>
                <w:div w:id="2001690198">
                  <w:marLeft w:val="0"/>
                  <w:marRight w:val="0"/>
                  <w:marTop w:val="0"/>
                  <w:marBottom w:val="0"/>
                  <w:divBdr>
                    <w:top w:val="none" w:sz="0" w:space="0" w:color="auto"/>
                    <w:left w:val="none" w:sz="0" w:space="0" w:color="auto"/>
                    <w:bottom w:val="none" w:sz="0" w:space="0" w:color="auto"/>
                    <w:right w:val="none" w:sz="0" w:space="0" w:color="auto"/>
                  </w:divBdr>
                </w:div>
              </w:divsChild>
            </w:div>
            <w:div w:id="179904426">
              <w:marLeft w:val="0"/>
              <w:marRight w:val="0"/>
              <w:marTop w:val="0"/>
              <w:marBottom w:val="0"/>
              <w:divBdr>
                <w:top w:val="none" w:sz="0" w:space="0" w:color="auto"/>
                <w:left w:val="none" w:sz="0" w:space="0" w:color="auto"/>
                <w:bottom w:val="none" w:sz="0" w:space="0" w:color="auto"/>
                <w:right w:val="none" w:sz="0" w:space="0" w:color="auto"/>
              </w:divBdr>
              <w:divsChild>
                <w:div w:id="934706098">
                  <w:marLeft w:val="0"/>
                  <w:marRight w:val="0"/>
                  <w:marTop w:val="0"/>
                  <w:marBottom w:val="0"/>
                  <w:divBdr>
                    <w:top w:val="none" w:sz="0" w:space="0" w:color="auto"/>
                    <w:left w:val="none" w:sz="0" w:space="0" w:color="auto"/>
                    <w:bottom w:val="none" w:sz="0" w:space="0" w:color="auto"/>
                    <w:right w:val="none" w:sz="0" w:space="0" w:color="auto"/>
                  </w:divBdr>
                </w:div>
              </w:divsChild>
            </w:div>
            <w:div w:id="551582718">
              <w:marLeft w:val="0"/>
              <w:marRight w:val="0"/>
              <w:marTop w:val="0"/>
              <w:marBottom w:val="0"/>
              <w:divBdr>
                <w:top w:val="none" w:sz="0" w:space="0" w:color="auto"/>
                <w:left w:val="none" w:sz="0" w:space="0" w:color="auto"/>
                <w:bottom w:val="none" w:sz="0" w:space="0" w:color="auto"/>
                <w:right w:val="none" w:sz="0" w:space="0" w:color="auto"/>
              </w:divBdr>
              <w:divsChild>
                <w:div w:id="1603297514">
                  <w:marLeft w:val="0"/>
                  <w:marRight w:val="0"/>
                  <w:marTop w:val="0"/>
                  <w:marBottom w:val="0"/>
                  <w:divBdr>
                    <w:top w:val="none" w:sz="0" w:space="0" w:color="auto"/>
                    <w:left w:val="none" w:sz="0" w:space="0" w:color="auto"/>
                    <w:bottom w:val="none" w:sz="0" w:space="0" w:color="auto"/>
                    <w:right w:val="none" w:sz="0" w:space="0" w:color="auto"/>
                  </w:divBdr>
                </w:div>
              </w:divsChild>
            </w:div>
            <w:div w:id="1007363858">
              <w:marLeft w:val="0"/>
              <w:marRight w:val="0"/>
              <w:marTop w:val="0"/>
              <w:marBottom w:val="0"/>
              <w:divBdr>
                <w:top w:val="none" w:sz="0" w:space="0" w:color="auto"/>
                <w:left w:val="none" w:sz="0" w:space="0" w:color="auto"/>
                <w:bottom w:val="none" w:sz="0" w:space="0" w:color="auto"/>
                <w:right w:val="none" w:sz="0" w:space="0" w:color="auto"/>
              </w:divBdr>
              <w:divsChild>
                <w:div w:id="1849173560">
                  <w:marLeft w:val="0"/>
                  <w:marRight w:val="0"/>
                  <w:marTop w:val="0"/>
                  <w:marBottom w:val="0"/>
                  <w:divBdr>
                    <w:top w:val="none" w:sz="0" w:space="0" w:color="auto"/>
                    <w:left w:val="none" w:sz="0" w:space="0" w:color="auto"/>
                    <w:bottom w:val="none" w:sz="0" w:space="0" w:color="auto"/>
                    <w:right w:val="none" w:sz="0" w:space="0" w:color="auto"/>
                  </w:divBdr>
                </w:div>
              </w:divsChild>
            </w:div>
            <w:div w:id="1455712242">
              <w:marLeft w:val="0"/>
              <w:marRight w:val="0"/>
              <w:marTop w:val="0"/>
              <w:marBottom w:val="0"/>
              <w:divBdr>
                <w:top w:val="none" w:sz="0" w:space="0" w:color="auto"/>
                <w:left w:val="none" w:sz="0" w:space="0" w:color="auto"/>
                <w:bottom w:val="none" w:sz="0" w:space="0" w:color="auto"/>
                <w:right w:val="none" w:sz="0" w:space="0" w:color="auto"/>
              </w:divBdr>
              <w:divsChild>
                <w:div w:id="1581208127">
                  <w:marLeft w:val="0"/>
                  <w:marRight w:val="0"/>
                  <w:marTop w:val="0"/>
                  <w:marBottom w:val="0"/>
                  <w:divBdr>
                    <w:top w:val="none" w:sz="0" w:space="0" w:color="auto"/>
                    <w:left w:val="none" w:sz="0" w:space="0" w:color="auto"/>
                    <w:bottom w:val="none" w:sz="0" w:space="0" w:color="auto"/>
                    <w:right w:val="none" w:sz="0" w:space="0" w:color="auto"/>
                  </w:divBdr>
                </w:div>
              </w:divsChild>
            </w:div>
            <w:div w:id="614169358">
              <w:marLeft w:val="0"/>
              <w:marRight w:val="0"/>
              <w:marTop w:val="0"/>
              <w:marBottom w:val="0"/>
              <w:divBdr>
                <w:top w:val="none" w:sz="0" w:space="0" w:color="auto"/>
                <w:left w:val="none" w:sz="0" w:space="0" w:color="auto"/>
                <w:bottom w:val="none" w:sz="0" w:space="0" w:color="auto"/>
                <w:right w:val="none" w:sz="0" w:space="0" w:color="auto"/>
              </w:divBdr>
              <w:divsChild>
                <w:div w:id="1277057775">
                  <w:marLeft w:val="0"/>
                  <w:marRight w:val="0"/>
                  <w:marTop w:val="0"/>
                  <w:marBottom w:val="0"/>
                  <w:divBdr>
                    <w:top w:val="none" w:sz="0" w:space="0" w:color="auto"/>
                    <w:left w:val="none" w:sz="0" w:space="0" w:color="auto"/>
                    <w:bottom w:val="none" w:sz="0" w:space="0" w:color="auto"/>
                    <w:right w:val="none" w:sz="0" w:space="0" w:color="auto"/>
                  </w:divBdr>
                </w:div>
              </w:divsChild>
            </w:div>
            <w:div w:id="1989553363">
              <w:marLeft w:val="0"/>
              <w:marRight w:val="0"/>
              <w:marTop w:val="0"/>
              <w:marBottom w:val="0"/>
              <w:divBdr>
                <w:top w:val="none" w:sz="0" w:space="0" w:color="auto"/>
                <w:left w:val="none" w:sz="0" w:space="0" w:color="auto"/>
                <w:bottom w:val="none" w:sz="0" w:space="0" w:color="auto"/>
                <w:right w:val="none" w:sz="0" w:space="0" w:color="auto"/>
              </w:divBdr>
              <w:divsChild>
                <w:div w:id="112141408">
                  <w:marLeft w:val="0"/>
                  <w:marRight w:val="0"/>
                  <w:marTop w:val="0"/>
                  <w:marBottom w:val="0"/>
                  <w:divBdr>
                    <w:top w:val="none" w:sz="0" w:space="0" w:color="auto"/>
                    <w:left w:val="none" w:sz="0" w:space="0" w:color="auto"/>
                    <w:bottom w:val="none" w:sz="0" w:space="0" w:color="auto"/>
                    <w:right w:val="none" w:sz="0" w:space="0" w:color="auto"/>
                  </w:divBdr>
                </w:div>
              </w:divsChild>
            </w:div>
            <w:div w:id="1529755109">
              <w:marLeft w:val="0"/>
              <w:marRight w:val="0"/>
              <w:marTop w:val="0"/>
              <w:marBottom w:val="0"/>
              <w:divBdr>
                <w:top w:val="none" w:sz="0" w:space="0" w:color="auto"/>
                <w:left w:val="none" w:sz="0" w:space="0" w:color="auto"/>
                <w:bottom w:val="none" w:sz="0" w:space="0" w:color="auto"/>
                <w:right w:val="none" w:sz="0" w:space="0" w:color="auto"/>
              </w:divBdr>
              <w:divsChild>
                <w:div w:id="998734105">
                  <w:marLeft w:val="0"/>
                  <w:marRight w:val="0"/>
                  <w:marTop w:val="0"/>
                  <w:marBottom w:val="0"/>
                  <w:divBdr>
                    <w:top w:val="none" w:sz="0" w:space="0" w:color="auto"/>
                    <w:left w:val="none" w:sz="0" w:space="0" w:color="auto"/>
                    <w:bottom w:val="none" w:sz="0" w:space="0" w:color="auto"/>
                    <w:right w:val="none" w:sz="0" w:space="0" w:color="auto"/>
                  </w:divBdr>
                </w:div>
              </w:divsChild>
            </w:div>
            <w:div w:id="417990826">
              <w:marLeft w:val="0"/>
              <w:marRight w:val="0"/>
              <w:marTop w:val="0"/>
              <w:marBottom w:val="0"/>
              <w:divBdr>
                <w:top w:val="none" w:sz="0" w:space="0" w:color="auto"/>
                <w:left w:val="none" w:sz="0" w:space="0" w:color="auto"/>
                <w:bottom w:val="none" w:sz="0" w:space="0" w:color="auto"/>
                <w:right w:val="none" w:sz="0" w:space="0" w:color="auto"/>
              </w:divBdr>
              <w:divsChild>
                <w:div w:id="844593491">
                  <w:marLeft w:val="0"/>
                  <w:marRight w:val="0"/>
                  <w:marTop w:val="0"/>
                  <w:marBottom w:val="0"/>
                  <w:divBdr>
                    <w:top w:val="none" w:sz="0" w:space="0" w:color="auto"/>
                    <w:left w:val="none" w:sz="0" w:space="0" w:color="auto"/>
                    <w:bottom w:val="none" w:sz="0" w:space="0" w:color="auto"/>
                    <w:right w:val="none" w:sz="0" w:space="0" w:color="auto"/>
                  </w:divBdr>
                </w:div>
              </w:divsChild>
            </w:div>
            <w:div w:id="160312142">
              <w:marLeft w:val="0"/>
              <w:marRight w:val="0"/>
              <w:marTop w:val="0"/>
              <w:marBottom w:val="0"/>
              <w:divBdr>
                <w:top w:val="none" w:sz="0" w:space="0" w:color="auto"/>
                <w:left w:val="none" w:sz="0" w:space="0" w:color="auto"/>
                <w:bottom w:val="none" w:sz="0" w:space="0" w:color="auto"/>
                <w:right w:val="none" w:sz="0" w:space="0" w:color="auto"/>
              </w:divBdr>
              <w:divsChild>
                <w:div w:id="1736854370">
                  <w:marLeft w:val="0"/>
                  <w:marRight w:val="0"/>
                  <w:marTop w:val="0"/>
                  <w:marBottom w:val="0"/>
                  <w:divBdr>
                    <w:top w:val="none" w:sz="0" w:space="0" w:color="auto"/>
                    <w:left w:val="none" w:sz="0" w:space="0" w:color="auto"/>
                    <w:bottom w:val="none" w:sz="0" w:space="0" w:color="auto"/>
                    <w:right w:val="none" w:sz="0" w:space="0" w:color="auto"/>
                  </w:divBdr>
                </w:div>
              </w:divsChild>
            </w:div>
            <w:div w:id="197012005">
              <w:marLeft w:val="0"/>
              <w:marRight w:val="0"/>
              <w:marTop w:val="0"/>
              <w:marBottom w:val="0"/>
              <w:divBdr>
                <w:top w:val="none" w:sz="0" w:space="0" w:color="auto"/>
                <w:left w:val="none" w:sz="0" w:space="0" w:color="auto"/>
                <w:bottom w:val="none" w:sz="0" w:space="0" w:color="auto"/>
                <w:right w:val="none" w:sz="0" w:space="0" w:color="auto"/>
              </w:divBdr>
              <w:divsChild>
                <w:div w:id="1767267054">
                  <w:marLeft w:val="0"/>
                  <w:marRight w:val="0"/>
                  <w:marTop w:val="0"/>
                  <w:marBottom w:val="0"/>
                  <w:divBdr>
                    <w:top w:val="none" w:sz="0" w:space="0" w:color="auto"/>
                    <w:left w:val="none" w:sz="0" w:space="0" w:color="auto"/>
                    <w:bottom w:val="none" w:sz="0" w:space="0" w:color="auto"/>
                    <w:right w:val="none" w:sz="0" w:space="0" w:color="auto"/>
                  </w:divBdr>
                </w:div>
              </w:divsChild>
            </w:div>
            <w:div w:id="1616862934">
              <w:marLeft w:val="0"/>
              <w:marRight w:val="0"/>
              <w:marTop w:val="0"/>
              <w:marBottom w:val="0"/>
              <w:divBdr>
                <w:top w:val="none" w:sz="0" w:space="0" w:color="auto"/>
                <w:left w:val="none" w:sz="0" w:space="0" w:color="auto"/>
                <w:bottom w:val="none" w:sz="0" w:space="0" w:color="auto"/>
                <w:right w:val="none" w:sz="0" w:space="0" w:color="auto"/>
              </w:divBdr>
              <w:divsChild>
                <w:div w:id="1444298849">
                  <w:marLeft w:val="0"/>
                  <w:marRight w:val="0"/>
                  <w:marTop w:val="0"/>
                  <w:marBottom w:val="0"/>
                  <w:divBdr>
                    <w:top w:val="none" w:sz="0" w:space="0" w:color="auto"/>
                    <w:left w:val="none" w:sz="0" w:space="0" w:color="auto"/>
                    <w:bottom w:val="none" w:sz="0" w:space="0" w:color="auto"/>
                    <w:right w:val="none" w:sz="0" w:space="0" w:color="auto"/>
                  </w:divBdr>
                </w:div>
              </w:divsChild>
            </w:div>
            <w:div w:id="643894634">
              <w:marLeft w:val="0"/>
              <w:marRight w:val="0"/>
              <w:marTop w:val="0"/>
              <w:marBottom w:val="0"/>
              <w:divBdr>
                <w:top w:val="none" w:sz="0" w:space="0" w:color="auto"/>
                <w:left w:val="none" w:sz="0" w:space="0" w:color="auto"/>
                <w:bottom w:val="none" w:sz="0" w:space="0" w:color="auto"/>
                <w:right w:val="none" w:sz="0" w:space="0" w:color="auto"/>
              </w:divBdr>
              <w:divsChild>
                <w:div w:id="1642689442">
                  <w:marLeft w:val="0"/>
                  <w:marRight w:val="0"/>
                  <w:marTop w:val="0"/>
                  <w:marBottom w:val="0"/>
                  <w:divBdr>
                    <w:top w:val="none" w:sz="0" w:space="0" w:color="auto"/>
                    <w:left w:val="none" w:sz="0" w:space="0" w:color="auto"/>
                    <w:bottom w:val="none" w:sz="0" w:space="0" w:color="auto"/>
                    <w:right w:val="none" w:sz="0" w:space="0" w:color="auto"/>
                  </w:divBdr>
                </w:div>
              </w:divsChild>
            </w:div>
            <w:div w:id="651758683">
              <w:marLeft w:val="0"/>
              <w:marRight w:val="0"/>
              <w:marTop w:val="0"/>
              <w:marBottom w:val="0"/>
              <w:divBdr>
                <w:top w:val="none" w:sz="0" w:space="0" w:color="auto"/>
                <w:left w:val="none" w:sz="0" w:space="0" w:color="auto"/>
                <w:bottom w:val="none" w:sz="0" w:space="0" w:color="auto"/>
                <w:right w:val="none" w:sz="0" w:space="0" w:color="auto"/>
              </w:divBdr>
              <w:divsChild>
                <w:div w:id="439450370">
                  <w:marLeft w:val="0"/>
                  <w:marRight w:val="0"/>
                  <w:marTop w:val="0"/>
                  <w:marBottom w:val="0"/>
                  <w:divBdr>
                    <w:top w:val="none" w:sz="0" w:space="0" w:color="auto"/>
                    <w:left w:val="none" w:sz="0" w:space="0" w:color="auto"/>
                    <w:bottom w:val="none" w:sz="0" w:space="0" w:color="auto"/>
                    <w:right w:val="none" w:sz="0" w:space="0" w:color="auto"/>
                  </w:divBdr>
                </w:div>
              </w:divsChild>
            </w:div>
            <w:div w:id="350186266">
              <w:marLeft w:val="0"/>
              <w:marRight w:val="0"/>
              <w:marTop w:val="0"/>
              <w:marBottom w:val="0"/>
              <w:divBdr>
                <w:top w:val="none" w:sz="0" w:space="0" w:color="auto"/>
                <w:left w:val="none" w:sz="0" w:space="0" w:color="auto"/>
                <w:bottom w:val="none" w:sz="0" w:space="0" w:color="auto"/>
                <w:right w:val="none" w:sz="0" w:space="0" w:color="auto"/>
              </w:divBdr>
              <w:divsChild>
                <w:div w:id="355739474">
                  <w:marLeft w:val="0"/>
                  <w:marRight w:val="0"/>
                  <w:marTop w:val="0"/>
                  <w:marBottom w:val="0"/>
                  <w:divBdr>
                    <w:top w:val="none" w:sz="0" w:space="0" w:color="auto"/>
                    <w:left w:val="none" w:sz="0" w:space="0" w:color="auto"/>
                    <w:bottom w:val="none" w:sz="0" w:space="0" w:color="auto"/>
                    <w:right w:val="none" w:sz="0" w:space="0" w:color="auto"/>
                  </w:divBdr>
                </w:div>
              </w:divsChild>
            </w:div>
            <w:div w:id="1940792910">
              <w:marLeft w:val="0"/>
              <w:marRight w:val="0"/>
              <w:marTop w:val="0"/>
              <w:marBottom w:val="0"/>
              <w:divBdr>
                <w:top w:val="none" w:sz="0" w:space="0" w:color="auto"/>
                <w:left w:val="none" w:sz="0" w:space="0" w:color="auto"/>
                <w:bottom w:val="none" w:sz="0" w:space="0" w:color="auto"/>
                <w:right w:val="none" w:sz="0" w:space="0" w:color="auto"/>
              </w:divBdr>
              <w:divsChild>
                <w:div w:id="1405445137">
                  <w:marLeft w:val="0"/>
                  <w:marRight w:val="0"/>
                  <w:marTop w:val="0"/>
                  <w:marBottom w:val="0"/>
                  <w:divBdr>
                    <w:top w:val="none" w:sz="0" w:space="0" w:color="auto"/>
                    <w:left w:val="none" w:sz="0" w:space="0" w:color="auto"/>
                    <w:bottom w:val="none" w:sz="0" w:space="0" w:color="auto"/>
                    <w:right w:val="none" w:sz="0" w:space="0" w:color="auto"/>
                  </w:divBdr>
                </w:div>
              </w:divsChild>
            </w:div>
            <w:div w:id="1858156196">
              <w:marLeft w:val="0"/>
              <w:marRight w:val="0"/>
              <w:marTop w:val="0"/>
              <w:marBottom w:val="0"/>
              <w:divBdr>
                <w:top w:val="none" w:sz="0" w:space="0" w:color="auto"/>
                <w:left w:val="none" w:sz="0" w:space="0" w:color="auto"/>
                <w:bottom w:val="none" w:sz="0" w:space="0" w:color="auto"/>
                <w:right w:val="none" w:sz="0" w:space="0" w:color="auto"/>
              </w:divBdr>
              <w:divsChild>
                <w:div w:id="42601866">
                  <w:marLeft w:val="0"/>
                  <w:marRight w:val="0"/>
                  <w:marTop w:val="0"/>
                  <w:marBottom w:val="0"/>
                  <w:divBdr>
                    <w:top w:val="none" w:sz="0" w:space="0" w:color="auto"/>
                    <w:left w:val="none" w:sz="0" w:space="0" w:color="auto"/>
                    <w:bottom w:val="none" w:sz="0" w:space="0" w:color="auto"/>
                    <w:right w:val="none" w:sz="0" w:space="0" w:color="auto"/>
                  </w:divBdr>
                </w:div>
              </w:divsChild>
            </w:div>
            <w:div w:id="2075348999">
              <w:marLeft w:val="0"/>
              <w:marRight w:val="0"/>
              <w:marTop w:val="0"/>
              <w:marBottom w:val="0"/>
              <w:divBdr>
                <w:top w:val="none" w:sz="0" w:space="0" w:color="auto"/>
                <w:left w:val="none" w:sz="0" w:space="0" w:color="auto"/>
                <w:bottom w:val="none" w:sz="0" w:space="0" w:color="auto"/>
                <w:right w:val="none" w:sz="0" w:space="0" w:color="auto"/>
              </w:divBdr>
              <w:divsChild>
                <w:div w:id="1264654337">
                  <w:marLeft w:val="0"/>
                  <w:marRight w:val="0"/>
                  <w:marTop w:val="0"/>
                  <w:marBottom w:val="0"/>
                  <w:divBdr>
                    <w:top w:val="none" w:sz="0" w:space="0" w:color="auto"/>
                    <w:left w:val="none" w:sz="0" w:space="0" w:color="auto"/>
                    <w:bottom w:val="none" w:sz="0" w:space="0" w:color="auto"/>
                    <w:right w:val="none" w:sz="0" w:space="0" w:color="auto"/>
                  </w:divBdr>
                </w:div>
              </w:divsChild>
            </w:div>
            <w:div w:id="1852258675">
              <w:marLeft w:val="0"/>
              <w:marRight w:val="0"/>
              <w:marTop w:val="0"/>
              <w:marBottom w:val="0"/>
              <w:divBdr>
                <w:top w:val="none" w:sz="0" w:space="0" w:color="auto"/>
                <w:left w:val="none" w:sz="0" w:space="0" w:color="auto"/>
                <w:bottom w:val="none" w:sz="0" w:space="0" w:color="auto"/>
                <w:right w:val="none" w:sz="0" w:space="0" w:color="auto"/>
              </w:divBdr>
              <w:divsChild>
                <w:div w:id="844781437">
                  <w:marLeft w:val="0"/>
                  <w:marRight w:val="0"/>
                  <w:marTop w:val="0"/>
                  <w:marBottom w:val="0"/>
                  <w:divBdr>
                    <w:top w:val="none" w:sz="0" w:space="0" w:color="auto"/>
                    <w:left w:val="none" w:sz="0" w:space="0" w:color="auto"/>
                    <w:bottom w:val="none" w:sz="0" w:space="0" w:color="auto"/>
                    <w:right w:val="none" w:sz="0" w:space="0" w:color="auto"/>
                  </w:divBdr>
                </w:div>
              </w:divsChild>
            </w:div>
            <w:div w:id="79563471">
              <w:marLeft w:val="0"/>
              <w:marRight w:val="0"/>
              <w:marTop w:val="0"/>
              <w:marBottom w:val="0"/>
              <w:divBdr>
                <w:top w:val="none" w:sz="0" w:space="0" w:color="auto"/>
                <w:left w:val="none" w:sz="0" w:space="0" w:color="auto"/>
                <w:bottom w:val="none" w:sz="0" w:space="0" w:color="auto"/>
                <w:right w:val="none" w:sz="0" w:space="0" w:color="auto"/>
              </w:divBdr>
              <w:divsChild>
                <w:div w:id="361633063">
                  <w:marLeft w:val="0"/>
                  <w:marRight w:val="0"/>
                  <w:marTop w:val="0"/>
                  <w:marBottom w:val="0"/>
                  <w:divBdr>
                    <w:top w:val="none" w:sz="0" w:space="0" w:color="auto"/>
                    <w:left w:val="none" w:sz="0" w:space="0" w:color="auto"/>
                    <w:bottom w:val="none" w:sz="0" w:space="0" w:color="auto"/>
                    <w:right w:val="none" w:sz="0" w:space="0" w:color="auto"/>
                  </w:divBdr>
                </w:div>
              </w:divsChild>
            </w:div>
            <w:div w:id="2086099922">
              <w:marLeft w:val="0"/>
              <w:marRight w:val="0"/>
              <w:marTop w:val="0"/>
              <w:marBottom w:val="0"/>
              <w:divBdr>
                <w:top w:val="none" w:sz="0" w:space="0" w:color="auto"/>
                <w:left w:val="none" w:sz="0" w:space="0" w:color="auto"/>
                <w:bottom w:val="none" w:sz="0" w:space="0" w:color="auto"/>
                <w:right w:val="none" w:sz="0" w:space="0" w:color="auto"/>
              </w:divBdr>
              <w:divsChild>
                <w:div w:id="553737369">
                  <w:marLeft w:val="0"/>
                  <w:marRight w:val="0"/>
                  <w:marTop w:val="0"/>
                  <w:marBottom w:val="0"/>
                  <w:divBdr>
                    <w:top w:val="none" w:sz="0" w:space="0" w:color="auto"/>
                    <w:left w:val="none" w:sz="0" w:space="0" w:color="auto"/>
                    <w:bottom w:val="none" w:sz="0" w:space="0" w:color="auto"/>
                    <w:right w:val="none" w:sz="0" w:space="0" w:color="auto"/>
                  </w:divBdr>
                </w:div>
              </w:divsChild>
            </w:div>
            <w:div w:id="10645382">
              <w:marLeft w:val="0"/>
              <w:marRight w:val="0"/>
              <w:marTop w:val="0"/>
              <w:marBottom w:val="0"/>
              <w:divBdr>
                <w:top w:val="none" w:sz="0" w:space="0" w:color="auto"/>
                <w:left w:val="none" w:sz="0" w:space="0" w:color="auto"/>
                <w:bottom w:val="none" w:sz="0" w:space="0" w:color="auto"/>
                <w:right w:val="none" w:sz="0" w:space="0" w:color="auto"/>
              </w:divBdr>
              <w:divsChild>
                <w:div w:id="596790614">
                  <w:marLeft w:val="0"/>
                  <w:marRight w:val="0"/>
                  <w:marTop w:val="0"/>
                  <w:marBottom w:val="0"/>
                  <w:divBdr>
                    <w:top w:val="none" w:sz="0" w:space="0" w:color="auto"/>
                    <w:left w:val="none" w:sz="0" w:space="0" w:color="auto"/>
                    <w:bottom w:val="none" w:sz="0" w:space="0" w:color="auto"/>
                    <w:right w:val="none" w:sz="0" w:space="0" w:color="auto"/>
                  </w:divBdr>
                </w:div>
              </w:divsChild>
            </w:div>
            <w:div w:id="275987911">
              <w:marLeft w:val="0"/>
              <w:marRight w:val="0"/>
              <w:marTop w:val="0"/>
              <w:marBottom w:val="0"/>
              <w:divBdr>
                <w:top w:val="none" w:sz="0" w:space="0" w:color="auto"/>
                <w:left w:val="none" w:sz="0" w:space="0" w:color="auto"/>
                <w:bottom w:val="none" w:sz="0" w:space="0" w:color="auto"/>
                <w:right w:val="none" w:sz="0" w:space="0" w:color="auto"/>
              </w:divBdr>
              <w:divsChild>
                <w:div w:id="300186843">
                  <w:marLeft w:val="0"/>
                  <w:marRight w:val="0"/>
                  <w:marTop w:val="0"/>
                  <w:marBottom w:val="0"/>
                  <w:divBdr>
                    <w:top w:val="none" w:sz="0" w:space="0" w:color="auto"/>
                    <w:left w:val="none" w:sz="0" w:space="0" w:color="auto"/>
                    <w:bottom w:val="none" w:sz="0" w:space="0" w:color="auto"/>
                    <w:right w:val="none" w:sz="0" w:space="0" w:color="auto"/>
                  </w:divBdr>
                </w:div>
              </w:divsChild>
            </w:div>
            <w:div w:id="860701805">
              <w:marLeft w:val="0"/>
              <w:marRight w:val="0"/>
              <w:marTop w:val="0"/>
              <w:marBottom w:val="0"/>
              <w:divBdr>
                <w:top w:val="none" w:sz="0" w:space="0" w:color="auto"/>
                <w:left w:val="none" w:sz="0" w:space="0" w:color="auto"/>
                <w:bottom w:val="none" w:sz="0" w:space="0" w:color="auto"/>
                <w:right w:val="none" w:sz="0" w:space="0" w:color="auto"/>
              </w:divBdr>
              <w:divsChild>
                <w:div w:id="185606735">
                  <w:marLeft w:val="0"/>
                  <w:marRight w:val="0"/>
                  <w:marTop w:val="0"/>
                  <w:marBottom w:val="0"/>
                  <w:divBdr>
                    <w:top w:val="none" w:sz="0" w:space="0" w:color="auto"/>
                    <w:left w:val="none" w:sz="0" w:space="0" w:color="auto"/>
                    <w:bottom w:val="none" w:sz="0" w:space="0" w:color="auto"/>
                    <w:right w:val="none" w:sz="0" w:space="0" w:color="auto"/>
                  </w:divBdr>
                </w:div>
              </w:divsChild>
            </w:div>
            <w:div w:id="1705711010">
              <w:marLeft w:val="0"/>
              <w:marRight w:val="0"/>
              <w:marTop w:val="0"/>
              <w:marBottom w:val="0"/>
              <w:divBdr>
                <w:top w:val="none" w:sz="0" w:space="0" w:color="auto"/>
                <w:left w:val="none" w:sz="0" w:space="0" w:color="auto"/>
                <w:bottom w:val="none" w:sz="0" w:space="0" w:color="auto"/>
                <w:right w:val="none" w:sz="0" w:space="0" w:color="auto"/>
              </w:divBdr>
              <w:divsChild>
                <w:div w:id="547036108">
                  <w:marLeft w:val="0"/>
                  <w:marRight w:val="0"/>
                  <w:marTop w:val="0"/>
                  <w:marBottom w:val="0"/>
                  <w:divBdr>
                    <w:top w:val="none" w:sz="0" w:space="0" w:color="auto"/>
                    <w:left w:val="none" w:sz="0" w:space="0" w:color="auto"/>
                    <w:bottom w:val="none" w:sz="0" w:space="0" w:color="auto"/>
                    <w:right w:val="none" w:sz="0" w:space="0" w:color="auto"/>
                  </w:divBdr>
                </w:div>
              </w:divsChild>
            </w:div>
            <w:div w:id="1426878817">
              <w:marLeft w:val="0"/>
              <w:marRight w:val="0"/>
              <w:marTop w:val="0"/>
              <w:marBottom w:val="0"/>
              <w:divBdr>
                <w:top w:val="none" w:sz="0" w:space="0" w:color="auto"/>
                <w:left w:val="none" w:sz="0" w:space="0" w:color="auto"/>
                <w:bottom w:val="none" w:sz="0" w:space="0" w:color="auto"/>
                <w:right w:val="none" w:sz="0" w:space="0" w:color="auto"/>
              </w:divBdr>
              <w:divsChild>
                <w:div w:id="2134051696">
                  <w:marLeft w:val="0"/>
                  <w:marRight w:val="0"/>
                  <w:marTop w:val="0"/>
                  <w:marBottom w:val="0"/>
                  <w:divBdr>
                    <w:top w:val="none" w:sz="0" w:space="0" w:color="auto"/>
                    <w:left w:val="none" w:sz="0" w:space="0" w:color="auto"/>
                    <w:bottom w:val="none" w:sz="0" w:space="0" w:color="auto"/>
                    <w:right w:val="none" w:sz="0" w:space="0" w:color="auto"/>
                  </w:divBdr>
                </w:div>
              </w:divsChild>
            </w:div>
            <w:div w:id="1262687373">
              <w:marLeft w:val="0"/>
              <w:marRight w:val="0"/>
              <w:marTop w:val="0"/>
              <w:marBottom w:val="0"/>
              <w:divBdr>
                <w:top w:val="none" w:sz="0" w:space="0" w:color="auto"/>
                <w:left w:val="none" w:sz="0" w:space="0" w:color="auto"/>
                <w:bottom w:val="none" w:sz="0" w:space="0" w:color="auto"/>
                <w:right w:val="none" w:sz="0" w:space="0" w:color="auto"/>
              </w:divBdr>
              <w:divsChild>
                <w:div w:id="1234392015">
                  <w:marLeft w:val="0"/>
                  <w:marRight w:val="0"/>
                  <w:marTop w:val="0"/>
                  <w:marBottom w:val="0"/>
                  <w:divBdr>
                    <w:top w:val="none" w:sz="0" w:space="0" w:color="auto"/>
                    <w:left w:val="none" w:sz="0" w:space="0" w:color="auto"/>
                    <w:bottom w:val="none" w:sz="0" w:space="0" w:color="auto"/>
                    <w:right w:val="none" w:sz="0" w:space="0" w:color="auto"/>
                  </w:divBdr>
                </w:div>
              </w:divsChild>
            </w:div>
            <w:div w:id="1017461361">
              <w:marLeft w:val="0"/>
              <w:marRight w:val="0"/>
              <w:marTop w:val="0"/>
              <w:marBottom w:val="0"/>
              <w:divBdr>
                <w:top w:val="none" w:sz="0" w:space="0" w:color="auto"/>
                <w:left w:val="none" w:sz="0" w:space="0" w:color="auto"/>
                <w:bottom w:val="none" w:sz="0" w:space="0" w:color="auto"/>
                <w:right w:val="none" w:sz="0" w:space="0" w:color="auto"/>
              </w:divBdr>
              <w:divsChild>
                <w:div w:id="2135244739">
                  <w:marLeft w:val="0"/>
                  <w:marRight w:val="0"/>
                  <w:marTop w:val="0"/>
                  <w:marBottom w:val="0"/>
                  <w:divBdr>
                    <w:top w:val="none" w:sz="0" w:space="0" w:color="auto"/>
                    <w:left w:val="none" w:sz="0" w:space="0" w:color="auto"/>
                    <w:bottom w:val="none" w:sz="0" w:space="0" w:color="auto"/>
                    <w:right w:val="none" w:sz="0" w:space="0" w:color="auto"/>
                  </w:divBdr>
                </w:div>
              </w:divsChild>
            </w:div>
            <w:div w:id="1839496570">
              <w:marLeft w:val="0"/>
              <w:marRight w:val="0"/>
              <w:marTop w:val="0"/>
              <w:marBottom w:val="0"/>
              <w:divBdr>
                <w:top w:val="none" w:sz="0" w:space="0" w:color="auto"/>
                <w:left w:val="none" w:sz="0" w:space="0" w:color="auto"/>
                <w:bottom w:val="none" w:sz="0" w:space="0" w:color="auto"/>
                <w:right w:val="none" w:sz="0" w:space="0" w:color="auto"/>
              </w:divBdr>
              <w:divsChild>
                <w:div w:id="199128589">
                  <w:marLeft w:val="0"/>
                  <w:marRight w:val="0"/>
                  <w:marTop w:val="0"/>
                  <w:marBottom w:val="0"/>
                  <w:divBdr>
                    <w:top w:val="none" w:sz="0" w:space="0" w:color="auto"/>
                    <w:left w:val="none" w:sz="0" w:space="0" w:color="auto"/>
                    <w:bottom w:val="none" w:sz="0" w:space="0" w:color="auto"/>
                    <w:right w:val="none" w:sz="0" w:space="0" w:color="auto"/>
                  </w:divBdr>
                </w:div>
              </w:divsChild>
            </w:div>
            <w:div w:id="147941241">
              <w:marLeft w:val="0"/>
              <w:marRight w:val="0"/>
              <w:marTop w:val="0"/>
              <w:marBottom w:val="0"/>
              <w:divBdr>
                <w:top w:val="none" w:sz="0" w:space="0" w:color="auto"/>
                <w:left w:val="none" w:sz="0" w:space="0" w:color="auto"/>
                <w:bottom w:val="none" w:sz="0" w:space="0" w:color="auto"/>
                <w:right w:val="none" w:sz="0" w:space="0" w:color="auto"/>
              </w:divBdr>
              <w:divsChild>
                <w:div w:id="1387293367">
                  <w:marLeft w:val="0"/>
                  <w:marRight w:val="0"/>
                  <w:marTop w:val="0"/>
                  <w:marBottom w:val="0"/>
                  <w:divBdr>
                    <w:top w:val="none" w:sz="0" w:space="0" w:color="auto"/>
                    <w:left w:val="none" w:sz="0" w:space="0" w:color="auto"/>
                    <w:bottom w:val="none" w:sz="0" w:space="0" w:color="auto"/>
                    <w:right w:val="none" w:sz="0" w:space="0" w:color="auto"/>
                  </w:divBdr>
                </w:div>
              </w:divsChild>
            </w:div>
            <w:div w:id="939873354">
              <w:marLeft w:val="0"/>
              <w:marRight w:val="0"/>
              <w:marTop w:val="0"/>
              <w:marBottom w:val="0"/>
              <w:divBdr>
                <w:top w:val="none" w:sz="0" w:space="0" w:color="auto"/>
                <w:left w:val="none" w:sz="0" w:space="0" w:color="auto"/>
                <w:bottom w:val="none" w:sz="0" w:space="0" w:color="auto"/>
                <w:right w:val="none" w:sz="0" w:space="0" w:color="auto"/>
              </w:divBdr>
              <w:divsChild>
                <w:div w:id="1162084744">
                  <w:marLeft w:val="0"/>
                  <w:marRight w:val="0"/>
                  <w:marTop w:val="0"/>
                  <w:marBottom w:val="0"/>
                  <w:divBdr>
                    <w:top w:val="none" w:sz="0" w:space="0" w:color="auto"/>
                    <w:left w:val="none" w:sz="0" w:space="0" w:color="auto"/>
                    <w:bottom w:val="none" w:sz="0" w:space="0" w:color="auto"/>
                    <w:right w:val="none" w:sz="0" w:space="0" w:color="auto"/>
                  </w:divBdr>
                </w:div>
              </w:divsChild>
            </w:div>
            <w:div w:id="680820358">
              <w:marLeft w:val="0"/>
              <w:marRight w:val="0"/>
              <w:marTop w:val="0"/>
              <w:marBottom w:val="0"/>
              <w:divBdr>
                <w:top w:val="none" w:sz="0" w:space="0" w:color="auto"/>
                <w:left w:val="none" w:sz="0" w:space="0" w:color="auto"/>
                <w:bottom w:val="none" w:sz="0" w:space="0" w:color="auto"/>
                <w:right w:val="none" w:sz="0" w:space="0" w:color="auto"/>
              </w:divBdr>
              <w:divsChild>
                <w:div w:id="1068310224">
                  <w:marLeft w:val="0"/>
                  <w:marRight w:val="0"/>
                  <w:marTop w:val="0"/>
                  <w:marBottom w:val="0"/>
                  <w:divBdr>
                    <w:top w:val="none" w:sz="0" w:space="0" w:color="auto"/>
                    <w:left w:val="none" w:sz="0" w:space="0" w:color="auto"/>
                    <w:bottom w:val="none" w:sz="0" w:space="0" w:color="auto"/>
                    <w:right w:val="none" w:sz="0" w:space="0" w:color="auto"/>
                  </w:divBdr>
                </w:div>
              </w:divsChild>
            </w:div>
            <w:div w:id="320041402">
              <w:marLeft w:val="0"/>
              <w:marRight w:val="0"/>
              <w:marTop w:val="0"/>
              <w:marBottom w:val="0"/>
              <w:divBdr>
                <w:top w:val="none" w:sz="0" w:space="0" w:color="auto"/>
                <w:left w:val="none" w:sz="0" w:space="0" w:color="auto"/>
                <w:bottom w:val="none" w:sz="0" w:space="0" w:color="auto"/>
                <w:right w:val="none" w:sz="0" w:space="0" w:color="auto"/>
              </w:divBdr>
              <w:divsChild>
                <w:div w:id="155653769">
                  <w:marLeft w:val="0"/>
                  <w:marRight w:val="0"/>
                  <w:marTop w:val="0"/>
                  <w:marBottom w:val="0"/>
                  <w:divBdr>
                    <w:top w:val="none" w:sz="0" w:space="0" w:color="auto"/>
                    <w:left w:val="none" w:sz="0" w:space="0" w:color="auto"/>
                    <w:bottom w:val="none" w:sz="0" w:space="0" w:color="auto"/>
                    <w:right w:val="none" w:sz="0" w:space="0" w:color="auto"/>
                  </w:divBdr>
                </w:div>
              </w:divsChild>
            </w:div>
            <w:div w:id="13112794">
              <w:marLeft w:val="0"/>
              <w:marRight w:val="0"/>
              <w:marTop w:val="0"/>
              <w:marBottom w:val="0"/>
              <w:divBdr>
                <w:top w:val="none" w:sz="0" w:space="0" w:color="auto"/>
                <w:left w:val="none" w:sz="0" w:space="0" w:color="auto"/>
                <w:bottom w:val="none" w:sz="0" w:space="0" w:color="auto"/>
                <w:right w:val="none" w:sz="0" w:space="0" w:color="auto"/>
              </w:divBdr>
              <w:divsChild>
                <w:div w:id="282809687">
                  <w:marLeft w:val="0"/>
                  <w:marRight w:val="0"/>
                  <w:marTop w:val="0"/>
                  <w:marBottom w:val="0"/>
                  <w:divBdr>
                    <w:top w:val="none" w:sz="0" w:space="0" w:color="auto"/>
                    <w:left w:val="none" w:sz="0" w:space="0" w:color="auto"/>
                    <w:bottom w:val="none" w:sz="0" w:space="0" w:color="auto"/>
                    <w:right w:val="none" w:sz="0" w:space="0" w:color="auto"/>
                  </w:divBdr>
                </w:div>
              </w:divsChild>
            </w:div>
            <w:div w:id="2019891763">
              <w:marLeft w:val="0"/>
              <w:marRight w:val="0"/>
              <w:marTop w:val="0"/>
              <w:marBottom w:val="0"/>
              <w:divBdr>
                <w:top w:val="none" w:sz="0" w:space="0" w:color="auto"/>
                <w:left w:val="none" w:sz="0" w:space="0" w:color="auto"/>
                <w:bottom w:val="none" w:sz="0" w:space="0" w:color="auto"/>
                <w:right w:val="none" w:sz="0" w:space="0" w:color="auto"/>
              </w:divBdr>
              <w:divsChild>
                <w:div w:id="1528518141">
                  <w:marLeft w:val="0"/>
                  <w:marRight w:val="0"/>
                  <w:marTop w:val="0"/>
                  <w:marBottom w:val="0"/>
                  <w:divBdr>
                    <w:top w:val="none" w:sz="0" w:space="0" w:color="auto"/>
                    <w:left w:val="none" w:sz="0" w:space="0" w:color="auto"/>
                    <w:bottom w:val="none" w:sz="0" w:space="0" w:color="auto"/>
                    <w:right w:val="none" w:sz="0" w:space="0" w:color="auto"/>
                  </w:divBdr>
                </w:div>
              </w:divsChild>
            </w:div>
            <w:div w:id="29309438">
              <w:marLeft w:val="0"/>
              <w:marRight w:val="0"/>
              <w:marTop w:val="0"/>
              <w:marBottom w:val="0"/>
              <w:divBdr>
                <w:top w:val="none" w:sz="0" w:space="0" w:color="auto"/>
                <w:left w:val="none" w:sz="0" w:space="0" w:color="auto"/>
                <w:bottom w:val="none" w:sz="0" w:space="0" w:color="auto"/>
                <w:right w:val="none" w:sz="0" w:space="0" w:color="auto"/>
              </w:divBdr>
              <w:divsChild>
                <w:div w:id="629743808">
                  <w:marLeft w:val="0"/>
                  <w:marRight w:val="0"/>
                  <w:marTop w:val="0"/>
                  <w:marBottom w:val="0"/>
                  <w:divBdr>
                    <w:top w:val="none" w:sz="0" w:space="0" w:color="auto"/>
                    <w:left w:val="none" w:sz="0" w:space="0" w:color="auto"/>
                    <w:bottom w:val="none" w:sz="0" w:space="0" w:color="auto"/>
                    <w:right w:val="none" w:sz="0" w:space="0" w:color="auto"/>
                  </w:divBdr>
                </w:div>
              </w:divsChild>
            </w:div>
            <w:div w:id="544755819">
              <w:marLeft w:val="0"/>
              <w:marRight w:val="0"/>
              <w:marTop w:val="0"/>
              <w:marBottom w:val="0"/>
              <w:divBdr>
                <w:top w:val="none" w:sz="0" w:space="0" w:color="auto"/>
                <w:left w:val="none" w:sz="0" w:space="0" w:color="auto"/>
                <w:bottom w:val="none" w:sz="0" w:space="0" w:color="auto"/>
                <w:right w:val="none" w:sz="0" w:space="0" w:color="auto"/>
              </w:divBdr>
              <w:divsChild>
                <w:div w:id="1530676993">
                  <w:marLeft w:val="0"/>
                  <w:marRight w:val="0"/>
                  <w:marTop w:val="0"/>
                  <w:marBottom w:val="0"/>
                  <w:divBdr>
                    <w:top w:val="none" w:sz="0" w:space="0" w:color="auto"/>
                    <w:left w:val="none" w:sz="0" w:space="0" w:color="auto"/>
                    <w:bottom w:val="none" w:sz="0" w:space="0" w:color="auto"/>
                    <w:right w:val="none" w:sz="0" w:space="0" w:color="auto"/>
                  </w:divBdr>
                </w:div>
              </w:divsChild>
            </w:div>
            <w:div w:id="1480607086">
              <w:marLeft w:val="0"/>
              <w:marRight w:val="0"/>
              <w:marTop w:val="0"/>
              <w:marBottom w:val="0"/>
              <w:divBdr>
                <w:top w:val="none" w:sz="0" w:space="0" w:color="auto"/>
                <w:left w:val="none" w:sz="0" w:space="0" w:color="auto"/>
                <w:bottom w:val="none" w:sz="0" w:space="0" w:color="auto"/>
                <w:right w:val="none" w:sz="0" w:space="0" w:color="auto"/>
              </w:divBdr>
              <w:divsChild>
                <w:div w:id="1075935983">
                  <w:marLeft w:val="0"/>
                  <w:marRight w:val="0"/>
                  <w:marTop w:val="0"/>
                  <w:marBottom w:val="0"/>
                  <w:divBdr>
                    <w:top w:val="none" w:sz="0" w:space="0" w:color="auto"/>
                    <w:left w:val="none" w:sz="0" w:space="0" w:color="auto"/>
                    <w:bottom w:val="none" w:sz="0" w:space="0" w:color="auto"/>
                    <w:right w:val="none" w:sz="0" w:space="0" w:color="auto"/>
                  </w:divBdr>
                </w:div>
              </w:divsChild>
            </w:div>
            <w:div w:id="1908833005">
              <w:marLeft w:val="0"/>
              <w:marRight w:val="0"/>
              <w:marTop w:val="0"/>
              <w:marBottom w:val="0"/>
              <w:divBdr>
                <w:top w:val="none" w:sz="0" w:space="0" w:color="auto"/>
                <w:left w:val="none" w:sz="0" w:space="0" w:color="auto"/>
                <w:bottom w:val="none" w:sz="0" w:space="0" w:color="auto"/>
                <w:right w:val="none" w:sz="0" w:space="0" w:color="auto"/>
              </w:divBdr>
              <w:divsChild>
                <w:div w:id="734012058">
                  <w:marLeft w:val="0"/>
                  <w:marRight w:val="0"/>
                  <w:marTop w:val="0"/>
                  <w:marBottom w:val="0"/>
                  <w:divBdr>
                    <w:top w:val="none" w:sz="0" w:space="0" w:color="auto"/>
                    <w:left w:val="none" w:sz="0" w:space="0" w:color="auto"/>
                    <w:bottom w:val="none" w:sz="0" w:space="0" w:color="auto"/>
                    <w:right w:val="none" w:sz="0" w:space="0" w:color="auto"/>
                  </w:divBdr>
                </w:div>
              </w:divsChild>
            </w:div>
            <w:div w:id="884171777">
              <w:marLeft w:val="0"/>
              <w:marRight w:val="0"/>
              <w:marTop w:val="0"/>
              <w:marBottom w:val="0"/>
              <w:divBdr>
                <w:top w:val="none" w:sz="0" w:space="0" w:color="auto"/>
                <w:left w:val="none" w:sz="0" w:space="0" w:color="auto"/>
                <w:bottom w:val="none" w:sz="0" w:space="0" w:color="auto"/>
                <w:right w:val="none" w:sz="0" w:space="0" w:color="auto"/>
              </w:divBdr>
              <w:divsChild>
                <w:div w:id="2513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293">
          <w:marLeft w:val="0"/>
          <w:marRight w:val="0"/>
          <w:marTop w:val="0"/>
          <w:marBottom w:val="600"/>
          <w:divBdr>
            <w:top w:val="none" w:sz="0" w:space="0" w:color="auto"/>
            <w:left w:val="none" w:sz="0" w:space="0" w:color="auto"/>
            <w:bottom w:val="none" w:sz="0" w:space="0" w:color="auto"/>
            <w:right w:val="none" w:sz="0" w:space="0" w:color="auto"/>
          </w:divBdr>
        </w:div>
      </w:divsChild>
    </w:div>
    <w:div w:id="593369134">
      <w:marLeft w:val="0"/>
      <w:marRight w:val="0"/>
      <w:marTop w:val="0"/>
      <w:marBottom w:val="0"/>
      <w:divBdr>
        <w:top w:val="none" w:sz="0" w:space="0" w:color="auto"/>
        <w:left w:val="none" w:sz="0" w:space="0" w:color="auto"/>
        <w:bottom w:val="none" w:sz="0" w:space="0" w:color="auto"/>
        <w:right w:val="none" w:sz="0" w:space="0" w:color="auto"/>
      </w:divBdr>
      <w:divsChild>
        <w:div w:id="1317565108">
          <w:marLeft w:val="0"/>
          <w:marRight w:val="0"/>
          <w:marTop w:val="547"/>
          <w:marBottom w:val="0"/>
          <w:divBdr>
            <w:top w:val="none" w:sz="0" w:space="0" w:color="auto"/>
            <w:left w:val="none" w:sz="0" w:space="0" w:color="auto"/>
            <w:bottom w:val="none" w:sz="0" w:space="0" w:color="auto"/>
            <w:right w:val="none" w:sz="0" w:space="0" w:color="auto"/>
          </w:divBdr>
        </w:div>
        <w:div w:id="2081445099">
          <w:marLeft w:val="0"/>
          <w:marRight w:val="0"/>
          <w:marTop w:val="0"/>
          <w:marBottom w:val="0"/>
          <w:divBdr>
            <w:top w:val="none" w:sz="0" w:space="0" w:color="auto"/>
            <w:left w:val="none" w:sz="0" w:space="0" w:color="auto"/>
            <w:bottom w:val="none" w:sz="0" w:space="0" w:color="auto"/>
            <w:right w:val="none" w:sz="0" w:space="0" w:color="auto"/>
          </w:divBdr>
        </w:div>
        <w:div w:id="1692607378">
          <w:marLeft w:val="0"/>
          <w:marRight w:val="0"/>
          <w:marTop w:val="0"/>
          <w:marBottom w:val="600"/>
          <w:divBdr>
            <w:top w:val="none" w:sz="0" w:space="0" w:color="auto"/>
            <w:left w:val="none" w:sz="0" w:space="0" w:color="auto"/>
            <w:bottom w:val="none" w:sz="0" w:space="0" w:color="auto"/>
            <w:right w:val="none" w:sz="0" w:space="0" w:color="auto"/>
          </w:divBdr>
        </w:div>
      </w:divsChild>
    </w:div>
    <w:div w:id="611596651">
      <w:marLeft w:val="0"/>
      <w:marRight w:val="0"/>
      <w:marTop w:val="0"/>
      <w:marBottom w:val="0"/>
      <w:divBdr>
        <w:top w:val="none" w:sz="0" w:space="0" w:color="auto"/>
        <w:left w:val="none" w:sz="0" w:space="0" w:color="auto"/>
        <w:bottom w:val="none" w:sz="0" w:space="0" w:color="auto"/>
        <w:right w:val="none" w:sz="0" w:space="0" w:color="auto"/>
      </w:divBdr>
      <w:divsChild>
        <w:div w:id="1273855702">
          <w:marLeft w:val="0"/>
          <w:marRight w:val="0"/>
          <w:marTop w:val="547"/>
          <w:marBottom w:val="0"/>
          <w:divBdr>
            <w:top w:val="none" w:sz="0" w:space="0" w:color="auto"/>
            <w:left w:val="none" w:sz="0" w:space="0" w:color="auto"/>
            <w:bottom w:val="none" w:sz="0" w:space="0" w:color="auto"/>
            <w:right w:val="none" w:sz="0" w:space="0" w:color="auto"/>
          </w:divBdr>
        </w:div>
        <w:div w:id="2018850629">
          <w:marLeft w:val="0"/>
          <w:marRight w:val="0"/>
          <w:marTop w:val="0"/>
          <w:marBottom w:val="0"/>
          <w:divBdr>
            <w:top w:val="none" w:sz="0" w:space="0" w:color="auto"/>
            <w:left w:val="none" w:sz="0" w:space="0" w:color="auto"/>
            <w:bottom w:val="none" w:sz="0" w:space="0" w:color="auto"/>
            <w:right w:val="none" w:sz="0" w:space="0" w:color="auto"/>
          </w:divBdr>
        </w:div>
        <w:div w:id="1632519050">
          <w:marLeft w:val="0"/>
          <w:marRight w:val="0"/>
          <w:marTop w:val="0"/>
          <w:marBottom w:val="600"/>
          <w:divBdr>
            <w:top w:val="none" w:sz="0" w:space="0" w:color="auto"/>
            <w:left w:val="none" w:sz="0" w:space="0" w:color="auto"/>
            <w:bottom w:val="none" w:sz="0" w:space="0" w:color="auto"/>
            <w:right w:val="none" w:sz="0" w:space="0" w:color="auto"/>
          </w:divBdr>
        </w:div>
      </w:divsChild>
    </w:div>
    <w:div w:id="611664694">
      <w:marLeft w:val="0"/>
      <w:marRight w:val="0"/>
      <w:marTop w:val="0"/>
      <w:marBottom w:val="0"/>
      <w:divBdr>
        <w:top w:val="none" w:sz="0" w:space="0" w:color="auto"/>
        <w:left w:val="none" w:sz="0" w:space="0" w:color="auto"/>
        <w:bottom w:val="none" w:sz="0" w:space="0" w:color="auto"/>
        <w:right w:val="none" w:sz="0" w:space="0" w:color="auto"/>
      </w:divBdr>
      <w:divsChild>
        <w:div w:id="1247154986">
          <w:marLeft w:val="0"/>
          <w:marRight w:val="0"/>
          <w:marTop w:val="547"/>
          <w:marBottom w:val="0"/>
          <w:divBdr>
            <w:top w:val="none" w:sz="0" w:space="0" w:color="auto"/>
            <w:left w:val="none" w:sz="0" w:space="0" w:color="auto"/>
            <w:bottom w:val="none" w:sz="0" w:space="0" w:color="auto"/>
            <w:right w:val="none" w:sz="0" w:space="0" w:color="auto"/>
          </w:divBdr>
        </w:div>
        <w:div w:id="1356541721">
          <w:marLeft w:val="0"/>
          <w:marRight w:val="0"/>
          <w:marTop w:val="0"/>
          <w:marBottom w:val="0"/>
          <w:divBdr>
            <w:top w:val="none" w:sz="0" w:space="0" w:color="auto"/>
            <w:left w:val="none" w:sz="0" w:space="0" w:color="auto"/>
            <w:bottom w:val="none" w:sz="0" w:space="0" w:color="auto"/>
            <w:right w:val="none" w:sz="0" w:space="0" w:color="auto"/>
          </w:divBdr>
        </w:div>
        <w:div w:id="1999848510">
          <w:marLeft w:val="0"/>
          <w:marRight w:val="0"/>
          <w:marTop w:val="0"/>
          <w:marBottom w:val="600"/>
          <w:divBdr>
            <w:top w:val="none" w:sz="0" w:space="0" w:color="auto"/>
            <w:left w:val="none" w:sz="0" w:space="0" w:color="auto"/>
            <w:bottom w:val="none" w:sz="0" w:space="0" w:color="auto"/>
            <w:right w:val="none" w:sz="0" w:space="0" w:color="auto"/>
          </w:divBdr>
        </w:div>
      </w:divsChild>
    </w:div>
    <w:div w:id="612447093">
      <w:marLeft w:val="0"/>
      <w:marRight w:val="0"/>
      <w:marTop w:val="0"/>
      <w:marBottom w:val="0"/>
      <w:divBdr>
        <w:top w:val="none" w:sz="0" w:space="0" w:color="auto"/>
        <w:left w:val="none" w:sz="0" w:space="0" w:color="auto"/>
        <w:bottom w:val="none" w:sz="0" w:space="0" w:color="auto"/>
        <w:right w:val="none" w:sz="0" w:space="0" w:color="auto"/>
      </w:divBdr>
      <w:divsChild>
        <w:div w:id="105276383">
          <w:marLeft w:val="0"/>
          <w:marRight w:val="0"/>
          <w:marTop w:val="547"/>
          <w:marBottom w:val="0"/>
          <w:divBdr>
            <w:top w:val="none" w:sz="0" w:space="0" w:color="auto"/>
            <w:left w:val="none" w:sz="0" w:space="0" w:color="auto"/>
            <w:bottom w:val="none" w:sz="0" w:space="0" w:color="auto"/>
            <w:right w:val="none" w:sz="0" w:space="0" w:color="auto"/>
          </w:divBdr>
        </w:div>
        <w:div w:id="627393660">
          <w:marLeft w:val="0"/>
          <w:marRight w:val="0"/>
          <w:marTop w:val="0"/>
          <w:marBottom w:val="0"/>
          <w:divBdr>
            <w:top w:val="none" w:sz="0" w:space="0" w:color="auto"/>
            <w:left w:val="none" w:sz="0" w:space="0" w:color="auto"/>
            <w:bottom w:val="none" w:sz="0" w:space="0" w:color="auto"/>
            <w:right w:val="none" w:sz="0" w:space="0" w:color="auto"/>
          </w:divBdr>
          <w:divsChild>
            <w:div w:id="1185361338">
              <w:marLeft w:val="0"/>
              <w:marRight w:val="0"/>
              <w:marTop w:val="0"/>
              <w:marBottom w:val="0"/>
              <w:divBdr>
                <w:top w:val="none" w:sz="0" w:space="0" w:color="auto"/>
                <w:left w:val="none" w:sz="0" w:space="0" w:color="auto"/>
                <w:bottom w:val="none" w:sz="0" w:space="0" w:color="auto"/>
                <w:right w:val="none" w:sz="0" w:space="0" w:color="auto"/>
              </w:divBdr>
              <w:divsChild>
                <w:div w:id="66849337">
                  <w:marLeft w:val="0"/>
                  <w:marRight w:val="0"/>
                  <w:marTop w:val="0"/>
                  <w:marBottom w:val="0"/>
                  <w:divBdr>
                    <w:top w:val="none" w:sz="0" w:space="0" w:color="auto"/>
                    <w:left w:val="none" w:sz="0" w:space="0" w:color="auto"/>
                    <w:bottom w:val="none" w:sz="0" w:space="0" w:color="auto"/>
                    <w:right w:val="none" w:sz="0" w:space="0" w:color="auto"/>
                  </w:divBdr>
                </w:div>
              </w:divsChild>
            </w:div>
            <w:div w:id="957639288">
              <w:marLeft w:val="0"/>
              <w:marRight w:val="0"/>
              <w:marTop w:val="0"/>
              <w:marBottom w:val="0"/>
              <w:divBdr>
                <w:top w:val="none" w:sz="0" w:space="0" w:color="auto"/>
                <w:left w:val="none" w:sz="0" w:space="0" w:color="auto"/>
                <w:bottom w:val="none" w:sz="0" w:space="0" w:color="auto"/>
                <w:right w:val="none" w:sz="0" w:space="0" w:color="auto"/>
              </w:divBdr>
              <w:divsChild>
                <w:div w:id="1544097991">
                  <w:marLeft w:val="0"/>
                  <w:marRight w:val="0"/>
                  <w:marTop w:val="0"/>
                  <w:marBottom w:val="0"/>
                  <w:divBdr>
                    <w:top w:val="none" w:sz="0" w:space="0" w:color="auto"/>
                    <w:left w:val="none" w:sz="0" w:space="0" w:color="auto"/>
                    <w:bottom w:val="none" w:sz="0" w:space="0" w:color="auto"/>
                    <w:right w:val="none" w:sz="0" w:space="0" w:color="auto"/>
                  </w:divBdr>
                </w:div>
              </w:divsChild>
            </w:div>
            <w:div w:id="1893348824">
              <w:marLeft w:val="0"/>
              <w:marRight w:val="0"/>
              <w:marTop w:val="0"/>
              <w:marBottom w:val="0"/>
              <w:divBdr>
                <w:top w:val="none" w:sz="0" w:space="0" w:color="auto"/>
                <w:left w:val="none" w:sz="0" w:space="0" w:color="auto"/>
                <w:bottom w:val="none" w:sz="0" w:space="0" w:color="auto"/>
                <w:right w:val="none" w:sz="0" w:space="0" w:color="auto"/>
              </w:divBdr>
              <w:divsChild>
                <w:div w:id="528104185">
                  <w:marLeft w:val="0"/>
                  <w:marRight w:val="0"/>
                  <w:marTop w:val="0"/>
                  <w:marBottom w:val="0"/>
                  <w:divBdr>
                    <w:top w:val="none" w:sz="0" w:space="0" w:color="auto"/>
                    <w:left w:val="none" w:sz="0" w:space="0" w:color="auto"/>
                    <w:bottom w:val="none" w:sz="0" w:space="0" w:color="auto"/>
                    <w:right w:val="none" w:sz="0" w:space="0" w:color="auto"/>
                  </w:divBdr>
                </w:div>
              </w:divsChild>
            </w:div>
            <w:div w:id="1298414440">
              <w:marLeft w:val="0"/>
              <w:marRight w:val="0"/>
              <w:marTop w:val="0"/>
              <w:marBottom w:val="0"/>
              <w:divBdr>
                <w:top w:val="none" w:sz="0" w:space="0" w:color="auto"/>
                <w:left w:val="none" w:sz="0" w:space="0" w:color="auto"/>
                <w:bottom w:val="none" w:sz="0" w:space="0" w:color="auto"/>
                <w:right w:val="none" w:sz="0" w:space="0" w:color="auto"/>
              </w:divBdr>
              <w:divsChild>
                <w:div w:id="644818612">
                  <w:marLeft w:val="0"/>
                  <w:marRight w:val="0"/>
                  <w:marTop w:val="0"/>
                  <w:marBottom w:val="0"/>
                  <w:divBdr>
                    <w:top w:val="none" w:sz="0" w:space="0" w:color="auto"/>
                    <w:left w:val="none" w:sz="0" w:space="0" w:color="auto"/>
                    <w:bottom w:val="none" w:sz="0" w:space="0" w:color="auto"/>
                    <w:right w:val="none" w:sz="0" w:space="0" w:color="auto"/>
                  </w:divBdr>
                </w:div>
              </w:divsChild>
            </w:div>
            <w:div w:id="1275017512">
              <w:marLeft w:val="0"/>
              <w:marRight w:val="0"/>
              <w:marTop w:val="0"/>
              <w:marBottom w:val="0"/>
              <w:divBdr>
                <w:top w:val="none" w:sz="0" w:space="0" w:color="auto"/>
                <w:left w:val="none" w:sz="0" w:space="0" w:color="auto"/>
                <w:bottom w:val="none" w:sz="0" w:space="0" w:color="auto"/>
                <w:right w:val="none" w:sz="0" w:space="0" w:color="auto"/>
              </w:divBdr>
              <w:divsChild>
                <w:div w:id="415515695">
                  <w:marLeft w:val="0"/>
                  <w:marRight w:val="0"/>
                  <w:marTop w:val="0"/>
                  <w:marBottom w:val="0"/>
                  <w:divBdr>
                    <w:top w:val="none" w:sz="0" w:space="0" w:color="auto"/>
                    <w:left w:val="none" w:sz="0" w:space="0" w:color="auto"/>
                    <w:bottom w:val="none" w:sz="0" w:space="0" w:color="auto"/>
                    <w:right w:val="none" w:sz="0" w:space="0" w:color="auto"/>
                  </w:divBdr>
                </w:div>
              </w:divsChild>
            </w:div>
            <w:div w:id="946353817">
              <w:marLeft w:val="0"/>
              <w:marRight w:val="0"/>
              <w:marTop w:val="0"/>
              <w:marBottom w:val="0"/>
              <w:divBdr>
                <w:top w:val="none" w:sz="0" w:space="0" w:color="auto"/>
                <w:left w:val="none" w:sz="0" w:space="0" w:color="auto"/>
                <w:bottom w:val="none" w:sz="0" w:space="0" w:color="auto"/>
                <w:right w:val="none" w:sz="0" w:space="0" w:color="auto"/>
              </w:divBdr>
              <w:divsChild>
                <w:div w:id="1297222948">
                  <w:marLeft w:val="0"/>
                  <w:marRight w:val="0"/>
                  <w:marTop w:val="0"/>
                  <w:marBottom w:val="0"/>
                  <w:divBdr>
                    <w:top w:val="none" w:sz="0" w:space="0" w:color="auto"/>
                    <w:left w:val="none" w:sz="0" w:space="0" w:color="auto"/>
                    <w:bottom w:val="none" w:sz="0" w:space="0" w:color="auto"/>
                    <w:right w:val="none" w:sz="0" w:space="0" w:color="auto"/>
                  </w:divBdr>
                </w:div>
              </w:divsChild>
            </w:div>
            <w:div w:id="357857618">
              <w:marLeft w:val="0"/>
              <w:marRight w:val="0"/>
              <w:marTop w:val="0"/>
              <w:marBottom w:val="0"/>
              <w:divBdr>
                <w:top w:val="none" w:sz="0" w:space="0" w:color="auto"/>
                <w:left w:val="none" w:sz="0" w:space="0" w:color="auto"/>
                <w:bottom w:val="none" w:sz="0" w:space="0" w:color="auto"/>
                <w:right w:val="none" w:sz="0" w:space="0" w:color="auto"/>
              </w:divBdr>
              <w:divsChild>
                <w:div w:id="399062884">
                  <w:marLeft w:val="0"/>
                  <w:marRight w:val="0"/>
                  <w:marTop w:val="0"/>
                  <w:marBottom w:val="0"/>
                  <w:divBdr>
                    <w:top w:val="none" w:sz="0" w:space="0" w:color="auto"/>
                    <w:left w:val="none" w:sz="0" w:space="0" w:color="auto"/>
                    <w:bottom w:val="none" w:sz="0" w:space="0" w:color="auto"/>
                    <w:right w:val="none" w:sz="0" w:space="0" w:color="auto"/>
                  </w:divBdr>
                </w:div>
              </w:divsChild>
            </w:div>
            <w:div w:id="289211601">
              <w:marLeft w:val="0"/>
              <w:marRight w:val="0"/>
              <w:marTop w:val="0"/>
              <w:marBottom w:val="0"/>
              <w:divBdr>
                <w:top w:val="none" w:sz="0" w:space="0" w:color="auto"/>
                <w:left w:val="none" w:sz="0" w:space="0" w:color="auto"/>
                <w:bottom w:val="none" w:sz="0" w:space="0" w:color="auto"/>
                <w:right w:val="none" w:sz="0" w:space="0" w:color="auto"/>
              </w:divBdr>
              <w:divsChild>
                <w:div w:id="1502619371">
                  <w:marLeft w:val="0"/>
                  <w:marRight w:val="0"/>
                  <w:marTop w:val="0"/>
                  <w:marBottom w:val="0"/>
                  <w:divBdr>
                    <w:top w:val="none" w:sz="0" w:space="0" w:color="auto"/>
                    <w:left w:val="none" w:sz="0" w:space="0" w:color="auto"/>
                    <w:bottom w:val="none" w:sz="0" w:space="0" w:color="auto"/>
                    <w:right w:val="none" w:sz="0" w:space="0" w:color="auto"/>
                  </w:divBdr>
                </w:div>
              </w:divsChild>
            </w:div>
            <w:div w:id="1877541204">
              <w:marLeft w:val="0"/>
              <w:marRight w:val="0"/>
              <w:marTop w:val="0"/>
              <w:marBottom w:val="0"/>
              <w:divBdr>
                <w:top w:val="none" w:sz="0" w:space="0" w:color="auto"/>
                <w:left w:val="none" w:sz="0" w:space="0" w:color="auto"/>
                <w:bottom w:val="none" w:sz="0" w:space="0" w:color="auto"/>
                <w:right w:val="none" w:sz="0" w:space="0" w:color="auto"/>
              </w:divBdr>
              <w:divsChild>
                <w:div w:id="1353192355">
                  <w:marLeft w:val="0"/>
                  <w:marRight w:val="0"/>
                  <w:marTop w:val="0"/>
                  <w:marBottom w:val="0"/>
                  <w:divBdr>
                    <w:top w:val="none" w:sz="0" w:space="0" w:color="auto"/>
                    <w:left w:val="none" w:sz="0" w:space="0" w:color="auto"/>
                    <w:bottom w:val="none" w:sz="0" w:space="0" w:color="auto"/>
                    <w:right w:val="none" w:sz="0" w:space="0" w:color="auto"/>
                  </w:divBdr>
                </w:div>
              </w:divsChild>
            </w:div>
            <w:div w:id="286199438">
              <w:marLeft w:val="0"/>
              <w:marRight w:val="0"/>
              <w:marTop w:val="0"/>
              <w:marBottom w:val="0"/>
              <w:divBdr>
                <w:top w:val="none" w:sz="0" w:space="0" w:color="auto"/>
                <w:left w:val="none" w:sz="0" w:space="0" w:color="auto"/>
                <w:bottom w:val="none" w:sz="0" w:space="0" w:color="auto"/>
                <w:right w:val="none" w:sz="0" w:space="0" w:color="auto"/>
              </w:divBdr>
              <w:divsChild>
                <w:div w:id="202337">
                  <w:marLeft w:val="0"/>
                  <w:marRight w:val="0"/>
                  <w:marTop w:val="0"/>
                  <w:marBottom w:val="0"/>
                  <w:divBdr>
                    <w:top w:val="none" w:sz="0" w:space="0" w:color="auto"/>
                    <w:left w:val="none" w:sz="0" w:space="0" w:color="auto"/>
                    <w:bottom w:val="none" w:sz="0" w:space="0" w:color="auto"/>
                    <w:right w:val="none" w:sz="0" w:space="0" w:color="auto"/>
                  </w:divBdr>
                </w:div>
              </w:divsChild>
            </w:div>
            <w:div w:id="1874417143">
              <w:marLeft w:val="0"/>
              <w:marRight w:val="0"/>
              <w:marTop w:val="0"/>
              <w:marBottom w:val="0"/>
              <w:divBdr>
                <w:top w:val="none" w:sz="0" w:space="0" w:color="auto"/>
                <w:left w:val="none" w:sz="0" w:space="0" w:color="auto"/>
                <w:bottom w:val="none" w:sz="0" w:space="0" w:color="auto"/>
                <w:right w:val="none" w:sz="0" w:space="0" w:color="auto"/>
              </w:divBdr>
              <w:divsChild>
                <w:div w:id="1954749535">
                  <w:marLeft w:val="0"/>
                  <w:marRight w:val="0"/>
                  <w:marTop w:val="0"/>
                  <w:marBottom w:val="0"/>
                  <w:divBdr>
                    <w:top w:val="none" w:sz="0" w:space="0" w:color="auto"/>
                    <w:left w:val="none" w:sz="0" w:space="0" w:color="auto"/>
                    <w:bottom w:val="none" w:sz="0" w:space="0" w:color="auto"/>
                    <w:right w:val="none" w:sz="0" w:space="0" w:color="auto"/>
                  </w:divBdr>
                </w:div>
              </w:divsChild>
            </w:div>
            <w:div w:id="1288924480">
              <w:marLeft w:val="0"/>
              <w:marRight w:val="0"/>
              <w:marTop w:val="0"/>
              <w:marBottom w:val="0"/>
              <w:divBdr>
                <w:top w:val="none" w:sz="0" w:space="0" w:color="auto"/>
                <w:left w:val="none" w:sz="0" w:space="0" w:color="auto"/>
                <w:bottom w:val="none" w:sz="0" w:space="0" w:color="auto"/>
                <w:right w:val="none" w:sz="0" w:space="0" w:color="auto"/>
              </w:divBdr>
              <w:divsChild>
                <w:div w:id="216206269">
                  <w:marLeft w:val="0"/>
                  <w:marRight w:val="0"/>
                  <w:marTop w:val="0"/>
                  <w:marBottom w:val="0"/>
                  <w:divBdr>
                    <w:top w:val="none" w:sz="0" w:space="0" w:color="auto"/>
                    <w:left w:val="none" w:sz="0" w:space="0" w:color="auto"/>
                    <w:bottom w:val="none" w:sz="0" w:space="0" w:color="auto"/>
                    <w:right w:val="none" w:sz="0" w:space="0" w:color="auto"/>
                  </w:divBdr>
                </w:div>
              </w:divsChild>
            </w:div>
            <w:div w:id="713431460">
              <w:marLeft w:val="0"/>
              <w:marRight w:val="0"/>
              <w:marTop w:val="0"/>
              <w:marBottom w:val="0"/>
              <w:divBdr>
                <w:top w:val="none" w:sz="0" w:space="0" w:color="auto"/>
                <w:left w:val="none" w:sz="0" w:space="0" w:color="auto"/>
                <w:bottom w:val="none" w:sz="0" w:space="0" w:color="auto"/>
                <w:right w:val="none" w:sz="0" w:space="0" w:color="auto"/>
              </w:divBdr>
              <w:divsChild>
                <w:div w:id="16514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9248">
          <w:marLeft w:val="0"/>
          <w:marRight w:val="0"/>
          <w:marTop w:val="0"/>
          <w:marBottom w:val="600"/>
          <w:divBdr>
            <w:top w:val="none" w:sz="0" w:space="0" w:color="auto"/>
            <w:left w:val="none" w:sz="0" w:space="0" w:color="auto"/>
            <w:bottom w:val="none" w:sz="0" w:space="0" w:color="auto"/>
            <w:right w:val="none" w:sz="0" w:space="0" w:color="auto"/>
          </w:divBdr>
        </w:div>
      </w:divsChild>
    </w:div>
    <w:div w:id="625283138">
      <w:marLeft w:val="0"/>
      <w:marRight w:val="0"/>
      <w:marTop w:val="0"/>
      <w:marBottom w:val="0"/>
      <w:divBdr>
        <w:top w:val="none" w:sz="0" w:space="0" w:color="auto"/>
        <w:left w:val="none" w:sz="0" w:space="0" w:color="auto"/>
        <w:bottom w:val="none" w:sz="0" w:space="0" w:color="auto"/>
        <w:right w:val="none" w:sz="0" w:space="0" w:color="auto"/>
      </w:divBdr>
      <w:divsChild>
        <w:div w:id="86390512">
          <w:marLeft w:val="0"/>
          <w:marRight w:val="0"/>
          <w:marTop w:val="547"/>
          <w:marBottom w:val="0"/>
          <w:divBdr>
            <w:top w:val="none" w:sz="0" w:space="0" w:color="auto"/>
            <w:left w:val="none" w:sz="0" w:space="0" w:color="auto"/>
            <w:bottom w:val="none" w:sz="0" w:space="0" w:color="auto"/>
            <w:right w:val="none" w:sz="0" w:space="0" w:color="auto"/>
          </w:divBdr>
        </w:div>
        <w:div w:id="1072774839">
          <w:marLeft w:val="0"/>
          <w:marRight w:val="0"/>
          <w:marTop w:val="0"/>
          <w:marBottom w:val="0"/>
          <w:divBdr>
            <w:top w:val="none" w:sz="0" w:space="0" w:color="auto"/>
            <w:left w:val="none" w:sz="0" w:space="0" w:color="auto"/>
            <w:bottom w:val="none" w:sz="0" w:space="0" w:color="auto"/>
            <w:right w:val="none" w:sz="0" w:space="0" w:color="auto"/>
          </w:divBdr>
        </w:div>
        <w:div w:id="408426325">
          <w:marLeft w:val="0"/>
          <w:marRight w:val="0"/>
          <w:marTop w:val="0"/>
          <w:marBottom w:val="600"/>
          <w:divBdr>
            <w:top w:val="none" w:sz="0" w:space="0" w:color="auto"/>
            <w:left w:val="none" w:sz="0" w:space="0" w:color="auto"/>
            <w:bottom w:val="none" w:sz="0" w:space="0" w:color="auto"/>
            <w:right w:val="none" w:sz="0" w:space="0" w:color="auto"/>
          </w:divBdr>
        </w:div>
      </w:divsChild>
    </w:div>
    <w:div w:id="625625781">
      <w:marLeft w:val="0"/>
      <w:marRight w:val="0"/>
      <w:marTop w:val="0"/>
      <w:marBottom w:val="0"/>
      <w:divBdr>
        <w:top w:val="none" w:sz="0" w:space="0" w:color="auto"/>
        <w:left w:val="none" w:sz="0" w:space="0" w:color="auto"/>
        <w:bottom w:val="none" w:sz="0" w:space="0" w:color="auto"/>
        <w:right w:val="none" w:sz="0" w:space="0" w:color="auto"/>
      </w:divBdr>
      <w:divsChild>
        <w:div w:id="510871952">
          <w:marLeft w:val="0"/>
          <w:marRight w:val="0"/>
          <w:marTop w:val="547"/>
          <w:marBottom w:val="0"/>
          <w:divBdr>
            <w:top w:val="none" w:sz="0" w:space="0" w:color="auto"/>
            <w:left w:val="none" w:sz="0" w:space="0" w:color="auto"/>
            <w:bottom w:val="none" w:sz="0" w:space="0" w:color="auto"/>
            <w:right w:val="none" w:sz="0" w:space="0" w:color="auto"/>
          </w:divBdr>
        </w:div>
        <w:div w:id="721254512">
          <w:marLeft w:val="0"/>
          <w:marRight w:val="0"/>
          <w:marTop w:val="0"/>
          <w:marBottom w:val="0"/>
          <w:divBdr>
            <w:top w:val="none" w:sz="0" w:space="0" w:color="auto"/>
            <w:left w:val="none" w:sz="0" w:space="0" w:color="auto"/>
            <w:bottom w:val="none" w:sz="0" w:space="0" w:color="auto"/>
            <w:right w:val="none" w:sz="0" w:space="0" w:color="auto"/>
          </w:divBdr>
        </w:div>
        <w:div w:id="186330650">
          <w:marLeft w:val="0"/>
          <w:marRight w:val="0"/>
          <w:marTop w:val="0"/>
          <w:marBottom w:val="600"/>
          <w:divBdr>
            <w:top w:val="none" w:sz="0" w:space="0" w:color="auto"/>
            <w:left w:val="none" w:sz="0" w:space="0" w:color="auto"/>
            <w:bottom w:val="none" w:sz="0" w:space="0" w:color="auto"/>
            <w:right w:val="none" w:sz="0" w:space="0" w:color="auto"/>
          </w:divBdr>
        </w:div>
      </w:divsChild>
    </w:div>
    <w:div w:id="637951804">
      <w:marLeft w:val="0"/>
      <w:marRight w:val="0"/>
      <w:marTop w:val="0"/>
      <w:marBottom w:val="0"/>
      <w:divBdr>
        <w:top w:val="none" w:sz="0" w:space="0" w:color="auto"/>
        <w:left w:val="none" w:sz="0" w:space="0" w:color="auto"/>
        <w:bottom w:val="none" w:sz="0" w:space="0" w:color="auto"/>
        <w:right w:val="none" w:sz="0" w:space="0" w:color="auto"/>
      </w:divBdr>
      <w:divsChild>
        <w:div w:id="1051539717">
          <w:marLeft w:val="0"/>
          <w:marRight w:val="0"/>
          <w:marTop w:val="547"/>
          <w:marBottom w:val="0"/>
          <w:divBdr>
            <w:top w:val="none" w:sz="0" w:space="0" w:color="auto"/>
            <w:left w:val="none" w:sz="0" w:space="0" w:color="auto"/>
            <w:bottom w:val="none" w:sz="0" w:space="0" w:color="auto"/>
            <w:right w:val="none" w:sz="0" w:space="0" w:color="auto"/>
          </w:divBdr>
        </w:div>
        <w:div w:id="31733061">
          <w:marLeft w:val="0"/>
          <w:marRight w:val="0"/>
          <w:marTop w:val="0"/>
          <w:marBottom w:val="0"/>
          <w:divBdr>
            <w:top w:val="none" w:sz="0" w:space="0" w:color="auto"/>
            <w:left w:val="none" w:sz="0" w:space="0" w:color="auto"/>
            <w:bottom w:val="none" w:sz="0" w:space="0" w:color="auto"/>
            <w:right w:val="none" w:sz="0" w:space="0" w:color="auto"/>
          </w:divBdr>
        </w:div>
        <w:div w:id="549804943">
          <w:marLeft w:val="0"/>
          <w:marRight w:val="0"/>
          <w:marTop w:val="0"/>
          <w:marBottom w:val="600"/>
          <w:divBdr>
            <w:top w:val="none" w:sz="0" w:space="0" w:color="auto"/>
            <w:left w:val="none" w:sz="0" w:space="0" w:color="auto"/>
            <w:bottom w:val="none" w:sz="0" w:space="0" w:color="auto"/>
            <w:right w:val="none" w:sz="0" w:space="0" w:color="auto"/>
          </w:divBdr>
        </w:div>
      </w:divsChild>
    </w:div>
    <w:div w:id="685403244">
      <w:marLeft w:val="0"/>
      <w:marRight w:val="0"/>
      <w:marTop w:val="0"/>
      <w:marBottom w:val="0"/>
      <w:divBdr>
        <w:top w:val="none" w:sz="0" w:space="0" w:color="auto"/>
        <w:left w:val="none" w:sz="0" w:space="0" w:color="auto"/>
        <w:bottom w:val="none" w:sz="0" w:space="0" w:color="auto"/>
        <w:right w:val="none" w:sz="0" w:space="0" w:color="auto"/>
      </w:divBdr>
      <w:divsChild>
        <w:div w:id="620964456">
          <w:marLeft w:val="0"/>
          <w:marRight w:val="0"/>
          <w:marTop w:val="547"/>
          <w:marBottom w:val="0"/>
          <w:divBdr>
            <w:top w:val="none" w:sz="0" w:space="0" w:color="auto"/>
            <w:left w:val="none" w:sz="0" w:space="0" w:color="auto"/>
            <w:bottom w:val="none" w:sz="0" w:space="0" w:color="auto"/>
            <w:right w:val="none" w:sz="0" w:space="0" w:color="auto"/>
          </w:divBdr>
        </w:div>
        <w:div w:id="1095248698">
          <w:marLeft w:val="0"/>
          <w:marRight w:val="0"/>
          <w:marTop w:val="0"/>
          <w:marBottom w:val="0"/>
          <w:divBdr>
            <w:top w:val="none" w:sz="0" w:space="0" w:color="auto"/>
            <w:left w:val="none" w:sz="0" w:space="0" w:color="auto"/>
            <w:bottom w:val="none" w:sz="0" w:space="0" w:color="auto"/>
            <w:right w:val="none" w:sz="0" w:space="0" w:color="auto"/>
          </w:divBdr>
          <w:divsChild>
            <w:div w:id="2074310010">
              <w:marLeft w:val="0"/>
              <w:marRight w:val="0"/>
              <w:marTop w:val="0"/>
              <w:marBottom w:val="0"/>
              <w:divBdr>
                <w:top w:val="none" w:sz="0" w:space="0" w:color="auto"/>
                <w:left w:val="none" w:sz="0" w:space="0" w:color="auto"/>
                <w:bottom w:val="none" w:sz="0" w:space="0" w:color="auto"/>
                <w:right w:val="none" w:sz="0" w:space="0" w:color="auto"/>
              </w:divBdr>
              <w:divsChild>
                <w:div w:id="1612861442">
                  <w:marLeft w:val="0"/>
                  <w:marRight w:val="0"/>
                  <w:marTop w:val="0"/>
                  <w:marBottom w:val="0"/>
                  <w:divBdr>
                    <w:top w:val="none" w:sz="0" w:space="0" w:color="auto"/>
                    <w:left w:val="none" w:sz="0" w:space="0" w:color="auto"/>
                    <w:bottom w:val="none" w:sz="0" w:space="0" w:color="auto"/>
                    <w:right w:val="none" w:sz="0" w:space="0" w:color="auto"/>
                  </w:divBdr>
                </w:div>
              </w:divsChild>
            </w:div>
            <w:div w:id="2128504338">
              <w:marLeft w:val="0"/>
              <w:marRight w:val="0"/>
              <w:marTop w:val="0"/>
              <w:marBottom w:val="0"/>
              <w:divBdr>
                <w:top w:val="none" w:sz="0" w:space="0" w:color="auto"/>
                <w:left w:val="none" w:sz="0" w:space="0" w:color="auto"/>
                <w:bottom w:val="none" w:sz="0" w:space="0" w:color="auto"/>
                <w:right w:val="none" w:sz="0" w:space="0" w:color="auto"/>
              </w:divBdr>
              <w:divsChild>
                <w:div w:id="1784029840">
                  <w:marLeft w:val="0"/>
                  <w:marRight w:val="0"/>
                  <w:marTop w:val="0"/>
                  <w:marBottom w:val="0"/>
                  <w:divBdr>
                    <w:top w:val="none" w:sz="0" w:space="0" w:color="auto"/>
                    <w:left w:val="none" w:sz="0" w:space="0" w:color="auto"/>
                    <w:bottom w:val="none" w:sz="0" w:space="0" w:color="auto"/>
                    <w:right w:val="none" w:sz="0" w:space="0" w:color="auto"/>
                  </w:divBdr>
                </w:div>
              </w:divsChild>
            </w:div>
            <w:div w:id="1254511142">
              <w:marLeft w:val="0"/>
              <w:marRight w:val="0"/>
              <w:marTop w:val="0"/>
              <w:marBottom w:val="0"/>
              <w:divBdr>
                <w:top w:val="none" w:sz="0" w:space="0" w:color="auto"/>
                <w:left w:val="none" w:sz="0" w:space="0" w:color="auto"/>
                <w:bottom w:val="none" w:sz="0" w:space="0" w:color="auto"/>
                <w:right w:val="none" w:sz="0" w:space="0" w:color="auto"/>
              </w:divBdr>
              <w:divsChild>
                <w:div w:id="1434394481">
                  <w:marLeft w:val="0"/>
                  <w:marRight w:val="0"/>
                  <w:marTop w:val="0"/>
                  <w:marBottom w:val="0"/>
                  <w:divBdr>
                    <w:top w:val="none" w:sz="0" w:space="0" w:color="auto"/>
                    <w:left w:val="none" w:sz="0" w:space="0" w:color="auto"/>
                    <w:bottom w:val="none" w:sz="0" w:space="0" w:color="auto"/>
                    <w:right w:val="none" w:sz="0" w:space="0" w:color="auto"/>
                  </w:divBdr>
                </w:div>
              </w:divsChild>
            </w:div>
            <w:div w:id="865947334">
              <w:marLeft w:val="0"/>
              <w:marRight w:val="0"/>
              <w:marTop w:val="0"/>
              <w:marBottom w:val="0"/>
              <w:divBdr>
                <w:top w:val="none" w:sz="0" w:space="0" w:color="auto"/>
                <w:left w:val="none" w:sz="0" w:space="0" w:color="auto"/>
                <w:bottom w:val="none" w:sz="0" w:space="0" w:color="auto"/>
                <w:right w:val="none" w:sz="0" w:space="0" w:color="auto"/>
              </w:divBdr>
              <w:divsChild>
                <w:div w:id="514685989">
                  <w:marLeft w:val="0"/>
                  <w:marRight w:val="0"/>
                  <w:marTop w:val="0"/>
                  <w:marBottom w:val="0"/>
                  <w:divBdr>
                    <w:top w:val="none" w:sz="0" w:space="0" w:color="auto"/>
                    <w:left w:val="none" w:sz="0" w:space="0" w:color="auto"/>
                    <w:bottom w:val="none" w:sz="0" w:space="0" w:color="auto"/>
                    <w:right w:val="none" w:sz="0" w:space="0" w:color="auto"/>
                  </w:divBdr>
                </w:div>
              </w:divsChild>
            </w:div>
            <w:div w:id="1765686387">
              <w:marLeft w:val="0"/>
              <w:marRight w:val="0"/>
              <w:marTop w:val="0"/>
              <w:marBottom w:val="0"/>
              <w:divBdr>
                <w:top w:val="none" w:sz="0" w:space="0" w:color="auto"/>
                <w:left w:val="none" w:sz="0" w:space="0" w:color="auto"/>
                <w:bottom w:val="none" w:sz="0" w:space="0" w:color="auto"/>
                <w:right w:val="none" w:sz="0" w:space="0" w:color="auto"/>
              </w:divBdr>
              <w:divsChild>
                <w:div w:id="361975476">
                  <w:marLeft w:val="0"/>
                  <w:marRight w:val="0"/>
                  <w:marTop w:val="0"/>
                  <w:marBottom w:val="0"/>
                  <w:divBdr>
                    <w:top w:val="none" w:sz="0" w:space="0" w:color="auto"/>
                    <w:left w:val="none" w:sz="0" w:space="0" w:color="auto"/>
                    <w:bottom w:val="none" w:sz="0" w:space="0" w:color="auto"/>
                    <w:right w:val="none" w:sz="0" w:space="0" w:color="auto"/>
                  </w:divBdr>
                </w:div>
              </w:divsChild>
            </w:div>
            <w:div w:id="774599253">
              <w:marLeft w:val="0"/>
              <w:marRight w:val="0"/>
              <w:marTop w:val="0"/>
              <w:marBottom w:val="0"/>
              <w:divBdr>
                <w:top w:val="none" w:sz="0" w:space="0" w:color="auto"/>
                <w:left w:val="none" w:sz="0" w:space="0" w:color="auto"/>
                <w:bottom w:val="none" w:sz="0" w:space="0" w:color="auto"/>
                <w:right w:val="none" w:sz="0" w:space="0" w:color="auto"/>
              </w:divBdr>
              <w:divsChild>
                <w:div w:id="825318151">
                  <w:marLeft w:val="0"/>
                  <w:marRight w:val="0"/>
                  <w:marTop w:val="0"/>
                  <w:marBottom w:val="0"/>
                  <w:divBdr>
                    <w:top w:val="none" w:sz="0" w:space="0" w:color="auto"/>
                    <w:left w:val="none" w:sz="0" w:space="0" w:color="auto"/>
                    <w:bottom w:val="none" w:sz="0" w:space="0" w:color="auto"/>
                    <w:right w:val="none" w:sz="0" w:space="0" w:color="auto"/>
                  </w:divBdr>
                </w:div>
              </w:divsChild>
            </w:div>
            <w:div w:id="927738514">
              <w:marLeft w:val="0"/>
              <w:marRight w:val="0"/>
              <w:marTop w:val="0"/>
              <w:marBottom w:val="0"/>
              <w:divBdr>
                <w:top w:val="none" w:sz="0" w:space="0" w:color="auto"/>
                <w:left w:val="none" w:sz="0" w:space="0" w:color="auto"/>
                <w:bottom w:val="none" w:sz="0" w:space="0" w:color="auto"/>
                <w:right w:val="none" w:sz="0" w:space="0" w:color="auto"/>
              </w:divBdr>
              <w:divsChild>
                <w:div w:id="1148210359">
                  <w:marLeft w:val="0"/>
                  <w:marRight w:val="0"/>
                  <w:marTop w:val="0"/>
                  <w:marBottom w:val="0"/>
                  <w:divBdr>
                    <w:top w:val="none" w:sz="0" w:space="0" w:color="auto"/>
                    <w:left w:val="none" w:sz="0" w:space="0" w:color="auto"/>
                    <w:bottom w:val="none" w:sz="0" w:space="0" w:color="auto"/>
                    <w:right w:val="none" w:sz="0" w:space="0" w:color="auto"/>
                  </w:divBdr>
                </w:div>
              </w:divsChild>
            </w:div>
            <w:div w:id="2007394513">
              <w:marLeft w:val="0"/>
              <w:marRight w:val="0"/>
              <w:marTop w:val="0"/>
              <w:marBottom w:val="0"/>
              <w:divBdr>
                <w:top w:val="none" w:sz="0" w:space="0" w:color="auto"/>
                <w:left w:val="none" w:sz="0" w:space="0" w:color="auto"/>
                <w:bottom w:val="none" w:sz="0" w:space="0" w:color="auto"/>
                <w:right w:val="none" w:sz="0" w:space="0" w:color="auto"/>
              </w:divBdr>
              <w:divsChild>
                <w:div w:id="1042361570">
                  <w:marLeft w:val="0"/>
                  <w:marRight w:val="0"/>
                  <w:marTop w:val="0"/>
                  <w:marBottom w:val="0"/>
                  <w:divBdr>
                    <w:top w:val="none" w:sz="0" w:space="0" w:color="auto"/>
                    <w:left w:val="none" w:sz="0" w:space="0" w:color="auto"/>
                    <w:bottom w:val="none" w:sz="0" w:space="0" w:color="auto"/>
                    <w:right w:val="none" w:sz="0" w:space="0" w:color="auto"/>
                  </w:divBdr>
                </w:div>
              </w:divsChild>
            </w:div>
            <w:div w:id="1011109894">
              <w:marLeft w:val="0"/>
              <w:marRight w:val="0"/>
              <w:marTop w:val="0"/>
              <w:marBottom w:val="0"/>
              <w:divBdr>
                <w:top w:val="none" w:sz="0" w:space="0" w:color="auto"/>
                <w:left w:val="none" w:sz="0" w:space="0" w:color="auto"/>
                <w:bottom w:val="none" w:sz="0" w:space="0" w:color="auto"/>
                <w:right w:val="none" w:sz="0" w:space="0" w:color="auto"/>
              </w:divBdr>
              <w:divsChild>
                <w:div w:id="925188712">
                  <w:marLeft w:val="0"/>
                  <w:marRight w:val="0"/>
                  <w:marTop w:val="0"/>
                  <w:marBottom w:val="0"/>
                  <w:divBdr>
                    <w:top w:val="none" w:sz="0" w:space="0" w:color="auto"/>
                    <w:left w:val="none" w:sz="0" w:space="0" w:color="auto"/>
                    <w:bottom w:val="none" w:sz="0" w:space="0" w:color="auto"/>
                    <w:right w:val="none" w:sz="0" w:space="0" w:color="auto"/>
                  </w:divBdr>
                </w:div>
              </w:divsChild>
            </w:div>
            <w:div w:id="943802734">
              <w:marLeft w:val="0"/>
              <w:marRight w:val="0"/>
              <w:marTop w:val="0"/>
              <w:marBottom w:val="0"/>
              <w:divBdr>
                <w:top w:val="none" w:sz="0" w:space="0" w:color="auto"/>
                <w:left w:val="none" w:sz="0" w:space="0" w:color="auto"/>
                <w:bottom w:val="none" w:sz="0" w:space="0" w:color="auto"/>
                <w:right w:val="none" w:sz="0" w:space="0" w:color="auto"/>
              </w:divBdr>
              <w:divsChild>
                <w:div w:id="266038411">
                  <w:marLeft w:val="0"/>
                  <w:marRight w:val="0"/>
                  <w:marTop w:val="0"/>
                  <w:marBottom w:val="0"/>
                  <w:divBdr>
                    <w:top w:val="none" w:sz="0" w:space="0" w:color="auto"/>
                    <w:left w:val="none" w:sz="0" w:space="0" w:color="auto"/>
                    <w:bottom w:val="none" w:sz="0" w:space="0" w:color="auto"/>
                    <w:right w:val="none" w:sz="0" w:space="0" w:color="auto"/>
                  </w:divBdr>
                </w:div>
              </w:divsChild>
            </w:div>
            <w:div w:id="427972908">
              <w:marLeft w:val="0"/>
              <w:marRight w:val="0"/>
              <w:marTop w:val="0"/>
              <w:marBottom w:val="0"/>
              <w:divBdr>
                <w:top w:val="none" w:sz="0" w:space="0" w:color="auto"/>
                <w:left w:val="none" w:sz="0" w:space="0" w:color="auto"/>
                <w:bottom w:val="none" w:sz="0" w:space="0" w:color="auto"/>
                <w:right w:val="none" w:sz="0" w:space="0" w:color="auto"/>
              </w:divBdr>
              <w:divsChild>
                <w:div w:id="686256093">
                  <w:marLeft w:val="0"/>
                  <w:marRight w:val="0"/>
                  <w:marTop w:val="0"/>
                  <w:marBottom w:val="0"/>
                  <w:divBdr>
                    <w:top w:val="none" w:sz="0" w:space="0" w:color="auto"/>
                    <w:left w:val="none" w:sz="0" w:space="0" w:color="auto"/>
                    <w:bottom w:val="none" w:sz="0" w:space="0" w:color="auto"/>
                    <w:right w:val="none" w:sz="0" w:space="0" w:color="auto"/>
                  </w:divBdr>
                </w:div>
              </w:divsChild>
            </w:div>
            <w:div w:id="185411363">
              <w:marLeft w:val="0"/>
              <w:marRight w:val="0"/>
              <w:marTop w:val="0"/>
              <w:marBottom w:val="0"/>
              <w:divBdr>
                <w:top w:val="none" w:sz="0" w:space="0" w:color="auto"/>
                <w:left w:val="none" w:sz="0" w:space="0" w:color="auto"/>
                <w:bottom w:val="none" w:sz="0" w:space="0" w:color="auto"/>
                <w:right w:val="none" w:sz="0" w:space="0" w:color="auto"/>
              </w:divBdr>
              <w:divsChild>
                <w:div w:id="49115411">
                  <w:marLeft w:val="0"/>
                  <w:marRight w:val="0"/>
                  <w:marTop w:val="0"/>
                  <w:marBottom w:val="0"/>
                  <w:divBdr>
                    <w:top w:val="none" w:sz="0" w:space="0" w:color="auto"/>
                    <w:left w:val="none" w:sz="0" w:space="0" w:color="auto"/>
                    <w:bottom w:val="none" w:sz="0" w:space="0" w:color="auto"/>
                    <w:right w:val="none" w:sz="0" w:space="0" w:color="auto"/>
                  </w:divBdr>
                </w:div>
              </w:divsChild>
            </w:div>
            <w:div w:id="1548639880">
              <w:marLeft w:val="0"/>
              <w:marRight w:val="0"/>
              <w:marTop w:val="0"/>
              <w:marBottom w:val="0"/>
              <w:divBdr>
                <w:top w:val="none" w:sz="0" w:space="0" w:color="auto"/>
                <w:left w:val="none" w:sz="0" w:space="0" w:color="auto"/>
                <w:bottom w:val="none" w:sz="0" w:space="0" w:color="auto"/>
                <w:right w:val="none" w:sz="0" w:space="0" w:color="auto"/>
              </w:divBdr>
              <w:divsChild>
                <w:div w:id="2030452496">
                  <w:marLeft w:val="0"/>
                  <w:marRight w:val="0"/>
                  <w:marTop w:val="0"/>
                  <w:marBottom w:val="0"/>
                  <w:divBdr>
                    <w:top w:val="none" w:sz="0" w:space="0" w:color="auto"/>
                    <w:left w:val="none" w:sz="0" w:space="0" w:color="auto"/>
                    <w:bottom w:val="none" w:sz="0" w:space="0" w:color="auto"/>
                    <w:right w:val="none" w:sz="0" w:space="0" w:color="auto"/>
                  </w:divBdr>
                </w:div>
              </w:divsChild>
            </w:div>
            <w:div w:id="1327124447">
              <w:marLeft w:val="0"/>
              <w:marRight w:val="0"/>
              <w:marTop w:val="0"/>
              <w:marBottom w:val="0"/>
              <w:divBdr>
                <w:top w:val="none" w:sz="0" w:space="0" w:color="auto"/>
                <w:left w:val="none" w:sz="0" w:space="0" w:color="auto"/>
                <w:bottom w:val="none" w:sz="0" w:space="0" w:color="auto"/>
                <w:right w:val="none" w:sz="0" w:space="0" w:color="auto"/>
              </w:divBdr>
              <w:divsChild>
                <w:div w:id="837159315">
                  <w:marLeft w:val="0"/>
                  <w:marRight w:val="0"/>
                  <w:marTop w:val="0"/>
                  <w:marBottom w:val="0"/>
                  <w:divBdr>
                    <w:top w:val="none" w:sz="0" w:space="0" w:color="auto"/>
                    <w:left w:val="none" w:sz="0" w:space="0" w:color="auto"/>
                    <w:bottom w:val="none" w:sz="0" w:space="0" w:color="auto"/>
                    <w:right w:val="none" w:sz="0" w:space="0" w:color="auto"/>
                  </w:divBdr>
                </w:div>
              </w:divsChild>
            </w:div>
            <w:div w:id="622545004">
              <w:marLeft w:val="0"/>
              <w:marRight w:val="0"/>
              <w:marTop w:val="0"/>
              <w:marBottom w:val="0"/>
              <w:divBdr>
                <w:top w:val="none" w:sz="0" w:space="0" w:color="auto"/>
                <w:left w:val="none" w:sz="0" w:space="0" w:color="auto"/>
                <w:bottom w:val="none" w:sz="0" w:space="0" w:color="auto"/>
                <w:right w:val="none" w:sz="0" w:space="0" w:color="auto"/>
              </w:divBdr>
              <w:divsChild>
                <w:div w:id="1241137394">
                  <w:marLeft w:val="0"/>
                  <w:marRight w:val="0"/>
                  <w:marTop w:val="0"/>
                  <w:marBottom w:val="0"/>
                  <w:divBdr>
                    <w:top w:val="none" w:sz="0" w:space="0" w:color="auto"/>
                    <w:left w:val="none" w:sz="0" w:space="0" w:color="auto"/>
                    <w:bottom w:val="none" w:sz="0" w:space="0" w:color="auto"/>
                    <w:right w:val="none" w:sz="0" w:space="0" w:color="auto"/>
                  </w:divBdr>
                </w:div>
              </w:divsChild>
            </w:div>
            <w:div w:id="221985686">
              <w:marLeft w:val="0"/>
              <w:marRight w:val="0"/>
              <w:marTop w:val="0"/>
              <w:marBottom w:val="0"/>
              <w:divBdr>
                <w:top w:val="none" w:sz="0" w:space="0" w:color="auto"/>
                <w:left w:val="none" w:sz="0" w:space="0" w:color="auto"/>
                <w:bottom w:val="none" w:sz="0" w:space="0" w:color="auto"/>
                <w:right w:val="none" w:sz="0" w:space="0" w:color="auto"/>
              </w:divBdr>
              <w:divsChild>
                <w:div w:id="1861551114">
                  <w:marLeft w:val="0"/>
                  <w:marRight w:val="0"/>
                  <w:marTop w:val="0"/>
                  <w:marBottom w:val="0"/>
                  <w:divBdr>
                    <w:top w:val="none" w:sz="0" w:space="0" w:color="auto"/>
                    <w:left w:val="none" w:sz="0" w:space="0" w:color="auto"/>
                    <w:bottom w:val="none" w:sz="0" w:space="0" w:color="auto"/>
                    <w:right w:val="none" w:sz="0" w:space="0" w:color="auto"/>
                  </w:divBdr>
                </w:div>
              </w:divsChild>
            </w:div>
            <w:div w:id="1370953430">
              <w:marLeft w:val="0"/>
              <w:marRight w:val="0"/>
              <w:marTop w:val="0"/>
              <w:marBottom w:val="0"/>
              <w:divBdr>
                <w:top w:val="none" w:sz="0" w:space="0" w:color="auto"/>
                <w:left w:val="none" w:sz="0" w:space="0" w:color="auto"/>
                <w:bottom w:val="none" w:sz="0" w:space="0" w:color="auto"/>
                <w:right w:val="none" w:sz="0" w:space="0" w:color="auto"/>
              </w:divBdr>
              <w:divsChild>
                <w:div w:id="49621267">
                  <w:marLeft w:val="0"/>
                  <w:marRight w:val="0"/>
                  <w:marTop w:val="0"/>
                  <w:marBottom w:val="0"/>
                  <w:divBdr>
                    <w:top w:val="none" w:sz="0" w:space="0" w:color="auto"/>
                    <w:left w:val="none" w:sz="0" w:space="0" w:color="auto"/>
                    <w:bottom w:val="none" w:sz="0" w:space="0" w:color="auto"/>
                    <w:right w:val="none" w:sz="0" w:space="0" w:color="auto"/>
                  </w:divBdr>
                </w:div>
              </w:divsChild>
            </w:div>
            <w:div w:id="1323899277">
              <w:marLeft w:val="0"/>
              <w:marRight w:val="0"/>
              <w:marTop w:val="0"/>
              <w:marBottom w:val="0"/>
              <w:divBdr>
                <w:top w:val="none" w:sz="0" w:space="0" w:color="auto"/>
                <w:left w:val="none" w:sz="0" w:space="0" w:color="auto"/>
                <w:bottom w:val="none" w:sz="0" w:space="0" w:color="auto"/>
                <w:right w:val="none" w:sz="0" w:space="0" w:color="auto"/>
              </w:divBdr>
              <w:divsChild>
                <w:div w:id="672029347">
                  <w:marLeft w:val="0"/>
                  <w:marRight w:val="0"/>
                  <w:marTop w:val="0"/>
                  <w:marBottom w:val="0"/>
                  <w:divBdr>
                    <w:top w:val="none" w:sz="0" w:space="0" w:color="auto"/>
                    <w:left w:val="none" w:sz="0" w:space="0" w:color="auto"/>
                    <w:bottom w:val="none" w:sz="0" w:space="0" w:color="auto"/>
                    <w:right w:val="none" w:sz="0" w:space="0" w:color="auto"/>
                  </w:divBdr>
                </w:div>
              </w:divsChild>
            </w:div>
            <w:div w:id="1764841242">
              <w:marLeft w:val="0"/>
              <w:marRight w:val="0"/>
              <w:marTop w:val="0"/>
              <w:marBottom w:val="0"/>
              <w:divBdr>
                <w:top w:val="none" w:sz="0" w:space="0" w:color="auto"/>
                <w:left w:val="none" w:sz="0" w:space="0" w:color="auto"/>
                <w:bottom w:val="none" w:sz="0" w:space="0" w:color="auto"/>
                <w:right w:val="none" w:sz="0" w:space="0" w:color="auto"/>
              </w:divBdr>
              <w:divsChild>
                <w:div w:id="1408310590">
                  <w:marLeft w:val="0"/>
                  <w:marRight w:val="0"/>
                  <w:marTop w:val="0"/>
                  <w:marBottom w:val="0"/>
                  <w:divBdr>
                    <w:top w:val="none" w:sz="0" w:space="0" w:color="auto"/>
                    <w:left w:val="none" w:sz="0" w:space="0" w:color="auto"/>
                    <w:bottom w:val="none" w:sz="0" w:space="0" w:color="auto"/>
                    <w:right w:val="none" w:sz="0" w:space="0" w:color="auto"/>
                  </w:divBdr>
                </w:div>
              </w:divsChild>
            </w:div>
            <w:div w:id="206258108">
              <w:marLeft w:val="0"/>
              <w:marRight w:val="0"/>
              <w:marTop w:val="0"/>
              <w:marBottom w:val="0"/>
              <w:divBdr>
                <w:top w:val="none" w:sz="0" w:space="0" w:color="auto"/>
                <w:left w:val="none" w:sz="0" w:space="0" w:color="auto"/>
                <w:bottom w:val="none" w:sz="0" w:space="0" w:color="auto"/>
                <w:right w:val="none" w:sz="0" w:space="0" w:color="auto"/>
              </w:divBdr>
              <w:divsChild>
                <w:div w:id="341469662">
                  <w:marLeft w:val="0"/>
                  <w:marRight w:val="0"/>
                  <w:marTop w:val="0"/>
                  <w:marBottom w:val="0"/>
                  <w:divBdr>
                    <w:top w:val="none" w:sz="0" w:space="0" w:color="auto"/>
                    <w:left w:val="none" w:sz="0" w:space="0" w:color="auto"/>
                    <w:bottom w:val="none" w:sz="0" w:space="0" w:color="auto"/>
                    <w:right w:val="none" w:sz="0" w:space="0" w:color="auto"/>
                  </w:divBdr>
                </w:div>
              </w:divsChild>
            </w:div>
            <w:div w:id="1757245351">
              <w:marLeft w:val="0"/>
              <w:marRight w:val="0"/>
              <w:marTop w:val="0"/>
              <w:marBottom w:val="0"/>
              <w:divBdr>
                <w:top w:val="none" w:sz="0" w:space="0" w:color="auto"/>
                <w:left w:val="none" w:sz="0" w:space="0" w:color="auto"/>
                <w:bottom w:val="none" w:sz="0" w:space="0" w:color="auto"/>
                <w:right w:val="none" w:sz="0" w:space="0" w:color="auto"/>
              </w:divBdr>
              <w:divsChild>
                <w:div w:id="638648913">
                  <w:marLeft w:val="0"/>
                  <w:marRight w:val="0"/>
                  <w:marTop w:val="0"/>
                  <w:marBottom w:val="0"/>
                  <w:divBdr>
                    <w:top w:val="none" w:sz="0" w:space="0" w:color="auto"/>
                    <w:left w:val="none" w:sz="0" w:space="0" w:color="auto"/>
                    <w:bottom w:val="none" w:sz="0" w:space="0" w:color="auto"/>
                    <w:right w:val="none" w:sz="0" w:space="0" w:color="auto"/>
                  </w:divBdr>
                </w:div>
              </w:divsChild>
            </w:div>
            <w:div w:id="62024454">
              <w:marLeft w:val="0"/>
              <w:marRight w:val="0"/>
              <w:marTop w:val="0"/>
              <w:marBottom w:val="0"/>
              <w:divBdr>
                <w:top w:val="none" w:sz="0" w:space="0" w:color="auto"/>
                <w:left w:val="none" w:sz="0" w:space="0" w:color="auto"/>
                <w:bottom w:val="none" w:sz="0" w:space="0" w:color="auto"/>
                <w:right w:val="none" w:sz="0" w:space="0" w:color="auto"/>
              </w:divBdr>
              <w:divsChild>
                <w:div w:id="239411122">
                  <w:marLeft w:val="0"/>
                  <w:marRight w:val="0"/>
                  <w:marTop w:val="0"/>
                  <w:marBottom w:val="0"/>
                  <w:divBdr>
                    <w:top w:val="none" w:sz="0" w:space="0" w:color="auto"/>
                    <w:left w:val="none" w:sz="0" w:space="0" w:color="auto"/>
                    <w:bottom w:val="none" w:sz="0" w:space="0" w:color="auto"/>
                    <w:right w:val="none" w:sz="0" w:space="0" w:color="auto"/>
                  </w:divBdr>
                </w:div>
              </w:divsChild>
            </w:div>
            <w:div w:id="348914188">
              <w:marLeft w:val="0"/>
              <w:marRight w:val="0"/>
              <w:marTop w:val="0"/>
              <w:marBottom w:val="0"/>
              <w:divBdr>
                <w:top w:val="none" w:sz="0" w:space="0" w:color="auto"/>
                <w:left w:val="none" w:sz="0" w:space="0" w:color="auto"/>
                <w:bottom w:val="none" w:sz="0" w:space="0" w:color="auto"/>
                <w:right w:val="none" w:sz="0" w:space="0" w:color="auto"/>
              </w:divBdr>
              <w:divsChild>
                <w:div w:id="2127700294">
                  <w:marLeft w:val="0"/>
                  <w:marRight w:val="0"/>
                  <w:marTop w:val="0"/>
                  <w:marBottom w:val="0"/>
                  <w:divBdr>
                    <w:top w:val="none" w:sz="0" w:space="0" w:color="auto"/>
                    <w:left w:val="none" w:sz="0" w:space="0" w:color="auto"/>
                    <w:bottom w:val="none" w:sz="0" w:space="0" w:color="auto"/>
                    <w:right w:val="none" w:sz="0" w:space="0" w:color="auto"/>
                  </w:divBdr>
                </w:div>
              </w:divsChild>
            </w:div>
            <w:div w:id="920793235">
              <w:marLeft w:val="0"/>
              <w:marRight w:val="0"/>
              <w:marTop w:val="0"/>
              <w:marBottom w:val="0"/>
              <w:divBdr>
                <w:top w:val="none" w:sz="0" w:space="0" w:color="auto"/>
                <w:left w:val="none" w:sz="0" w:space="0" w:color="auto"/>
                <w:bottom w:val="none" w:sz="0" w:space="0" w:color="auto"/>
                <w:right w:val="none" w:sz="0" w:space="0" w:color="auto"/>
              </w:divBdr>
              <w:divsChild>
                <w:div w:id="175922504">
                  <w:marLeft w:val="0"/>
                  <w:marRight w:val="0"/>
                  <w:marTop w:val="0"/>
                  <w:marBottom w:val="0"/>
                  <w:divBdr>
                    <w:top w:val="none" w:sz="0" w:space="0" w:color="auto"/>
                    <w:left w:val="none" w:sz="0" w:space="0" w:color="auto"/>
                    <w:bottom w:val="none" w:sz="0" w:space="0" w:color="auto"/>
                    <w:right w:val="none" w:sz="0" w:space="0" w:color="auto"/>
                  </w:divBdr>
                </w:div>
              </w:divsChild>
            </w:div>
            <w:div w:id="1870993879">
              <w:marLeft w:val="0"/>
              <w:marRight w:val="0"/>
              <w:marTop w:val="0"/>
              <w:marBottom w:val="0"/>
              <w:divBdr>
                <w:top w:val="none" w:sz="0" w:space="0" w:color="auto"/>
                <w:left w:val="none" w:sz="0" w:space="0" w:color="auto"/>
                <w:bottom w:val="none" w:sz="0" w:space="0" w:color="auto"/>
                <w:right w:val="none" w:sz="0" w:space="0" w:color="auto"/>
              </w:divBdr>
              <w:divsChild>
                <w:div w:id="502011808">
                  <w:marLeft w:val="0"/>
                  <w:marRight w:val="0"/>
                  <w:marTop w:val="0"/>
                  <w:marBottom w:val="0"/>
                  <w:divBdr>
                    <w:top w:val="none" w:sz="0" w:space="0" w:color="auto"/>
                    <w:left w:val="none" w:sz="0" w:space="0" w:color="auto"/>
                    <w:bottom w:val="none" w:sz="0" w:space="0" w:color="auto"/>
                    <w:right w:val="none" w:sz="0" w:space="0" w:color="auto"/>
                  </w:divBdr>
                </w:div>
              </w:divsChild>
            </w:div>
            <w:div w:id="1852379121">
              <w:marLeft w:val="0"/>
              <w:marRight w:val="0"/>
              <w:marTop w:val="0"/>
              <w:marBottom w:val="0"/>
              <w:divBdr>
                <w:top w:val="none" w:sz="0" w:space="0" w:color="auto"/>
                <w:left w:val="none" w:sz="0" w:space="0" w:color="auto"/>
                <w:bottom w:val="none" w:sz="0" w:space="0" w:color="auto"/>
                <w:right w:val="none" w:sz="0" w:space="0" w:color="auto"/>
              </w:divBdr>
              <w:divsChild>
                <w:div w:id="1334794603">
                  <w:marLeft w:val="0"/>
                  <w:marRight w:val="0"/>
                  <w:marTop w:val="0"/>
                  <w:marBottom w:val="0"/>
                  <w:divBdr>
                    <w:top w:val="none" w:sz="0" w:space="0" w:color="auto"/>
                    <w:left w:val="none" w:sz="0" w:space="0" w:color="auto"/>
                    <w:bottom w:val="none" w:sz="0" w:space="0" w:color="auto"/>
                    <w:right w:val="none" w:sz="0" w:space="0" w:color="auto"/>
                  </w:divBdr>
                </w:div>
              </w:divsChild>
            </w:div>
            <w:div w:id="430400390">
              <w:marLeft w:val="0"/>
              <w:marRight w:val="0"/>
              <w:marTop w:val="0"/>
              <w:marBottom w:val="0"/>
              <w:divBdr>
                <w:top w:val="none" w:sz="0" w:space="0" w:color="auto"/>
                <w:left w:val="none" w:sz="0" w:space="0" w:color="auto"/>
                <w:bottom w:val="none" w:sz="0" w:space="0" w:color="auto"/>
                <w:right w:val="none" w:sz="0" w:space="0" w:color="auto"/>
              </w:divBdr>
              <w:divsChild>
                <w:div w:id="418327886">
                  <w:marLeft w:val="0"/>
                  <w:marRight w:val="0"/>
                  <w:marTop w:val="0"/>
                  <w:marBottom w:val="0"/>
                  <w:divBdr>
                    <w:top w:val="none" w:sz="0" w:space="0" w:color="auto"/>
                    <w:left w:val="none" w:sz="0" w:space="0" w:color="auto"/>
                    <w:bottom w:val="none" w:sz="0" w:space="0" w:color="auto"/>
                    <w:right w:val="none" w:sz="0" w:space="0" w:color="auto"/>
                  </w:divBdr>
                </w:div>
              </w:divsChild>
            </w:div>
            <w:div w:id="249968441">
              <w:marLeft w:val="0"/>
              <w:marRight w:val="0"/>
              <w:marTop w:val="0"/>
              <w:marBottom w:val="0"/>
              <w:divBdr>
                <w:top w:val="none" w:sz="0" w:space="0" w:color="auto"/>
                <w:left w:val="none" w:sz="0" w:space="0" w:color="auto"/>
                <w:bottom w:val="none" w:sz="0" w:space="0" w:color="auto"/>
                <w:right w:val="none" w:sz="0" w:space="0" w:color="auto"/>
              </w:divBdr>
              <w:divsChild>
                <w:div w:id="895704728">
                  <w:marLeft w:val="0"/>
                  <w:marRight w:val="0"/>
                  <w:marTop w:val="0"/>
                  <w:marBottom w:val="0"/>
                  <w:divBdr>
                    <w:top w:val="none" w:sz="0" w:space="0" w:color="auto"/>
                    <w:left w:val="none" w:sz="0" w:space="0" w:color="auto"/>
                    <w:bottom w:val="none" w:sz="0" w:space="0" w:color="auto"/>
                    <w:right w:val="none" w:sz="0" w:space="0" w:color="auto"/>
                  </w:divBdr>
                </w:div>
              </w:divsChild>
            </w:div>
            <w:div w:id="1509249001">
              <w:marLeft w:val="0"/>
              <w:marRight w:val="0"/>
              <w:marTop w:val="0"/>
              <w:marBottom w:val="0"/>
              <w:divBdr>
                <w:top w:val="none" w:sz="0" w:space="0" w:color="auto"/>
                <w:left w:val="none" w:sz="0" w:space="0" w:color="auto"/>
                <w:bottom w:val="none" w:sz="0" w:space="0" w:color="auto"/>
                <w:right w:val="none" w:sz="0" w:space="0" w:color="auto"/>
              </w:divBdr>
              <w:divsChild>
                <w:div w:id="672606196">
                  <w:marLeft w:val="0"/>
                  <w:marRight w:val="0"/>
                  <w:marTop w:val="0"/>
                  <w:marBottom w:val="0"/>
                  <w:divBdr>
                    <w:top w:val="none" w:sz="0" w:space="0" w:color="auto"/>
                    <w:left w:val="none" w:sz="0" w:space="0" w:color="auto"/>
                    <w:bottom w:val="none" w:sz="0" w:space="0" w:color="auto"/>
                    <w:right w:val="none" w:sz="0" w:space="0" w:color="auto"/>
                  </w:divBdr>
                </w:div>
              </w:divsChild>
            </w:div>
            <w:div w:id="1193038699">
              <w:marLeft w:val="0"/>
              <w:marRight w:val="0"/>
              <w:marTop w:val="0"/>
              <w:marBottom w:val="0"/>
              <w:divBdr>
                <w:top w:val="none" w:sz="0" w:space="0" w:color="auto"/>
                <w:left w:val="none" w:sz="0" w:space="0" w:color="auto"/>
                <w:bottom w:val="none" w:sz="0" w:space="0" w:color="auto"/>
                <w:right w:val="none" w:sz="0" w:space="0" w:color="auto"/>
              </w:divBdr>
              <w:divsChild>
                <w:div w:id="1332560275">
                  <w:marLeft w:val="0"/>
                  <w:marRight w:val="0"/>
                  <w:marTop w:val="0"/>
                  <w:marBottom w:val="0"/>
                  <w:divBdr>
                    <w:top w:val="none" w:sz="0" w:space="0" w:color="auto"/>
                    <w:left w:val="none" w:sz="0" w:space="0" w:color="auto"/>
                    <w:bottom w:val="none" w:sz="0" w:space="0" w:color="auto"/>
                    <w:right w:val="none" w:sz="0" w:space="0" w:color="auto"/>
                  </w:divBdr>
                </w:div>
              </w:divsChild>
            </w:div>
            <w:div w:id="189757445">
              <w:marLeft w:val="0"/>
              <w:marRight w:val="0"/>
              <w:marTop w:val="0"/>
              <w:marBottom w:val="0"/>
              <w:divBdr>
                <w:top w:val="none" w:sz="0" w:space="0" w:color="auto"/>
                <w:left w:val="none" w:sz="0" w:space="0" w:color="auto"/>
                <w:bottom w:val="none" w:sz="0" w:space="0" w:color="auto"/>
                <w:right w:val="none" w:sz="0" w:space="0" w:color="auto"/>
              </w:divBdr>
              <w:divsChild>
                <w:div w:id="1417019589">
                  <w:marLeft w:val="0"/>
                  <w:marRight w:val="0"/>
                  <w:marTop w:val="0"/>
                  <w:marBottom w:val="0"/>
                  <w:divBdr>
                    <w:top w:val="none" w:sz="0" w:space="0" w:color="auto"/>
                    <w:left w:val="none" w:sz="0" w:space="0" w:color="auto"/>
                    <w:bottom w:val="none" w:sz="0" w:space="0" w:color="auto"/>
                    <w:right w:val="none" w:sz="0" w:space="0" w:color="auto"/>
                  </w:divBdr>
                </w:div>
              </w:divsChild>
            </w:div>
            <w:div w:id="1551376474">
              <w:marLeft w:val="0"/>
              <w:marRight w:val="0"/>
              <w:marTop w:val="0"/>
              <w:marBottom w:val="0"/>
              <w:divBdr>
                <w:top w:val="none" w:sz="0" w:space="0" w:color="auto"/>
                <w:left w:val="none" w:sz="0" w:space="0" w:color="auto"/>
                <w:bottom w:val="none" w:sz="0" w:space="0" w:color="auto"/>
                <w:right w:val="none" w:sz="0" w:space="0" w:color="auto"/>
              </w:divBdr>
              <w:divsChild>
                <w:div w:id="2146042766">
                  <w:marLeft w:val="0"/>
                  <w:marRight w:val="0"/>
                  <w:marTop w:val="0"/>
                  <w:marBottom w:val="0"/>
                  <w:divBdr>
                    <w:top w:val="none" w:sz="0" w:space="0" w:color="auto"/>
                    <w:left w:val="none" w:sz="0" w:space="0" w:color="auto"/>
                    <w:bottom w:val="none" w:sz="0" w:space="0" w:color="auto"/>
                    <w:right w:val="none" w:sz="0" w:space="0" w:color="auto"/>
                  </w:divBdr>
                </w:div>
              </w:divsChild>
            </w:div>
            <w:div w:id="589774695">
              <w:marLeft w:val="0"/>
              <w:marRight w:val="0"/>
              <w:marTop w:val="0"/>
              <w:marBottom w:val="0"/>
              <w:divBdr>
                <w:top w:val="none" w:sz="0" w:space="0" w:color="auto"/>
                <w:left w:val="none" w:sz="0" w:space="0" w:color="auto"/>
                <w:bottom w:val="none" w:sz="0" w:space="0" w:color="auto"/>
                <w:right w:val="none" w:sz="0" w:space="0" w:color="auto"/>
              </w:divBdr>
              <w:divsChild>
                <w:div w:id="474101191">
                  <w:marLeft w:val="0"/>
                  <w:marRight w:val="0"/>
                  <w:marTop w:val="0"/>
                  <w:marBottom w:val="0"/>
                  <w:divBdr>
                    <w:top w:val="none" w:sz="0" w:space="0" w:color="auto"/>
                    <w:left w:val="none" w:sz="0" w:space="0" w:color="auto"/>
                    <w:bottom w:val="none" w:sz="0" w:space="0" w:color="auto"/>
                    <w:right w:val="none" w:sz="0" w:space="0" w:color="auto"/>
                  </w:divBdr>
                </w:div>
              </w:divsChild>
            </w:div>
            <w:div w:id="1150755399">
              <w:marLeft w:val="0"/>
              <w:marRight w:val="0"/>
              <w:marTop w:val="0"/>
              <w:marBottom w:val="0"/>
              <w:divBdr>
                <w:top w:val="none" w:sz="0" w:space="0" w:color="auto"/>
                <w:left w:val="none" w:sz="0" w:space="0" w:color="auto"/>
                <w:bottom w:val="none" w:sz="0" w:space="0" w:color="auto"/>
                <w:right w:val="none" w:sz="0" w:space="0" w:color="auto"/>
              </w:divBdr>
              <w:divsChild>
                <w:div w:id="1924294802">
                  <w:marLeft w:val="0"/>
                  <w:marRight w:val="0"/>
                  <w:marTop w:val="0"/>
                  <w:marBottom w:val="0"/>
                  <w:divBdr>
                    <w:top w:val="none" w:sz="0" w:space="0" w:color="auto"/>
                    <w:left w:val="none" w:sz="0" w:space="0" w:color="auto"/>
                    <w:bottom w:val="none" w:sz="0" w:space="0" w:color="auto"/>
                    <w:right w:val="none" w:sz="0" w:space="0" w:color="auto"/>
                  </w:divBdr>
                </w:div>
              </w:divsChild>
            </w:div>
            <w:div w:id="647366162">
              <w:marLeft w:val="0"/>
              <w:marRight w:val="0"/>
              <w:marTop w:val="0"/>
              <w:marBottom w:val="0"/>
              <w:divBdr>
                <w:top w:val="none" w:sz="0" w:space="0" w:color="auto"/>
                <w:left w:val="none" w:sz="0" w:space="0" w:color="auto"/>
                <w:bottom w:val="none" w:sz="0" w:space="0" w:color="auto"/>
                <w:right w:val="none" w:sz="0" w:space="0" w:color="auto"/>
              </w:divBdr>
              <w:divsChild>
                <w:div w:id="43066388">
                  <w:marLeft w:val="0"/>
                  <w:marRight w:val="0"/>
                  <w:marTop w:val="0"/>
                  <w:marBottom w:val="0"/>
                  <w:divBdr>
                    <w:top w:val="none" w:sz="0" w:space="0" w:color="auto"/>
                    <w:left w:val="none" w:sz="0" w:space="0" w:color="auto"/>
                    <w:bottom w:val="none" w:sz="0" w:space="0" w:color="auto"/>
                    <w:right w:val="none" w:sz="0" w:space="0" w:color="auto"/>
                  </w:divBdr>
                </w:div>
              </w:divsChild>
            </w:div>
            <w:div w:id="1060206844">
              <w:marLeft w:val="0"/>
              <w:marRight w:val="0"/>
              <w:marTop w:val="0"/>
              <w:marBottom w:val="0"/>
              <w:divBdr>
                <w:top w:val="none" w:sz="0" w:space="0" w:color="auto"/>
                <w:left w:val="none" w:sz="0" w:space="0" w:color="auto"/>
                <w:bottom w:val="none" w:sz="0" w:space="0" w:color="auto"/>
                <w:right w:val="none" w:sz="0" w:space="0" w:color="auto"/>
              </w:divBdr>
              <w:divsChild>
                <w:div w:id="1683509829">
                  <w:marLeft w:val="0"/>
                  <w:marRight w:val="0"/>
                  <w:marTop w:val="0"/>
                  <w:marBottom w:val="0"/>
                  <w:divBdr>
                    <w:top w:val="none" w:sz="0" w:space="0" w:color="auto"/>
                    <w:left w:val="none" w:sz="0" w:space="0" w:color="auto"/>
                    <w:bottom w:val="none" w:sz="0" w:space="0" w:color="auto"/>
                    <w:right w:val="none" w:sz="0" w:space="0" w:color="auto"/>
                  </w:divBdr>
                </w:div>
              </w:divsChild>
            </w:div>
            <w:div w:id="509830931">
              <w:marLeft w:val="0"/>
              <w:marRight w:val="0"/>
              <w:marTop w:val="0"/>
              <w:marBottom w:val="0"/>
              <w:divBdr>
                <w:top w:val="none" w:sz="0" w:space="0" w:color="auto"/>
                <w:left w:val="none" w:sz="0" w:space="0" w:color="auto"/>
                <w:bottom w:val="none" w:sz="0" w:space="0" w:color="auto"/>
                <w:right w:val="none" w:sz="0" w:space="0" w:color="auto"/>
              </w:divBdr>
              <w:divsChild>
                <w:div w:id="356319760">
                  <w:marLeft w:val="0"/>
                  <w:marRight w:val="0"/>
                  <w:marTop w:val="0"/>
                  <w:marBottom w:val="0"/>
                  <w:divBdr>
                    <w:top w:val="none" w:sz="0" w:space="0" w:color="auto"/>
                    <w:left w:val="none" w:sz="0" w:space="0" w:color="auto"/>
                    <w:bottom w:val="none" w:sz="0" w:space="0" w:color="auto"/>
                    <w:right w:val="none" w:sz="0" w:space="0" w:color="auto"/>
                  </w:divBdr>
                </w:div>
              </w:divsChild>
            </w:div>
            <w:div w:id="992559348">
              <w:marLeft w:val="0"/>
              <w:marRight w:val="0"/>
              <w:marTop w:val="0"/>
              <w:marBottom w:val="0"/>
              <w:divBdr>
                <w:top w:val="none" w:sz="0" w:space="0" w:color="auto"/>
                <w:left w:val="none" w:sz="0" w:space="0" w:color="auto"/>
                <w:bottom w:val="none" w:sz="0" w:space="0" w:color="auto"/>
                <w:right w:val="none" w:sz="0" w:space="0" w:color="auto"/>
              </w:divBdr>
              <w:divsChild>
                <w:div w:id="1606688214">
                  <w:marLeft w:val="0"/>
                  <w:marRight w:val="0"/>
                  <w:marTop w:val="0"/>
                  <w:marBottom w:val="0"/>
                  <w:divBdr>
                    <w:top w:val="none" w:sz="0" w:space="0" w:color="auto"/>
                    <w:left w:val="none" w:sz="0" w:space="0" w:color="auto"/>
                    <w:bottom w:val="none" w:sz="0" w:space="0" w:color="auto"/>
                    <w:right w:val="none" w:sz="0" w:space="0" w:color="auto"/>
                  </w:divBdr>
                </w:div>
              </w:divsChild>
            </w:div>
            <w:div w:id="457144960">
              <w:marLeft w:val="0"/>
              <w:marRight w:val="0"/>
              <w:marTop w:val="0"/>
              <w:marBottom w:val="0"/>
              <w:divBdr>
                <w:top w:val="none" w:sz="0" w:space="0" w:color="auto"/>
                <w:left w:val="none" w:sz="0" w:space="0" w:color="auto"/>
                <w:bottom w:val="none" w:sz="0" w:space="0" w:color="auto"/>
                <w:right w:val="none" w:sz="0" w:space="0" w:color="auto"/>
              </w:divBdr>
              <w:divsChild>
                <w:div w:id="1829320472">
                  <w:marLeft w:val="0"/>
                  <w:marRight w:val="0"/>
                  <w:marTop w:val="0"/>
                  <w:marBottom w:val="0"/>
                  <w:divBdr>
                    <w:top w:val="none" w:sz="0" w:space="0" w:color="auto"/>
                    <w:left w:val="none" w:sz="0" w:space="0" w:color="auto"/>
                    <w:bottom w:val="none" w:sz="0" w:space="0" w:color="auto"/>
                    <w:right w:val="none" w:sz="0" w:space="0" w:color="auto"/>
                  </w:divBdr>
                </w:div>
              </w:divsChild>
            </w:div>
            <w:div w:id="85269055">
              <w:marLeft w:val="0"/>
              <w:marRight w:val="0"/>
              <w:marTop w:val="0"/>
              <w:marBottom w:val="0"/>
              <w:divBdr>
                <w:top w:val="none" w:sz="0" w:space="0" w:color="auto"/>
                <w:left w:val="none" w:sz="0" w:space="0" w:color="auto"/>
                <w:bottom w:val="none" w:sz="0" w:space="0" w:color="auto"/>
                <w:right w:val="none" w:sz="0" w:space="0" w:color="auto"/>
              </w:divBdr>
              <w:divsChild>
                <w:div w:id="923879159">
                  <w:marLeft w:val="0"/>
                  <w:marRight w:val="0"/>
                  <w:marTop w:val="0"/>
                  <w:marBottom w:val="0"/>
                  <w:divBdr>
                    <w:top w:val="none" w:sz="0" w:space="0" w:color="auto"/>
                    <w:left w:val="none" w:sz="0" w:space="0" w:color="auto"/>
                    <w:bottom w:val="none" w:sz="0" w:space="0" w:color="auto"/>
                    <w:right w:val="none" w:sz="0" w:space="0" w:color="auto"/>
                  </w:divBdr>
                </w:div>
              </w:divsChild>
            </w:div>
            <w:div w:id="556667170">
              <w:marLeft w:val="0"/>
              <w:marRight w:val="0"/>
              <w:marTop w:val="0"/>
              <w:marBottom w:val="0"/>
              <w:divBdr>
                <w:top w:val="none" w:sz="0" w:space="0" w:color="auto"/>
                <w:left w:val="none" w:sz="0" w:space="0" w:color="auto"/>
                <w:bottom w:val="none" w:sz="0" w:space="0" w:color="auto"/>
                <w:right w:val="none" w:sz="0" w:space="0" w:color="auto"/>
              </w:divBdr>
              <w:divsChild>
                <w:div w:id="2138062306">
                  <w:marLeft w:val="0"/>
                  <w:marRight w:val="0"/>
                  <w:marTop w:val="0"/>
                  <w:marBottom w:val="0"/>
                  <w:divBdr>
                    <w:top w:val="none" w:sz="0" w:space="0" w:color="auto"/>
                    <w:left w:val="none" w:sz="0" w:space="0" w:color="auto"/>
                    <w:bottom w:val="none" w:sz="0" w:space="0" w:color="auto"/>
                    <w:right w:val="none" w:sz="0" w:space="0" w:color="auto"/>
                  </w:divBdr>
                </w:div>
              </w:divsChild>
            </w:div>
            <w:div w:id="565576173">
              <w:marLeft w:val="0"/>
              <w:marRight w:val="0"/>
              <w:marTop w:val="0"/>
              <w:marBottom w:val="0"/>
              <w:divBdr>
                <w:top w:val="none" w:sz="0" w:space="0" w:color="auto"/>
                <w:left w:val="none" w:sz="0" w:space="0" w:color="auto"/>
                <w:bottom w:val="none" w:sz="0" w:space="0" w:color="auto"/>
                <w:right w:val="none" w:sz="0" w:space="0" w:color="auto"/>
              </w:divBdr>
              <w:divsChild>
                <w:div w:id="1436630868">
                  <w:marLeft w:val="0"/>
                  <w:marRight w:val="0"/>
                  <w:marTop w:val="0"/>
                  <w:marBottom w:val="0"/>
                  <w:divBdr>
                    <w:top w:val="none" w:sz="0" w:space="0" w:color="auto"/>
                    <w:left w:val="none" w:sz="0" w:space="0" w:color="auto"/>
                    <w:bottom w:val="none" w:sz="0" w:space="0" w:color="auto"/>
                    <w:right w:val="none" w:sz="0" w:space="0" w:color="auto"/>
                  </w:divBdr>
                </w:div>
              </w:divsChild>
            </w:div>
            <w:div w:id="1690831631">
              <w:marLeft w:val="0"/>
              <w:marRight w:val="0"/>
              <w:marTop w:val="0"/>
              <w:marBottom w:val="0"/>
              <w:divBdr>
                <w:top w:val="none" w:sz="0" w:space="0" w:color="auto"/>
                <w:left w:val="none" w:sz="0" w:space="0" w:color="auto"/>
                <w:bottom w:val="none" w:sz="0" w:space="0" w:color="auto"/>
                <w:right w:val="none" w:sz="0" w:space="0" w:color="auto"/>
              </w:divBdr>
              <w:divsChild>
                <w:div w:id="1941140150">
                  <w:marLeft w:val="0"/>
                  <w:marRight w:val="0"/>
                  <w:marTop w:val="0"/>
                  <w:marBottom w:val="0"/>
                  <w:divBdr>
                    <w:top w:val="none" w:sz="0" w:space="0" w:color="auto"/>
                    <w:left w:val="none" w:sz="0" w:space="0" w:color="auto"/>
                    <w:bottom w:val="none" w:sz="0" w:space="0" w:color="auto"/>
                    <w:right w:val="none" w:sz="0" w:space="0" w:color="auto"/>
                  </w:divBdr>
                </w:div>
              </w:divsChild>
            </w:div>
            <w:div w:id="1611472170">
              <w:marLeft w:val="0"/>
              <w:marRight w:val="0"/>
              <w:marTop w:val="0"/>
              <w:marBottom w:val="0"/>
              <w:divBdr>
                <w:top w:val="none" w:sz="0" w:space="0" w:color="auto"/>
                <w:left w:val="none" w:sz="0" w:space="0" w:color="auto"/>
                <w:bottom w:val="none" w:sz="0" w:space="0" w:color="auto"/>
                <w:right w:val="none" w:sz="0" w:space="0" w:color="auto"/>
              </w:divBdr>
              <w:divsChild>
                <w:div w:id="1129200013">
                  <w:marLeft w:val="0"/>
                  <w:marRight w:val="0"/>
                  <w:marTop w:val="0"/>
                  <w:marBottom w:val="0"/>
                  <w:divBdr>
                    <w:top w:val="none" w:sz="0" w:space="0" w:color="auto"/>
                    <w:left w:val="none" w:sz="0" w:space="0" w:color="auto"/>
                    <w:bottom w:val="none" w:sz="0" w:space="0" w:color="auto"/>
                    <w:right w:val="none" w:sz="0" w:space="0" w:color="auto"/>
                  </w:divBdr>
                </w:div>
              </w:divsChild>
            </w:div>
            <w:div w:id="740055440">
              <w:marLeft w:val="0"/>
              <w:marRight w:val="0"/>
              <w:marTop w:val="0"/>
              <w:marBottom w:val="0"/>
              <w:divBdr>
                <w:top w:val="none" w:sz="0" w:space="0" w:color="auto"/>
                <w:left w:val="none" w:sz="0" w:space="0" w:color="auto"/>
                <w:bottom w:val="none" w:sz="0" w:space="0" w:color="auto"/>
                <w:right w:val="none" w:sz="0" w:space="0" w:color="auto"/>
              </w:divBdr>
              <w:divsChild>
                <w:div w:id="1879662583">
                  <w:marLeft w:val="0"/>
                  <w:marRight w:val="0"/>
                  <w:marTop w:val="0"/>
                  <w:marBottom w:val="0"/>
                  <w:divBdr>
                    <w:top w:val="none" w:sz="0" w:space="0" w:color="auto"/>
                    <w:left w:val="none" w:sz="0" w:space="0" w:color="auto"/>
                    <w:bottom w:val="none" w:sz="0" w:space="0" w:color="auto"/>
                    <w:right w:val="none" w:sz="0" w:space="0" w:color="auto"/>
                  </w:divBdr>
                </w:div>
              </w:divsChild>
            </w:div>
            <w:div w:id="544560994">
              <w:marLeft w:val="0"/>
              <w:marRight w:val="0"/>
              <w:marTop w:val="0"/>
              <w:marBottom w:val="0"/>
              <w:divBdr>
                <w:top w:val="none" w:sz="0" w:space="0" w:color="auto"/>
                <w:left w:val="none" w:sz="0" w:space="0" w:color="auto"/>
                <w:bottom w:val="none" w:sz="0" w:space="0" w:color="auto"/>
                <w:right w:val="none" w:sz="0" w:space="0" w:color="auto"/>
              </w:divBdr>
              <w:divsChild>
                <w:div w:id="295916554">
                  <w:marLeft w:val="0"/>
                  <w:marRight w:val="0"/>
                  <w:marTop w:val="0"/>
                  <w:marBottom w:val="0"/>
                  <w:divBdr>
                    <w:top w:val="none" w:sz="0" w:space="0" w:color="auto"/>
                    <w:left w:val="none" w:sz="0" w:space="0" w:color="auto"/>
                    <w:bottom w:val="none" w:sz="0" w:space="0" w:color="auto"/>
                    <w:right w:val="none" w:sz="0" w:space="0" w:color="auto"/>
                  </w:divBdr>
                </w:div>
              </w:divsChild>
            </w:div>
            <w:div w:id="1619484629">
              <w:marLeft w:val="0"/>
              <w:marRight w:val="0"/>
              <w:marTop w:val="0"/>
              <w:marBottom w:val="0"/>
              <w:divBdr>
                <w:top w:val="none" w:sz="0" w:space="0" w:color="auto"/>
                <w:left w:val="none" w:sz="0" w:space="0" w:color="auto"/>
                <w:bottom w:val="none" w:sz="0" w:space="0" w:color="auto"/>
                <w:right w:val="none" w:sz="0" w:space="0" w:color="auto"/>
              </w:divBdr>
              <w:divsChild>
                <w:div w:id="2103645244">
                  <w:marLeft w:val="0"/>
                  <w:marRight w:val="0"/>
                  <w:marTop w:val="0"/>
                  <w:marBottom w:val="0"/>
                  <w:divBdr>
                    <w:top w:val="none" w:sz="0" w:space="0" w:color="auto"/>
                    <w:left w:val="none" w:sz="0" w:space="0" w:color="auto"/>
                    <w:bottom w:val="none" w:sz="0" w:space="0" w:color="auto"/>
                    <w:right w:val="none" w:sz="0" w:space="0" w:color="auto"/>
                  </w:divBdr>
                </w:div>
              </w:divsChild>
            </w:div>
            <w:div w:id="1592660344">
              <w:marLeft w:val="0"/>
              <w:marRight w:val="0"/>
              <w:marTop w:val="0"/>
              <w:marBottom w:val="0"/>
              <w:divBdr>
                <w:top w:val="none" w:sz="0" w:space="0" w:color="auto"/>
                <w:left w:val="none" w:sz="0" w:space="0" w:color="auto"/>
                <w:bottom w:val="none" w:sz="0" w:space="0" w:color="auto"/>
                <w:right w:val="none" w:sz="0" w:space="0" w:color="auto"/>
              </w:divBdr>
              <w:divsChild>
                <w:div w:id="60057873">
                  <w:marLeft w:val="0"/>
                  <w:marRight w:val="0"/>
                  <w:marTop w:val="0"/>
                  <w:marBottom w:val="0"/>
                  <w:divBdr>
                    <w:top w:val="none" w:sz="0" w:space="0" w:color="auto"/>
                    <w:left w:val="none" w:sz="0" w:space="0" w:color="auto"/>
                    <w:bottom w:val="none" w:sz="0" w:space="0" w:color="auto"/>
                    <w:right w:val="none" w:sz="0" w:space="0" w:color="auto"/>
                  </w:divBdr>
                </w:div>
              </w:divsChild>
            </w:div>
            <w:div w:id="1944606986">
              <w:marLeft w:val="0"/>
              <w:marRight w:val="0"/>
              <w:marTop w:val="0"/>
              <w:marBottom w:val="0"/>
              <w:divBdr>
                <w:top w:val="none" w:sz="0" w:space="0" w:color="auto"/>
                <w:left w:val="none" w:sz="0" w:space="0" w:color="auto"/>
                <w:bottom w:val="none" w:sz="0" w:space="0" w:color="auto"/>
                <w:right w:val="none" w:sz="0" w:space="0" w:color="auto"/>
              </w:divBdr>
              <w:divsChild>
                <w:div w:id="709912763">
                  <w:marLeft w:val="0"/>
                  <w:marRight w:val="0"/>
                  <w:marTop w:val="0"/>
                  <w:marBottom w:val="0"/>
                  <w:divBdr>
                    <w:top w:val="none" w:sz="0" w:space="0" w:color="auto"/>
                    <w:left w:val="none" w:sz="0" w:space="0" w:color="auto"/>
                    <w:bottom w:val="none" w:sz="0" w:space="0" w:color="auto"/>
                    <w:right w:val="none" w:sz="0" w:space="0" w:color="auto"/>
                  </w:divBdr>
                </w:div>
              </w:divsChild>
            </w:div>
            <w:div w:id="2032605134">
              <w:marLeft w:val="0"/>
              <w:marRight w:val="0"/>
              <w:marTop w:val="0"/>
              <w:marBottom w:val="0"/>
              <w:divBdr>
                <w:top w:val="none" w:sz="0" w:space="0" w:color="auto"/>
                <w:left w:val="none" w:sz="0" w:space="0" w:color="auto"/>
                <w:bottom w:val="none" w:sz="0" w:space="0" w:color="auto"/>
                <w:right w:val="none" w:sz="0" w:space="0" w:color="auto"/>
              </w:divBdr>
              <w:divsChild>
                <w:div w:id="149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18881">
          <w:marLeft w:val="0"/>
          <w:marRight w:val="0"/>
          <w:marTop w:val="0"/>
          <w:marBottom w:val="600"/>
          <w:divBdr>
            <w:top w:val="none" w:sz="0" w:space="0" w:color="auto"/>
            <w:left w:val="none" w:sz="0" w:space="0" w:color="auto"/>
            <w:bottom w:val="none" w:sz="0" w:space="0" w:color="auto"/>
            <w:right w:val="none" w:sz="0" w:space="0" w:color="auto"/>
          </w:divBdr>
        </w:div>
      </w:divsChild>
    </w:div>
    <w:div w:id="696976815">
      <w:marLeft w:val="0"/>
      <w:marRight w:val="0"/>
      <w:marTop w:val="0"/>
      <w:marBottom w:val="0"/>
      <w:divBdr>
        <w:top w:val="none" w:sz="0" w:space="0" w:color="auto"/>
        <w:left w:val="none" w:sz="0" w:space="0" w:color="auto"/>
        <w:bottom w:val="none" w:sz="0" w:space="0" w:color="auto"/>
        <w:right w:val="none" w:sz="0" w:space="0" w:color="auto"/>
      </w:divBdr>
      <w:divsChild>
        <w:div w:id="1356805315">
          <w:marLeft w:val="0"/>
          <w:marRight w:val="0"/>
          <w:marTop w:val="547"/>
          <w:marBottom w:val="0"/>
          <w:divBdr>
            <w:top w:val="none" w:sz="0" w:space="0" w:color="auto"/>
            <w:left w:val="none" w:sz="0" w:space="0" w:color="auto"/>
            <w:bottom w:val="none" w:sz="0" w:space="0" w:color="auto"/>
            <w:right w:val="none" w:sz="0" w:space="0" w:color="auto"/>
          </w:divBdr>
        </w:div>
        <w:div w:id="2145543437">
          <w:marLeft w:val="0"/>
          <w:marRight w:val="0"/>
          <w:marTop w:val="0"/>
          <w:marBottom w:val="0"/>
          <w:divBdr>
            <w:top w:val="none" w:sz="0" w:space="0" w:color="auto"/>
            <w:left w:val="none" w:sz="0" w:space="0" w:color="auto"/>
            <w:bottom w:val="none" w:sz="0" w:space="0" w:color="auto"/>
            <w:right w:val="none" w:sz="0" w:space="0" w:color="auto"/>
          </w:divBdr>
          <w:divsChild>
            <w:div w:id="1084910263">
              <w:marLeft w:val="0"/>
              <w:marRight w:val="0"/>
              <w:marTop w:val="0"/>
              <w:marBottom w:val="0"/>
              <w:divBdr>
                <w:top w:val="none" w:sz="0" w:space="0" w:color="auto"/>
                <w:left w:val="none" w:sz="0" w:space="0" w:color="auto"/>
                <w:bottom w:val="none" w:sz="0" w:space="0" w:color="auto"/>
                <w:right w:val="none" w:sz="0" w:space="0" w:color="auto"/>
              </w:divBdr>
              <w:divsChild>
                <w:div w:id="781925772">
                  <w:marLeft w:val="0"/>
                  <w:marRight w:val="0"/>
                  <w:marTop w:val="0"/>
                  <w:marBottom w:val="0"/>
                  <w:divBdr>
                    <w:top w:val="none" w:sz="0" w:space="0" w:color="auto"/>
                    <w:left w:val="none" w:sz="0" w:space="0" w:color="auto"/>
                    <w:bottom w:val="none" w:sz="0" w:space="0" w:color="auto"/>
                    <w:right w:val="none" w:sz="0" w:space="0" w:color="auto"/>
                  </w:divBdr>
                </w:div>
              </w:divsChild>
            </w:div>
            <w:div w:id="18505594">
              <w:marLeft w:val="0"/>
              <w:marRight w:val="0"/>
              <w:marTop w:val="0"/>
              <w:marBottom w:val="0"/>
              <w:divBdr>
                <w:top w:val="none" w:sz="0" w:space="0" w:color="auto"/>
                <w:left w:val="none" w:sz="0" w:space="0" w:color="auto"/>
                <w:bottom w:val="none" w:sz="0" w:space="0" w:color="auto"/>
                <w:right w:val="none" w:sz="0" w:space="0" w:color="auto"/>
              </w:divBdr>
              <w:divsChild>
                <w:div w:id="420762136">
                  <w:marLeft w:val="0"/>
                  <w:marRight w:val="0"/>
                  <w:marTop w:val="0"/>
                  <w:marBottom w:val="0"/>
                  <w:divBdr>
                    <w:top w:val="none" w:sz="0" w:space="0" w:color="auto"/>
                    <w:left w:val="none" w:sz="0" w:space="0" w:color="auto"/>
                    <w:bottom w:val="none" w:sz="0" w:space="0" w:color="auto"/>
                    <w:right w:val="none" w:sz="0" w:space="0" w:color="auto"/>
                  </w:divBdr>
                </w:div>
              </w:divsChild>
            </w:div>
            <w:div w:id="1898394483">
              <w:marLeft w:val="0"/>
              <w:marRight w:val="0"/>
              <w:marTop w:val="0"/>
              <w:marBottom w:val="0"/>
              <w:divBdr>
                <w:top w:val="none" w:sz="0" w:space="0" w:color="auto"/>
                <w:left w:val="none" w:sz="0" w:space="0" w:color="auto"/>
                <w:bottom w:val="none" w:sz="0" w:space="0" w:color="auto"/>
                <w:right w:val="none" w:sz="0" w:space="0" w:color="auto"/>
              </w:divBdr>
              <w:divsChild>
                <w:div w:id="2039042847">
                  <w:marLeft w:val="0"/>
                  <w:marRight w:val="0"/>
                  <w:marTop w:val="0"/>
                  <w:marBottom w:val="0"/>
                  <w:divBdr>
                    <w:top w:val="none" w:sz="0" w:space="0" w:color="auto"/>
                    <w:left w:val="none" w:sz="0" w:space="0" w:color="auto"/>
                    <w:bottom w:val="none" w:sz="0" w:space="0" w:color="auto"/>
                    <w:right w:val="none" w:sz="0" w:space="0" w:color="auto"/>
                  </w:divBdr>
                </w:div>
              </w:divsChild>
            </w:div>
            <w:div w:id="868421454">
              <w:marLeft w:val="0"/>
              <w:marRight w:val="0"/>
              <w:marTop w:val="0"/>
              <w:marBottom w:val="0"/>
              <w:divBdr>
                <w:top w:val="none" w:sz="0" w:space="0" w:color="auto"/>
                <w:left w:val="none" w:sz="0" w:space="0" w:color="auto"/>
                <w:bottom w:val="none" w:sz="0" w:space="0" w:color="auto"/>
                <w:right w:val="none" w:sz="0" w:space="0" w:color="auto"/>
              </w:divBdr>
              <w:divsChild>
                <w:div w:id="1268997982">
                  <w:marLeft w:val="0"/>
                  <w:marRight w:val="0"/>
                  <w:marTop w:val="0"/>
                  <w:marBottom w:val="0"/>
                  <w:divBdr>
                    <w:top w:val="none" w:sz="0" w:space="0" w:color="auto"/>
                    <w:left w:val="none" w:sz="0" w:space="0" w:color="auto"/>
                    <w:bottom w:val="none" w:sz="0" w:space="0" w:color="auto"/>
                    <w:right w:val="none" w:sz="0" w:space="0" w:color="auto"/>
                  </w:divBdr>
                </w:div>
              </w:divsChild>
            </w:div>
            <w:div w:id="1461345071">
              <w:marLeft w:val="0"/>
              <w:marRight w:val="0"/>
              <w:marTop w:val="0"/>
              <w:marBottom w:val="0"/>
              <w:divBdr>
                <w:top w:val="none" w:sz="0" w:space="0" w:color="auto"/>
                <w:left w:val="none" w:sz="0" w:space="0" w:color="auto"/>
                <w:bottom w:val="none" w:sz="0" w:space="0" w:color="auto"/>
                <w:right w:val="none" w:sz="0" w:space="0" w:color="auto"/>
              </w:divBdr>
              <w:divsChild>
                <w:div w:id="928319651">
                  <w:marLeft w:val="0"/>
                  <w:marRight w:val="0"/>
                  <w:marTop w:val="0"/>
                  <w:marBottom w:val="0"/>
                  <w:divBdr>
                    <w:top w:val="none" w:sz="0" w:space="0" w:color="auto"/>
                    <w:left w:val="none" w:sz="0" w:space="0" w:color="auto"/>
                    <w:bottom w:val="none" w:sz="0" w:space="0" w:color="auto"/>
                    <w:right w:val="none" w:sz="0" w:space="0" w:color="auto"/>
                  </w:divBdr>
                </w:div>
              </w:divsChild>
            </w:div>
            <w:div w:id="1767576823">
              <w:marLeft w:val="0"/>
              <w:marRight w:val="0"/>
              <w:marTop w:val="0"/>
              <w:marBottom w:val="0"/>
              <w:divBdr>
                <w:top w:val="none" w:sz="0" w:space="0" w:color="auto"/>
                <w:left w:val="none" w:sz="0" w:space="0" w:color="auto"/>
                <w:bottom w:val="none" w:sz="0" w:space="0" w:color="auto"/>
                <w:right w:val="none" w:sz="0" w:space="0" w:color="auto"/>
              </w:divBdr>
              <w:divsChild>
                <w:div w:id="1122530745">
                  <w:marLeft w:val="0"/>
                  <w:marRight w:val="0"/>
                  <w:marTop w:val="0"/>
                  <w:marBottom w:val="0"/>
                  <w:divBdr>
                    <w:top w:val="none" w:sz="0" w:space="0" w:color="auto"/>
                    <w:left w:val="none" w:sz="0" w:space="0" w:color="auto"/>
                    <w:bottom w:val="none" w:sz="0" w:space="0" w:color="auto"/>
                    <w:right w:val="none" w:sz="0" w:space="0" w:color="auto"/>
                  </w:divBdr>
                </w:div>
              </w:divsChild>
            </w:div>
            <w:div w:id="1439830352">
              <w:marLeft w:val="0"/>
              <w:marRight w:val="0"/>
              <w:marTop w:val="0"/>
              <w:marBottom w:val="0"/>
              <w:divBdr>
                <w:top w:val="none" w:sz="0" w:space="0" w:color="auto"/>
                <w:left w:val="none" w:sz="0" w:space="0" w:color="auto"/>
                <w:bottom w:val="none" w:sz="0" w:space="0" w:color="auto"/>
                <w:right w:val="none" w:sz="0" w:space="0" w:color="auto"/>
              </w:divBdr>
              <w:divsChild>
                <w:div w:id="1254515968">
                  <w:marLeft w:val="0"/>
                  <w:marRight w:val="0"/>
                  <w:marTop w:val="0"/>
                  <w:marBottom w:val="0"/>
                  <w:divBdr>
                    <w:top w:val="none" w:sz="0" w:space="0" w:color="auto"/>
                    <w:left w:val="none" w:sz="0" w:space="0" w:color="auto"/>
                    <w:bottom w:val="none" w:sz="0" w:space="0" w:color="auto"/>
                    <w:right w:val="none" w:sz="0" w:space="0" w:color="auto"/>
                  </w:divBdr>
                </w:div>
              </w:divsChild>
            </w:div>
            <w:div w:id="2118451626">
              <w:marLeft w:val="0"/>
              <w:marRight w:val="0"/>
              <w:marTop w:val="0"/>
              <w:marBottom w:val="0"/>
              <w:divBdr>
                <w:top w:val="none" w:sz="0" w:space="0" w:color="auto"/>
                <w:left w:val="none" w:sz="0" w:space="0" w:color="auto"/>
                <w:bottom w:val="none" w:sz="0" w:space="0" w:color="auto"/>
                <w:right w:val="none" w:sz="0" w:space="0" w:color="auto"/>
              </w:divBdr>
              <w:divsChild>
                <w:div w:id="979380333">
                  <w:marLeft w:val="0"/>
                  <w:marRight w:val="0"/>
                  <w:marTop w:val="0"/>
                  <w:marBottom w:val="0"/>
                  <w:divBdr>
                    <w:top w:val="none" w:sz="0" w:space="0" w:color="auto"/>
                    <w:left w:val="none" w:sz="0" w:space="0" w:color="auto"/>
                    <w:bottom w:val="none" w:sz="0" w:space="0" w:color="auto"/>
                    <w:right w:val="none" w:sz="0" w:space="0" w:color="auto"/>
                  </w:divBdr>
                </w:div>
              </w:divsChild>
            </w:div>
            <w:div w:id="1308704586">
              <w:marLeft w:val="0"/>
              <w:marRight w:val="0"/>
              <w:marTop w:val="0"/>
              <w:marBottom w:val="0"/>
              <w:divBdr>
                <w:top w:val="none" w:sz="0" w:space="0" w:color="auto"/>
                <w:left w:val="none" w:sz="0" w:space="0" w:color="auto"/>
                <w:bottom w:val="none" w:sz="0" w:space="0" w:color="auto"/>
                <w:right w:val="none" w:sz="0" w:space="0" w:color="auto"/>
              </w:divBdr>
              <w:divsChild>
                <w:div w:id="1408527426">
                  <w:marLeft w:val="0"/>
                  <w:marRight w:val="0"/>
                  <w:marTop w:val="0"/>
                  <w:marBottom w:val="0"/>
                  <w:divBdr>
                    <w:top w:val="none" w:sz="0" w:space="0" w:color="auto"/>
                    <w:left w:val="none" w:sz="0" w:space="0" w:color="auto"/>
                    <w:bottom w:val="none" w:sz="0" w:space="0" w:color="auto"/>
                    <w:right w:val="none" w:sz="0" w:space="0" w:color="auto"/>
                  </w:divBdr>
                </w:div>
              </w:divsChild>
            </w:div>
            <w:div w:id="602494056">
              <w:marLeft w:val="0"/>
              <w:marRight w:val="0"/>
              <w:marTop w:val="0"/>
              <w:marBottom w:val="0"/>
              <w:divBdr>
                <w:top w:val="none" w:sz="0" w:space="0" w:color="auto"/>
                <w:left w:val="none" w:sz="0" w:space="0" w:color="auto"/>
                <w:bottom w:val="none" w:sz="0" w:space="0" w:color="auto"/>
                <w:right w:val="none" w:sz="0" w:space="0" w:color="auto"/>
              </w:divBdr>
              <w:divsChild>
                <w:div w:id="2280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0445">
          <w:marLeft w:val="0"/>
          <w:marRight w:val="0"/>
          <w:marTop w:val="0"/>
          <w:marBottom w:val="600"/>
          <w:divBdr>
            <w:top w:val="none" w:sz="0" w:space="0" w:color="auto"/>
            <w:left w:val="none" w:sz="0" w:space="0" w:color="auto"/>
            <w:bottom w:val="none" w:sz="0" w:space="0" w:color="auto"/>
            <w:right w:val="none" w:sz="0" w:space="0" w:color="auto"/>
          </w:divBdr>
        </w:div>
      </w:divsChild>
    </w:div>
    <w:div w:id="713309767">
      <w:marLeft w:val="0"/>
      <w:marRight w:val="0"/>
      <w:marTop w:val="0"/>
      <w:marBottom w:val="0"/>
      <w:divBdr>
        <w:top w:val="none" w:sz="0" w:space="0" w:color="auto"/>
        <w:left w:val="none" w:sz="0" w:space="0" w:color="auto"/>
        <w:bottom w:val="none" w:sz="0" w:space="0" w:color="auto"/>
        <w:right w:val="none" w:sz="0" w:space="0" w:color="auto"/>
      </w:divBdr>
      <w:divsChild>
        <w:div w:id="394744492">
          <w:marLeft w:val="0"/>
          <w:marRight w:val="0"/>
          <w:marTop w:val="547"/>
          <w:marBottom w:val="0"/>
          <w:divBdr>
            <w:top w:val="none" w:sz="0" w:space="0" w:color="auto"/>
            <w:left w:val="none" w:sz="0" w:space="0" w:color="auto"/>
            <w:bottom w:val="none" w:sz="0" w:space="0" w:color="auto"/>
            <w:right w:val="none" w:sz="0" w:space="0" w:color="auto"/>
          </w:divBdr>
        </w:div>
        <w:div w:id="278148129">
          <w:marLeft w:val="0"/>
          <w:marRight w:val="0"/>
          <w:marTop w:val="0"/>
          <w:marBottom w:val="0"/>
          <w:divBdr>
            <w:top w:val="none" w:sz="0" w:space="0" w:color="auto"/>
            <w:left w:val="none" w:sz="0" w:space="0" w:color="auto"/>
            <w:bottom w:val="none" w:sz="0" w:space="0" w:color="auto"/>
            <w:right w:val="none" w:sz="0" w:space="0" w:color="auto"/>
          </w:divBdr>
          <w:divsChild>
            <w:div w:id="689644579">
              <w:marLeft w:val="0"/>
              <w:marRight w:val="0"/>
              <w:marTop w:val="0"/>
              <w:marBottom w:val="0"/>
              <w:divBdr>
                <w:top w:val="none" w:sz="0" w:space="0" w:color="auto"/>
                <w:left w:val="none" w:sz="0" w:space="0" w:color="auto"/>
                <w:bottom w:val="none" w:sz="0" w:space="0" w:color="auto"/>
                <w:right w:val="none" w:sz="0" w:space="0" w:color="auto"/>
              </w:divBdr>
              <w:divsChild>
                <w:div w:id="699668066">
                  <w:marLeft w:val="0"/>
                  <w:marRight w:val="0"/>
                  <w:marTop w:val="0"/>
                  <w:marBottom w:val="0"/>
                  <w:divBdr>
                    <w:top w:val="none" w:sz="0" w:space="0" w:color="auto"/>
                    <w:left w:val="none" w:sz="0" w:space="0" w:color="auto"/>
                    <w:bottom w:val="none" w:sz="0" w:space="0" w:color="auto"/>
                    <w:right w:val="none" w:sz="0" w:space="0" w:color="auto"/>
                  </w:divBdr>
                </w:div>
              </w:divsChild>
            </w:div>
            <w:div w:id="175003662">
              <w:marLeft w:val="0"/>
              <w:marRight w:val="0"/>
              <w:marTop w:val="0"/>
              <w:marBottom w:val="0"/>
              <w:divBdr>
                <w:top w:val="none" w:sz="0" w:space="0" w:color="auto"/>
                <w:left w:val="none" w:sz="0" w:space="0" w:color="auto"/>
                <w:bottom w:val="none" w:sz="0" w:space="0" w:color="auto"/>
                <w:right w:val="none" w:sz="0" w:space="0" w:color="auto"/>
              </w:divBdr>
              <w:divsChild>
                <w:div w:id="17023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7769">
          <w:marLeft w:val="0"/>
          <w:marRight w:val="0"/>
          <w:marTop w:val="0"/>
          <w:marBottom w:val="600"/>
          <w:divBdr>
            <w:top w:val="none" w:sz="0" w:space="0" w:color="auto"/>
            <w:left w:val="none" w:sz="0" w:space="0" w:color="auto"/>
            <w:bottom w:val="none" w:sz="0" w:space="0" w:color="auto"/>
            <w:right w:val="none" w:sz="0" w:space="0" w:color="auto"/>
          </w:divBdr>
        </w:div>
      </w:divsChild>
    </w:div>
    <w:div w:id="723941714">
      <w:marLeft w:val="0"/>
      <w:marRight w:val="0"/>
      <w:marTop w:val="0"/>
      <w:marBottom w:val="0"/>
      <w:divBdr>
        <w:top w:val="none" w:sz="0" w:space="0" w:color="auto"/>
        <w:left w:val="none" w:sz="0" w:space="0" w:color="auto"/>
        <w:bottom w:val="none" w:sz="0" w:space="0" w:color="auto"/>
        <w:right w:val="none" w:sz="0" w:space="0" w:color="auto"/>
      </w:divBdr>
      <w:divsChild>
        <w:div w:id="926839156">
          <w:marLeft w:val="0"/>
          <w:marRight w:val="0"/>
          <w:marTop w:val="547"/>
          <w:marBottom w:val="0"/>
          <w:divBdr>
            <w:top w:val="none" w:sz="0" w:space="0" w:color="auto"/>
            <w:left w:val="none" w:sz="0" w:space="0" w:color="auto"/>
            <w:bottom w:val="none" w:sz="0" w:space="0" w:color="auto"/>
            <w:right w:val="none" w:sz="0" w:space="0" w:color="auto"/>
          </w:divBdr>
        </w:div>
        <w:div w:id="2142065452">
          <w:marLeft w:val="0"/>
          <w:marRight w:val="0"/>
          <w:marTop w:val="0"/>
          <w:marBottom w:val="0"/>
          <w:divBdr>
            <w:top w:val="none" w:sz="0" w:space="0" w:color="auto"/>
            <w:left w:val="none" w:sz="0" w:space="0" w:color="auto"/>
            <w:bottom w:val="none" w:sz="0" w:space="0" w:color="auto"/>
            <w:right w:val="none" w:sz="0" w:space="0" w:color="auto"/>
          </w:divBdr>
          <w:divsChild>
            <w:div w:id="1577091059">
              <w:marLeft w:val="0"/>
              <w:marRight w:val="0"/>
              <w:marTop w:val="0"/>
              <w:marBottom w:val="0"/>
              <w:divBdr>
                <w:top w:val="none" w:sz="0" w:space="0" w:color="auto"/>
                <w:left w:val="none" w:sz="0" w:space="0" w:color="auto"/>
                <w:bottom w:val="none" w:sz="0" w:space="0" w:color="auto"/>
                <w:right w:val="none" w:sz="0" w:space="0" w:color="auto"/>
              </w:divBdr>
              <w:divsChild>
                <w:div w:id="257174894">
                  <w:marLeft w:val="0"/>
                  <w:marRight w:val="0"/>
                  <w:marTop w:val="0"/>
                  <w:marBottom w:val="0"/>
                  <w:divBdr>
                    <w:top w:val="none" w:sz="0" w:space="0" w:color="auto"/>
                    <w:left w:val="none" w:sz="0" w:space="0" w:color="auto"/>
                    <w:bottom w:val="none" w:sz="0" w:space="0" w:color="auto"/>
                    <w:right w:val="none" w:sz="0" w:space="0" w:color="auto"/>
                  </w:divBdr>
                </w:div>
              </w:divsChild>
            </w:div>
            <w:div w:id="761993922">
              <w:marLeft w:val="0"/>
              <w:marRight w:val="0"/>
              <w:marTop w:val="0"/>
              <w:marBottom w:val="0"/>
              <w:divBdr>
                <w:top w:val="none" w:sz="0" w:space="0" w:color="auto"/>
                <w:left w:val="none" w:sz="0" w:space="0" w:color="auto"/>
                <w:bottom w:val="none" w:sz="0" w:space="0" w:color="auto"/>
                <w:right w:val="none" w:sz="0" w:space="0" w:color="auto"/>
              </w:divBdr>
              <w:divsChild>
                <w:div w:id="980577165">
                  <w:marLeft w:val="0"/>
                  <w:marRight w:val="0"/>
                  <w:marTop w:val="0"/>
                  <w:marBottom w:val="0"/>
                  <w:divBdr>
                    <w:top w:val="none" w:sz="0" w:space="0" w:color="auto"/>
                    <w:left w:val="none" w:sz="0" w:space="0" w:color="auto"/>
                    <w:bottom w:val="none" w:sz="0" w:space="0" w:color="auto"/>
                    <w:right w:val="none" w:sz="0" w:space="0" w:color="auto"/>
                  </w:divBdr>
                </w:div>
              </w:divsChild>
            </w:div>
            <w:div w:id="381099675">
              <w:marLeft w:val="0"/>
              <w:marRight w:val="0"/>
              <w:marTop w:val="0"/>
              <w:marBottom w:val="0"/>
              <w:divBdr>
                <w:top w:val="none" w:sz="0" w:space="0" w:color="auto"/>
                <w:left w:val="none" w:sz="0" w:space="0" w:color="auto"/>
                <w:bottom w:val="none" w:sz="0" w:space="0" w:color="auto"/>
                <w:right w:val="none" w:sz="0" w:space="0" w:color="auto"/>
              </w:divBdr>
              <w:divsChild>
                <w:div w:id="302348971">
                  <w:marLeft w:val="0"/>
                  <w:marRight w:val="0"/>
                  <w:marTop w:val="0"/>
                  <w:marBottom w:val="0"/>
                  <w:divBdr>
                    <w:top w:val="none" w:sz="0" w:space="0" w:color="auto"/>
                    <w:left w:val="none" w:sz="0" w:space="0" w:color="auto"/>
                    <w:bottom w:val="none" w:sz="0" w:space="0" w:color="auto"/>
                    <w:right w:val="none" w:sz="0" w:space="0" w:color="auto"/>
                  </w:divBdr>
                </w:div>
              </w:divsChild>
            </w:div>
            <w:div w:id="1551458015">
              <w:marLeft w:val="0"/>
              <w:marRight w:val="0"/>
              <w:marTop w:val="0"/>
              <w:marBottom w:val="0"/>
              <w:divBdr>
                <w:top w:val="none" w:sz="0" w:space="0" w:color="auto"/>
                <w:left w:val="none" w:sz="0" w:space="0" w:color="auto"/>
                <w:bottom w:val="none" w:sz="0" w:space="0" w:color="auto"/>
                <w:right w:val="none" w:sz="0" w:space="0" w:color="auto"/>
              </w:divBdr>
              <w:divsChild>
                <w:div w:id="8370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6438">
          <w:marLeft w:val="0"/>
          <w:marRight w:val="0"/>
          <w:marTop w:val="0"/>
          <w:marBottom w:val="600"/>
          <w:divBdr>
            <w:top w:val="none" w:sz="0" w:space="0" w:color="auto"/>
            <w:left w:val="none" w:sz="0" w:space="0" w:color="auto"/>
            <w:bottom w:val="none" w:sz="0" w:space="0" w:color="auto"/>
            <w:right w:val="none" w:sz="0" w:space="0" w:color="auto"/>
          </w:divBdr>
        </w:div>
      </w:divsChild>
    </w:div>
    <w:div w:id="746804920">
      <w:marLeft w:val="0"/>
      <w:marRight w:val="0"/>
      <w:marTop w:val="0"/>
      <w:marBottom w:val="0"/>
      <w:divBdr>
        <w:top w:val="none" w:sz="0" w:space="0" w:color="auto"/>
        <w:left w:val="none" w:sz="0" w:space="0" w:color="auto"/>
        <w:bottom w:val="none" w:sz="0" w:space="0" w:color="auto"/>
        <w:right w:val="none" w:sz="0" w:space="0" w:color="auto"/>
      </w:divBdr>
      <w:divsChild>
        <w:div w:id="829492152">
          <w:marLeft w:val="0"/>
          <w:marRight w:val="0"/>
          <w:marTop w:val="547"/>
          <w:marBottom w:val="0"/>
          <w:divBdr>
            <w:top w:val="none" w:sz="0" w:space="0" w:color="auto"/>
            <w:left w:val="none" w:sz="0" w:space="0" w:color="auto"/>
            <w:bottom w:val="none" w:sz="0" w:space="0" w:color="auto"/>
            <w:right w:val="none" w:sz="0" w:space="0" w:color="auto"/>
          </w:divBdr>
        </w:div>
        <w:div w:id="692658243">
          <w:marLeft w:val="0"/>
          <w:marRight w:val="0"/>
          <w:marTop w:val="0"/>
          <w:marBottom w:val="0"/>
          <w:divBdr>
            <w:top w:val="none" w:sz="0" w:space="0" w:color="auto"/>
            <w:left w:val="none" w:sz="0" w:space="0" w:color="auto"/>
            <w:bottom w:val="none" w:sz="0" w:space="0" w:color="auto"/>
            <w:right w:val="none" w:sz="0" w:space="0" w:color="auto"/>
          </w:divBdr>
        </w:div>
        <w:div w:id="1187869024">
          <w:marLeft w:val="0"/>
          <w:marRight w:val="0"/>
          <w:marTop w:val="0"/>
          <w:marBottom w:val="600"/>
          <w:divBdr>
            <w:top w:val="none" w:sz="0" w:space="0" w:color="auto"/>
            <w:left w:val="none" w:sz="0" w:space="0" w:color="auto"/>
            <w:bottom w:val="none" w:sz="0" w:space="0" w:color="auto"/>
            <w:right w:val="none" w:sz="0" w:space="0" w:color="auto"/>
          </w:divBdr>
        </w:div>
      </w:divsChild>
    </w:div>
    <w:div w:id="768233303">
      <w:marLeft w:val="0"/>
      <w:marRight w:val="0"/>
      <w:marTop w:val="0"/>
      <w:marBottom w:val="0"/>
      <w:divBdr>
        <w:top w:val="none" w:sz="0" w:space="0" w:color="auto"/>
        <w:left w:val="none" w:sz="0" w:space="0" w:color="auto"/>
        <w:bottom w:val="none" w:sz="0" w:space="0" w:color="auto"/>
        <w:right w:val="none" w:sz="0" w:space="0" w:color="auto"/>
      </w:divBdr>
      <w:divsChild>
        <w:div w:id="1496413657">
          <w:marLeft w:val="0"/>
          <w:marRight w:val="0"/>
          <w:marTop w:val="547"/>
          <w:marBottom w:val="0"/>
          <w:divBdr>
            <w:top w:val="none" w:sz="0" w:space="0" w:color="auto"/>
            <w:left w:val="none" w:sz="0" w:space="0" w:color="auto"/>
            <w:bottom w:val="none" w:sz="0" w:space="0" w:color="auto"/>
            <w:right w:val="none" w:sz="0" w:space="0" w:color="auto"/>
          </w:divBdr>
        </w:div>
        <w:div w:id="1015378708">
          <w:marLeft w:val="0"/>
          <w:marRight w:val="0"/>
          <w:marTop w:val="0"/>
          <w:marBottom w:val="0"/>
          <w:divBdr>
            <w:top w:val="none" w:sz="0" w:space="0" w:color="auto"/>
            <w:left w:val="none" w:sz="0" w:space="0" w:color="auto"/>
            <w:bottom w:val="none" w:sz="0" w:space="0" w:color="auto"/>
            <w:right w:val="none" w:sz="0" w:space="0" w:color="auto"/>
          </w:divBdr>
        </w:div>
        <w:div w:id="1944649909">
          <w:marLeft w:val="0"/>
          <w:marRight w:val="0"/>
          <w:marTop w:val="0"/>
          <w:marBottom w:val="600"/>
          <w:divBdr>
            <w:top w:val="none" w:sz="0" w:space="0" w:color="auto"/>
            <w:left w:val="none" w:sz="0" w:space="0" w:color="auto"/>
            <w:bottom w:val="none" w:sz="0" w:space="0" w:color="auto"/>
            <w:right w:val="none" w:sz="0" w:space="0" w:color="auto"/>
          </w:divBdr>
        </w:div>
      </w:divsChild>
    </w:div>
    <w:div w:id="794369652">
      <w:marLeft w:val="0"/>
      <w:marRight w:val="0"/>
      <w:marTop w:val="0"/>
      <w:marBottom w:val="0"/>
      <w:divBdr>
        <w:top w:val="none" w:sz="0" w:space="0" w:color="auto"/>
        <w:left w:val="none" w:sz="0" w:space="0" w:color="auto"/>
        <w:bottom w:val="none" w:sz="0" w:space="0" w:color="auto"/>
        <w:right w:val="none" w:sz="0" w:space="0" w:color="auto"/>
      </w:divBdr>
      <w:divsChild>
        <w:div w:id="171338660">
          <w:marLeft w:val="0"/>
          <w:marRight w:val="0"/>
          <w:marTop w:val="547"/>
          <w:marBottom w:val="0"/>
          <w:divBdr>
            <w:top w:val="none" w:sz="0" w:space="0" w:color="auto"/>
            <w:left w:val="none" w:sz="0" w:space="0" w:color="auto"/>
            <w:bottom w:val="none" w:sz="0" w:space="0" w:color="auto"/>
            <w:right w:val="none" w:sz="0" w:space="0" w:color="auto"/>
          </w:divBdr>
        </w:div>
        <w:div w:id="116684911">
          <w:marLeft w:val="0"/>
          <w:marRight w:val="0"/>
          <w:marTop w:val="0"/>
          <w:marBottom w:val="0"/>
          <w:divBdr>
            <w:top w:val="none" w:sz="0" w:space="0" w:color="auto"/>
            <w:left w:val="none" w:sz="0" w:space="0" w:color="auto"/>
            <w:bottom w:val="none" w:sz="0" w:space="0" w:color="auto"/>
            <w:right w:val="none" w:sz="0" w:space="0" w:color="auto"/>
          </w:divBdr>
        </w:div>
        <w:div w:id="1892879612">
          <w:marLeft w:val="0"/>
          <w:marRight w:val="0"/>
          <w:marTop w:val="0"/>
          <w:marBottom w:val="600"/>
          <w:divBdr>
            <w:top w:val="none" w:sz="0" w:space="0" w:color="auto"/>
            <w:left w:val="none" w:sz="0" w:space="0" w:color="auto"/>
            <w:bottom w:val="none" w:sz="0" w:space="0" w:color="auto"/>
            <w:right w:val="none" w:sz="0" w:space="0" w:color="auto"/>
          </w:divBdr>
        </w:div>
      </w:divsChild>
    </w:div>
    <w:div w:id="857308630">
      <w:marLeft w:val="0"/>
      <w:marRight w:val="0"/>
      <w:marTop w:val="0"/>
      <w:marBottom w:val="0"/>
      <w:divBdr>
        <w:top w:val="none" w:sz="0" w:space="0" w:color="auto"/>
        <w:left w:val="none" w:sz="0" w:space="0" w:color="auto"/>
        <w:bottom w:val="none" w:sz="0" w:space="0" w:color="auto"/>
        <w:right w:val="none" w:sz="0" w:space="0" w:color="auto"/>
      </w:divBdr>
      <w:divsChild>
        <w:div w:id="1757241198">
          <w:marLeft w:val="0"/>
          <w:marRight w:val="0"/>
          <w:marTop w:val="547"/>
          <w:marBottom w:val="0"/>
          <w:divBdr>
            <w:top w:val="none" w:sz="0" w:space="0" w:color="auto"/>
            <w:left w:val="none" w:sz="0" w:space="0" w:color="auto"/>
            <w:bottom w:val="none" w:sz="0" w:space="0" w:color="auto"/>
            <w:right w:val="none" w:sz="0" w:space="0" w:color="auto"/>
          </w:divBdr>
        </w:div>
        <w:div w:id="803890514">
          <w:marLeft w:val="0"/>
          <w:marRight w:val="0"/>
          <w:marTop w:val="0"/>
          <w:marBottom w:val="0"/>
          <w:divBdr>
            <w:top w:val="none" w:sz="0" w:space="0" w:color="auto"/>
            <w:left w:val="none" w:sz="0" w:space="0" w:color="auto"/>
            <w:bottom w:val="none" w:sz="0" w:space="0" w:color="auto"/>
            <w:right w:val="none" w:sz="0" w:space="0" w:color="auto"/>
          </w:divBdr>
        </w:div>
        <w:div w:id="276759954">
          <w:marLeft w:val="0"/>
          <w:marRight w:val="0"/>
          <w:marTop w:val="0"/>
          <w:marBottom w:val="600"/>
          <w:divBdr>
            <w:top w:val="none" w:sz="0" w:space="0" w:color="auto"/>
            <w:left w:val="none" w:sz="0" w:space="0" w:color="auto"/>
            <w:bottom w:val="none" w:sz="0" w:space="0" w:color="auto"/>
            <w:right w:val="none" w:sz="0" w:space="0" w:color="auto"/>
          </w:divBdr>
        </w:div>
      </w:divsChild>
    </w:div>
    <w:div w:id="910886636">
      <w:marLeft w:val="0"/>
      <w:marRight w:val="0"/>
      <w:marTop w:val="0"/>
      <w:marBottom w:val="0"/>
      <w:divBdr>
        <w:top w:val="none" w:sz="0" w:space="0" w:color="auto"/>
        <w:left w:val="none" w:sz="0" w:space="0" w:color="auto"/>
        <w:bottom w:val="none" w:sz="0" w:space="0" w:color="auto"/>
        <w:right w:val="none" w:sz="0" w:space="0" w:color="auto"/>
      </w:divBdr>
      <w:divsChild>
        <w:div w:id="2010937337">
          <w:marLeft w:val="0"/>
          <w:marRight w:val="0"/>
          <w:marTop w:val="547"/>
          <w:marBottom w:val="0"/>
          <w:divBdr>
            <w:top w:val="none" w:sz="0" w:space="0" w:color="auto"/>
            <w:left w:val="none" w:sz="0" w:space="0" w:color="auto"/>
            <w:bottom w:val="none" w:sz="0" w:space="0" w:color="auto"/>
            <w:right w:val="none" w:sz="0" w:space="0" w:color="auto"/>
          </w:divBdr>
        </w:div>
        <w:div w:id="850531519">
          <w:marLeft w:val="0"/>
          <w:marRight w:val="0"/>
          <w:marTop w:val="0"/>
          <w:marBottom w:val="0"/>
          <w:divBdr>
            <w:top w:val="none" w:sz="0" w:space="0" w:color="auto"/>
            <w:left w:val="none" w:sz="0" w:space="0" w:color="auto"/>
            <w:bottom w:val="none" w:sz="0" w:space="0" w:color="auto"/>
            <w:right w:val="none" w:sz="0" w:space="0" w:color="auto"/>
          </w:divBdr>
        </w:div>
        <w:div w:id="1594626728">
          <w:marLeft w:val="0"/>
          <w:marRight w:val="0"/>
          <w:marTop w:val="0"/>
          <w:marBottom w:val="600"/>
          <w:divBdr>
            <w:top w:val="none" w:sz="0" w:space="0" w:color="auto"/>
            <w:left w:val="none" w:sz="0" w:space="0" w:color="auto"/>
            <w:bottom w:val="none" w:sz="0" w:space="0" w:color="auto"/>
            <w:right w:val="none" w:sz="0" w:space="0" w:color="auto"/>
          </w:divBdr>
        </w:div>
      </w:divsChild>
    </w:div>
    <w:div w:id="931620789">
      <w:marLeft w:val="0"/>
      <w:marRight w:val="0"/>
      <w:marTop w:val="0"/>
      <w:marBottom w:val="0"/>
      <w:divBdr>
        <w:top w:val="none" w:sz="0" w:space="0" w:color="auto"/>
        <w:left w:val="none" w:sz="0" w:space="0" w:color="auto"/>
        <w:bottom w:val="none" w:sz="0" w:space="0" w:color="auto"/>
        <w:right w:val="none" w:sz="0" w:space="0" w:color="auto"/>
      </w:divBdr>
      <w:divsChild>
        <w:div w:id="342243552">
          <w:marLeft w:val="0"/>
          <w:marRight w:val="0"/>
          <w:marTop w:val="547"/>
          <w:marBottom w:val="0"/>
          <w:divBdr>
            <w:top w:val="none" w:sz="0" w:space="0" w:color="auto"/>
            <w:left w:val="none" w:sz="0" w:space="0" w:color="auto"/>
            <w:bottom w:val="none" w:sz="0" w:space="0" w:color="auto"/>
            <w:right w:val="none" w:sz="0" w:space="0" w:color="auto"/>
          </w:divBdr>
        </w:div>
        <w:div w:id="166557075">
          <w:marLeft w:val="0"/>
          <w:marRight w:val="0"/>
          <w:marTop w:val="0"/>
          <w:marBottom w:val="0"/>
          <w:divBdr>
            <w:top w:val="none" w:sz="0" w:space="0" w:color="auto"/>
            <w:left w:val="none" w:sz="0" w:space="0" w:color="auto"/>
            <w:bottom w:val="none" w:sz="0" w:space="0" w:color="auto"/>
            <w:right w:val="none" w:sz="0" w:space="0" w:color="auto"/>
          </w:divBdr>
        </w:div>
        <w:div w:id="806623458">
          <w:marLeft w:val="0"/>
          <w:marRight w:val="0"/>
          <w:marTop w:val="0"/>
          <w:marBottom w:val="600"/>
          <w:divBdr>
            <w:top w:val="none" w:sz="0" w:space="0" w:color="auto"/>
            <w:left w:val="none" w:sz="0" w:space="0" w:color="auto"/>
            <w:bottom w:val="none" w:sz="0" w:space="0" w:color="auto"/>
            <w:right w:val="none" w:sz="0" w:space="0" w:color="auto"/>
          </w:divBdr>
        </w:div>
      </w:divsChild>
    </w:div>
    <w:div w:id="952513641">
      <w:marLeft w:val="0"/>
      <w:marRight w:val="0"/>
      <w:marTop w:val="0"/>
      <w:marBottom w:val="0"/>
      <w:divBdr>
        <w:top w:val="none" w:sz="0" w:space="0" w:color="auto"/>
        <w:left w:val="none" w:sz="0" w:space="0" w:color="auto"/>
        <w:bottom w:val="none" w:sz="0" w:space="0" w:color="auto"/>
        <w:right w:val="none" w:sz="0" w:space="0" w:color="auto"/>
      </w:divBdr>
      <w:divsChild>
        <w:div w:id="1842700209">
          <w:marLeft w:val="0"/>
          <w:marRight w:val="0"/>
          <w:marTop w:val="547"/>
          <w:marBottom w:val="0"/>
          <w:divBdr>
            <w:top w:val="none" w:sz="0" w:space="0" w:color="auto"/>
            <w:left w:val="none" w:sz="0" w:space="0" w:color="auto"/>
            <w:bottom w:val="none" w:sz="0" w:space="0" w:color="auto"/>
            <w:right w:val="none" w:sz="0" w:space="0" w:color="auto"/>
          </w:divBdr>
        </w:div>
        <w:div w:id="166481709">
          <w:marLeft w:val="0"/>
          <w:marRight w:val="0"/>
          <w:marTop w:val="0"/>
          <w:marBottom w:val="0"/>
          <w:divBdr>
            <w:top w:val="none" w:sz="0" w:space="0" w:color="auto"/>
            <w:left w:val="none" w:sz="0" w:space="0" w:color="auto"/>
            <w:bottom w:val="none" w:sz="0" w:space="0" w:color="auto"/>
            <w:right w:val="none" w:sz="0" w:space="0" w:color="auto"/>
          </w:divBdr>
          <w:divsChild>
            <w:div w:id="1311520425">
              <w:marLeft w:val="0"/>
              <w:marRight w:val="0"/>
              <w:marTop w:val="0"/>
              <w:marBottom w:val="0"/>
              <w:divBdr>
                <w:top w:val="none" w:sz="0" w:space="0" w:color="auto"/>
                <w:left w:val="none" w:sz="0" w:space="0" w:color="auto"/>
                <w:bottom w:val="none" w:sz="0" w:space="0" w:color="auto"/>
                <w:right w:val="none" w:sz="0" w:space="0" w:color="auto"/>
              </w:divBdr>
              <w:divsChild>
                <w:div w:id="778333324">
                  <w:marLeft w:val="0"/>
                  <w:marRight w:val="0"/>
                  <w:marTop w:val="0"/>
                  <w:marBottom w:val="0"/>
                  <w:divBdr>
                    <w:top w:val="none" w:sz="0" w:space="0" w:color="auto"/>
                    <w:left w:val="none" w:sz="0" w:space="0" w:color="auto"/>
                    <w:bottom w:val="none" w:sz="0" w:space="0" w:color="auto"/>
                    <w:right w:val="none" w:sz="0" w:space="0" w:color="auto"/>
                  </w:divBdr>
                </w:div>
              </w:divsChild>
            </w:div>
            <w:div w:id="41171565">
              <w:marLeft w:val="0"/>
              <w:marRight w:val="0"/>
              <w:marTop w:val="0"/>
              <w:marBottom w:val="0"/>
              <w:divBdr>
                <w:top w:val="none" w:sz="0" w:space="0" w:color="auto"/>
                <w:left w:val="none" w:sz="0" w:space="0" w:color="auto"/>
                <w:bottom w:val="none" w:sz="0" w:space="0" w:color="auto"/>
                <w:right w:val="none" w:sz="0" w:space="0" w:color="auto"/>
              </w:divBdr>
              <w:divsChild>
                <w:div w:id="2091076566">
                  <w:marLeft w:val="0"/>
                  <w:marRight w:val="0"/>
                  <w:marTop w:val="0"/>
                  <w:marBottom w:val="0"/>
                  <w:divBdr>
                    <w:top w:val="none" w:sz="0" w:space="0" w:color="auto"/>
                    <w:left w:val="none" w:sz="0" w:space="0" w:color="auto"/>
                    <w:bottom w:val="none" w:sz="0" w:space="0" w:color="auto"/>
                    <w:right w:val="none" w:sz="0" w:space="0" w:color="auto"/>
                  </w:divBdr>
                </w:div>
              </w:divsChild>
            </w:div>
            <w:div w:id="1105730957">
              <w:marLeft w:val="0"/>
              <w:marRight w:val="0"/>
              <w:marTop w:val="0"/>
              <w:marBottom w:val="0"/>
              <w:divBdr>
                <w:top w:val="none" w:sz="0" w:space="0" w:color="auto"/>
                <w:left w:val="none" w:sz="0" w:space="0" w:color="auto"/>
                <w:bottom w:val="none" w:sz="0" w:space="0" w:color="auto"/>
                <w:right w:val="none" w:sz="0" w:space="0" w:color="auto"/>
              </w:divBdr>
              <w:divsChild>
                <w:div w:id="24210828">
                  <w:marLeft w:val="0"/>
                  <w:marRight w:val="0"/>
                  <w:marTop w:val="0"/>
                  <w:marBottom w:val="0"/>
                  <w:divBdr>
                    <w:top w:val="none" w:sz="0" w:space="0" w:color="auto"/>
                    <w:left w:val="none" w:sz="0" w:space="0" w:color="auto"/>
                    <w:bottom w:val="none" w:sz="0" w:space="0" w:color="auto"/>
                    <w:right w:val="none" w:sz="0" w:space="0" w:color="auto"/>
                  </w:divBdr>
                </w:div>
              </w:divsChild>
            </w:div>
            <w:div w:id="499391605">
              <w:marLeft w:val="0"/>
              <w:marRight w:val="0"/>
              <w:marTop w:val="0"/>
              <w:marBottom w:val="0"/>
              <w:divBdr>
                <w:top w:val="none" w:sz="0" w:space="0" w:color="auto"/>
                <w:left w:val="none" w:sz="0" w:space="0" w:color="auto"/>
                <w:bottom w:val="none" w:sz="0" w:space="0" w:color="auto"/>
                <w:right w:val="none" w:sz="0" w:space="0" w:color="auto"/>
              </w:divBdr>
              <w:divsChild>
                <w:div w:id="694498825">
                  <w:marLeft w:val="0"/>
                  <w:marRight w:val="0"/>
                  <w:marTop w:val="0"/>
                  <w:marBottom w:val="0"/>
                  <w:divBdr>
                    <w:top w:val="none" w:sz="0" w:space="0" w:color="auto"/>
                    <w:left w:val="none" w:sz="0" w:space="0" w:color="auto"/>
                    <w:bottom w:val="none" w:sz="0" w:space="0" w:color="auto"/>
                    <w:right w:val="none" w:sz="0" w:space="0" w:color="auto"/>
                  </w:divBdr>
                </w:div>
              </w:divsChild>
            </w:div>
            <w:div w:id="92478542">
              <w:marLeft w:val="0"/>
              <w:marRight w:val="0"/>
              <w:marTop w:val="0"/>
              <w:marBottom w:val="0"/>
              <w:divBdr>
                <w:top w:val="none" w:sz="0" w:space="0" w:color="auto"/>
                <w:left w:val="none" w:sz="0" w:space="0" w:color="auto"/>
                <w:bottom w:val="none" w:sz="0" w:space="0" w:color="auto"/>
                <w:right w:val="none" w:sz="0" w:space="0" w:color="auto"/>
              </w:divBdr>
              <w:divsChild>
                <w:div w:id="1455442836">
                  <w:marLeft w:val="0"/>
                  <w:marRight w:val="0"/>
                  <w:marTop w:val="0"/>
                  <w:marBottom w:val="0"/>
                  <w:divBdr>
                    <w:top w:val="none" w:sz="0" w:space="0" w:color="auto"/>
                    <w:left w:val="none" w:sz="0" w:space="0" w:color="auto"/>
                    <w:bottom w:val="none" w:sz="0" w:space="0" w:color="auto"/>
                    <w:right w:val="none" w:sz="0" w:space="0" w:color="auto"/>
                  </w:divBdr>
                </w:div>
              </w:divsChild>
            </w:div>
            <w:div w:id="1786803191">
              <w:marLeft w:val="0"/>
              <w:marRight w:val="0"/>
              <w:marTop w:val="0"/>
              <w:marBottom w:val="0"/>
              <w:divBdr>
                <w:top w:val="none" w:sz="0" w:space="0" w:color="auto"/>
                <w:left w:val="none" w:sz="0" w:space="0" w:color="auto"/>
                <w:bottom w:val="none" w:sz="0" w:space="0" w:color="auto"/>
                <w:right w:val="none" w:sz="0" w:space="0" w:color="auto"/>
              </w:divBdr>
              <w:divsChild>
                <w:div w:id="1787578863">
                  <w:marLeft w:val="0"/>
                  <w:marRight w:val="0"/>
                  <w:marTop w:val="0"/>
                  <w:marBottom w:val="0"/>
                  <w:divBdr>
                    <w:top w:val="none" w:sz="0" w:space="0" w:color="auto"/>
                    <w:left w:val="none" w:sz="0" w:space="0" w:color="auto"/>
                    <w:bottom w:val="none" w:sz="0" w:space="0" w:color="auto"/>
                    <w:right w:val="none" w:sz="0" w:space="0" w:color="auto"/>
                  </w:divBdr>
                </w:div>
              </w:divsChild>
            </w:div>
            <w:div w:id="2036149423">
              <w:marLeft w:val="0"/>
              <w:marRight w:val="0"/>
              <w:marTop w:val="0"/>
              <w:marBottom w:val="0"/>
              <w:divBdr>
                <w:top w:val="none" w:sz="0" w:space="0" w:color="auto"/>
                <w:left w:val="none" w:sz="0" w:space="0" w:color="auto"/>
                <w:bottom w:val="none" w:sz="0" w:space="0" w:color="auto"/>
                <w:right w:val="none" w:sz="0" w:space="0" w:color="auto"/>
              </w:divBdr>
              <w:divsChild>
                <w:div w:id="2025400866">
                  <w:marLeft w:val="0"/>
                  <w:marRight w:val="0"/>
                  <w:marTop w:val="0"/>
                  <w:marBottom w:val="0"/>
                  <w:divBdr>
                    <w:top w:val="none" w:sz="0" w:space="0" w:color="auto"/>
                    <w:left w:val="none" w:sz="0" w:space="0" w:color="auto"/>
                    <w:bottom w:val="none" w:sz="0" w:space="0" w:color="auto"/>
                    <w:right w:val="none" w:sz="0" w:space="0" w:color="auto"/>
                  </w:divBdr>
                </w:div>
              </w:divsChild>
            </w:div>
            <w:div w:id="939290257">
              <w:marLeft w:val="0"/>
              <w:marRight w:val="0"/>
              <w:marTop w:val="0"/>
              <w:marBottom w:val="0"/>
              <w:divBdr>
                <w:top w:val="none" w:sz="0" w:space="0" w:color="auto"/>
                <w:left w:val="none" w:sz="0" w:space="0" w:color="auto"/>
                <w:bottom w:val="none" w:sz="0" w:space="0" w:color="auto"/>
                <w:right w:val="none" w:sz="0" w:space="0" w:color="auto"/>
              </w:divBdr>
              <w:divsChild>
                <w:div w:id="1591767810">
                  <w:marLeft w:val="0"/>
                  <w:marRight w:val="0"/>
                  <w:marTop w:val="0"/>
                  <w:marBottom w:val="0"/>
                  <w:divBdr>
                    <w:top w:val="none" w:sz="0" w:space="0" w:color="auto"/>
                    <w:left w:val="none" w:sz="0" w:space="0" w:color="auto"/>
                    <w:bottom w:val="none" w:sz="0" w:space="0" w:color="auto"/>
                    <w:right w:val="none" w:sz="0" w:space="0" w:color="auto"/>
                  </w:divBdr>
                </w:div>
              </w:divsChild>
            </w:div>
            <w:div w:id="15424685">
              <w:marLeft w:val="0"/>
              <w:marRight w:val="0"/>
              <w:marTop w:val="0"/>
              <w:marBottom w:val="0"/>
              <w:divBdr>
                <w:top w:val="none" w:sz="0" w:space="0" w:color="auto"/>
                <w:left w:val="none" w:sz="0" w:space="0" w:color="auto"/>
                <w:bottom w:val="none" w:sz="0" w:space="0" w:color="auto"/>
                <w:right w:val="none" w:sz="0" w:space="0" w:color="auto"/>
              </w:divBdr>
              <w:divsChild>
                <w:div w:id="1591426346">
                  <w:marLeft w:val="0"/>
                  <w:marRight w:val="0"/>
                  <w:marTop w:val="0"/>
                  <w:marBottom w:val="0"/>
                  <w:divBdr>
                    <w:top w:val="none" w:sz="0" w:space="0" w:color="auto"/>
                    <w:left w:val="none" w:sz="0" w:space="0" w:color="auto"/>
                    <w:bottom w:val="none" w:sz="0" w:space="0" w:color="auto"/>
                    <w:right w:val="none" w:sz="0" w:space="0" w:color="auto"/>
                  </w:divBdr>
                </w:div>
              </w:divsChild>
            </w:div>
            <w:div w:id="1937908589">
              <w:marLeft w:val="0"/>
              <w:marRight w:val="0"/>
              <w:marTop w:val="0"/>
              <w:marBottom w:val="0"/>
              <w:divBdr>
                <w:top w:val="none" w:sz="0" w:space="0" w:color="auto"/>
                <w:left w:val="none" w:sz="0" w:space="0" w:color="auto"/>
                <w:bottom w:val="none" w:sz="0" w:space="0" w:color="auto"/>
                <w:right w:val="none" w:sz="0" w:space="0" w:color="auto"/>
              </w:divBdr>
              <w:divsChild>
                <w:div w:id="17892732">
                  <w:marLeft w:val="0"/>
                  <w:marRight w:val="0"/>
                  <w:marTop w:val="0"/>
                  <w:marBottom w:val="0"/>
                  <w:divBdr>
                    <w:top w:val="none" w:sz="0" w:space="0" w:color="auto"/>
                    <w:left w:val="none" w:sz="0" w:space="0" w:color="auto"/>
                    <w:bottom w:val="none" w:sz="0" w:space="0" w:color="auto"/>
                    <w:right w:val="none" w:sz="0" w:space="0" w:color="auto"/>
                  </w:divBdr>
                </w:div>
              </w:divsChild>
            </w:div>
            <w:div w:id="1427537405">
              <w:marLeft w:val="0"/>
              <w:marRight w:val="0"/>
              <w:marTop w:val="0"/>
              <w:marBottom w:val="0"/>
              <w:divBdr>
                <w:top w:val="none" w:sz="0" w:space="0" w:color="auto"/>
                <w:left w:val="none" w:sz="0" w:space="0" w:color="auto"/>
                <w:bottom w:val="none" w:sz="0" w:space="0" w:color="auto"/>
                <w:right w:val="none" w:sz="0" w:space="0" w:color="auto"/>
              </w:divBdr>
              <w:divsChild>
                <w:div w:id="4975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2848">
          <w:marLeft w:val="0"/>
          <w:marRight w:val="0"/>
          <w:marTop w:val="0"/>
          <w:marBottom w:val="600"/>
          <w:divBdr>
            <w:top w:val="none" w:sz="0" w:space="0" w:color="auto"/>
            <w:left w:val="none" w:sz="0" w:space="0" w:color="auto"/>
            <w:bottom w:val="none" w:sz="0" w:space="0" w:color="auto"/>
            <w:right w:val="none" w:sz="0" w:space="0" w:color="auto"/>
          </w:divBdr>
        </w:div>
      </w:divsChild>
    </w:div>
    <w:div w:id="952831081">
      <w:marLeft w:val="0"/>
      <w:marRight w:val="0"/>
      <w:marTop w:val="0"/>
      <w:marBottom w:val="0"/>
      <w:divBdr>
        <w:top w:val="none" w:sz="0" w:space="0" w:color="auto"/>
        <w:left w:val="none" w:sz="0" w:space="0" w:color="auto"/>
        <w:bottom w:val="none" w:sz="0" w:space="0" w:color="auto"/>
        <w:right w:val="none" w:sz="0" w:space="0" w:color="auto"/>
      </w:divBdr>
      <w:divsChild>
        <w:div w:id="98064834">
          <w:marLeft w:val="0"/>
          <w:marRight w:val="0"/>
          <w:marTop w:val="547"/>
          <w:marBottom w:val="0"/>
          <w:divBdr>
            <w:top w:val="none" w:sz="0" w:space="0" w:color="auto"/>
            <w:left w:val="none" w:sz="0" w:space="0" w:color="auto"/>
            <w:bottom w:val="none" w:sz="0" w:space="0" w:color="auto"/>
            <w:right w:val="none" w:sz="0" w:space="0" w:color="auto"/>
          </w:divBdr>
        </w:div>
        <w:div w:id="2009093364">
          <w:marLeft w:val="0"/>
          <w:marRight w:val="0"/>
          <w:marTop w:val="0"/>
          <w:marBottom w:val="0"/>
          <w:divBdr>
            <w:top w:val="none" w:sz="0" w:space="0" w:color="auto"/>
            <w:left w:val="none" w:sz="0" w:space="0" w:color="auto"/>
            <w:bottom w:val="none" w:sz="0" w:space="0" w:color="auto"/>
            <w:right w:val="none" w:sz="0" w:space="0" w:color="auto"/>
          </w:divBdr>
        </w:div>
        <w:div w:id="920867013">
          <w:marLeft w:val="0"/>
          <w:marRight w:val="0"/>
          <w:marTop w:val="0"/>
          <w:marBottom w:val="600"/>
          <w:divBdr>
            <w:top w:val="none" w:sz="0" w:space="0" w:color="auto"/>
            <w:left w:val="none" w:sz="0" w:space="0" w:color="auto"/>
            <w:bottom w:val="none" w:sz="0" w:space="0" w:color="auto"/>
            <w:right w:val="none" w:sz="0" w:space="0" w:color="auto"/>
          </w:divBdr>
        </w:div>
      </w:divsChild>
    </w:div>
    <w:div w:id="955721566">
      <w:marLeft w:val="0"/>
      <w:marRight w:val="0"/>
      <w:marTop w:val="0"/>
      <w:marBottom w:val="0"/>
      <w:divBdr>
        <w:top w:val="none" w:sz="0" w:space="0" w:color="auto"/>
        <w:left w:val="none" w:sz="0" w:space="0" w:color="auto"/>
        <w:bottom w:val="none" w:sz="0" w:space="0" w:color="auto"/>
        <w:right w:val="none" w:sz="0" w:space="0" w:color="auto"/>
      </w:divBdr>
      <w:divsChild>
        <w:div w:id="140002154">
          <w:marLeft w:val="0"/>
          <w:marRight w:val="0"/>
          <w:marTop w:val="547"/>
          <w:marBottom w:val="0"/>
          <w:divBdr>
            <w:top w:val="none" w:sz="0" w:space="0" w:color="auto"/>
            <w:left w:val="none" w:sz="0" w:space="0" w:color="auto"/>
            <w:bottom w:val="none" w:sz="0" w:space="0" w:color="auto"/>
            <w:right w:val="none" w:sz="0" w:space="0" w:color="auto"/>
          </w:divBdr>
        </w:div>
        <w:div w:id="1048141883">
          <w:marLeft w:val="0"/>
          <w:marRight w:val="0"/>
          <w:marTop w:val="0"/>
          <w:marBottom w:val="0"/>
          <w:divBdr>
            <w:top w:val="none" w:sz="0" w:space="0" w:color="auto"/>
            <w:left w:val="none" w:sz="0" w:space="0" w:color="auto"/>
            <w:bottom w:val="none" w:sz="0" w:space="0" w:color="auto"/>
            <w:right w:val="none" w:sz="0" w:space="0" w:color="auto"/>
          </w:divBdr>
        </w:div>
        <w:div w:id="1225994782">
          <w:marLeft w:val="0"/>
          <w:marRight w:val="0"/>
          <w:marTop w:val="0"/>
          <w:marBottom w:val="600"/>
          <w:divBdr>
            <w:top w:val="none" w:sz="0" w:space="0" w:color="auto"/>
            <w:left w:val="none" w:sz="0" w:space="0" w:color="auto"/>
            <w:bottom w:val="none" w:sz="0" w:space="0" w:color="auto"/>
            <w:right w:val="none" w:sz="0" w:space="0" w:color="auto"/>
          </w:divBdr>
        </w:div>
      </w:divsChild>
    </w:div>
    <w:div w:id="1003702954">
      <w:marLeft w:val="0"/>
      <w:marRight w:val="0"/>
      <w:marTop w:val="0"/>
      <w:marBottom w:val="0"/>
      <w:divBdr>
        <w:top w:val="none" w:sz="0" w:space="0" w:color="auto"/>
        <w:left w:val="none" w:sz="0" w:space="0" w:color="auto"/>
        <w:bottom w:val="none" w:sz="0" w:space="0" w:color="auto"/>
        <w:right w:val="none" w:sz="0" w:space="0" w:color="auto"/>
      </w:divBdr>
      <w:divsChild>
        <w:div w:id="842165167">
          <w:marLeft w:val="0"/>
          <w:marRight w:val="0"/>
          <w:marTop w:val="547"/>
          <w:marBottom w:val="0"/>
          <w:divBdr>
            <w:top w:val="none" w:sz="0" w:space="0" w:color="auto"/>
            <w:left w:val="none" w:sz="0" w:space="0" w:color="auto"/>
            <w:bottom w:val="none" w:sz="0" w:space="0" w:color="auto"/>
            <w:right w:val="none" w:sz="0" w:space="0" w:color="auto"/>
          </w:divBdr>
        </w:div>
        <w:div w:id="1345739578">
          <w:marLeft w:val="0"/>
          <w:marRight w:val="0"/>
          <w:marTop w:val="0"/>
          <w:marBottom w:val="0"/>
          <w:divBdr>
            <w:top w:val="none" w:sz="0" w:space="0" w:color="auto"/>
            <w:left w:val="none" w:sz="0" w:space="0" w:color="auto"/>
            <w:bottom w:val="none" w:sz="0" w:space="0" w:color="auto"/>
            <w:right w:val="none" w:sz="0" w:space="0" w:color="auto"/>
          </w:divBdr>
        </w:div>
        <w:div w:id="1801848851">
          <w:marLeft w:val="0"/>
          <w:marRight w:val="0"/>
          <w:marTop w:val="0"/>
          <w:marBottom w:val="600"/>
          <w:divBdr>
            <w:top w:val="none" w:sz="0" w:space="0" w:color="auto"/>
            <w:left w:val="none" w:sz="0" w:space="0" w:color="auto"/>
            <w:bottom w:val="none" w:sz="0" w:space="0" w:color="auto"/>
            <w:right w:val="none" w:sz="0" w:space="0" w:color="auto"/>
          </w:divBdr>
        </w:div>
      </w:divsChild>
    </w:div>
    <w:div w:id="1006903037">
      <w:marLeft w:val="0"/>
      <w:marRight w:val="0"/>
      <w:marTop w:val="0"/>
      <w:marBottom w:val="0"/>
      <w:divBdr>
        <w:top w:val="none" w:sz="0" w:space="0" w:color="auto"/>
        <w:left w:val="none" w:sz="0" w:space="0" w:color="auto"/>
        <w:bottom w:val="none" w:sz="0" w:space="0" w:color="auto"/>
        <w:right w:val="none" w:sz="0" w:space="0" w:color="auto"/>
      </w:divBdr>
      <w:divsChild>
        <w:div w:id="140007717">
          <w:marLeft w:val="0"/>
          <w:marRight w:val="0"/>
          <w:marTop w:val="547"/>
          <w:marBottom w:val="0"/>
          <w:divBdr>
            <w:top w:val="none" w:sz="0" w:space="0" w:color="auto"/>
            <w:left w:val="none" w:sz="0" w:space="0" w:color="auto"/>
            <w:bottom w:val="none" w:sz="0" w:space="0" w:color="auto"/>
            <w:right w:val="none" w:sz="0" w:space="0" w:color="auto"/>
          </w:divBdr>
        </w:div>
        <w:div w:id="595986978">
          <w:marLeft w:val="0"/>
          <w:marRight w:val="0"/>
          <w:marTop w:val="0"/>
          <w:marBottom w:val="0"/>
          <w:divBdr>
            <w:top w:val="none" w:sz="0" w:space="0" w:color="auto"/>
            <w:left w:val="none" w:sz="0" w:space="0" w:color="auto"/>
            <w:bottom w:val="none" w:sz="0" w:space="0" w:color="auto"/>
            <w:right w:val="none" w:sz="0" w:space="0" w:color="auto"/>
          </w:divBdr>
          <w:divsChild>
            <w:div w:id="1907498252">
              <w:marLeft w:val="0"/>
              <w:marRight w:val="0"/>
              <w:marTop w:val="0"/>
              <w:marBottom w:val="0"/>
              <w:divBdr>
                <w:top w:val="none" w:sz="0" w:space="0" w:color="auto"/>
                <w:left w:val="none" w:sz="0" w:space="0" w:color="auto"/>
                <w:bottom w:val="none" w:sz="0" w:space="0" w:color="auto"/>
                <w:right w:val="none" w:sz="0" w:space="0" w:color="auto"/>
              </w:divBdr>
              <w:divsChild>
                <w:div w:id="1128208689">
                  <w:marLeft w:val="0"/>
                  <w:marRight w:val="0"/>
                  <w:marTop w:val="0"/>
                  <w:marBottom w:val="0"/>
                  <w:divBdr>
                    <w:top w:val="none" w:sz="0" w:space="0" w:color="auto"/>
                    <w:left w:val="none" w:sz="0" w:space="0" w:color="auto"/>
                    <w:bottom w:val="none" w:sz="0" w:space="0" w:color="auto"/>
                    <w:right w:val="none" w:sz="0" w:space="0" w:color="auto"/>
                  </w:divBdr>
                </w:div>
              </w:divsChild>
            </w:div>
            <w:div w:id="2093895279">
              <w:marLeft w:val="0"/>
              <w:marRight w:val="0"/>
              <w:marTop w:val="0"/>
              <w:marBottom w:val="0"/>
              <w:divBdr>
                <w:top w:val="none" w:sz="0" w:space="0" w:color="auto"/>
                <w:left w:val="none" w:sz="0" w:space="0" w:color="auto"/>
                <w:bottom w:val="none" w:sz="0" w:space="0" w:color="auto"/>
                <w:right w:val="none" w:sz="0" w:space="0" w:color="auto"/>
              </w:divBdr>
              <w:divsChild>
                <w:div w:id="1856268836">
                  <w:marLeft w:val="0"/>
                  <w:marRight w:val="0"/>
                  <w:marTop w:val="0"/>
                  <w:marBottom w:val="0"/>
                  <w:divBdr>
                    <w:top w:val="none" w:sz="0" w:space="0" w:color="auto"/>
                    <w:left w:val="none" w:sz="0" w:space="0" w:color="auto"/>
                    <w:bottom w:val="none" w:sz="0" w:space="0" w:color="auto"/>
                    <w:right w:val="none" w:sz="0" w:space="0" w:color="auto"/>
                  </w:divBdr>
                </w:div>
              </w:divsChild>
            </w:div>
            <w:div w:id="1594364771">
              <w:marLeft w:val="0"/>
              <w:marRight w:val="0"/>
              <w:marTop w:val="0"/>
              <w:marBottom w:val="0"/>
              <w:divBdr>
                <w:top w:val="none" w:sz="0" w:space="0" w:color="auto"/>
                <w:left w:val="none" w:sz="0" w:space="0" w:color="auto"/>
                <w:bottom w:val="none" w:sz="0" w:space="0" w:color="auto"/>
                <w:right w:val="none" w:sz="0" w:space="0" w:color="auto"/>
              </w:divBdr>
              <w:divsChild>
                <w:div w:id="248194753">
                  <w:marLeft w:val="0"/>
                  <w:marRight w:val="0"/>
                  <w:marTop w:val="0"/>
                  <w:marBottom w:val="0"/>
                  <w:divBdr>
                    <w:top w:val="none" w:sz="0" w:space="0" w:color="auto"/>
                    <w:left w:val="none" w:sz="0" w:space="0" w:color="auto"/>
                    <w:bottom w:val="none" w:sz="0" w:space="0" w:color="auto"/>
                    <w:right w:val="none" w:sz="0" w:space="0" w:color="auto"/>
                  </w:divBdr>
                </w:div>
              </w:divsChild>
            </w:div>
            <w:div w:id="83653079">
              <w:marLeft w:val="0"/>
              <w:marRight w:val="0"/>
              <w:marTop w:val="0"/>
              <w:marBottom w:val="0"/>
              <w:divBdr>
                <w:top w:val="none" w:sz="0" w:space="0" w:color="auto"/>
                <w:left w:val="none" w:sz="0" w:space="0" w:color="auto"/>
                <w:bottom w:val="none" w:sz="0" w:space="0" w:color="auto"/>
                <w:right w:val="none" w:sz="0" w:space="0" w:color="auto"/>
              </w:divBdr>
              <w:divsChild>
                <w:div w:id="1483039631">
                  <w:marLeft w:val="0"/>
                  <w:marRight w:val="0"/>
                  <w:marTop w:val="0"/>
                  <w:marBottom w:val="0"/>
                  <w:divBdr>
                    <w:top w:val="none" w:sz="0" w:space="0" w:color="auto"/>
                    <w:left w:val="none" w:sz="0" w:space="0" w:color="auto"/>
                    <w:bottom w:val="none" w:sz="0" w:space="0" w:color="auto"/>
                    <w:right w:val="none" w:sz="0" w:space="0" w:color="auto"/>
                  </w:divBdr>
                </w:div>
              </w:divsChild>
            </w:div>
            <w:div w:id="1225943381">
              <w:marLeft w:val="0"/>
              <w:marRight w:val="0"/>
              <w:marTop w:val="0"/>
              <w:marBottom w:val="0"/>
              <w:divBdr>
                <w:top w:val="none" w:sz="0" w:space="0" w:color="auto"/>
                <w:left w:val="none" w:sz="0" w:space="0" w:color="auto"/>
                <w:bottom w:val="none" w:sz="0" w:space="0" w:color="auto"/>
                <w:right w:val="none" w:sz="0" w:space="0" w:color="auto"/>
              </w:divBdr>
              <w:divsChild>
                <w:div w:id="1991056911">
                  <w:marLeft w:val="0"/>
                  <w:marRight w:val="0"/>
                  <w:marTop w:val="0"/>
                  <w:marBottom w:val="0"/>
                  <w:divBdr>
                    <w:top w:val="none" w:sz="0" w:space="0" w:color="auto"/>
                    <w:left w:val="none" w:sz="0" w:space="0" w:color="auto"/>
                    <w:bottom w:val="none" w:sz="0" w:space="0" w:color="auto"/>
                    <w:right w:val="none" w:sz="0" w:space="0" w:color="auto"/>
                  </w:divBdr>
                </w:div>
              </w:divsChild>
            </w:div>
            <w:div w:id="931209241">
              <w:marLeft w:val="0"/>
              <w:marRight w:val="0"/>
              <w:marTop w:val="0"/>
              <w:marBottom w:val="0"/>
              <w:divBdr>
                <w:top w:val="none" w:sz="0" w:space="0" w:color="auto"/>
                <w:left w:val="none" w:sz="0" w:space="0" w:color="auto"/>
                <w:bottom w:val="none" w:sz="0" w:space="0" w:color="auto"/>
                <w:right w:val="none" w:sz="0" w:space="0" w:color="auto"/>
              </w:divBdr>
              <w:divsChild>
                <w:div w:id="113212823">
                  <w:marLeft w:val="0"/>
                  <w:marRight w:val="0"/>
                  <w:marTop w:val="0"/>
                  <w:marBottom w:val="0"/>
                  <w:divBdr>
                    <w:top w:val="none" w:sz="0" w:space="0" w:color="auto"/>
                    <w:left w:val="none" w:sz="0" w:space="0" w:color="auto"/>
                    <w:bottom w:val="none" w:sz="0" w:space="0" w:color="auto"/>
                    <w:right w:val="none" w:sz="0" w:space="0" w:color="auto"/>
                  </w:divBdr>
                </w:div>
              </w:divsChild>
            </w:div>
            <w:div w:id="85003570">
              <w:marLeft w:val="0"/>
              <w:marRight w:val="0"/>
              <w:marTop w:val="0"/>
              <w:marBottom w:val="0"/>
              <w:divBdr>
                <w:top w:val="none" w:sz="0" w:space="0" w:color="auto"/>
                <w:left w:val="none" w:sz="0" w:space="0" w:color="auto"/>
                <w:bottom w:val="none" w:sz="0" w:space="0" w:color="auto"/>
                <w:right w:val="none" w:sz="0" w:space="0" w:color="auto"/>
              </w:divBdr>
              <w:divsChild>
                <w:div w:id="1892419484">
                  <w:marLeft w:val="0"/>
                  <w:marRight w:val="0"/>
                  <w:marTop w:val="0"/>
                  <w:marBottom w:val="0"/>
                  <w:divBdr>
                    <w:top w:val="none" w:sz="0" w:space="0" w:color="auto"/>
                    <w:left w:val="none" w:sz="0" w:space="0" w:color="auto"/>
                    <w:bottom w:val="none" w:sz="0" w:space="0" w:color="auto"/>
                    <w:right w:val="none" w:sz="0" w:space="0" w:color="auto"/>
                  </w:divBdr>
                </w:div>
              </w:divsChild>
            </w:div>
            <w:div w:id="213128213">
              <w:marLeft w:val="0"/>
              <w:marRight w:val="0"/>
              <w:marTop w:val="0"/>
              <w:marBottom w:val="0"/>
              <w:divBdr>
                <w:top w:val="none" w:sz="0" w:space="0" w:color="auto"/>
                <w:left w:val="none" w:sz="0" w:space="0" w:color="auto"/>
                <w:bottom w:val="none" w:sz="0" w:space="0" w:color="auto"/>
                <w:right w:val="none" w:sz="0" w:space="0" w:color="auto"/>
              </w:divBdr>
              <w:divsChild>
                <w:div w:id="891160377">
                  <w:marLeft w:val="0"/>
                  <w:marRight w:val="0"/>
                  <w:marTop w:val="0"/>
                  <w:marBottom w:val="0"/>
                  <w:divBdr>
                    <w:top w:val="none" w:sz="0" w:space="0" w:color="auto"/>
                    <w:left w:val="none" w:sz="0" w:space="0" w:color="auto"/>
                    <w:bottom w:val="none" w:sz="0" w:space="0" w:color="auto"/>
                    <w:right w:val="none" w:sz="0" w:space="0" w:color="auto"/>
                  </w:divBdr>
                </w:div>
              </w:divsChild>
            </w:div>
            <w:div w:id="1060446684">
              <w:marLeft w:val="0"/>
              <w:marRight w:val="0"/>
              <w:marTop w:val="0"/>
              <w:marBottom w:val="0"/>
              <w:divBdr>
                <w:top w:val="none" w:sz="0" w:space="0" w:color="auto"/>
                <w:left w:val="none" w:sz="0" w:space="0" w:color="auto"/>
                <w:bottom w:val="none" w:sz="0" w:space="0" w:color="auto"/>
                <w:right w:val="none" w:sz="0" w:space="0" w:color="auto"/>
              </w:divBdr>
              <w:divsChild>
                <w:div w:id="1708674255">
                  <w:marLeft w:val="0"/>
                  <w:marRight w:val="0"/>
                  <w:marTop w:val="0"/>
                  <w:marBottom w:val="0"/>
                  <w:divBdr>
                    <w:top w:val="none" w:sz="0" w:space="0" w:color="auto"/>
                    <w:left w:val="none" w:sz="0" w:space="0" w:color="auto"/>
                    <w:bottom w:val="none" w:sz="0" w:space="0" w:color="auto"/>
                    <w:right w:val="none" w:sz="0" w:space="0" w:color="auto"/>
                  </w:divBdr>
                </w:div>
              </w:divsChild>
            </w:div>
            <w:div w:id="447892311">
              <w:marLeft w:val="0"/>
              <w:marRight w:val="0"/>
              <w:marTop w:val="0"/>
              <w:marBottom w:val="0"/>
              <w:divBdr>
                <w:top w:val="none" w:sz="0" w:space="0" w:color="auto"/>
                <w:left w:val="none" w:sz="0" w:space="0" w:color="auto"/>
                <w:bottom w:val="none" w:sz="0" w:space="0" w:color="auto"/>
                <w:right w:val="none" w:sz="0" w:space="0" w:color="auto"/>
              </w:divBdr>
              <w:divsChild>
                <w:div w:id="2100052604">
                  <w:marLeft w:val="0"/>
                  <w:marRight w:val="0"/>
                  <w:marTop w:val="0"/>
                  <w:marBottom w:val="0"/>
                  <w:divBdr>
                    <w:top w:val="none" w:sz="0" w:space="0" w:color="auto"/>
                    <w:left w:val="none" w:sz="0" w:space="0" w:color="auto"/>
                    <w:bottom w:val="none" w:sz="0" w:space="0" w:color="auto"/>
                    <w:right w:val="none" w:sz="0" w:space="0" w:color="auto"/>
                  </w:divBdr>
                </w:div>
              </w:divsChild>
            </w:div>
            <w:div w:id="2130200076">
              <w:marLeft w:val="0"/>
              <w:marRight w:val="0"/>
              <w:marTop w:val="0"/>
              <w:marBottom w:val="0"/>
              <w:divBdr>
                <w:top w:val="none" w:sz="0" w:space="0" w:color="auto"/>
                <w:left w:val="none" w:sz="0" w:space="0" w:color="auto"/>
                <w:bottom w:val="none" w:sz="0" w:space="0" w:color="auto"/>
                <w:right w:val="none" w:sz="0" w:space="0" w:color="auto"/>
              </w:divBdr>
              <w:divsChild>
                <w:div w:id="1941797543">
                  <w:marLeft w:val="0"/>
                  <w:marRight w:val="0"/>
                  <w:marTop w:val="0"/>
                  <w:marBottom w:val="0"/>
                  <w:divBdr>
                    <w:top w:val="none" w:sz="0" w:space="0" w:color="auto"/>
                    <w:left w:val="none" w:sz="0" w:space="0" w:color="auto"/>
                    <w:bottom w:val="none" w:sz="0" w:space="0" w:color="auto"/>
                    <w:right w:val="none" w:sz="0" w:space="0" w:color="auto"/>
                  </w:divBdr>
                </w:div>
              </w:divsChild>
            </w:div>
            <w:div w:id="582185204">
              <w:marLeft w:val="0"/>
              <w:marRight w:val="0"/>
              <w:marTop w:val="0"/>
              <w:marBottom w:val="0"/>
              <w:divBdr>
                <w:top w:val="none" w:sz="0" w:space="0" w:color="auto"/>
                <w:left w:val="none" w:sz="0" w:space="0" w:color="auto"/>
                <w:bottom w:val="none" w:sz="0" w:space="0" w:color="auto"/>
                <w:right w:val="none" w:sz="0" w:space="0" w:color="auto"/>
              </w:divBdr>
              <w:divsChild>
                <w:div w:id="1173300284">
                  <w:marLeft w:val="0"/>
                  <w:marRight w:val="0"/>
                  <w:marTop w:val="0"/>
                  <w:marBottom w:val="0"/>
                  <w:divBdr>
                    <w:top w:val="none" w:sz="0" w:space="0" w:color="auto"/>
                    <w:left w:val="none" w:sz="0" w:space="0" w:color="auto"/>
                    <w:bottom w:val="none" w:sz="0" w:space="0" w:color="auto"/>
                    <w:right w:val="none" w:sz="0" w:space="0" w:color="auto"/>
                  </w:divBdr>
                </w:div>
              </w:divsChild>
            </w:div>
            <w:div w:id="600188255">
              <w:marLeft w:val="0"/>
              <w:marRight w:val="0"/>
              <w:marTop w:val="0"/>
              <w:marBottom w:val="0"/>
              <w:divBdr>
                <w:top w:val="none" w:sz="0" w:space="0" w:color="auto"/>
                <w:left w:val="none" w:sz="0" w:space="0" w:color="auto"/>
                <w:bottom w:val="none" w:sz="0" w:space="0" w:color="auto"/>
                <w:right w:val="none" w:sz="0" w:space="0" w:color="auto"/>
              </w:divBdr>
              <w:divsChild>
                <w:div w:id="1641036088">
                  <w:marLeft w:val="0"/>
                  <w:marRight w:val="0"/>
                  <w:marTop w:val="0"/>
                  <w:marBottom w:val="0"/>
                  <w:divBdr>
                    <w:top w:val="none" w:sz="0" w:space="0" w:color="auto"/>
                    <w:left w:val="none" w:sz="0" w:space="0" w:color="auto"/>
                    <w:bottom w:val="none" w:sz="0" w:space="0" w:color="auto"/>
                    <w:right w:val="none" w:sz="0" w:space="0" w:color="auto"/>
                  </w:divBdr>
                </w:div>
              </w:divsChild>
            </w:div>
            <w:div w:id="447432263">
              <w:marLeft w:val="0"/>
              <w:marRight w:val="0"/>
              <w:marTop w:val="0"/>
              <w:marBottom w:val="0"/>
              <w:divBdr>
                <w:top w:val="none" w:sz="0" w:space="0" w:color="auto"/>
                <w:left w:val="none" w:sz="0" w:space="0" w:color="auto"/>
                <w:bottom w:val="none" w:sz="0" w:space="0" w:color="auto"/>
                <w:right w:val="none" w:sz="0" w:space="0" w:color="auto"/>
              </w:divBdr>
              <w:divsChild>
                <w:div w:id="1266109900">
                  <w:marLeft w:val="0"/>
                  <w:marRight w:val="0"/>
                  <w:marTop w:val="0"/>
                  <w:marBottom w:val="0"/>
                  <w:divBdr>
                    <w:top w:val="none" w:sz="0" w:space="0" w:color="auto"/>
                    <w:left w:val="none" w:sz="0" w:space="0" w:color="auto"/>
                    <w:bottom w:val="none" w:sz="0" w:space="0" w:color="auto"/>
                    <w:right w:val="none" w:sz="0" w:space="0" w:color="auto"/>
                  </w:divBdr>
                </w:div>
              </w:divsChild>
            </w:div>
            <w:div w:id="707923317">
              <w:marLeft w:val="0"/>
              <w:marRight w:val="0"/>
              <w:marTop w:val="0"/>
              <w:marBottom w:val="0"/>
              <w:divBdr>
                <w:top w:val="none" w:sz="0" w:space="0" w:color="auto"/>
                <w:left w:val="none" w:sz="0" w:space="0" w:color="auto"/>
                <w:bottom w:val="none" w:sz="0" w:space="0" w:color="auto"/>
                <w:right w:val="none" w:sz="0" w:space="0" w:color="auto"/>
              </w:divBdr>
              <w:divsChild>
                <w:div w:id="743718260">
                  <w:marLeft w:val="0"/>
                  <w:marRight w:val="0"/>
                  <w:marTop w:val="0"/>
                  <w:marBottom w:val="0"/>
                  <w:divBdr>
                    <w:top w:val="none" w:sz="0" w:space="0" w:color="auto"/>
                    <w:left w:val="none" w:sz="0" w:space="0" w:color="auto"/>
                    <w:bottom w:val="none" w:sz="0" w:space="0" w:color="auto"/>
                    <w:right w:val="none" w:sz="0" w:space="0" w:color="auto"/>
                  </w:divBdr>
                </w:div>
              </w:divsChild>
            </w:div>
            <w:div w:id="361593841">
              <w:marLeft w:val="0"/>
              <w:marRight w:val="0"/>
              <w:marTop w:val="0"/>
              <w:marBottom w:val="0"/>
              <w:divBdr>
                <w:top w:val="none" w:sz="0" w:space="0" w:color="auto"/>
                <w:left w:val="none" w:sz="0" w:space="0" w:color="auto"/>
                <w:bottom w:val="none" w:sz="0" w:space="0" w:color="auto"/>
                <w:right w:val="none" w:sz="0" w:space="0" w:color="auto"/>
              </w:divBdr>
              <w:divsChild>
                <w:div w:id="1123040437">
                  <w:marLeft w:val="0"/>
                  <w:marRight w:val="0"/>
                  <w:marTop w:val="0"/>
                  <w:marBottom w:val="0"/>
                  <w:divBdr>
                    <w:top w:val="none" w:sz="0" w:space="0" w:color="auto"/>
                    <w:left w:val="none" w:sz="0" w:space="0" w:color="auto"/>
                    <w:bottom w:val="none" w:sz="0" w:space="0" w:color="auto"/>
                    <w:right w:val="none" w:sz="0" w:space="0" w:color="auto"/>
                  </w:divBdr>
                </w:div>
              </w:divsChild>
            </w:div>
            <w:div w:id="1210414301">
              <w:marLeft w:val="0"/>
              <w:marRight w:val="0"/>
              <w:marTop w:val="0"/>
              <w:marBottom w:val="0"/>
              <w:divBdr>
                <w:top w:val="none" w:sz="0" w:space="0" w:color="auto"/>
                <w:left w:val="none" w:sz="0" w:space="0" w:color="auto"/>
                <w:bottom w:val="none" w:sz="0" w:space="0" w:color="auto"/>
                <w:right w:val="none" w:sz="0" w:space="0" w:color="auto"/>
              </w:divBdr>
              <w:divsChild>
                <w:div w:id="1883397235">
                  <w:marLeft w:val="0"/>
                  <w:marRight w:val="0"/>
                  <w:marTop w:val="0"/>
                  <w:marBottom w:val="0"/>
                  <w:divBdr>
                    <w:top w:val="none" w:sz="0" w:space="0" w:color="auto"/>
                    <w:left w:val="none" w:sz="0" w:space="0" w:color="auto"/>
                    <w:bottom w:val="none" w:sz="0" w:space="0" w:color="auto"/>
                    <w:right w:val="none" w:sz="0" w:space="0" w:color="auto"/>
                  </w:divBdr>
                </w:div>
              </w:divsChild>
            </w:div>
            <w:div w:id="1415203935">
              <w:marLeft w:val="0"/>
              <w:marRight w:val="0"/>
              <w:marTop w:val="0"/>
              <w:marBottom w:val="0"/>
              <w:divBdr>
                <w:top w:val="none" w:sz="0" w:space="0" w:color="auto"/>
                <w:left w:val="none" w:sz="0" w:space="0" w:color="auto"/>
                <w:bottom w:val="none" w:sz="0" w:space="0" w:color="auto"/>
                <w:right w:val="none" w:sz="0" w:space="0" w:color="auto"/>
              </w:divBdr>
              <w:divsChild>
                <w:div w:id="2085103274">
                  <w:marLeft w:val="0"/>
                  <w:marRight w:val="0"/>
                  <w:marTop w:val="0"/>
                  <w:marBottom w:val="0"/>
                  <w:divBdr>
                    <w:top w:val="none" w:sz="0" w:space="0" w:color="auto"/>
                    <w:left w:val="none" w:sz="0" w:space="0" w:color="auto"/>
                    <w:bottom w:val="none" w:sz="0" w:space="0" w:color="auto"/>
                    <w:right w:val="none" w:sz="0" w:space="0" w:color="auto"/>
                  </w:divBdr>
                </w:div>
              </w:divsChild>
            </w:div>
            <w:div w:id="1040594040">
              <w:marLeft w:val="0"/>
              <w:marRight w:val="0"/>
              <w:marTop w:val="0"/>
              <w:marBottom w:val="0"/>
              <w:divBdr>
                <w:top w:val="none" w:sz="0" w:space="0" w:color="auto"/>
                <w:left w:val="none" w:sz="0" w:space="0" w:color="auto"/>
                <w:bottom w:val="none" w:sz="0" w:space="0" w:color="auto"/>
                <w:right w:val="none" w:sz="0" w:space="0" w:color="auto"/>
              </w:divBdr>
              <w:divsChild>
                <w:div w:id="1992713321">
                  <w:marLeft w:val="0"/>
                  <w:marRight w:val="0"/>
                  <w:marTop w:val="0"/>
                  <w:marBottom w:val="0"/>
                  <w:divBdr>
                    <w:top w:val="none" w:sz="0" w:space="0" w:color="auto"/>
                    <w:left w:val="none" w:sz="0" w:space="0" w:color="auto"/>
                    <w:bottom w:val="none" w:sz="0" w:space="0" w:color="auto"/>
                    <w:right w:val="none" w:sz="0" w:space="0" w:color="auto"/>
                  </w:divBdr>
                </w:div>
              </w:divsChild>
            </w:div>
            <w:div w:id="1464688914">
              <w:marLeft w:val="0"/>
              <w:marRight w:val="0"/>
              <w:marTop w:val="0"/>
              <w:marBottom w:val="0"/>
              <w:divBdr>
                <w:top w:val="none" w:sz="0" w:space="0" w:color="auto"/>
                <w:left w:val="none" w:sz="0" w:space="0" w:color="auto"/>
                <w:bottom w:val="none" w:sz="0" w:space="0" w:color="auto"/>
                <w:right w:val="none" w:sz="0" w:space="0" w:color="auto"/>
              </w:divBdr>
              <w:divsChild>
                <w:div w:id="90400891">
                  <w:marLeft w:val="0"/>
                  <w:marRight w:val="0"/>
                  <w:marTop w:val="0"/>
                  <w:marBottom w:val="0"/>
                  <w:divBdr>
                    <w:top w:val="none" w:sz="0" w:space="0" w:color="auto"/>
                    <w:left w:val="none" w:sz="0" w:space="0" w:color="auto"/>
                    <w:bottom w:val="none" w:sz="0" w:space="0" w:color="auto"/>
                    <w:right w:val="none" w:sz="0" w:space="0" w:color="auto"/>
                  </w:divBdr>
                </w:div>
              </w:divsChild>
            </w:div>
            <w:div w:id="474374118">
              <w:marLeft w:val="0"/>
              <w:marRight w:val="0"/>
              <w:marTop w:val="0"/>
              <w:marBottom w:val="0"/>
              <w:divBdr>
                <w:top w:val="none" w:sz="0" w:space="0" w:color="auto"/>
                <w:left w:val="none" w:sz="0" w:space="0" w:color="auto"/>
                <w:bottom w:val="none" w:sz="0" w:space="0" w:color="auto"/>
                <w:right w:val="none" w:sz="0" w:space="0" w:color="auto"/>
              </w:divBdr>
              <w:divsChild>
                <w:div w:id="230893254">
                  <w:marLeft w:val="0"/>
                  <w:marRight w:val="0"/>
                  <w:marTop w:val="0"/>
                  <w:marBottom w:val="0"/>
                  <w:divBdr>
                    <w:top w:val="none" w:sz="0" w:space="0" w:color="auto"/>
                    <w:left w:val="none" w:sz="0" w:space="0" w:color="auto"/>
                    <w:bottom w:val="none" w:sz="0" w:space="0" w:color="auto"/>
                    <w:right w:val="none" w:sz="0" w:space="0" w:color="auto"/>
                  </w:divBdr>
                </w:div>
              </w:divsChild>
            </w:div>
            <w:div w:id="2001150470">
              <w:marLeft w:val="0"/>
              <w:marRight w:val="0"/>
              <w:marTop w:val="0"/>
              <w:marBottom w:val="0"/>
              <w:divBdr>
                <w:top w:val="none" w:sz="0" w:space="0" w:color="auto"/>
                <w:left w:val="none" w:sz="0" w:space="0" w:color="auto"/>
                <w:bottom w:val="none" w:sz="0" w:space="0" w:color="auto"/>
                <w:right w:val="none" w:sz="0" w:space="0" w:color="auto"/>
              </w:divBdr>
              <w:divsChild>
                <w:div w:id="327753646">
                  <w:marLeft w:val="0"/>
                  <w:marRight w:val="0"/>
                  <w:marTop w:val="0"/>
                  <w:marBottom w:val="0"/>
                  <w:divBdr>
                    <w:top w:val="none" w:sz="0" w:space="0" w:color="auto"/>
                    <w:left w:val="none" w:sz="0" w:space="0" w:color="auto"/>
                    <w:bottom w:val="none" w:sz="0" w:space="0" w:color="auto"/>
                    <w:right w:val="none" w:sz="0" w:space="0" w:color="auto"/>
                  </w:divBdr>
                </w:div>
              </w:divsChild>
            </w:div>
            <w:div w:id="290787056">
              <w:marLeft w:val="0"/>
              <w:marRight w:val="0"/>
              <w:marTop w:val="0"/>
              <w:marBottom w:val="0"/>
              <w:divBdr>
                <w:top w:val="none" w:sz="0" w:space="0" w:color="auto"/>
                <w:left w:val="none" w:sz="0" w:space="0" w:color="auto"/>
                <w:bottom w:val="none" w:sz="0" w:space="0" w:color="auto"/>
                <w:right w:val="none" w:sz="0" w:space="0" w:color="auto"/>
              </w:divBdr>
              <w:divsChild>
                <w:div w:id="1062295405">
                  <w:marLeft w:val="0"/>
                  <w:marRight w:val="0"/>
                  <w:marTop w:val="0"/>
                  <w:marBottom w:val="0"/>
                  <w:divBdr>
                    <w:top w:val="none" w:sz="0" w:space="0" w:color="auto"/>
                    <w:left w:val="none" w:sz="0" w:space="0" w:color="auto"/>
                    <w:bottom w:val="none" w:sz="0" w:space="0" w:color="auto"/>
                    <w:right w:val="none" w:sz="0" w:space="0" w:color="auto"/>
                  </w:divBdr>
                </w:div>
              </w:divsChild>
            </w:div>
            <w:div w:id="1126629768">
              <w:marLeft w:val="0"/>
              <w:marRight w:val="0"/>
              <w:marTop w:val="0"/>
              <w:marBottom w:val="0"/>
              <w:divBdr>
                <w:top w:val="none" w:sz="0" w:space="0" w:color="auto"/>
                <w:left w:val="none" w:sz="0" w:space="0" w:color="auto"/>
                <w:bottom w:val="none" w:sz="0" w:space="0" w:color="auto"/>
                <w:right w:val="none" w:sz="0" w:space="0" w:color="auto"/>
              </w:divBdr>
              <w:divsChild>
                <w:div w:id="410855725">
                  <w:marLeft w:val="0"/>
                  <w:marRight w:val="0"/>
                  <w:marTop w:val="0"/>
                  <w:marBottom w:val="0"/>
                  <w:divBdr>
                    <w:top w:val="none" w:sz="0" w:space="0" w:color="auto"/>
                    <w:left w:val="none" w:sz="0" w:space="0" w:color="auto"/>
                    <w:bottom w:val="none" w:sz="0" w:space="0" w:color="auto"/>
                    <w:right w:val="none" w:sz="0" w:space="0" w:color="auto"/>
                  </w:divBdr>
                </w:div>
              </w:divsChild>
            </w:div>
            <w:div w:id="91166415">
              <w:marLeft w:val="0"/>
              <w:marRight w:val="0"/>
              <w:marTop w:val="0"/>
              <w:marBottom w:val="0"/>
              <w:divBdr>
                <w:top w:val="none" w:sz="0" w:space="0" w:color="auto"/>
                <w:left w:val="none" w:sz="0" w:space="0" w:color="auto"/>
                <w:bottom w:val="none" w:sz="0" w:space="0" w:color="auto"/>
                <w:right w:val="none" w:sz="0" w:space="0" w:color="auto"/>
              </w:divBdr>
              <w:divsChild>
                <w:div w:id="13965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2941">
          <w:marLeft w:val="0"/>
          <w:marRight w:val="0"/>
          <w:marTop w:val="0"/>
          <w:marBottom w:val="600"/>
          <w:divBdr>
            <w:top w:val="none" w:sz="0" w:space="0" w:color="auto"/>
            <w:left w:val="none" w:sz="0" w:space="0" w:color="auto"/>
            <w:bottom w:val="none" w:sz="0" w:space="0" w:color="auto"/>
            <w:right w:val="none" w:sz="0" w:space="0" w:color="auto"/>
          </w:divBdr>
        </w:div>
      </w:divsChild>
    </w:div>
    <w:div w:id="1031996817">
      <w:marLeft w:val="0"/>
      <w:marRight w:val="0"/>
      <w:marTop w:val="0"/>
      <w:marBottom w:val="0"/>
      <w:divBdr>
        <w:top w:val="none" w:sz="0" w:space="0" w:color="auto"/>
        <w:left w:val="none" w:sz="0" w:space="0" w:color="auto"/>
        <w:bottom w:val="none" w:sz="0" w:space="0" w:color="auto"/>
        <w:right w:val="none" w:sz="0" w:space="0" w:color="auto"/>
      </w:divBdr>
      <w:divsChild>
        <w:div w:id="2103140718">
          <w:marLeft w:val="0"/>
          <w:marRight w:val="0"/>
          <w:marTop w:val="547"/>
          <w:marBottom w:val="0"/>
          <w:divBdr>
            <w:top w:val="none" w:sz="0" w:space="0" w:color="auto"/>
            <w:left w:val="none" w:sz="0" w:space="0" w:color="auto"/>
            <w:bottom w:val="none" w:sz="0" w:space="0" w:color="auto"/>
            <w:right w:val="none" w:sz="0" w:space="0" w:color="auto"/>
          </w:divBdr>
        </w:div>
        <w:div w:id="1873109480">
          <w:marLeft w:val="0"/>
          <w:marRight w:val="0"/>
          <w:marTop w:val="0"/>
          <w:marBottom w:val="0"/>
          <w:divBdr>
            <w:top w:val="none" w:sz="0" w:space="0" w:color="auto"/>
            <w:left w:val="none" w:sz="0" w:space="0" w:color="auto"/>
            <w:bottom w:val="none" w:sz="0" w:space="0" w:color="auto"/>
            <w:right w:val="none" w:sz="0" w:space="0" w:color="auto"/>
          </w:divBdr>
        </w:div>
        <w:div w:id="518079237">
          <w:marLeft w:val="0"/>
          <w:marRight w:val="0"/>
          <w:marTop w:val="0"/>
          <w:marBottom w:val="600"/>
          <w:divBdr>
            <w:top w:val="none" w:sz="0" w:space="0" w:color="auto"/>
            <w:left w:val="none" w:sz="0" w:space="0" w:color="auto"/>
            <w:bottom w:val="none" w:sz="0" w:space="0" w:color="auto"/>
            <w:right w:val="none" w:sz="0" w:space="0" w:color="auto"/>
          </w:divBdr>
        </w:div>
      </w:divsChild>
    </w:div>
    <w:div w:id="1042092619">
      <w:marLeft w:val="0"/>
      <w:marRight w:val="0"/>
      <w:marTop w:val="0"/>
      <w:marBottom w:val="0"/>
      <w:divBdr>
        <w:top w:val="none" w:sz="0" w:space="0" w:color="auto"/>
        <w:left w:val="none" w:sz="0" w:space="0" w:color="auto"/>
        <w:bottom w:val="none" w:sz="0" w:space="0" w:color="auto"/>
        <w:right w:val="none" w:sz="0" w:space="0" w:color="auto"/>
      </w:divBdr>
      <w:divsChild>
        <w:div w:id="1577595572">
          <w:marLeft w:val="0"/>
          <w:marRight w:val="0"/>
          <w:marTop w:val="547"/>
          <w:marBottom w:val="0"/>
          <w:divBdr>
            <w:top w:val="none" w:sz="0" w:space="0" w:color="auto"/>
            <w:left w:val="none" w:sz="0" w:space="0" w:color="auto"/>
            <w:bottom w:val="none" w:sz="0" w:space="0" w:color="auto"/>
            <w:right w:val="none" w:sz="0" w:space="0" w:color="auto"/>
          </w:divBdr>
        </w:div>
        <w:div w:id="1216048444">
          <w:marLeft w:val="0"/>
          <w:marRight w:val="0"/>
          <w:marTop w:val="0"/>
          <w:marBottom w:val="0"/>
          <w:divBdr>
            <w:top w:val="none" w:sz="0" w:space="0" w:color="auto"/>
            <w:left w:val="none" w:sz="0" w:space="0" w:color="auto"/>
            <w:bottom w:val="none" w:sz="0" w:space="0" w:color="auto"/>
            <w:right w:val="none" w:sz="0" w:space="0" w:color="auto"/>
          </w:divBdr>
        </w:div>
        <w:div w:id="1026368429">
          <w:marLeft w:val="0"/>
          <w:marRight w:val="0"/>
          <w:marTop w:val="0"/>
          <w:marBottom w:val="600"/>
          <w:divBdr>
            <w:top w:val="none" w:sz="0" w:space="0" w:color="auto"/>
            <w:left w:val="none" w:sz="0" w:space="0" w:color="auto"/>
            <w:bottom w:val="none" w:sz="0" w:space="0" w:color="auto"/>
            <w:right w:val="none" w:sz="0" w:space="0" w:color="auto"/>
          </w:divBdr>
        </w:div>
      </w:divsChild>
    </w:div>
    <w:div w:id="1087000315">
      <w:marLeft w:val="0"/>
      <w:marRight w:val="0"/>
      <w:marTop w:val="0"/>
      <w:marBottom w:val="0"/>
      <w:divBdr>
        <w:top w:val="none" w:sz="0" w:space="0" w:color="auto"/>
        <w:left w:val="none" w:sz="0" w:space="0" w:color="auto"/>
        <w:bottom w:val="none" w:sz="0" w:space="0" w:color="auto"/>
        <w:right w:val="none" w:sz="0" w:space="0" w:color="auto"/>
      </w:divBdr>
      <w:divsChild>
        <w:div w:id="1677539659">
          <w:marLeft w:val="0"/>
          <w:marRight w:val="0"/>
          <w:marTop w:val="547"/>
          <w:marBottom w:val="0"/>
          <w:divBdr>
            <w:top w:val="none" w:sz="0" w:space="0" w:color="auto"/>
            <w:left w:val="none" w:sz="0" w:space="0" w:color="auto"/>
            <w:bottom w:val="none" w:sz="0" w:space="0" w:color="auto"/>
            <w:right w:val="none" w:sz="0" w:space="0" w:color="auto"/>
          </w:divBdr>
        </w:div>
        <w:div w:id="2000385400">
          <w:marLeft w:val="0"/>
          <w:marRight w:val="0"/>
          <w:marTop w:val="0"/>
          <w:marBottom w:val="0"/>
          <w:divBdr>
            <w:top w:val="none" w:sz="0" w:space="0" w:color="auto"/>
            <w:left w:val="none" w:sz="0" w:space="0" w:color="auto"/>
            <w:bottom w:val="none" w:sz="0" w:space="0" w:color="auto"/>
            <w:right w:val="none" w:sz="0" w:space="0" w:color="auto"/>
          </w:divBdr>
          <w:divsChild>
            <w:div w:id="359666122">
              <w:marLeft w:val="0"/>
              <w:marRight w:val="0"/>
              <w:marTop w:val="0"/>
              <w:marBottom w:val="0"/>
              <w:divBdr>
                <w:top w:val="none" w:sz="0" w:space="0" w:color="auto"/>
                <w:left w:val="none" w:sz="0" w:space="0" w:color="auto"/>
                <w:bottom w:val="none" w:sz="0" w:space="0" w:color="auto"/>
                <w:right w:val="none" w:sz="0" w:space="0" w:color="auto"/>
              </w:divBdr>
              <w:divsChild>
                <w:div w:id="387263682">
                  <w:marLeft w:val="0"/>
                  <w:marRight w:val="0"/>
                  <w:marTop w:val="0"/>
                  <w:marBottom w:val="0"/>
                  <w:divBdr>
                    <w:top w:val="none" w:sz="0" w:space="0" w:color="auto"/>
                    <w:left w:val="none" w:sz="0" w:space="0" w:color="auto"/>
                    <w:bottom w:val="none" w:sz="0" w:space="0" w:color="auto"/>
                    <w:right w:val="none" w:sz="0" w:space="0" w:color="auto"/>
                  </w:divBdr>
                </w:div>
              </w:divsChild>
            </w:div>
            <w:div w:id="637415520">
              <w:marLeft w:val="0"/>
              <w:marRight w:val="0"/>
              <w:marTop w:val="0"/>
              <w:marBottom w:val="0"/>
              <w:divBdr>
                <w:top w:val="none" w:sz="0" w:space="0" w:color="auto"/>
                <w:left w:val="none" w:sz="0" w:space="0" w:color="auto"/>
                <w:bottom w:val="none" w:sz="0" w:space="0" w:color="auto"/>
                <w:right w:val="none" w:sz="0" w:space="0" w:color="auto"/>
              </w:divBdr>
              <w:divsChild>
                <w:div w:id="109252853">
                  <w:marLeft w:val="0"/>
                  <w:marRight w:val="0"/>
                  <w:marTop w:val="0"/>
                  <w:marBottom w:val="0"/>
                  <w:divBdr>
                    <w:top w:val="none" w:sz="0" w:space="0" w:color="auto"/>
                    <w:left w:val="none" w:sz="0" w:space="0" w:color="auto"/>
                    <w:bottom w:val="none" w:sz="0" w:space="0" w:color="auto"/>
                    <w:right w:val="none" w:sz="0" w:space="0" w:color="auto"/>
                  </w:divBdr>
                </w:div>
              </w:divsChild>
            </w:div>
            <w:div w:id="677660685">
              <w:marLeft w:val="0"/>
              <w:marRight w:val="0"/>
              <w:marTop w:val="0"/>
              <w:marBottom w:val="0"/>
              <w:divBdr>
                <w:top w:val="none" w:sz="0" w:space="0" w:color="auto"/>
                <w:left w:val="none" w:sz="0" w:space="0" w:color="auto"/>
                <w:bottom w:val="none" w:sz="0" w:space="0" w:color="auto"/>
                <w:right w:val="none" w:sz="0" w:space="0" w:color="auto"/>
              </w:divBdr>
              <w:divsChild>
                <w:div w:id="1462920003">
                  <w:marLeft w:val="0"/>
                  <w:marRight w:val="0"/>
                  <w:marTop w:val="0"/>
                  <w:marBottom w:val="0"/>
                  <w:divBdr>
                    <w:top w:val="none" w:sz="0" w:space="0" w:color="auto"/>
                    <w:left w:val="none" w:sz="0" w:space="0" w:color="auto"/>
                    <w:bottom w:val="none" w:sz="0" w:space="0" w:color="auto"/>
                    <w:right w:val="none" w:sz="0" w:space="0" w:color="auto"/>
                  </w:divBdr>
                </w:div>
              </w:divsChild>
            </w:div>
            <w:div w:id="964119927">
              <w:marLeft w:val="0"/>
              <w:marRight w:val="0"/>
              <w:marTop w:val="0"/>
              <w:marBottom w:val="0"/>
              <w:divBdr>
                <w:top w:val="none" w:sz="0" w:space="0" w:color="auto"/>
                <w:left w:val="none" w:sz="0" w:space="0" w:color="auto"/>
                <w:bottom w:val="none" w:sz="0" w:space="0" w:color="auto"/>
                <w:right w:val="none" w:sz="0" w:space="0" w:color="auto"/>
              </w:divBdr>
              <w:divsChild>
                <w:div w:id="1240215150">
                  <w:marLeft w:val="0"/>
                  <w:marRight w:val="0"/>
                  <w:marTop w:val="0"/>
                  <w:marBottom w:val="0"/>
                  <w:divBdr>
                    <w:top w:val="none" w:sz="0" w:space="0" w:color="auto"/>
                    <w:left w:val="none" w:sz="0" w:space="0" w:color="auto"/>
                    <w:bottom w:val="none" w:sz="0" w:space="0" w:color="auto"/>
                    <w:right w:val="none" w:sz="0" w:space="0" w:color="auto"/>
                  </w:divBdr>
                </w:div>
              </w:divsChild>
            </w:div>
            <w:div w:id="1113016642">
              <w:marLeft w:val="0"/>
              <w:marRight w:val="0"/>
              <w:marTop w:val="0"/>
              <w:marBottom w:val="0"/>
              <w:divBdr>
                <w:top w:val="none" w:sz="0" w:space="0" w:color="auto"/>
                <w:left w:val="none" w:sz="0" w:space="0" w:color="auto"/>
                <w:bottom w:val="none" w:sz="0" w:space="0" w:color="auto"/>
                <w:right w:val="none" w:sz="0" w:space="0" w:color="auto"/>
              </w:divBdr>
              <w:divsChild>
                <w:div w:id="1885673495">
                  <w:marLeft w:val="0"/>
                  <w:marRight w:val="0"/>
                  <w:marTop w:val="0"/>
                  <w:marBottom w:val="0"/>
                  <w:divBdr>
                    <w:top w:val="none" w:sz="0" w:space="0" w:color="auto"/>
                    <w:left w:val="none" w:sz="0" w:space="0" w:color="auto"/>
                    <w:bottom w:val="none" w:sz="0" w:space="0" w:color="auto"/>
                    <w:right w:val="none" w:sz="0" w:space="0" w:color="auto"/>
                  </w:divBdr>
                </w:div>
              </w:divsChild>
            </w:div>
            <w:div w:id="1432699044">
              <w:marLeft w:val="0"/>
              <w:marRight w:val="0"/>
              <w:marTop w:val="0"/>
              <w:marBottom w:val="0"/>
              <w:divBdr>
                <w:top w:val="none" w:sz="0" w:space="0" w:color="auto"/>
                <w:left w:val="none" w:sz="0" w:space="0" w:color="auto"/>
                <w:bottom w:val="none" w:sz="0" w:space="0" w:color="auto"/>
                <w:right w:val="none" w:sz="0" w:space="0" w:color="auto"/>
              </w:divBdr>
              <w:divsChild>
                <w:div w:id="1959215131">
                  <w:marLeft w:val="0"/>
                  <w:marRight w:val="0"/>
                  <w:marTop w:val="0"/>
                  <w:marBottom w:val="0"/>
                  <w:divBdr>
                    <w:top w:val="none" w:sz="0" w:space="0" w:color="auto"/>
                    <w:left w:val="none" w:sz="0" w:space="0" w:color="auto"/>
                    <w:bottom w:val="none" w:sz="0" w:space="0" w:color="auto"/>
                    <w:right w:val="none" w:sz="0" w:space="0" w:color="auto"/>
                  </w:divBdr>
                </w:div>
              </w:divsChild>
            </w:div>
            <w:div w:id="1193180261">
              <w:marLeft w:val="0"/>
              <w:marRight w:val="0"/>
              <w:marTop w:val="0"/>
              <w:marBottom w:val="0"/>
              <w:divBdr>
                <w:top w:val="none" w:sz="0" w:space="0" w:color="auto"/>
                <w:left w:val="none" w:sz="0" w:space="0" w:color="auto"/>
                <w:bottom w:val="none" w:sz="0" w:space="0" w:color="auto"/>
                <w:right w:val="none" w:sz="0" w:space="0" w:color="auto"/>
              </w:divBdr>
              <w:divsChild>
                <w:div w:id="1542477468">
                  <w:marLeft w:val="0"/>
                  <w:marRight w:val="0"/>
                  <w:marTop w:val="0"/>
                  <w:marBottom w:val="0"/>
                  <w:divBdr>
                    <w:top w:val="none" w:sz="0" w:space="0" w:color="auto"/>
                    <w:left w:val="none" w:sz="0" w:space="0" w:color="auto"/>
                    <w:bottom w:val="none" w:sz="0" w:space="0" w:color="auto"/>
                    <w:right w:val="none" w:sz="0" w:space="0" w:color="auto"/>
                  </w:divBdr>
                </w:div>
              </w:divsChild>
            </w:div>
            <w:div w:id="2083334265">
              <w:marLeft w:val="0"/>
              <w:marRight w:val="0"/>
              <w:marTop w:val="0"/>
              <w:marBottom w:val="0"/>
              <w:divBdr>
                <w:top w:val="none" w:sz="0" w:space="0" w:color="auto"/>
                <w:left w:val="none" w:sz="0" w:space="0" w:color="auto"/>
                <w:bottom w:val="none" w:sz="0" w:space="0" w:color="auto"/>
                <w:right w:val="none" w:sz="0" w:space="0" w:color="auto"/>
              </w:divBdr>
              <w:divsChild>
                <w:div w:id="1314414248">
                  <w:marLeft w:val="0"/>
                  <w:marRight w:val="0"/>
                  <w:marTop w:val="0"/>
                  <w:marBottom w:val="0"/>
                  <w:divBdr>
                    <w:top w:val="none" w:sz="0" w:space="0" w:color="auto"/>
                    <w:left w:val="none" w:sz="0" w:space="0" w:color="auto"/>
                    <w:bottom w:val="none" w:sz="0" w:space="0" w:color="auto"/>
                    <w:right w:val="none" w:sz="0" w:space="0" w:color="auto"/>
                  </w:divBdr>
                </w:div>
              </w:divsChild>
            </w:div>
            <w:div w:id="1857841188">
              <w:marLeft w:val="0"/>
              <w:marRight w:val="0"/>
              <w:marTop w:val="0"/>
              <w:marBottom w:val="0"/>
              <w:divBdr>
                <w:top w:val="none" w:sz="0" w:space="0" w:color="auto"/>
                <w:left w:val="none" w:sz="0" w:space="0" w:color="auto"/>
                <w:bottom w:val="none" w:sz="0" w:space="0" w:color="auto"/>
                <w:right w:val="none" w:sz="0" w:space="0" w:color="auto"/>
              </w:divBdr>
              <w:divsChild>
                <w:div w:id="1208570485">
                  <w:marLeft w:val="0"/>
                  <w:marRight w:val="0"/>
                  <w:marTop w:val="0"/>
                  <w:marBottom w:val="0"/>
                  <w:divBdr>
                    <w:top w:val="none" w:sz="0" w:space="0" w:color="auto"/>
                    <w:left w:val="none" w:sz="0" w:space="0" w:color="auto"/>
                    <w:bottom w:val="none" w:sz="0" w:space="0" w:color="auto"/>
                    <w:right w:val="none" w:sz="0" w:space="0" w:color="auto"/>
                  </w:divBdr>
                </w:div>
              </w:divsChild>
            </w:div>
            <w:div w:id="1122767164">
              <w:marLeft w:val="0"/>
              <w:marRight w:val="0"/>
              <w:marTop w:val="0"/>
              <w:marBottom w:val="0"/>
              <w:divBdr>
                <w:top w:val="none" w:sz="0" w:space="0" w:color="auto"/>
                <w:left w:val="none" w:sz="0" w:space="0" w:color="auto"/>
                <w:bottom w:val="none" w:sz="0" w:space="0" w:color="auto"/>
                <w:right w:val="none" w:sz="0" w:space="0" w:color="auto"/>
              </w:divBdr>
              <w:divsChild>
                <w:div w:id="1652171940">
                  <w:marLeft w:val="0"/>
                  <w:marRight w:val="0"/>
                  <w:marTop w:val="0"/>
                  <w:marBottom w:val="0"/>
                  <w:divBdr>
                    <w:top w:val="none" w:sz="0" w:space="0" w:color="auto"/>
                    <w:left w:val="none" w:sz="0" w:space="0" w:color="auto"/>
                    <w:bottom w:val="none" w:sz="0" w:space="0" w:color="auto"/>
                    <w:right w:val="none" w:sz="0" w:space="0" w:color="auto"/>
                  </w:divBdr>
                </w:div>
              </w:divsChild>
            </w:div>
            <w:div w:id="311951682">
              <w:marLeft w:val="0"/>
              <w:marRight w:val="0"/>
              <w:marTop w:val="0"/>
              <w:marBottom w:val="0"/>
              <w:divBdr>
                <w:top w:val="none" w:sz="0" w:space="0" w:color="auto"/>
                <w:left w:val="none" w:sz="0" w:space="0" w:color="auto"/>
                <w:bottom w:val="none" w:sz="0" w:space="0" w:color="auto"/>
                <w:right w:val="none" w:sz="0" w:space="0" w:color="auto"/>
              </w:divBdr>
              <w:divsChild>
                <w:div w:id="877932087">
                  <w:marLeft w:val="0"/>
                  <w:marRight w:val="0"/>
                  <w:marTop w:val="0"/>
                  <w:marBottom w:val="0"/>
                  <w:divBdr>
                    <w:top w:val="none" w:sz="0" w:space="0" w:color="auto"/>
                    <w:left w:val="none" w:sz="0" w:space="0" w:color="auto"/>
                    <w:bottom w:val="none" w:sz="0" w:space="0" w:color="auto"/>
                    <w:right w:val="none" w:sz="0" w:space="0" w:color="auto"/>
                  </w:divBdr>
                </w:div>
              </w:divsChild>
            </w:div>
            <w:div w:id="220555983">
              <w:marLeft w:val="0"/>
              <w:marRight w:val="0"/>
              <w:marTop w:val="0"/>
              <w:marBottom w:val="0"/>
              <w:divBdr>
                <w:top w:val="none" w:sz="0" w:space="0" w:color="auto"/>
                <w:left w:val="none" w:sz="0" w:space="0" w:color="auto"/>
                <w:bottom w:val="none" w:sz="0" w:space="0" w:color="auto"/>
                <w:right w:val="none" w:sz="0" w:space="0" w:color="auto"/>
              </w:divBdr>
              <w:divsChild>
                <w:div w:id="1422216338">
                  <w:marLeft w:val="0"/>
                  <w:marRight w:val="0"/>
                  <w:marTop w:val="0"/>
                  <w:marBottom w:val="0"/>
                  <w:divBdr>
                    <w:top w:val="none" w:sz="0" w:space="0" w:color="auto"/>
                    <w:left w:val="none" w:sz="0" w:space="0" w:color="auto"/>
                    <w:bottom w:val="none" w:sz="0" w:space="0" w:color="auto"/>
                    <w:right w:val="none" w:sz="0" w:space="0" w:color="auto"/>
                  </w:divBdr>
                </w:div>
              </w:divsChild>
            </w:div>
            <w:div w:id="1214120653">
              <w:marLeft w:val="0"/>
              <w:marRight w:val="0"/>
              <w:marTop w:val="0"/>
              <w:marBottom w:val="0"/>
              <w:divBdr>
                <w:top w:val="none" w:sz="0" w:space="0" w:color="auto"/>
                <w:left w:val="none" w:sz="0" w:space="0" w:color="auto"/>
                <w:bottom w:val="none" w:sz="0" w:space="0" w:color="auto"/>
                <w:right w:val="none" w:sz="0" w:space="0" w:color="auto"/>
              </w:divBdr>
              <w:divsChild>
                <w:div w:id="553741528">
                  <w:marLeft w:val="0"/>
                  <w:marRight w:val="0"/>
                  <w:marTop w:val="0"/>
                  <w:marBottom w:val="0"/>
                  <w:divBdr>
                    <w:top w:val="none" w:sz="0" w:space="0" w:color="auto"/>
                    <w:left w:val="none" w:sz="0" w:space="0" w:color="auto"/>
                    <w:bottom w:val="none" w:sz="0" w:space="0" w:color="auto"/>
                    <w:right w:val="none" w:sz="0" w:space="0" w:color="auto"/>
                  </w:divBdr>
                </w:div>
              </w:divsChild>
            </w:div>
            <w:div w:id="471601955">
              <w:marLeft w:val="0"/>
              <w:marRight w:val="0"/>
              <w:marTop w:val="0"/>
              <w:marBottom w:val="0"/>
              <w:divBdr>
                <w:top w:val="none" w:sz="0" w:space="0" w:color="auto"/>
                <w:left w:val="none" w:sz="0" w:space="0" w:color="auto"/>
                <w:bottom w:val="none" w:sz="0" w:space="0" w:color="auto"/>
                <w:right w:val="none" w:sz="0" w:space="0" w:color="auto"/>
              </w:divBdr>
              <w:divsChild>
                <w:div w:id="187840893">
                  <w:marLeft w:val="0"/>
                  <w:marRight w:val="0"/>
                  <w:marTop w:val="0"/>
                  <w:marBottom w:val="0"/>
                  <w:divBdr>
                    <w:top w:val="none" w:sz="0" w:space="0" w:color="auto"/>
                    <w:left w:val="none" w:sz="0" w:space="0" w:color="auto"/>
                    <w:bottom w:val="none" w:sz="0" w:space="0" w:color="auto"/>
                    <w:right w:val="none" w:sz="0" w:space="0" w:color="auto"/>
                  </w:divBdr>
                </w:div>
              </w:divsChild>
            </w:div>
            <w:div w:id="1123116119">
              <w:marLeft w:val="0"/>
              <w:marRight w:val="0"/>
              <w:marTop w:val="0"/>
              <w:marBottom w:val="0"/>
              <w:divBdr>
                <w:top w:val="none" w:sz="0" w:space="0" w:color="auto"/>
                <w:left w:val="none" w:sz="0" w:space="0" w:color="auto"/>
                <w:bottom w:val="none" w:sz="0" w:space="0" w:color="auto"/>
                <w:right w:val="none" w:sz="0" w:space="0" w:color="auto"/>
              </w:divBdr>
              <w:divsChild>
                <w:div w:id="1019309232">
                  <w:marLeft w:val="0"/>
                  <w:marRight w:val="0"/>
                  <w:marTop w:val="0"/>
                  <w:marBottom w:val="0"/>
                  <w:divBdr>
                    <w:top w:val="none" w:sz="0" w:space="0" w:color="auto"/>
                    <w:left w:val="none" w:sz="0" w:space="0" w:color="auto"/>
                    <w:bottom w:val="none" w:sz="0" w:space="0" w:color="auto"/>
                    <w:right w:val="none" w:sz="0" w:space="0" w:color="auto"/>
                  </w:divBdr>
                </w:div>
              </w:divsChild>
            </w:div>
            <w:div w:id="1586960568">
              <w:marLeft w:val="0"/>
              <w:marRight w:val="0"/>
              <w:marTop w:val="0"/>
              <w:marBottom w:val="0"/>
              <w:divBdr>
                <w:top w:val="none" w:sz="0" w:space="0" w:color="auto"/>
                <w:left w:val="none" w:sz="0" w:space="0" w:color="auto"/>
                <w:bottom w:val="none" w:sz="0" w:space="0" w:color="auto"/>
                <w:right w:val="none" w:sz="0" w:space="0" w:color="auto"/>
              </w:divBdr>
              <w:divsChild>
                <w:div w:id="1914657921">
                  <w:marLeft w:val="0"/>
                  <w:marRight w:val="0"/>
                  <w:marTop w:val="0"/>
                  <w:marBottom w:val="0"/>
                  <w:divBdr>
                    <w:top w:val="none" w:sz="0" w:space="0" w:color="auto"/>
                    <w:left w:val="none" w:sz="0" w:space="0" w:color="auto"/>
                    <w:bottom w:val="none" w:sz="0" w:space="0" w:color="auto"/>
                    <w:right w:val="none" w:sz="0" w:space="0" w:color="auto"/>
                  </w:divBdr>
                </w:div>
              </w:divsChild>
            </w:div>
            <w:div w:id="1834103379">
              <w:marLeft w:val="0"/>
              <w:marRight w:val="0"/>
              <w:marTop w:val="0"/>
              <w:marBottom w:val="0"/>
              <w:divBdr>
                <w:top w:val="none" w:sz="0" w:space="0" w:color="auto"/>
                <w:left w:val="none" w:sz="0" w:space="0" w:color="auto"/>
                <w:bottom w:val="none" w:sz="0" w:space="0" w:color="auto"/>
                <w:right w:val="none" w:sz="0" w:space="0" w:color="auto"/>
              </w:divBdr>
              <w:divsChild>
                <w:div w:id="1445617400">
                  <w:marLeft w:val="0"/>
                  <w:marRight w:val="0"/>
                  <w:marTop w:val="0"/>
                  <w:marBottom w:val="0"/>
                  <w:divBdr>
                    <w:top w:val="none" w:sz="0" w:space="0" w:color="auto"/>
                    <w:left w:val="none" w:sz="0" w:space="0" w:color="auto"/>
                    <w:bottom w:val="none" w:sz="0" w:space="0" w:color="auto"/>
                    <w:right w:val="none" w:sz="0" w:space="0" w:color="auto"/>
                  </w:divBdr>
                </w:div>
              </w:divsChild>
            </w:div>
            <w:div w:id="572786716">
              <w:marLeft w:val="0"/>
              <w:marRight w:val="0"/>
              <w:marTop w:val="0"/>
              <w:marBottom w:val="0"/>
              <w:divBdr>
                <w:top w:val="none" w:sz="0" w:space="0" w:color="auto"/>
                <w:left w:val="none" w:sz="0" w:space="0" w:color="auto"/>
                <w:bottom w:val="none" w:sz="0" w:space="0" w:color="auto"/>
                <w:right w:val="none" w:sz="0" w:space="0" w:color="auto"/>
              </w:divBdr>
              <w:divsChild>
                <w:div w:id="971207515">
                  <w:marLeft w:val="0"/>
                  <w:marRight w:val="0"/>
                  <w:marTop w:val="0"/>
                  <w:marBottom w:val="0"/>
                  <w:divBdr>
                    <w:top w:val="none" w:sz="0" w:space="0" w:color="auto"/>
                    <w:left w:val="none" w:sz="0" w:space="0" w:color="auto"/>
                    <w:bottom w:val="none" w:sz="0" w:space="0" w:color="auto"/>
                    <w:right w:val="none" w:sz="0" w:space="0" w:color="auto"/>
                  </w:divBdr>
                </w:div>
              </w:divsChild>
            </w:div>
            <w:div w:id="760104569">
              <w:marLeft w:val="0"/>
              <w:marRight w:val="0"/>
              <w:marTop w:val="0"/>
              <w:marBottom w:val="0"/>
              <w:divBdr>
                <w:top w:val="none" w:sz="0" w:space="0" w:color="auto"/>
                <w:left w:val="none" w:sz="0" w:space="0" w:color="auto"/>
                <w:bottom w:val="none" w:sz="0" w:space="0" w:color="auto"/>
                <w:right w:val="none" w:sz="0" w:space="0" w:color="auto"/>
              </w:divBdr>
              <w:divsChild>
                <w:div w:id="698121052">
                  <w:marLeft w:val="0"/>
                  <w:marRight w:val="0"/>
                  <w:marTop w:val="0"/>
                  <w:marBottom w:val="0"/>
                  <w:divBdr>
                    <w:top w:val="none" w:sz="0" w:space="0" w:color="auto"/>
                    <w:left w:val="none" w:sz="0" w:space="0" w:color="auto"/>
                    <w:bottom w:val="none" w:sz="0" w:space="0" w:color="auto"/>
                    <w:right w:val="none" w:sz="0" w:space="0" w:color="auto"/>
                  </w:divBdr>
                </w:div>
              </w:divsChild>
            </w:div>
            <w:div w:id="1040974655">
              <w:marLeft w:val="0"/>
              <w:marRight w:val="0"/>
              <w:marTop w:val="0"/>
              <w:marBottom w:val="0"/>
              <w:divBdr>
                <w:top w:val="none" w:sz="0" w:space="0" w:color="auto"/>
                <w:left w:val="none" w:sz="0" w:space="0" w:color="auto"/>
                <w:bottom w:val="none" w:sz="0" w:space="0" w:color="auto"/>
                <w:right w:val="none" w:sz="0" w:space="0" w:color="auto"/>
              </w:divBdr>
              <w:divsChild>
                <w:div w:id="527138279">
                  <w:marLeft w:val="0"/>
                  <w:marRight w:val="0"/>
                  <w:marTop w:val="0"/>
                  <w:marBottom w:val="0"/>
                  <w:divBdr>
                    <w:top w:val="none" w:sz="0" w:space="0" w:color="auto"/>
                    <w:left w:val="none" w:sz="0" w:space="0" w:color="auto"/>
                    <w:bottom w:val="none" w:sz="0" w:space="0" w:color="auto"/>
                    <w:right w:val="none" w:sz="0" w:space="0" w:color="auto"/>
                  </w:divBdr>
                </w:div>
              </w:divsChild>
            </w:div>
            <w:div w:id="1699895097">
              <w:marLeft w:val="0"/>
              <w:marRight w:val="0"/>
              <w:marTop w:val="0"/>
              <w:marBottom w:val="0"/>
              <w:divBdr>
                <w:top w:val="none" w:sz="0" w:space="0" w:color="auto"/>
                <w:left w:val="none" w:sz="0" w:space="0" w:color="auto"/>
                <w:bottom w:val="none" w:sz="0" w:space="0" w:color="auto"/>
                <w:right w:val="none" w:sz="0" w:space="0" w:color="auto"/>
              </w:divBdr>
              <w:divsChild>
                <w:div w:id="2122920733">
                  <w:marLeft w:val="0"/>
                  <w:marRight w:val="0"/>
                  <w:marTop w:val="0"/>
                  <w:marBottom w:val="0"/>
                  <w:divBdr>
                    <w:top w:val="none" w:sz="0" w:space="0" w:color="auto"/>
                    <w:left w:val="none" w:sz="0" w:space="0" w:color="auto"/>
                    <w:bottom w:val="none" w:sz="0" w:space="0" w:color="auto"/>
                    <w:right w:val="none" w:sz="0" w:space="0" w:color="auto"/>
                  </w:divBdr>
                </w:div>
              </w:divsChild>
            </w:div>
            <w:div w:id="217518926">
              <w:marLeft w:val="0"/>
              <w:marRight w:val="0"/>
              <w:marTop w:val="0"/>
              <w:marBottom w:val="0"/>
              <w:divBdr>
                <w:top w:val="none" w:sz="0" w:space="0" w:color="auto"/>
                <w:left w:val="none" w:sz="0" w:space="0" w:color="auto"/>
                <w:bottom w:val="none" w:sz="0" w:space="0" w:color="auto"/>
                <w:right w:val="none" w:sz="0" w:space="0" w:color="auto"/>
              </w:divBdr>
              <w:divsChild>
                <w:div w:id="1079861191">
                  <w:marLeft w:val="0"/>
                  <w:marRight w:val="0"/>
                  <w:marTop w:val="0"/>
                  <w:marBottom w:val="0"/>
                  <w:divBdr>
                    <w:top w:val="none" w:sz="0" w:space="0" w:color="auto"/>
                    <w:left w:val="none" w:sz="0" w:space="0" w:color="auto"/>
                    <w:bottom w:val="none" w:sz="0" w:space="0" w:color="auto"/>
                    <w:right w:val="none" w:sz="0" w:space="0" w:color="auto"/>
                  </w:divBdr>
                </w:div>
              </w:divsChild>
            </w:div>
            <w:div w:id="1678271517">
              <w:marLeft w:val="0"/>
              <w:marRight w:val="0"/>
              <w:marTop w:val="0"/>
              <w:marBottom w:val="0"/>
              <w:divBdr>
                <w:top w:val="none" w:sz="0" w:space="0" w:color="auto"/>
                <w:left w:val="none" w:sz="0" w:space="0" w:color="auto"/>
                <w:bottom w:val="none" w:sz="0" w:space="0" w:color="auto"/>
                <w:right w:val="none" w:sz="0" w:space="0" w:color="auto"/>
              </w:divBdr>
              <w:divsChild>
                <w:div w:id="614868156">
                  <w:marLeft w:val="0"/>
                  <w:marRight w:val="0"/>
                  <w:marTop w:val="0"/>
                  <w:marBottom w:val="0"/>
                  <w:divBdr>
                    <w:top w:val="none" w:sz="0" w:space="0" w:color="auto"/>
                    <w:left w:val="none" w:sz="0" w:space="0" w:color="auto"/>
                    <w:bottom w:val="none" w:sz="0" w:space="0" w:color="auto"/>
                    <w:right w:val="none" w:sz="0" w:space="0" w:color="auto"/>
                  </w:divBdr>
                </w:div>
              </w:divsChild>
            </w:div>
            <w:div w:id="1920670320">
              <w:marLeft w:val="0"/>
              <w:marRight w:val="0"/>
              <w:marTop w:val="0"/>
              <w:marBottom w:val="0"/>
              <w:divBdr>
                <w:top w:val="none" w:sz="0" w:space="0" w:color="auto"/>
                <w:left w:val="none" w:sz="0" w:space="0" w:color="auto"/>
                <w:bottom w:val="none" w:sz="0" w:space="0" w:color="auto"/>
                <w:right w:val="none" w:sz="0" w:space="0" w:color="auto"/>
              </w:divBdr>
              <w:divsChild>
                <w:div w:id="1682856065">
                  <w:marLeft w:val="0"/>
                  <w:marRight w:val="0"/>
                  <w:marTop w:val="0"/>
                  <w:marBottom w:val="0"/>
                  <w:divBdr>
                    <w:top w:val="none" w:sz="0" w:space="0" w:color="auto"/>
                    <w:left w:val="none" w:sz="0" w:space="0" w:color="auto"/>
                    <w:bottom w:val="none" w:sz="0" w:space="0" w:color="auto"/>
                    <w:right w:val="none" w:sz="0" w:space="0" w:color="auto"/>
                  </w:divBdr>
                </w:div>
              </w:divsChild>
            </w:div>
            <w:div w:id="649409307">
              <w:marLeft w:val="0"/>
              <w:marRight w:val="0"/>
              <w:marTop w:val="0"/>
              <w:marBottom w:val="0"/>
              <w:divBdr>
                <w:top w:val="none" w:sz="0" w:space="0" w:color="auto"/>
                <w:left w:val="none" w:sz="0" w:space="0" w:color="auto"/>
                <w:bottom w:val="none" w:sz="0" w:space="0" w:color="auto"/>
                <w:right w:val="none" w:sz="0" w:space="0" w:color="auto"/>
              </w:divBdr>
              <w:divsChild>
                <w:div w:id="11515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0199">
          <w:marLeft w:val="0"/>
          <w:marRight w:val="0"/>
          <w:marTop w:val="0"/>
          <w:marBottom w:val="600"/>
          <w:divBdr>
            <w:top w:val="none" w:sz="0" w:space="0" w:color="auto"/>
            <w:left w:val="none" w:sz="0" w:space="0" w:color="auto"/>
            <w:bottom w:val="none" w:sz="0" w:space="0" w:color="auto"/>
            <w:right w:val="none" w:sz="0" w:space="0" w:color="auto"/>
          </w:divBdr>
        </w:div>
      </w:divsChild>
    </w:div>
    <w:div w:id="1136679080">
      <w:marLeft w:val="0"/>
      <w:marRight w:val="0"/>
      <w:marTop w:val="0"/>
      <w:marBottom w:val="0"/>
      <w:divBdr>
        <w:top w:val="none" w:sz="0" w:space="0" w:color="auto"/>
        <w:left w:val="none" w:sz="0" w:space="0" w:color="auto"/>
        <w:bottom w:val="none" w:sz="0" w:space="0" w:color="auto"/>
        <w:right w:val="none" w:sz="0" w:space="0" w:color="auto"/>
      </w:divBdr>
      <w:divsChild>
        <w:div w:id="2031487537">
          <w:marLeft w:val="0"/>
          <w:marRight w:val="0"/>
          <w:marTop w:val="547"/>
          <w:marBottom w:val="0"/>
          <w:divBdr>
            <w:top w:val="none" w:sz="0" w:space="0" w:color="auto"/>
            <w:left w:val="none" w:sz="0" w:space="0" w:color="auto"/>
            <w:bottom w:val="none" w:sz="0" w:space="0" w:color="auto"/>
            <w:right w:val="none" w:sz="0" w:space="0" w:color="auto"/>
          </w:divBdr>
        </w:div>
        <w:div w:id="276789493">
          <w:marLeft w:val="0"/>
          <w:marRight w:val="0"/>
          <w:marTop w:val="0"/>
          <w:marBottom w:val="0"/>
          <w:divBdr>
            <w:top w:val="none" w:sz="0" w:space="0" w:color="auto"/>
            <w:left w:val="none" w:sz="0" w:space="0" w:color="auto"/>
            <w:bottom w:val="none" w:sz="0" w:space="0" w:color="auto"/>
            <w:right w:val="none" w:sz="0" w:space="0" w:color="auto"/>
          </w:divBdr>
        </w:div>
        <w:div w:id="10229179">
          <w:marLeft w:val="0"/>
          <w:marRight w:val="0"/>
          <w:marTop w:val="0"/>
          <w:marBottom w:val="600"/>
          <w:divBdr>
            <w:top w:val="none" w:sz="0" w:space="0" w:color="auto"/>
            <w:left w:val="none" w:sz="0" w:space="0" w:color="auto"/>
            <w:bottom w:val="none" w:sz="0" w:space="0" w:color="auto"/>
            <w:right w:val="none" w:sz="0" w:space="0" w:color="auto"/>
          </w:divBdr>
        </w:div>
      </w:divsChild>
    </w:div>
    <w:div w:id="1137145643">
      <w:marLeft w:val="0"/>
      <w:marRight w:val="0"/>
      <w:marTop w:val="0"/>
      <w:marBottom w:val="0"/>
      <w:divBdr>
        <w:top w:val="none" w:sz="0" w:space="0" w:color="auto"/>
        <w:left w:val="none" w:sz="0" w:space="0" w:color="auto"/>
        <w:bottom w:val="none" w:sz="0" w:space="0" w:color="auto"/>
        <w:right w:val="none" w:sz="0" w:space="0" w:color="auto"/>
      </w:divBdr>
      <w:divsChild>
        <w:div w:id="456070602">
          <w:marLeft w:val="0"/>
          <w:marRight w:val="0"/>
          <w:marTop w:val="547"/>
          <w:marBottom w:val="0"/>
          <w:divBdr>
            <w:top w:val="none" w:sz="0" w:space="0" w:color="auto"/>
            <w:left w:val="none" w:sz="0" w:space="0" w:color="auto"/>
            <w:bottom w:val="none" w:sz="0" w:space="0" w:color="auto"/>
            <w:right w:val="none" w:sz="0" w:space="0" w:color="auto"/>
          </w:divBdr>
        </w:div>
        <w:div w:id="1725132669">
          <w:marLeft w:val="0"/>
          <w:marRight w:val="0"/>
          <w:marTop w:val="0"/>
          <w:marBottom w:val="0"/>
          <w:divBdr>
            <w:top w:val="none" w:sz="0" w:space="0" w:color="auto"/>
            <w:left w:val="none" w:sz="0" w:space="0" w:color="auto"/>
            <w:bottom w:val="none" w:sz="0" w:space="0" w:color="auto"/>
            <w:right w:val="none" w:sz="0" w:space="0" w:color="auto"/>
          </w:divBdr>
        </w:div>
        <w:div w:id="649217204">
          <w:marLeft w:val="0"/>
          <w:marRight w:val="0"/>
          <w:marTop w:val="0"/>
          <w:marBottom w:val="600"/>
          <w:divBdr>
            <w:top w:val="none" w:sz="0" w:space="0" w:color="auto"/>
            <w:left w:val="none" w:sz="0" w:space="0" w:color="auto"/>
            <w:bottom w:val="none" w:sz="0" w:space="0" w:color="auto"/>
            <w:right w:val="none" w:sz="0" w:space="0" w:color="auto"/>
          </w:divBdr>
        </w:div>
      </w:divsChild>
    </w:div>
    <w:div w:id="1239091702">
      <w:marLeft w:val="0"/>
      <w:marRight w:val="0"/>
      <w:marTop w:val="0"/>
      <w:marBottom w:val="0"/>
      <w:divBdr>
        <w:top w:val="none" w:sz="0" w:space="0" w:color="auto"/>
        <w:left w:val="none" w:sz="0" w:space="0" w:color="auto"/>
        <w:bottom w:val="none" w:sz="0" w:space="0" w:color="auto"/>
        <w:right w:val="none" w:sz="0" w:space="0" w:color="auto"/>
      </w:divBdr>
      <w:divsChild>
        <w:div w:id="833885521">
          <w:marLeft w:val="0"/>
          <w:marRight w:val="0"/>
          <w:marTop w:val="547"/>
          <w:marBottom w:val="0"/>
          <w:divBdr>
            <w:top w:val="none" w:sz="0" w:space="0" w:color="auto"/>
            <w:left w:val="none" w:sz="0" w:space="0" w:color="auto"/>
            <w:bottom w:val="none" w:sz="0" w:space="0" w:color="auto"/>
            <w:right w:val="none" w:sz="0" w:space="0" w:color="auto"/>
          </w:divBdr>
        </w:div>
        <w:div w:id="516694864">
          <w:marLeft w:val="0"/>
          <w:marRight w:val="0"/>
          <w:marTop w:val="0"/>
          <w:marBottom w:val="0"/>
          <w:divBdr>
            <w:top w:val="none" w:sz="0" w:space="0" w:color="auto"/>
            <w:left w:val="none" w:sz="0" w:space="0" w:color="auto"/>
            <w:bottom w:val="none" w:sz="0" w:space="0" w:color="auto"/>
            <w:right w:val="none" w:sz="0" w:space="0" w:color="auto"/>
          </w:divBdr>
          <w:divsChild>
            <w:div w:id="886336072">
              <w:marLeft w:val="0"/>
              <w:marRight w:val="0"/>
              <w:marTop w:val="0"/>
              <w:marBottom w:val="0"/>
              <w:divBdr>
                <w:top w:val="none" w:sz="0" w:space="0" w:color="auto"/>
                <w:left w:val="none" w:sz="0" w:space="0" w:color="auto"/>
                <w:bottom w:val="none" w:sz="0" w:space="0" w:color="auto"/>
                <w:right w:val="none" w:sz="0" w:space="0" w:color="auto"/>
              </w:divBdr>
              <w:divsChild>
                <w:div w:id="13576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648">
          <w:marLeft w:val="0"/>
          <w:marRight w:val="0"/>
          <w:marTop w:val="0"/>
          <w:marBottom w:val="600"/>
          <w:divBdr>
            <w:top w:val="none" w:sz="0" w:space="0" w:color="auto"/>
            <w:left w:val="none" w:sz="0" w:space="0" w:color="auto"/>
            <w:bottom w:val="none" w:sz="0" w:space="0" w:color="auto"/>
            <w:right w:val="none" w:sz="0" w:space="0" w:color="auto"/>
          </w:divBdr>
        </w:div>
      </w:divsChild>
    </w:div>
    <w:div w:id="1299578956">
      <w:marLeft w:val="0"/>
      <w:marRight w:val="0"/>
      <w:marTop w:val="0"/>
      <w:marBottom w:val="0"/>
      <w:divBdr>
        <w:top w:val="none" w:sz="0" w:space="0" w:color="auto"/>
        <w:left w:val="none" w:sz="0" w:space="0" w:color="auto"/>
        <w:bottom w:val="none" w:sz="0" w:space="0" w:color="auto"/>
        <w:right w:val="none" w:sz="0" w:space="0" w:color="auto"/>
      </w:divBdr>
      <w:divsChild>
        <w:div w:id="1926568740">
          <w:marLeft w:val="0"/>
          <w:marRight w:val="0"/>
          <w:marTop w:val="547"/>
          <w:marBottom w:val="0"/>
          <w:divBdr>
            <w:top w:val="none" w:sz="0" w:space="0" w:color="auto"/>
            <w:left w:val="none" w:sz="0" w:space="0" w:color="auto"/>
            <w:bottom w:val="none" w:sz="0" w:space="0" w:color="auto"/>
            <w:right w:val="none" w:sz="0" w:space="0" w:color="auto"/>
          </w:divBdr>
        </w:div>
        <w:div w:id="1388529006">
          <w:marLeft w:val="0"/>
          <w:marRight w:val="0"/>
          <w:marTop w:val="0"/>
          <w:marBottom w:val="0"/>
          <w:divBdr>
            <w:top w:val="none" w:sz="0" w:space="0" w:color="auto"/>
            <w:left w:val="none" w:sz="0" w:space="0" w:color="auto"/>
            <w:bottom w:val="none" w:sz="0" w:space="0" w:color="auto"/>
            <w:right w:val="none" w:sz="0" w:space="0" w:color="auto"/>
          </w:divBdr>
          <w:divsChild>
            <w:div w:id="1194076398">
              <w:marLeft w:val="0"/>
              <w:marRight w:val="0"/>
              <w:marTop w:val="0"/>
              <w:marBottom w:val="0"/>
              <w:divBdr>
                <w:top w:val="none" w:sz="0" w:space="0" w:color="auto"/>
                <w:left w:val="none" w:sz="0" w:space="0" w:color="auto"/>
                <w:bottom w:val="none" w:sz="0" w:space="0" w:color="auto"/>
                <w:right w:val="none" w:sz="0" w:space="0" w:color="auto"/>
              </w:divBdr>
              <w:divsChild>
                <w:div w:id="1330407727">
                  <w:marLeft w:val="0"/>
                  <w:marRight w:val="0"/>
                  <w:marTop w:val="0"/>
                  <w:marBottom w:val="0"/>
                  <w:divBdr>
                    <w:top w:val="none" w:sz="0" w:space="0" w:color="auto"/>
                    <w:left w:val="none" w:sz="0" w:space="0" w:color="auto"/>
                    <w:bottom w:val="none" w:sz="0" w:space="0" w:color="auto"/>
                    <w:right w:val="none" w:sz="0" w:space="0" w:color="auto"/>
                  </w:divBdr>
                </w:div>
              </w:divsChild>
            </w:div>
            <w:div w:id="1715033909">
              <w:marLeft w:val="0"/>
              <w:marRight w:val="0"/>
              <w:marTop w:val="0"/>
              <w:marBottom w:val="0"/>
              <w:divBdr>
                <w:top w:val="none" w:sz="0" w:space="0" w:color="auto"/>
                <w:left w:val="none" w:sz="0" w:space="0" w:color="auto"/>
                <w:bottom w:val="none" w:sz="0" w:space="0" w:color="auto"/>
                <w:right w:val="none" w:sz="0" w:space="0" w:color="auto"/>
              </w:divBdr>
              <w:divsChild>
                <w:div w:id="1390618256">
                  <w:marLeft w:val="0"/>
                  <w:marRight w:val="0"/>
                  <w:marTop w:val="0"/>
                  <w:marBottom w:val="0"/>
                  <w:divBdr>
                    <w:top w:val="none" w:sz="0" w:space="0" w:color="auto"/>
                    <w:left w:val="none" w:sz="0" w:space="0" w:color="auto"/>
                    <w:bottom w:val="none" w:sz="0" w:space="0" w:color="auto"/>
                    <w:right w:val="none" w:sz="0" w:space="0" w:color="auto"/>
                  </w:divBdr>
                </w:div>
              </w:divsChild>
            </w:div>
            <w:div w:id="973755793">
              <w:marLeft w:val="0"/>
              <w:marRight w:val="0"/>
              <w:marTop w:val="0"/>
              <w:marBottom w:val="0"/>
              <w:divBdr>
                <w:top w:val="none" w:sz="0" w:space="0" w:color="auto"/>
                <w:left w:val="none" w:sz="0" w:space="0" w:color="auto"/>
                <w:bottom w:val="none" w:sz="0" w:space="0" w:color="auto"/>
                <w:right w:val="none" w:sz="0" w:space="0" w:color="auto"/>
              </w:divBdr>
              <w:divsChild>
                <w:div w:id="700712051">
                  <w:marLeft w:val="0"/>
                  <w:marRight w:val="0"/>
                  <w:marTop w:val="0"/>
                  <w:marBottom w:val="0"/>
                  <w:divBdr>
                    <w:top w:val="none" w:sz="0" w:space="0" w:color="auto"/>
                    <w:left w:val="none" w:sz="0" w:space="0" w:color="auto"/>
                    <w:bottom w:val="none" w:sz="0" w:space="0" w:color="auto"/>
                    <w:right w:val="none" w:sz="0" w:space="0" w:color="auto"/>
                  </w:divBdr>
                </w:div>
              </w:divsChild>
            </w:div>
            <w:div w:id="701324834">
              <w:marLeft w:val="0"/>
              <w:marRight w:val="0"/>
              <w:marTop w:val="0"/>
              <w:marBottom w:val="0"/>
              <w:divBdr>
                <w:top w:val="none" w:sz="0" w:space="0" w:color="auto"/>
                <w:left w:val="none" w:sz="0" w:space="0" w:color="auto"/>
                <w:bottom w:val="none" w:sz="0" w:space="0" w:color="auto"/>
                <w:right w:val="none" w:sz="0" w:space="0" w:color="auto"/>
              </w:divBdr>
              <w:divsChild>
                <w:div w:id="822506425">
                  <w:marLeft w:val="0"/>
                  <w:marRight w:val="0"/>
                  <w:marTop w:val="0"/>
                  <w:marBottom w:val="0"/>
                  <w:divBdr>
                    <w:top w:val="none" w:sz="0" w:space="0" w:color="auto"/>
                    <w:left w:val="none" w:sz="0" w:space="0" w:color="auto"/>
                    <w:bottom w:val="none" w:sz="0" w:space="0" w:color="auto"/>
                    <w:right w:val="none" w:sz="0" w:space="0" w:color="auto"/>
                  </w:divBdr>
                </w:div>
              </w:divsChild>
            </w:div>
            <w:div w:id="691302594">
              <w:marLeft w:val="0"/>
              <w:marRight w:val="0"/>
              <w:marTop w:val="0"/>
              <w:marBottom w:val="0"/>
              <w:divBdr>
                <w:top w:val="none" w:sz="0" w:space="0" w:color="auto"/>
                <w:left w:val="none" w:sz="0" w:space="0" w:color="auto"/>
                <w:bottom w:val="none" w:sz="0" w:space="0" w:color="auto"/>
                <w:right w:val="none" w:sz="0" w:space="0" w:color="auto"/>
              </w:divBdr>
              <w:divsChild>
                <w:div w:id="1686858006">
                  <w:marLeft w:val="0"/>
                  <w:marRight w:val="0"/>
                  <w:marTop w:val="0"/>
                  <w:marBottom w:val="0"/>
                  <w:divBdr>
                    <w:top w:val="none" w:sz="0" w:space="0" w:color="auto"/>
                    <w:left w:val="none" w:sz="0" w:space="0" w:color="auto"/>
                    <w:bottom w:val="none" w:sz="0" w:space="0" w:color="auto"/>
                    <w:right w:val="none" w:sz="0" w:space="0" w:color="auto"/>
                  </w:divBdr>
                </w:div>
              </w:divsChild>
            </w:div>
            <w:div w:id="1734501081">
              <w:marLeft w:val="0"/>
              <w:marRight w:val="0"/>
              <w:marTop w:val="0"/>
              <w:marBottom w:val="0"/>
              <w:divBdr>
                <w:top w:val="none" w:sz="0" w:space="0" w:color="auto"/>
                <w:left w:val="none" w:sz="0" w:space="0" w:color="auto"/>
                <w:bottom w:val="none" w:sz="0" w:space="0" w:color="auto"/>
                <w:right w:val="none" w:sz="0" w:space="0" w:color="auto"/>
              </w:divBdr>
              <w:divsChild>
                <w:div w:id="1878857749">
                  <w:marLeft w:val="0"/>
                  <w:marRight w:val="0"/>
                  <w:marTop w:val="0"/>
                  <w:marBottom w:val="0"/>
                  <w:divBdr>
                    <w:top w:val="none" w:sz="0" w:space="0" w:color="auto"/>
                    <w:left w:val="none" w:sz="0" w:space="0" w:color="auto"/>
                    <w:bottom w:val="none" w:sz="0" w:space="0" w:color="auto"/>
                    <w:right w:val="none" w:sz="0" w:space="0" w:color="auto"/>
                  </w:divBdr>
                </w:div>
              </w:divsChild>
            </w:div>
            <w:div w:id="967508915">
              <w:marLeft w:val="0"/>
              <w:marRight w:val="0"/>
              <w:marTop w:val="0"/>
              <w:marBottom w:val="0"/>
              <w:divBdr>
                <w:top w:val="none" w:sz="0" w:space="0" w:color="auto"/>
                <w:left w:val="none" w:sz="0" w:space="0" w:color="auto"/>
                <w:bottom w:val="none" w:sz="0" w:space="0" w:color="auto"/>
                <w:right w:val="none" w:sz="0" w:space="0" w:color="auto"/>
              </w:divBdr>
              <w:divsChild>
                <w:div w:id="833842812">
                  <w:marLeft w:val="0"/>
                  <w:marRight w:val="0"/>
                  <w:marTop w:val="0"/>
                  <w:marBottom w:val="0"/>
                  <w:divBdr>
                    <w:top w:val="none" w:sz="0" w:space="0" w:color="auto"/>
                    <w:left w:val="none" w:sz="0" w:space="0" w:color="auto"/>
                    <w:bottom w:val="none" w:sz="0" w:space="0" w:color="auto"/>
                    <w:right w:val="none" w:sz="0" w:space="0" w:color="auto"/>
                  </w:divBdr>
                </w:div>
              </w:divsChild>
            </w:div>
            <w:div w:id="301346517">
              <w:marLeft w:val="0"/>
              <w:marRight w:val="0"/>
              <w:marTop w:val="0"/>
              <w:marBottom w:val="0"/>
              <w:divBdr>
                <w:top w:val="none" w:sz="0" w:space="0" w:color="auto"/>
                <w:left w:val="none" w:sz="0" w:space="0" w:color="auto"/>
                <w:bottom w:val="none" w:sz="0" w:space="0" w:color="auto"/>
                <w:right w:val="none" w:sz="0" w:space="0" w:color="auto"/>
              </w:divBdr>
              <w:divsChild>
                <w:div w:id="1909613222">
                  <w:marLeft w:val="0"/>
                  <w:marRight w:val="0"/>
                  <w:marTop w:val="0"/>
                  <w:marBottom w:val="0"/>
                  <w:divBdr>
                    <w:top w:val="none" w:sz="0" w:space="0" w:color="auto"/>
                    <w:left w:val="none" w:sz="0" w:space="0" w:color="auto"/>
                    <w:bottom w:val="none" w:sz="0" w:space="0" w:color="auto"/>
                    <w:right w:val="none" w:sz="0" w:space="0" w:color="auto"/>
                  </w:divBdr>
                </w:div>
              </w:divsChild>
            </w:div>
            <w:div w:id="271473059">
              <w:marLeft w:val="0"/>
              <w:marRight w:val="0"/>
              <w:marTop w:val="0"/>
              <w:marBottom w:val="0"/>
              <w:divBdr>
                <w:top w:val="none" w:sz="0" w:space="0" w:color="auto"/>
                <w:left w:val="none" w:sz="0" w:space="0" w:color="auto"/>
                <w:bottom w:val="none" w:sz="0" w:space="0" w:color="auto"/>
                <w:right w:val="none" w:sz="0" w:space="0" w:color="auto"/>
              </w:divBdr>
              <w:divsChild>
                <w:div w:id="903949339">
                  <w:marLeft w:val="0"/>
                  <w:marRight w:val="0"/>
                  <w:marTop w:val="0"/>
                  <w:marBottom w:val="0"/>
                  <w:divBdr>
                    <w:top w:val="none" w:sz="0" w:space="0" w:color="auto"/>
                    <w:left w:val="none" w:sz="0" w:space="0" w:color="auto"/>
                    <w:bottom w:val="none" w:sz="0" w:space="0" w:color="auto"/>
                    <w:right w:val="none" w:sz="0" w:space="0" w:color="auto"/>
                  </w:divBdr>
                </w:div>
              </w:divsChild>
            </w:div>
            <w:div w:id="1165508666">
              <w:marLeft w:val="0"/>
              <w:marRight w:val="0"/>
              <w:marTop w:val="0"/>
              <w:marBottom w:val="0"/>
              <w:divBdr>
                <w:top w:val="none" w:sz="0" w:space="0" w:color="auto"/>
                <w:left w:val="none" w:sz="0" w:space="0" w:color="auto"/>
                <w:bottom w:val="none" w:sz="0" w:space="0" w:color="auto"/>
                <w:right w:val="none" w:sz="0" w:space="0" w:color="auto"/>
              </w:divBdr>
              <w:divsChild>
                <w:div w:id="1647197754">
                  <w:marLeft w:val="0"/>
                  <w:marRight w:val="0"/>
                  <w:marTop w:val="0"/>
                  <w:marBottom w:val="0"/>
                  <w:divBdr>
                    <w:top w:val="none" w:sz="0" w:space="0" w:color="auto"/>
                    <w:left w:val="none" w:sz="0" w:space="0" w:color="auto"/>
                    <w:bottom w:val="none" w:sz="0" w:space="0" w:color="auto"/>
                    <w:right w:val="none" w:sz="0" w:space="0" w:color="auto"/>
                  </w:divBdr>
                </w:div>
              </w:divsChild>
            </w:div>
            <w:div w:id="798256893">
              <w:marLeft w:val="0"/>
              <w:marRight w:val="0"/>
              <w:marTop w:val="0"/>
              <w:marBottom w:val="0"/>
              <w:divBdr>
                <w:top w:val="none" w:sz="0" w:space="0" w:color="auto"/>
                <w:left w:val="none" w:sz="0" w:space="0" w:color="auto"/>
                <w:bottom w:val="none" w:sz="0" w:space="0" w:color="auto"/>
                <w:right w:val="none" w:sz="0" w:space="0" w:color="auto"/>
              </w:divBdr>
              <w:divsChild>
                <w:div w:id="46151285">
                  <w:marLeft w:val="0"/>
                  <w:marRight w:val="0"/>
                  <w:marTop w:val="0"/>
                  <w:marBottom w:val="0"/>
                  <w:divBdr>
                    <w:top w:val="none" w:sz="0" w:space="0" w:color="auto"/>
                    <w:left w:val="none" w:sz="0" w:space="0" w:color="auto"/>
                    <w:bottom w:val="none" w:sz="0" w:space="0" w:color="auto"/>
                    <w:right w:val="none" w:sz="0" w:space="0" w:color="auto"/>
                  </w:divBdr>
                </w:div>
              </w:divsChild>
            </w:div>
            <w:div w:id="1947229015">
              <w:marLeft w:val="0"/>
              <w:marRight w:val="0"/>
              <w:marTop w:val="0"/>
              <w:marBottom w:val="0"/>
              <w:divBdr>
                <w:top w:val="none" w:sz="0" w:space="0" w:color="auto"/>
                <w:left w:val="none" w:sz="0" w:space="0" w:color="auto"/>
                <w:bottom w:val="none" w:sz="0" w:space="0" w:color="auto"/>
                <w:right w:val="none" w:sz="0" w:space="0" w:color="auto"/>
              </w:divBdr>
              <w:divsChild>
                <w:div w:id="2140492839">
                  <w:marLeft w:val="0"/>
                  <w:marRight w:val="0"/>
                  <w:marTop w:val="0"/>
                  <w:marBottom w:val="0"/>
                  <w:divBdr>
                    <w:top w:val="none" w:sz="0" w:space="0" w:color="auto"/>
                    <w:left w:val="none" w:sz="0" w:space="0" w:color="auto"/>
                    <w:bottom w:val="none" w:sz="0" w:space="0" w:color="auto"/>
                    <w:right w:val="none" w:sz="0" w:space="0" w:color="auto"/>
                  </w:divBdr>
                </w:div>
              </w:divsChild>
            </w:div>
            <w:div w:id="1367215407">
              <w:marLeft w:val="0"/>
              <w:marRight w:val="0"/>
              <w:marTop w:val="0"/>
              <w:marBottom w:val="0"/>
              <w:divBdr>
                <w:top w:val="none" w:sz="0" w:space="0" w:color="auto"/>
                <w:left w:val="none" w:sz="0" w:space="0" w:color="auto"/>
                <w:bottom w:val="none" w:sz="0" w:space="0" w:color="auto"/>
                <w:right w:val="none" w:sz="0" w:space="0" w:color="auto"/>
              </w:divBdr>
              <w:divsChild>
                <w:div w:id="1037924192">
                  <w:marLeft w:val="0"/>
                  <w:marRight w:val="0"/>
                  <w:marTop w:val="0"/>
                  <w:marBottom w:val="0"/>
                  <w:divBdr>
                    <w:top w:val="none" w:sz="0" w:space="0" w:color="auto"/>
                    <w:left w:val="none" w:sz="0" w:space="0" w:color="auto"/>
                    <w:bottom w:val="none" w:sz="0" w:space="0" w:color="auto"/>
                    <w:right w:val="none" w:sz="0" w:space="0" w:color="auto"/>
                  </w:divBdr>
                </w:div>
              </w:divsChild>
            </w:div>
            <w:div w:id="2081243951">
              <w:marLeft w:val="0"/>
              <w:marRight w:val="0"/>
              <w:marTop w:val="0"/>
              <w:marBottom w:val="0"/>
              <w:divBdr>
                <w:top w:val="none" w:sz="0" w:space="0" w:color="auto"/>
                <w:left w:val="none" w:sz="0" w:space="0" w:color="auto"/>
                <w:bottom w:val="none" w:sz="0" w:space="0" w:color="auto"/>
                <w:right w:val="none" w:sz="0" w:space="0" w:color="auto"/>
              </w:divBdr>
              <w:divsChild>
                <w:div w:id="998460194">
                  <w:marLeft w:val="0"/>
                  <w:marRight w:val="0"/>
                  <w:marTop w:val="0"/>
                  <w:marBottom w:val="0"/>
                  <w:divBdr>
                    <w:top w:val="none" w:sz="0" w:space="0" w:color="auto"/>
                    <w:left w:val="none" w:sz="0" w:space="0" w:color="auto"/>
                    <w:bottom w:val="none" w:sz="0" w:space="0" w:color="auto"/>
                    <w:right w:val="none" w:sz="0" w:space="0" w:color="auto"/>
                  </w:divBdr>
                </w:div>
              </w:divsChild>
            </w:div>
            <w:div w:id="1031806864">
              <w:marLeft w:val="0"/>
              <w:marRight w:val="0"/>
              <w:marTop w:val="0"/>
              <w:marBottom w:val="0"/>
              <w:divBdr>
                <w:top w:val="none" w:sz="0" w:space="0" w:color="auto"/>
                <w:left w:val="none" w:sz="0" w:space="0" w:color="auto"/>
                <w:bottom w:val="none" w:sz="0" w:space="0" w:color="auto"/>
                <w:right w:val="none" w:sz="0" w:space="0" w:color="auto"/>
              </w:divBdr>
              <w:divsChild>
                <w:div w:id="1804040285">
                  <w:marLeft w:val="0"/>
                  <w:marRight w:val="0"/>
                  <w:marTop w:val="0"/>
                  <w:marBottom w:val="0"/>
                  <w:divBdr>
                    <w:top w:val="none" w:sz="0" w:space="0" w:color="auto"/>
                    <w:left w:val="none" w:sz="0" w:space="0" w:color="auto"/>
                    <w:bottom w:val="none" w:sz="0" w:space="0" w:color="auto"/>
                    <w:right w:val="none" w:sz="0" w:space="0" w:color="auto"/>
                  </w:divBdr>
                </w:div>
              </w:divsChild>
            </w:div>
            <w:div w:id="1015577257">
              <w:marLeft w:val="0"/>
              <w:marRight w:val="0"/>
              <w:marTop w:val="0"/>
              <w:marBottom w:val="0"/>
              <w:divBdr>
                <w:top w:val="none" w:sz="0" w:space="0" w:color="auto"/>
                <w:left w:val="none" w:sz="0" w:space="0" w:color="auto"/>
                <w:bottom w:val="none" w:sz="0" w:space="0" w:color="auto"/>
                <w:right w:val="none" w:sz="0" w:space="0" w:color="auto"/>
              </w:divBdr>
              <w:divsChild>
                <w:div w:id="1882595001">
                  <w:marLeft w:val="0"/>
                  <w:marRight w:val="0"/>
                  <w:marTop w:val="0"/>
                  <w:marBottom w:val="0"/>
                  <w:divBdr>
                    <w:top w:val="none" w:sz="0" w:space="0" w:color="auto"/>
                    <w:left w:val="none" w:sz="0" w:space="0" w:color="auto"/>
                    <w:bottom w:val="none" w:sz="0" w:space="0" w:color="auto"/>
                    <w:right w:val="none" w:sz="0" w:space="0" w:color="auto"/>
                  </w:divBdr>
                </w:div>
              </w:divsChild>
            </w:div>
            <w:div w:id="761026273">
              <w:marLeft w:val="0"/>
              <w:marRight w:val="0"/>
              <w:marTop w:val="0"/>
              <w:marBottom w:val="0"/>
              <w:divBdr>
                <w:top w:val="none" w:sz="0" w:space="0" w:color="auto"/>
                <w:left w:val="none" w:sz="0" w:space="0" w:color="auto"/>
                <w:bottom w:val="none" w:sz="0" w:space="0" w:color="auto"/>
                <w:right w:val="none" w:sz="0" w:space="0" w:color="auto"/>
              </w:divBdr>
              <w:divsChild>
                <w:div w:id="1451127941">
                  <w:marLeft w:val="0"/>
                  <w:marRight w:val="0"/>
                  <w:marTop w:val="0"/>
                  <w:marBottom w:val="0"/>
                  <w:divBdr>
                    <w:top w:val="none" w:sz="0" w:space="0" w:color="auto"/>
                    <w:left w:val="none" w:sz="0" w:space="0" w:color="auto"/>
                    <w:bottom w:val="none" w:sz="0" w:space="0" w:color="auto"/>
                    <w:right w:val="none" w:sz="0" w:space="0" w:color="auto"/>
                  </w:divBdr>
                </w:div>
              </w:divsChild>
            </w:div>
            <w:div w:id="471367528">
              <w:marLeft w:val="0"/>
              <w:marRight w:val="0"/>
              <w:marTop w:val="0"/>
              <w:marBottom w:val="0"/>
              <w:divBdr>
                <w:top w:val="none" w:sz="0" w:space="0" w:color="auto"/>
                <w:left w:val="none" w:sz="0" w:space="0" w:color="auto"/>
                <w:bottom w:val="none" w:sz="0" w:space="0" w:color="auto"/>
                <w:right w:val="none" w:sz="0" w:space="0" w:color="auto"/>
              </w:divBdr>
              <w:divsChild>
                <w:div w:id="633878112">
                  <w:marLeft w:val="0"/>
                  <w:marRight w:val="0"/>
                  <w:marTop w:val="0"/>
                  <w:marBottom w:val="0"/>
                  <w:divBdr>
                    <w:top w:val="none" w:sz="0" w:space="0" w:color="auto"/>
                    <w:left w:val="none" w:sz="0" w:space="0" w:color="auto"/>
                    <w:bottom w:val="none" w:sz="0" w:space="0" w:color="auto"/>
                    <w:right w:val="none" w:sz="0" w:space="0" w:color="auto"/>
                  </w:divBdr>
                </w:div>
              </w:divsChild>
            </w:div>
            <w:div w:id="119038549">
              <w:marLeft w:val="0"/>
              <w:marRight w:val="0"/>
              <w:marTop w:val="0"/>
              <w:marBottom w:val="0"/>
              <w:divBdr>
                <w:top w:val="none" w:sz="0" w:space="0" w:color="auto"/>
                <w:left w:val="none" w:sz="0" w:space="0" w:color="auto"/>
                <w:bottom w:val="none" w:sz="0" w:space="0" w:color="auto"/>
                <w:right w:val="none" w:sz="0" w:space="0" w:color="auto"/>
              </w:divBdr>
              <w:divsChild>
                <w:div w:id="1951277532">
                  <w:marLeft w:val="0"/>
                  <w:marRight w:val="0"/>
                  <w:marTop w:val="0"/>
                  <w:marBottom w:val="0"/>
                  <w:divBdr>
                    <w:top w:val="none" w:sz="0" w:space="0" w:color="auto"/>
                    <w:left w:val="none" w:sz="0" w:space="0" w:color="auto"/>
                    <w:bottom w:val="none" w:sz="0" w:space="0" w:color="auto"/>
                    <w:right w:val="none" w:sz="0" w:space="0" w:color="auto"/>
                  </w:divBdr>
                </w:div>
              </w:divsChild>
            </w:div>
            <w:div w:id="1101296486">
              <w:marLeft w:val="0"/>
              <w:marRight w:val="0"/>
              <w:marTop w:val="0"/>
              <w:marBottom w:val="0"/>
              <w:divBdr>
                <w:top w:val="none" w:sz="0" w:space="0" w:color="auto"/>
                <w:left w:val="none" w:sz="0" w:space="0" w:color="auto"/>
                <w:bottom w:val="none" w:sz="0" w:space="0" w:color="auto"/>
                <w:right w:val="none" w:sz="0" w:space="0" w:color="auto"/>
              </w:divBdr>
              <w:divsChild>
                <w:div w:id="2040201538">
                  <w:marLeft w:val="0"/>
                  <w:marRight w:val="0"/>
                  <w:marTop w:val="0"/>
                  <w:marBottom w:val="0"/>
                  <w:divBdr>
                    <w:top w:val="none" w:sz="0" w:space="0" w:color="auto"/>
                    <w:left w:val="none" w:sz="0" w:space="0" w:color="auto"/>
                    <w:bottom w:val="none" w:sz="0" w:space="0" w:color="auto"/>
                    <w:right w:val="none" w:sz="0" w:space="0" w:color="auto"/>
                  </w:divBdr>
                </w:div>
              </w:divsChild>
            </w:div>
            <w:div w:id="328676243">
              <w:marLeft w:val="0"/>
              <w:marRight w:val="0"/>
              <w:marTop w:val="0"/>
              <w:marBottom w:val="0"/>
              <w:divBdr>
                <w:top w:val="none" w:sz="0" w:space="0" w:color="auto"/>
                <w:left w:val="none" w:sz="0" w:space="0" w:color="auto"/>
                <w:bottom w:val="none" w:sz="0" w:space="0" w:color="auto"/>
                <w:right w:val="none" w:sz="0" w:space="0" w:color="auto"/>
              </w:divBdr>
              <w:divsChild>
                <w:div w:id="994720676">
                  <w:marLeft w:val="0"/>
                  <w:marRight w:val="0"/>
                  <w:marTop w:val="0"/>
                  <w:marBottom w:val="0"/>
                  <w:divBdr>
                    <w:top w:val="none" w:sz="0" w:space="0" w:color="auto"/>
                    <w:left w:val="none" w:sz="0" w:space="0" w:color="auto"/>
                    <w:bottom w:val="none" w:sz="0" w:space="0" w:color="auto"/>
                    <w:right w:val="none" w:sz="0" w:space="0" w:color="auto"/>
                  </w:divBdr>
                </w:div>
              </w:divsChild>
            </w:div>
            <w:div w:id="1266110773">
              <w:marLeft w:val="0"/>
              <w:marRight w:val="0"/>
              <w:marTop w:val="0"/>
              <w:marBottom w:val="0"/>
              <w:divBdr>
                <w:top w:val="none" w:sz="0" w:space="0" w:color="auto"/>
                <w:left w:val="none" w:sz="0" w:space="0" w:color="auto"/>
                <w:bottom w:val="none" w:sz="0" w:space="0" w:color="auto"/>
                <w:right w:val="none" w:sz="0" w:space="0" w:color="auto"/>
              </w:divBdr>
              <w:divsChild>
                <w:div w:id="885874443">
                  <w:marLeft w:val="0"/>
                  <w:marRight w:val="0"/>
                  <w:marTop w:val="0"/>
                  <w:marBottom w:val="0"/>
                  <w:divBdr>
                    <w:top w:val="none" w:sz="0" w:space="0" w:color="auto"/>
                    <w:left w:val="none" w:sz="0" w:space="0" w:color="auto"/>
                    <w:bottom w:val="none" w:sz="0" w:space="0" w:color="auto"/>
                    <w:right w:val="none" w:sz="0" w:space="0" w:color="auto"/>
                  </w:divBdr>
                </w:div>
              </w:divsChild>
            </w:div>
            <w:div w:id="79374754">
              <w:marLeft w:val="0"/>
              <w:marRight w:val="0"/>
              <w:marTop w:val="0"/>
              <w:marBottom w:val="0"/>
              <w:divBdr>
                <w:top w:val="none" w:sz="0" w:space="0" w:color="auto"/>
                <w:left w:val="none" w:sz="0" w:space="0" w:color="auto"/>
                <w:bottom w:val="none" w:sz="0" w:space="0" w:color="auto"/>
                <w:right w:val="none" w:sz="0" w:space="0" w:color="auto"/>
              </w:divBdr>
              <w:divsChild>
                <w:div w:id="239293529">
                  <w:marLeft w:val="0"/>
                  <w:marRight w:val="0"/>
                  <w:marTop w:val="0"/>
                  <w:marBottom w:val="0"/>
                  <w:divBdr>
                    <w:top w:val="none" w:sz="0" w:space="0" w:color="auto"/>
                    <w:left w:val="none" w:sz="0" w:space="0" w:color="auto"/>
                    <w:bottom w:val="none" w:sz="0" w:space="0" w:color="auto"/>
                    <w:right w:val="none" w:sz="0" w:space="0" w:color="auto"/>
                  </w:divBdr>
                </w:div>
              </w:divsChild>
            </w:div>
            <w:div w:id="455221503">
              <w:marLeft w:val="0"/>
              <w:marRight w:val="0"/>
              <w:marTop w:val="0"/>
              <w:marBottom w:val="0"/>
              <w:divBdr>
                <w:top w:val="none" w:sz="0" w:space="0" w:color="auto"/>
                <w:left w:val="none" w:sz="0" w:space="0" w:color="auto"/>
                <w:bottom w:val="none" w:sz="0" w:space="0" w:color="auto"/>
                <w:right w:val="none" w:sz="0" w:space="0" w:color="auto"/>
              </w:divBdr>
              <w:divsChild>
                <w:div w:id="1107966440">
                  <w:marLeft w:val="0"/>
                  <w:marRight w:val="0"/>
                  <w:marTop w:val="0"/>
                  <w:marBottom w:val="0"/>
                  <w:divBdr>
                    <w:top w:val="none" w:sz="0" w:space="0" w:color="auto"/>
                    <w:left w:val="none" w:sz="0" w:space="0" w:color="auto"/>
                    <w:bottom w:val="none" w:sz="0" w:space="0" w:color="auto"/>
                    <w:right w:val="none" w:sz="0" w:space="0" w:color="auto"/>
                  </w:divBdr>
                </w:div>
              </w:divsChild>
            </w:div>
            <w:div w:id="1230572989">
              <w:marLeft w:val="0"/>
              <w:marRight w:val="0"/>
              <w:marTop w:val="0"/>
              <w:marBottom w:val="0"/>
              <w:divBdr>
                <w:top w:val="none" w:sz="0" w:space="0" w:color="auto"/>
                <w:left w:val="none" w:sz="0" w:space="0" w:color="auto"/>
                <w:bottom w:val="none" w:sz="0" w:space="0" w:color="auto"/>
                <w:right w:val="none" w:sz="0" w:space="0" w:color="auto"/>
              </w:divBdr>
              <w:divsChild>
                <w:div w:id="1523545255">
                  <w:marLeft w:val="0"/>
                  <w:marRight w:val="0"/>
                  <w:marTop w:val="0"/>
                  <w:marBottom w:val="0"/>
                  <w:divBdr>
                    <w:top w:val="none" w:sz="0" w:space="0" w:color="auto"/>
                    <w:left w:val="none" w:sz="0" w:space="0" w:color="auto"/>
                    <w:bottom w:val="none" w:sz="0" w:space="0" w:color="auto"/>
                    <w:right w:val="none" w:sz="0" w:space="0" w:color="auto"/>
                  </w:divBdr>
                </w:div>
              </w:divsChild>
            </w:div>
            <w:div w:id="1478374634">
              <w:marLeft w:val="0"/>
              <w:marRight w:val="0"/>
              <w:marTop w:val="0"/>
              <w:marBottom w:val="0"/>
              <w:divBdr>
                <w:top w:val="none" w:sz="0" w:space="0" w:color="auto"/>
                <w:left w:val="none" w:sz="0" w:space="0" w:color="auto"/>
                <w:bottom w:val="none" w:sz="0" w:space="0" w:color="auto"/>
                <w:right w:val="none" w:sz="0" w:space="0" w:color="auto"/>
              </w:divBdr>
              <w:divsChild>
                <w:div w:id="4808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0652">
          <w:marLeft w:val="0"/>
          <w:marRight w:val="0"/>
          <w:marTop w:val="0"/>
          <w:marBottom w:val="600"/>
          <w:divBdr>
            <w:top w:val="none" w:sz="0" w:space="0" w:color="auto"/>
            <w:left w:val="none" w:sz="0" w:space="0" w:color="auto"/>
            <w:bottom w:val="none" w:sz="0" w:space="0" w:color="auto"/>
            <w:right w:val="none" w:sz="0" w:space="0" w:color="auto"/>
          </w:divBdr>
        </w:div>
      </w:divsChild>
    </w:div>
    <w:div w:id="1305506849">
      <w:marLeft w:val="0"/>
      <w:marRight w:val="0"/>
      <w:marTop w:val="0"/>
      <w:marBottom w:val="0"/>
      <w:divBdr>
        <w:top w:val="none" w:sz="0" w:space="0" w:color="auto"/>
        <w:left w:val="none" w:sz="0" w:space="0" w:color="auto"/>
        <w:bottom w:val="none" w:sz="0" w:space="0" w:color="auto"/>
        <w:right w:val="none" w:sz="0" w:space="0" w:color="auto"/>
      </w:divBdr>
    </w:div>
    <w:div w:id="1345671003">
      <w:marLeft w:val="0"/>
      <w:marRight w:val="0"/>
      <w:marTop w:val="0"/>
      <w:marBottom w:val="0"/>
      <w:divBdr>
        <w:top w:val="none" w:sz="0" w:space="0" w:color="auto"/>
        <w:left w:val="none" w:sz="0" w:space="0" w:color="auto"/>
        <w:bottom w:val="none" w:sz="0" w:space="0" w:color="auto"/>
        <w:right w:val="none" w:sz="0" w:space="0" w:color="auto"/>
      </w:divBdr>
      <w:divsChild>
        <w:div w:id="157112677">
          <w:marLeft w:val="0"/>
          <w:marRight w:val="0"/>
          <w:marTop w:val="547"/>
          <w:marBottom w:val="0"/>
          <w:divBdr>
            <w:top w:val="none" w:sz="0" w:space="0" w:color="auto"/>
            <w:left w:val="none" w:sz="0" w:space="0" w:color="auto"/>
            <w:bottom w:val="none" w:sz="0" w:space="0" w:color="auto"/>
            <w:right w:val="none" w:sz="0" w:space="0" w:color="auto"/>
          </w:divBdr>
        </w:div>
        <w:div w:id="1705016791">
          <w:marLeft w:val="0"/>
          <w:marRight w:val="0"/>
          <w:marTop w:val="0"/>
          <w:marBottom w:val="0"/>
          <w:divBdr>
            <w:top w:val="none" w:sz="0" w:space="0" w:color="auto"/>
            <w:left w:val="none" w:sz="0" w:space="0" w:color="auto"/>
            <w:bottom w:val="none" w:sz="0" w:space="0" w:color="auto"/>
            <w:right w:val="none" w:sz="0" w:space="0" w:color="auto"/>
          </w:divBdr>
        </w:div>
        <w:div w:id="1628193265">
          <w:marLeft w:val="0"/>
          <w:marRight w:val="0"/>
          <w:marTop w:val="0"/>
          <w:marBottom w:val="600"/>
          <w:divBdr>
            <w:top w:val="none" w:sz="0" w:space="0" w:color="auto"/>
            <w:left w:val="none" w:sz="0" w:space="0" w:color="auto"/>
            <w:bottom w:val="none" w:sz="0" w:space="0" w:color="auto"/>
            <w:right w:val="none" w:sz="0" w:space="0" w:color="auto"/>
          </w:divBdr>
        </w:div>
      </w:divsChild>
    </w:div>
    <w:div w:id="1417243198">
      <w:marLeft w:val="0"/>
      <w:marRight w:val="0"/>
      <w:marTop w:val="0"/>
      <w:marBottom w:val="0"/>
      <w:divBdr>
        <w:top w:val="none" w:sz="0" w:space="0" w:color="auto"/>
        <w:left w:val="none" w:sz="0" w:space="0" w:color="auto"/>
        <w:bottom w:val="none" w:sz="0" w:space="0" w:color="auto"/>
        <w:right w:val="none" w:sz="0" w:space="0" w:color="auto"/>
      </w:divBdr>
      <w:divsChild>
        <w:div w:id="1294672805">
          <w:marLeft w:val="0"/>
          <w:marRight w:val="0"/>
          <w:marTop w:val="547"/>
          <w:marBottom w:val="0"/>
          <w:divBdr>
            <w:top w:val="none" w:sz="0" w:space="0" w:color="auto"/>
            <w:left w:val="none" w:sz="0" w:space="0" w:color="auto"/>
            <w:bottom w:val="none" w:sz="0" w:space="0" w:color="auto"/>
            <w:right w:val="none" w:sz="0" w:space="0" w:color="auto"/>
          </w:divBdr>
        </w:div>
        <w:div w:id="261911557">
          <w:marLeft w:val="0"/>
          <w:marRight w:val="0"/>
          <w:marTop w:val="0"/>
          <w:marBottom w:val="0"/>
          <w:divBdr>
            <w:top w:val="none" w:sz="0" w:space="0" w:color="auto"/>
            <w:left w:val="none" w:sz="0" w:space="0" w:color="auto"/>
            <w:bottom w:val="none" w:sz="0" w:space="0" w:color="auto"/>
            <w:right w:val="none" w:sz="0" w:space="0" w:color="auto"/>
          </w:divBdr>
        </w:div>
        <w:div w:id="2114201752">
          <w:marLeft w:val="0"/>
          <w:marRight w:val="0"/>
          <w:marTop w:val="0"/>
          <w:marBottom w:val="600"/>
          <w:divBdr>
            <w:top w:val="none" w:sz="0" w:space="0" w:color="auto"/>
            <w:left w:val="none" w:sz="0" w:space="0" w:color="auto"/>
            <w:bottom w:val="none" w:sz="0" w:space="0" w:color="auto"/>
            <w:right w:val="none" w:sz="0" w:space="0" w:color="auto"/>
          </w:divBdr>
        </w:div>
      </w:divsChild>
    </w:div>
    <w:div w:id="1428312178">
      <w:marLeft w:val="0"/>
      <w:marRight w:val="0"/>
      <w:marTop w:val="0"/>
      <w:marBottom w:val="0"/>
      <w:divBdr>
        <w:top w:val="none" w:sz="0" w:space="0" w:color="auto"/>
        <w:left w:val="none" w:sz="0" w:space="0" w:color="auto"/>
        <w:bottom w:val="none" w:sz="0" w:space="0" w:color="auto"/>
        <w:right w:val="none" w:sz="0" w:space="0" w:color="auto"/>
      </w:divBdr>
      <w:divsChild>
        <w:div w:id="112479051">
          <w:marLeft w:val="0"/>
          <w:marRight w:val="0"/>
          <w:marTop w:val="547"/>
          <w:marBottom w:val="0"/>
          <w:divBdr>
            <w:top w:val="none" w:sz="0" w:space="0" w:color="auto"/>
            <w:left w:val="none" w:sz="0" w:space="0" w:color="auto"/>
            <w:bottom w:val="none" w:sz="0" w:space="0" w:color="auto"/>
            <w:right w:val="none" w:sz="0" w:space="0" w:color="auto"/>
          </w:divBdr>
        </w:div>
        <w:div w:id="717706735">
          <w:marLeft w:val="0"/>
          <w:marRight w:val="0"/>
          <w:marTop w:val="0"/>
          <w:marBottom w:val="0"/>
          <w:divBdr>
            <w:top w:val="none" w:sz="0" w:space="0" w:color="auto"/>
            <w:left w:val="none" w:sz="0" w:space="0" w:color="auto"/>
            <w:bottom w:val="none" w:sz="0" w:space="0" w:color="auto"/>
            <w:right w:val="none" w:sz="0" w:space="0" w:color="auto"/>
          </w:divBdr>
        </w:div>
        <w:div w:id="1185513303">
          <w:marLeft w:val="0"/>
          <w:marRight w:val="0"/>
          <w:marTop w:val="0"/>
          <w:marBottom w:val="600"/>
          <w:divBdr>
            <w:top w:val="none" w:sz="0" w:space="0" w:color="auto"/>
            <w:left w:val="none" w:sz="0" w:space="0" w:color="auto"/>
            <w:bottom w:val="none" w:sz="0" w:space="0" w:color="auto"/>
            <w:right w:val="none" w:sz="0" w:space="0" w:color="auto"/>
          </w:divBdr>
        </w:div>
      </w:divsChild>
    </w:div>
    <w:div w:id="1520585721">
      <w:marLeft w:val="0"/>
      <w:marRight w:val="0"/>
      <w:marTop w:val="0"/>
      <w:marBottom w:val="0"/>
      <w:divBdr>
        <w:top w:val="none" w:sz="0" w:space="0" w:color="auto"/>
        <w:left w:val="none" w:sz="0" w:space="0" w:color="auto"/>
        <w:bottom w:val="none" w:sz="0" w:space="0" w:color="auto"/>
        <w:right w:val="none" w:sz="0" w:space="0" w:color="auto"/>
      </w:divBdr>
      <w:divsChild>
        <w:div w:id="164784229">
          <w:marLeft w:val="0"/>
          <w:marRight w:val="0"/>
          <w:marTop w:val="547"/>
          <w:marBottom w:val="0"/>
          <w:divBdr>
            <w:top w:val="none" w:sz="0" w:space="0" w:color="auto"/>
            <w:left w:val="none" w:sz="0" w:space="0" w:color="auto"/>
            <w:bottom w:val="none" w:sz="0" w:space="0" w:color="auto"/>
            <w:right w:val="none" w:sz="0" w:space="0" w:color="auto"/>
          </w:divBdr>
        </w:div>
        <w:div w:id="1477793552">
          <w:marLeft w:val="0"/>
          <w:marRight w:val="0"/>
          <w:marTop w:val="0"/>
          <w:marBottom w:val="0"/>
          <w:divBdr>
            <w:top w:val="none" w:sz="0" w:space="0" w:color="auto"/>
            <w:left w:val="none" w:sz="0" w:space="0" w:color="auto"/>
            <w:bottom w:val="none" w:sz="0" w:space="0" w:color="auto"/>
            <w:right w:val="none" w:sz="0" w:space="0" w:color="auto"/>
          </w:divBdr>
        </w:div>
        <w:div w:id="704254259">
          <w:marLeft w:val="0"/>
          <w:marRight w:val="0"/>
          <w:marTop w:val="0"/>
          <w:marBottom w:val="600"/>
          <w:divBdr>
            <w:top w:val="none" w:sz="0" w:space="0" w:color="auto"/>
            <w:left w:val="none" w:sz="0" w:space="0" w:color="auto"/>
            <w:bottom w:val="none" w:sz="0" w:space="0" w:color="auto"/>
            <w:right w:val="none" w:sz="0" w:space="0" w:color="auto"/>
          </w:divBdr>
        </w:div>
      </w:divsChild>
    </w:div>
    <w:div w:id="1570460437">
      <w:marLeft w:val="0"/>
      <w:marRight w:val="0"/>
      <w:marTop w:val="0"/>
      <w:marBottom w:val="0"/>
      <w:divBdr>
        <w:top w:val="none" w:sz="0" w:space="0" w:color="auto"/>
        <w:left w:val="none" w:sz="0" w:space="0" w:color="auto"/>
        <w:bottom w:val="none" w:sz="0" w:space="0" w:color="auto"/>
        <w:right w:val="none" w:sz="0" w:space="0" w:color="auto"/>
      </w:divBdr>
      <w:divsChild>
        <w:div w:id="463887639">
          <w:marLeft w:val="0"/>
          <w:marRight w:val="0"/>
          <w:marTop w:val="547"/>
          <w:marBottom w:val="0"/>
          <w:divBdr>
            <w:top w:val="none" w:sz="0" w:space="0" w:color="auto"/>
            <w:left w:val="none" w:sz="0" w:space="0" w:color="auto"/>
            <w:bottom w:val="none" w:sz="0" w:space="0" w:color="auto"/>
            <w:right w:val="none" w:sz="0" w:space="0" w:color="auto"/>
          </w:divBdr>
        </w:div>
        <w:div w:id="1750034676">
          <w:marLeft w:val="0"/>
          <w:marRight w:val="0"/>
          <w:marTop w:val="0"/>
          <w:marBottom w:val="0"/>
          <w:divBdr>
            <w:top w:val="none" w:sz="0" w:space="0" w:color="auto"/>
            <w:left w:val="none" w:sz="0" w:space="0" w:color="auto"/>
            <w:bottom w:val="none" w:sz="0" w:space="0" w:color="auto"/>
            <w:right w:val="none" w:sz="0" w:space="0" w:color="auto"/>
          </w:divBdr>
        </w:div>
        <w:div w:id="2138909324">
          <w:marLeft w:val="0"/>
          <w:marRight w:val="0"/>
          <w:marTop w:val="0"/>
          <w:marBottom w:val="600"/>
          <w:divBdr>
            <w:top w:val="none" w:sz="0" w:space="0" w:color="auto"/>
            <w:left w:val="none" w:sz="0" w:space="0" w:color="auto"/>
            <w:bottom w:val="none" w:sz="0" w:space="0" w:color="auto"/>
            <w:right w:val="none" w:sz="0" w:space="0" w:color="auto"/>
          </w:divBdr>
        </w:div>
      </w:divsChild>
    </w:div>
    <w:div w:id="1626767104">
      <w:marLeft w:val="0"/>
      <w:marRight w:val="0"/>
      <w:marTop w:val="0"/>
      <w:marBottom w:val="0"/>
      <w:divBdr>
        <w:top w:val="none" w:sz="0" w:space="0" w:color="auto"/>
        <w:left w:val="none" w:sz="0" w:space="0" w:color="auto"/>
        <w:bottom w:val="none" w:sz="0" w:space="0" w:color="auto"/>
        <w:right w:val="none" w:sz="0" w:space="0" w:color="auto"/>
      </w:divBdr>
      <w:divsChild>
        <w:div w:id="1563057035">
          <w:marLeft w:val="0"/>
          <w:marRight w:val="0"/>
          <w:marTop w:val="547"/>
          <w:marBottom w:val="0"/>
          <w:divBdr>
            <w:top w:val="none" w:sz="0" w:space="0" w:color="auto"/>
            <w:left w:val="none" w:sz="0" w:space="0" w:color="auto"/>
            <w:bottom w:val="none" w:sz="0" w:space="0" w:color="auto"/>
            <w:right w:val="none" w:sz="0" w:space="0" w:color="auto"/>
          </w:divBdr>
        </w:div>
        <w:div w:id="317927888">
          <w:marLeft w:val="0"/>
          <w:marRight w:val="0"/>
          <w:marTop w:val="0"/>
          <w:marBottom w:val="0"/>
          <w:divBdr>
            <w:top w:val="none" w:sz="0" w:space="0" w:color="auto"/>
            <w:left w:val="none" w:sz="0" w:space="0" w:color="auto"/>
            <w:bottom w:val="none" w:sz="0" w:space="0" w:color="auto"/>
            <w:right w:val="none" w:sz="0" w:space="0" w:color="auto"/>
          </w:divBdr>
        </w:div>
        <w:div w:id="128205034">
          <w:marLeft w:val="0"/>
          <w:marRight w:val="0"/>
          <w:marTop w:val="0"/>
          <w:marBottom w:val="600"/>
          <w:divBdr>
            <w:top w:val="none" w:sz="0" w:space="0" w:color="auto"/>
            <w:left w:val="none" w:sz="0" w:space="0" w:color="auto"/>
            <w:bottom w:val="none" w:sz="0" w:space="0" w:color="auto"/>
            <w:right w:val="none" w:sz="0" w:space="0" w:color="auto"/>
          </w:divBdr>
        </w:div>
      </w:divsChild>
    </w:div>
    <w:div w:id="1649279757">
      <w:marLeft w:val="0"/>
      <w:marRight w:val="0"/>
      <w:marTop w:val="0"/>
      <w:marBottom w:val="0"/>
      <w:divBdr>
        <w:top w:val="none" w:sz="0" w:space="0" w:color="auto"/>
        <w:left w:val="none" w:sz="0" w:space="0" w:color="auto"/>
        <w:bottom w:val="none" w:sz="0" w:space="0" w:color="auto"/>
        <w:right w:val="none" w:sz="0" w:space="0" w:color="auto"/>
      </w:divBdr>
      <w:divsChild>
        <w:div w:id="1149634655">
          <w:marLeft w:val="0"/>
          <w:marRight w:val="0"/>
          <w:marTop w:val="144"/>
          <w:marBottom w:val="0"/>
          <w:divBdr>
            <w:top w:val="none" w:sz="0" w:space="0" w:color="auto"/>
            <w:left w:val="none" w:sz="0" w:space="0" w:color="auto"/>
            <w:bottom w:val="none" w:sz="0" w:space="0" w:color="auto"/>
            <w:right w:val="none" w:sz="0" w:space="0" w:color="auto"/>
          </w:divBdr>
        </w:div>
        <w:div w:id="1885293552">
          <w:marLeft w:val="0"/>
          <w:marRight w:val="0"/>
          <w:marTop w:val="0"/>
          <w:marBottom w:val="0"/>
          <w:divBdr>
            <w:top w:val="none" w:sz="0" w:space="0" w:color="auto"/>
            <w:left w:val="none" w:sz="0" w:space="0" w:color="auto"/>
            <w:bottom w:val="none" w:sz="0" w:space="0" w:color="auto"/>
            <w:right w:val="none" w:sz="0" w:space="0" w:color="auto"/>
          </w:divBdr>
          <w:divsChild>
            <w:div w:id="1637179171">
              <w:marLeft w:val="0"/>
              <w:marRight w:val="0"/>
              <w:marTop w:val="0"/>
              <w:marBottom w:val="0"/>
              <w:divBdr>
                <w:top w:val="none" w:sz="0" w:space="0" w:color="auto"/>
                <w:left w:val="none" w:sz="0" w:space="0" w:color="auto"/>
                <w:bottom w:val="none" w:sz="0" w:space="0" w:color="auto"/>
                <w:right w:val="none" w:sz="0" w:space="0" w:color="auto"/>
              </w:divBdr>
              <w:divsChild>
                <w:div w:id="494608696">
                  <w:marLeft w:val="0"/>
                  <w:marRight w:val="0"/>
                  <w:marTop w:val="0"/>
                  <w:marBottom w:val="0"/>
                  <w:divBdr>
                    <w:top w:val="none" w:sz="0" w:space="0" w:color="auto"/>
                    <w:left w:val="none" w:sz="0" w:space="0" w:color="auto"/>
                    <w:bottom w:val="none" w:sz="0" w:space="0" w:color="auto"/>
                    <w:right w:val="none" w:sz="0" w:space="0" w:color="auto"/>
                  </w:divBdr>
                </w:div>
              </w:divsChild>
            </w:div>
            <w:div w:id="2083482145">
              <w:marLeft w:val="0"/>
              <w:marRight w:val="0"/>
              <w:marTop w:val="0"/>
              <w:marBottom w:val="0"/>
              <w:divBdr>
                <w:top w:val="none" w:sz="0" w:space="0" w:color="auto"/>
                <w:left w:val="none" w:sz="0" w:space="0" w:color="auto"/>
                <w:bottom w:val="none" w:sz="0" w:space="0" w:color="auto"/>
                <w:right w:val="none" w:sz="0" w:space="0" w:color="auto"/>
              </w:divBdr>
              <w:divsChild>
                <w:div w:id="1768308453">
                  <w:marLeft w:val="0"/>
                  <w:marRight w:val="0"/>
                  <w:marTop w:val="0"/>
                  <w:marBottom w:val="0"/>
                  <w:divBdr>
                    <w:top w:val="none" w:sz="0" w:space="0" w:color="auto"/>
                    <w:left w:val="none" w:sz="0" w:space="0" w:color="auto"/>
                    <w:bottom w:val="none" w:sz="0" w:space="0" w:color="auto"/>
                    <w:right w:val="none" w:sz="0" w:space="0" w:color="auto"/>
                  </w:divBdr>
                </w:div>
              </w:divsChild>
            </w:div>
            <w:div w:id="2025668813">
              <w:marLeft w:val="0"/>
              <w:marRight w:val="0"/>
              <w:marTop w:val="0"/>
              <w:marBottom w:val="0"/>
              <w:divBdr>
                <w:top w:val="none" w:sz="0" w:space="0" w:color="auto"/>
                <w:left w:val="none" w:sz="0" w:space="0" w:color="auto"/>
                <w:bottom w:val="none" w:sz="0" w:space="0" w:color="auto"/>
                <w:right w:val="none" w:sz="0" w:space="0" w:color="auto"/>
              </w:divBdr>
              <w:divsChild>
                <w:div w:id="451899496">
                  <w:marLeft w:val="0"/>
                  <w:marRight w:val="0"/>
                  <w:marTop w:val="0"/>
                  <w:marBottom w:val="0"/>
                  <w:divBdr>
                    <w:top w:val="none" w:sz="0" w:space="0" w:color="auto"/>
                    <w:left w:val="none" w:sz="0" w:space="0" w:color="auto"/>
                    <w:bottom w:val="none" w:sz="0" w:space="0" w:color="auto"/>
                    <w:right w:val="none" w:sz="0" w:space="0" w:color="auto"/>
                  </w:divBdr>
                </w:div>
              </w:divsChild>
            </w:div>
            <w:div w:id="1526478418">
              <w:marLeft w:val="0"/>
              <w:marRight w:val="0"/>
              <w:marTop w:val="0"/>
              <w:marBottom w:val="0"/>
              <w:divBdr>
                <w:top w:val="none" w:sz="0" w:space="0" w:color="auto"/>
                <w:left w:val="none" w:sz="0" w:space="0" w:color="auto"/>
                <w:bottom w:val="none" w:sz="0" w:space="0" w:color="auto"/>
                <w:right w:val="none" w:sz="0" w:space="0" w:color="auto"/>
              </w:divBdr>
              <w:divsChild>
                <w:div w:id="4004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1882">
      <w:marLeft w:val="0"/>
      <w:marRight w:val="0"/>
      <w:marTop w:val="0"/>
      <w:marBottom w:val="0"/>
      <w:divBdr>
        <w:top w:val="none" w:sz="0" w:space="0" w:color="auto"/>
        <w:left w:val="none" w:sz="0" w:space="0" w:color="auto"/>
        <w:bottom w:val="none" w:sz="0" w:space="0" w:color="auto"/>
        <w:right w:val="none" w:sz="0" w:space="0" w:color="auto"/>
      </w:divBdr>
      <w:divsChild>
        <w:div w:id="567351842">
          <w:marLeft w:val="0"/>
          <w:marRight w:val="0"/>
          <w:marTop w:val="547"/>
          <w:marBottom w:val="0"/>
          <w:divBdr>
            <w:top w:val="none" w:sz="0" w:space="0" w:color="auto"/>
            <w:left w:val="none" w:sz="0" w:space="0" w:color="auto"/>
            <w:bottom w:val="none" w:sz="0" w:space="0" w:color="auto"/>
            <w:right w:val="none" w:sz="0" w:space="0" w:color="auto"/>
          </w:divBdr>
        </w:div>
        <w:div w:id="1246378822">
          <w:marLeft w:val="0"/>
          <w:marRight w:val="0"/>
          <w:marTop w:val="0"/>
          <w:marBottom w:val="0"/>
          <w:divBdr>
            <w:top w:val="none" w:sz="0" w:space="0" w:color="auto"/>
            <w:left w:val="none" w:sz="0" w:space="0" w:color="auto"/>
            <w:bottom w:val="none" w:sz="0" w:space="0" w:color="auto"/>
            <w:right w:val="none" w:sz="0" w:space="0" w:color="auto"/>
          </w:divBdr>
        </w:div>
        <w:div w:id="93015311">
          <w:marLeft w:val="0"/>
          <w:marRight w:val="0"/>
          <w:marTop w:val="0"/>
          <w:marBottom w:val="600"/>
          <w:divBdr>
            <w:top w:val="none" w:sz="0" w:space="0" w:color="auto"/>
            <w:left w:val="none" w:sz="0" w:space="0" w:color="auto"/>
            <w:bottom w:val="none" w:sz="0" w:space="0" w:color="auto"/>
            <w:right w:val="none" w:sz="0" w:space="0" w:color="auto"/>
          </w:divBdr>
        </w:div>
      </w:divsChild>
    </w:div>
    <w:div w:id="1659190723">
      <w:marLeft w:val="0"/>
      <w:marRight w:val="0"/>
      <w:marTop w:val="0"/>
      <w:marBottom w:val="0"/>
      <w:divBdr>
        <w:top w:val="none" w:sz="0" w:space="0" w:color="auto"/>
        <w:left w:val="none" w:sz="0" w:space="0" w:color="auto"/>
        <w:bottom w:val="none" w:sz="0" w:space="0" w:color="auto"/>
        <w:right w:val="none" w:sz="0" w:space="0" w:color="auto"/>
      </w:divBdr>
      <w:divsChild>
        <w:div w:id="481313330">
          <w:marLeft w:val="0"/>
          <w:marRight w:val="0"/>
          <w:marTop w:val="547"/>
          <w:marBottom w:val="0"/>
          <w:divBdr>
            <w:top w:val="none" w:sz="0" w:space="0" w:color="auto"/>
            <w:left w:val="none" w:sz="0" w:space="0" w:color="auto"/>
            <w:bottom w:val="none" w:sz="0" w:space="0" w:color="auto"/>
            <w:right w:val="none" w:sz="0" w:space="0" w:color="auto"/>
          </w:divBdr>
        </w:div>
        <w:div w:id="1252005213">
          <w:marLeft w:val="0"/>
          <w:marRight w:val="0"/>
          <w:marTop w:val="0"/>
          <w:marBottom w:val="0"/>
          <w:divBdr>
            <w:top w:val="none" w:sz="0" w:space="0" w:color="auto"/>
            <w:left w:val="none" w:sz="0" w:space="0" w:color="auto"/>
            <w:bottom w:val="none" w:sz="0" w:space="0" w:color="auto"/>
            <w:right w:val="none" w:sz="0" w:space="0" w:color="auto"/>
          </w:divBdr>
        </w:div>
        <w:div w:id="298610425">
          <w:marLeft w:val="0"/>
          <w:marRight w:val="0"/>
          <w:marTop w:val="0"/>
          <w:marBottom w:val="600"/>
          <w:divBdr>
            <w:top w:val="none" w:sz="0" w:space="0" w:color="auto"/>
            <w:left w:val="none" w:sz="0" w:space="0" w:color="auto"/>
            <w:bottom w:val="none" w:sz="0" w:space="0" w:color="auto"/>
            <w:right w:val="none" w:sz="0" w:space="0" w:color="auto"/>
          </w:divBdr>
        </w:div>
      </w:divsChild>
    </w:div>
    <w:div w:id="1664162477">
      <w:marLeft w:val="0"/>
      <w:marRight w:val="0"/>
      <w:marTop w:val="0"/>
      <w:marBottom w:val="0"/>
      <w:divBdr>
        <w:top w:val="none" w:sz="0" w:space="0" w:color="auto"/>
        <w:left w:val="none" w:sz="0" w:space="0" w:color="auto"/>
        <w:bottom w:val="none" w:sz="0" w:space="0" w:color="auto"/>
        <w:right w:val="none" w:sz="0" w:space="0" w:color="auto"/>
      </w:divBdr>
      <w:divsChild>
        <w:div w:id="1095129973">
          <w:marLeft w:val="0"/>
          <w:marRight w:val="0"/>
          <w:marTop w:val="547"/>
          <w:marBottom w:val="0"/>
          <w:divBdr>
            <w:top w:val="none" w:sz="0" w:space="0" w:color="auto"/>
            <w:left w:val="none" w:sz="0" w:space="0" w:color="auto"/>
            <w:bottom w:val="none" w:sz="0" w:space="0" w:color="auto"/>
            <w:right w:val="none" w:sz="0" w:space="0" w:color="auto"/>
          </w:divBdr>
        </w:div>
        <w:div w:id="467745650">
          <w:marLeft w:val="0"/>
          <w:marRight w:val="0"/>
          <w:marTop w:val="0"/>
          <w:marBottom w:val="0"/>
          <w:divBdr>
            <w:top w:val="none" w:sz="0" w:space="0" w:color="auto"/>
            <w:left w:val="none" w:sz="0" w:space="0" w:color="auto"/>
            <w:bottom w:val="none" w:sz="0" w:space="0" w:color="auto"/>
            <w:right w:val="none" w:sz="0" w:space="0" w:color="auto"/>
          </w:divBdr>
        </w:div>
        <w:div w:id="331299696">
          <w:marLeft w:val="0"/>
          <w:marRight w:val="0"/>
          <w:marTop w:val="0"/>
          <w:marBottom w:val="600"/>
          <w:divBdr>
            <w:top w:val="none" w:sz="0" w:space="0" w:color="auto"/>
            <w:left w:val="none" w:sz="0" w:space="0" w:color="auto"/>
            <w:bottom w:val="none" w:sz="0" w:space="0" w:color="auto"/>
            <w:right w:val="none" w:sz="0" w:space="0" w:color="auto"/>
          </w:divBdr>
        </w:div>
      </w:divsChild>
    </w:div>
    <w:div w:id="1677148731">
      <w:marLeft w:val="0"/>
      <w:marRight w:val="0"/>
      <w:marTop w:val="0"/>
      <w:marBottom w:val="0"/>
      <w:divBdr>
        <w:top w:val="none" w:sz="0" w:space="0" w:color="auto"/>
        <w:left w:val="none" w:sz="0" w:space="0" w:color="auto"/>
        <w:bottom w:val="none" w:sz="0" w:space="0" w:color="auto"/>
        <w:right w:val="none" w:sz="0" w:space="0" w:color="auto"/>
      </w:divBdr>
      <w:divsChild>
        <w:div w:id="672880257">
          <w:marLeft w:val="0"/>
          <w:marRight w:val="0"/>
          <w:marTop w:val="547"/>
          <w:marBottom w:val="0"/>
          <w:divBdr>
            <w:top w:val="none" w:sz="0" w:space="0" w:color="auto"/>
            <w:left w:val="none" w:sz="0" w:space="0" w:color="auto"/>
            <w:bottom w:val="none" w:sz="0" w:space="0" w:color="auto"/>
            <w:right w:val="none" w:sz="0" w:space="0" w:color="auto"/>
          </w:divBdr>
        </w:div>
        <w:div w:id="1347249512">
          <w:marLeft w:val="0"/>
          <w:marRight w:val="0"/>
          <w:marTop w:val="0"/>
          <w:marBottom w:val="0"/>
          <w:divBdr>
            <w:top w:val="none" w:sz="0" w:space="0" w:color="auto"/>
            <w:left w:val="none" w:sz="0" w:space="0" w:color="auto"/>
            <w:bottom w:val="none" w:sz="0" w:space="0" w:color="auto"/>
            <w:right w:val="none" w:sz="0" w:space="0" w:color="auto"/>
          </w:divBdr>
        </w:div>
        <w:div w:id="1742437033">
          <w:marLeft w:val="0"/>
          <w:marRight w:val="0"/>
          <w:marTop w:val="0"/>
          <w:marBottom w:val="600"/>
          <w:divBdr>
            <w:top w:val="none" w:sz="0" w:space="0" w:color="auto"/>
            <w:left w:val="none" w:sz="0" w:space="0" w:color="auto"/>
            <w:bottom w:val="none" w:sz="0" w:space="0" w:color="auto"/>
            <w:right w:val="none" w:sz="0" w:space="0" w:color="auto"/>
          </w:divBdr>
        </w:div>
      </w:divsChild>
    </w:div>
    <w:div w:id="1686863408">
      <w:marLeft w:val="0"/>
      <w:marRight w:val="0"/>
      <w:marTop w:val="0"/>
      <w:marBottom w:val="0"/>
      <w:divBdr>
        <w:top w:val="none" w:sz="0" w:space="0" w:color="auto"/>
        <w:left w:val="none" w:sz="0" w:space="0" w:color="auto"/>
        <w:bottom w:val="none" w:sz="0" w:space="0" w:color="auto"/>
        <w:right w:val="none" w:sz="0" w:space="0" w:color="auto"/>
      </w:divBdr>
      <w:divsChild>
        <w:div w:id="450127893">
          <w:marLeft w:val="0"/>
          <w:marRight w:val="0"/>
          <w:marTop w:val="547"/>
          <w:marBottom w:val="0"/>
          <w:divBdr>
            <w:top w:val="none" w:sz="0" w:space="0" w:color="auto"/>
            <w:left w:val="none" w:sz="0" w:space="0" w:color="auto"/>
            <w:bottom w:val="none" w:sz="0" w:space="0" w:color="auto"/>
            <w:right w:val="none" w:sz="0" w:space="0" w:color="auto"/>
          </w:divBdr>
        </w:div>
        <w:div w:id="1854146591">
          <w:marLeft w:val="0"/>
          <w:marRight w:val="0"/>
          <w:marTop w:val="0"/>
          <w:marBottom w:val="0"/>
          <w:divBdr>
            <w:top w:val="none" w:sz="0" w:space="0" w:color="auto"/>
            <w:left w:val="none" w:sz="0" w:space="0" w:color="auto"/>
            <w:bottom w:val="none" w:sz="0" w:space="0" w:color="auto"/>
            <w:right w:val="none" w:sz="0" w:space="0" w:color="auto"/>
          </w:divBdr>
          <w:divsChild>
            <w:div w:id="1438333640">
              <w:marLeft w:val="0"/>
              <w:marRight w:val="0"/>
              <w:marTop w:val="0"/>
              <w:marBottom w:val="0"/>
              <w:divBdr>
                <w:top w:val="none" w:sz="0" w:space="0" w:color="auto"/>
                <w:left w:val="none" w:sz="0" w:space="0" w:color="auto"/>
                <w:bottom w:val="none" w:sz="0" w:space="0" w:color="auto"/>
                <w:right w:val="none" w:sz="0" w:space="0" w:color="auto"/>
              </w:divBdr>
              <w:divsChild>
                <w:div w:id="265426911">
                  <w:marLeft w:val="0"/>
                  <w:marRight w:val="0"/>
                  <w:marTop w:val="0"/>
                  <w:marBottom w:val="0"/>
                  <w:divBdr>
                    <w:top w:val="none" w:sz="0" w:space="0" w:color="auto"/>
                    <w:left w:val="none" w:sz="0" w:space="0" w:color="auto"/>
                    <w:bottom w:val="none" w:sz="0" w:space="0" w:color="auto"/>
                    <w:right w:val="none" w:sz="0" w:space="0" w:color="auto"/>
                  </w:divBdr>
                </w:div>
              </w:divsChild>
            </w:div>
            <w:div w:id="868756766">
              <w:marLeft w:val="0"/>
              <w:marRight w:val="0"/>
              <w:marTop w:val="0"/>
              <w:marBottom w:val="0"/>
              <w:divBdr>
                <w:top w:val="none" w:sz="0" w:space="0" w:color="auto"/>
                <w:left w:val="none" w:sz="0" w:space="0" w:color="auto"/>
                <w:bottom w:val="none" w:sz="0" w:space="0" w:color="auto"/>
                <w:right w:val="none" w:sz="0" w:space="0" w:color="auto"/>
              </w:divBdr>
              <w:divsChild>
                <w:div w:id="581068845">
                  <w:marLeft w:val="0"/>
                  <w:marRight w:val="0"/>
                  <w:marTop w:val="0"/>
                  <w:marBottom w:val="0"/>
                  <w:divBdr>
                    <w:top w:val="none" w:sz="0" w:space="0" w:color="auto"/>
                    <w:left w:val="none" w:sz="0" w:space="0" w:color="auto"/>
                    <w:bottom w:val="none" w:sz="0" w:space="0" w:color="auto"/>
                    <w:right w:val="none" w:sz="0" w:space="0" w:color="auto"/>
                  </w:divBdr>
                </w:div>
              </w:divsChild>
            </w:div>
            <w:div w:id="1101804199">
              <w:marLeft w:val="0"/>
              <w:marRight w:val="0"/>
              <w:marTop w:val="0"/>
              <w:marBottom w:val="0"/>
              <w:divBdr>
                <w:top w:val="none" w:sz="0" w:space="0" w:color="auto"/>
                <w:left w:val="none" w:sz="0" w:space="0" w:color="auto"/>
                <w:bottom w:val="none" w:sz="0" w:space="0" w:color="auto"/>
                <w:right w:val="none" w:sz="0" w:space="0" w:color="auto"/>
              </w:divBdr>
              <w:divsChild>
                <w:div w:id="1607083506">
                  <w:marLeft w:val="0"/>
                  <w:marRight w:val="0"/>
                  <w:marTop w:val="0"/>
                  <w:marBottom w:val="0"/>
                  <w:divBdr>
                    <w:top w:val="none" w:sz="0" w:space="0" w:color="auto"/>
                    <w:left w:val="none" w:sz="0" w:space="0" w:color="auto"/>
                    <w:bottom w:val="none" w:sz="0" w:space="0" w:color="auto"/>
                    <w:right w:val="none" w:sz="0" w:space="0" w:color="auto"/>
                  </w:divBdr>
                </w:div>
              </w:divsChild>
            </w:div>
            <w:div w:id="1682245580">
              <w:marLeft w:val="0"/>
              <w:marRight w:val="0"/>
              <w:marTop w:val="0"/>
              <w:marBottom w:val="0"/>
              <w:divBdr>
                <w:top w:val="none" w:sz="0" w:space="0" w:color="auto"/>
                <w:left w:val="none" w:sz="0" w:space="0" w:color="auto"/>
                <w:bottom w:val="none" w:sz="0" w:space="0" w:color="auto"/>
                <w:right w:val="none" w:sz="0" w:space="0" w:color="auto"/>
              </w:divBdr>
              <w:divsChild>
                <w:div w:id="906722095">
                  <w:marLeft w:val="0"/>
                  <w:marRight w:val="0"/>
                  <w:marTop w:val="0"/>
                  <w:marBottom w:val="0"/>
                  <w:divBdr>
                    <w:top w:val="none" w:sz="0" w:space="0" w:color="auto"/>
                    <w:left w:val="none" w:sz="0" w:space="0" w:color="auto"/>
                    <w:bottom w:val="none" w:sz="0" w:space="0" w:color="auto"/>
                    <w:right w:val="none" w:sz="0" w:space="0" w:color="auto"/>
                  </w:divBdr>
                </w:div>
              </w:divsChild>
            </w:div>
            <w:div w:id="214004574">
              <w:marLeft w:val="0"/>
              <w:marRight w:val="0"/>
              <w:marTop w:val="0"/>
              <w:marBottom w:val="0"/>
              <w:divBdr>
                <w:top w:val="none" w:sz="0" w:space="0" w:color="auto"/>
                <w:left w:val="none" w:sz="0" w:space="0" w:color="auto"/>
                <w:bottom w:val="none" w:sz="0" w:space="0" w:color="auto"/>
                <w:right w:val="none" w:sz="0" w:space="0" w:color="auto"/>
              </w:divBdr>
              <w:divsChild>
                <w:div w:id="443040292">
                  <w:marLeft w:val="0"/>
                  <w:marRight w:val="0"/>
                  <w:marTop w:val="0"/>
                  <w:marBottom w:val="0"/>
                  <w:divBdr>
                    <w:top w:val="none" w:sz="0" w:space="0" w:color="auto"/>
                    <w:left w:val="none" w:sz="0" w:space="0" w:color="auto"/>
                    <w:bottom w:val="none" w:sz="0" w:space="0" w:color="auto"/>
                    <w:right w:val="none" w:sz="0" w:space="0" w:color="auto"/>
                  </w:divBdr>
                </w:div>
              </w:divsChild>
            </w:div>
            <w:div w:id="2071146075">
              <w:marLeft w:val="0"/>
              <w:marRight w:val="0"/>
              <w:marTop w:val="0"/>
              <w:marBottom w:val="0"/>
              <w:divBdr>
                <w:top w:val="none" w:sz="0" w:space="0" w:color="auto"/>
                <w:left w:val="none" w:sz="0" w:space="0" w:color="auto"/>
                <w:bottom w:val="none" w:sz="0" w:space="0" w:color="auto"/>
                <w:right w:val="none" w:sz="0" w:space="0" w:color="auto"/>
              </w:divBdr>
              <w:divsChild>
                <w:div w:id="167214115">
                  <w:marLeft w:val="0"/>
                  <w:marRight w:val="0"/>
                  <w:marTop w:val="0"/>
                  <w:marBottom w:val="0"/>
                  <w:divBdr>
                    <w:top w:val="none" w:sz="0" w:space="0" w:color="auto"/>
                    <w:left w:val="none" w:sz="0" w:space="0" w:color="auto"/>
                    <w:bottom w:val="none" w:sz="0" w:space="0" w:color="auto"/>
                    <w:right w:val="none" w:sz="0" w:space="0" w:color="auto"/>
                  </w:divBdr>
                </w:div>
              </w:divsChild>
            </w:div>
            <w:div w:id="74477665">
              <w:marLeft w:val="0"/>
              <w:marRight w:val="0"/>
              <w:marTop w:val="0"/>
              <w:marBottom w:val="0"/>
              <w:divBdr>
                <w:top w:val="none" w:sz="0" w:space="0" w:color="auto"/>
                <w:left w:val="none" w:sz="0" w:space="0" w:color="auto"/>
                <w:bottom w:val="none" w:sz="0" w:space="0" w:color="auto"/>
                <w:right w:val="none" w:sz="0" w:space="0" w:color="auto"/>
              </w:divBdr>
              <w:divsChild>
                <w:div w:id="1571573215">
                  <w:marLeft w:val="0"/>
                  <w:marRight w:val="0"/>
                  <w:marTop w:val="0"/>
                  <w:marBottom w:val="0"/>
                  <w:divBdr>
                    <w:top w:val="none" w:sz="0" w:space="0" w:color="auto"/>
                    <w:left w:val="none" w:sz="0" w:space="0" w:color="auto"/>
                    <w:bottom w:val="none" w:sz="0" w:space="0" w:color="auto"/>
                    <w:right w:val="none" w:sz="0" w:space="0" w:color="auto"/>
                  </w:divBdr>
                </w:div>
              </w:divsChild>
            </w:div>
            <w:div w:id="1744600886">
              <w:marLeft w:val="0"/>
              <w:marRight w:val="0"/>
              <w:marTop w:val="0"/>
              <w:marBottom w:val="0"/>
              <w:divBdr>
                <w:top w:val="none" w:sz="0" w:space="0" w:color="auto"/>
                <w:left w:val="none" w:sz="0" w:space="0" w:color="auto"/>
                <w:bottom w:val="none" w:sz="0" w:space="0" w:color="auto"/>
                <w:right w:val="none" w:sz="0" w:space="0" w:color="auto"/>
              </w:divBdr>
              <w:divsChild>
                <w:div w:id="1597321862">
                  <w:marLeft w:val="0"/>
                  <w:marRight w:val="0"/>
                  <w:marTop w:val="0"/>
                  <w:marBottom w:val="0"/>
                  <w:divBdr>
                    <w:top w:val="none" w:sz="0" w:space="0" w:color="auto"/>
                    <w:left w:val="none" w:sz="0" w:space="0" w:color="auto"/>
                    <w:bottom w:val="none" w:sz="0" w:space="0" w:color="auto"/>
                    <w:right w:val="none" w:sz="0" w:space="0" w:color="auto"/>
                  </w:divBdr>
                </w:div>
              </w:divsChild>
            </w:div>
            <w:div w:id="312687391">
              <w:marLeft w:val="0"/>
              <w:marRight w:val="0"/>
              <w:marTop w:val="0"/>
              <w:marBottom w:val="0"/>
              <w:divBdr>
                <w:top w:val="none" w:sz="0" w:space="0" w:color="auto"/>
                <w:left w:val="none" w:sz="0" w:space="0" w:color="auto"/>
                <w:bottom w:val="none" w:sz="0" w:space="0" w:color="auto"/>
                <w:right w:val="none" w:sz="0" w:space="0" w:color="auto"/>
              </w:divBdr>
              <w:divsChild>
                <w:div w:id="1867668287">
                  <w:marLeft w:val="0"/>
                  <w:marRight w:val="0"/>
                  <w:marTop w:val="0"/>
                  <w:marBottom w:val="0"/>
                  <w:divBdr>
                    <w:top w:val="none" w:sz="0" w:space="0" w:color="auto"/>
                    <w:left w:val="none" w:sz="0" w:space="0" w:color="auto"/>
                    <w:bottom w:val="none" w:sz="0" w:space="0" w:color="auto"/>
                    <w:right w:val="none" w:sz="0" w:space="0" w:color="auto"/>
                  </w:divBdr>
                </w:div>
              </w:divsChild>
            </w:div>
            <w:div w:id="529612584">
              <w:marLeft w:val="0"/>
              <w:marRight w:val="0"/>
              <w:marTop w:val="0"/>
              <w:marBottom w:val="0"/>
              <w:divBdr>
                <w:top w:val="none" w:sz="0" w:space="0" w:color="auto"/>
                <w:left w:val="none" w:sz="0" w:space="0" w:color="auto"/>
                <w:bottom w:val="none" w:sz="0" w:space="0" w:color="auto"/>
                <w:right w:val="none" w:sz="0" w:space="0" w:color="auto"/>
              </w:divBdr>
              <w:divsChild>
                <w:div w:id="481508410">
                  <w:marLeft w:val="0"/>
                  <w:marRight w:val="0"/>
                  <w:marTop w:val="0"/>
                  <w:marBottom w:val="0"/>
                  <w:divBdr>
                    <w:top w:val="none" w:sz="0" w:space="0" w:color="auto"/>
                    <w:left w:val="none" w:sz="0" w:space="0" w:color="auto"/>
                    <w:bottom w:val="none" w:sz="0" w:space="0" w:color="auto"/>
                    <w:right w:val="none" w:sz="0" w:space="0" w:color="auto"/>
                  </w:divBdr>
                </w:div>
              </w:divsChild>
            </w:div>
            <w:div w:id="1766264027">
              <w:marLeft w:val="0"/>
              <w:marRight w:val="0"/>
              <w:marTop w:val="0"/>
              <w:marBottom w:val="0"/>
              <w:divBdr>
                <w:top w:val="none" w:sz="0" w:space="0" w:color="auto"/>
                <w:left w:val="none" w:sz="0" w:space="0" w:color="auto"/>
                <w:bottom w:val="none" w:sz="0" w:space="0" w:color="auto"/>
                <w:right w:val="none" w:sz="0" w:space="0" w:color="auto"/>
              </w:divBdr>
              <w:divsChild>
                <w:div w:id="1856379031">
                  <w:marLeft w:val="0"/>
                  <w:marRight w:val="0"/>
                  <w:marTop w:val="0"/>
                  <w:marBottom w:val="0"/>
                  <w:divBdr>
                    <w:top w:val="none" w:sz="0" w:space="0" w:color="auto"/>
                    <w:left w:val="none" w:sz="0" w:space="0" w:color="auto"/>
                    <w:bottom w:val="none" w:sz="0" w:space="0" w:color="auto"/>
                    <w:right w:val="none" w:sz="0" w:space="0" w:color="auto"/>
                  </w:divBdr>
                </w:div>
              </w:divsChild>
            </w:div>
            <w:div w:id="860167059">
              <w:marLeft w:val="0"/>
              <w:marRight w:val="0"/>
              <w:marTop w:val="0"/>
              <w:marBottom w:val="0"/>
              <w:divBdr>
                <w:top w:val="none" w:sz="0" w:space="0" w:color="auto"/>
                <w:left w:val="none" w:sz="0" w:space="0" w:color="auto"/>
                <w:bottom w:val="none" w:sz="0" w:space="0" w:color="auto"/>
                <w:right w:val="none" w:sz="0" w:space="0" w:color="auto"/>
              </w:divBdr>
              <w:divsChild>
                <w:div w:id="704015475">
                  <w:marLeft w:val="0"/>
                  <w:marRight w:val="0"/>
                  <w:marTop w:val="0"/>
                  <w:marBottom w:val="0"/>
                  <w:divBdr>
                    <w:top w:val="none" w:sz="0" w:space="0" w:color="auto"/>
                    <w:left w:val="none" w:sz="0" w:space="0" w:color="auto"/>
                    <w:bottom w:val="none" w:sz="0" w:space="0" w:color="auto"/>
                    <w:right w:val="none" w:sz="0" w:space="0" w:color="auto"/>
                  </w:divBdr>
                </w:div>
              </w:divsChild>
            </w:div>
            <w:div w:id="1884632420">
              <w:marLeft w:val="0"/>
              <w:marRight w:val="0"/>
              <w:marTop w:val="0"/>
              <w:marBottom w:val="0"/>
              <w:divBdr>
                <w:top w:val="none" w:sz="0" w:space="0" w:color="auto"/>
                <w:left w:val="none" w:sz="0" w:space="0" w:color="auto"/>
                <w:bottom w:val="none" w:sz="0" w:space="0" w:color="auto"/>
                <w:right w:val="none" w:sz="0" w:space="0" w:color="auto"/>
              </w:divBdr>
              <w:divsChild>
                <w:div w:id="20139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4548">
          <w:marLeft w:val="0"/>
          <w:marRight w:val="0"/>
          <w:marTop w:val="0"/>
          <w:marBottom w:val="600"/>
          <w:divBdr>
            <w:top w:val="none" w:sz="0" w:space="0" w:color="auto"/>
            <w:left w:val="none" w:sz="0" w:space="0" w:color="auto"/>
            <w:bottom w:val="none" w:sz="0" w:space="0" w:color="auto"/>
            <w:right w:val="none" w:sz="0" w:space="0" w:color="auto"/>
          </w:divBdr>
        </w:div>
      </w:divsChild>
    </w:div>
    <w:div w:id="1713774406">
      <w:marLeft w:val="0"/>
      <w:marRight w:val="0"/>
      <w:marTop w:val="0"/>
      <w:marBottom w:val="0"/>
      <w:divBdr>
        <w:top w:val="none" w:sz="0" w:space="0" w:color="auto"/>
        <w:left w:val="none" w:sz="0" w:space="0" w:color="auto"/>
        <w:bottom w:val="none" w:sz="0" w:space="0" w:color="auto"/>
        <w:right w:val="none" w:sz="0" w:space="0" w:color="auto"/>
      </w:divBdr>
      <w:divsChild>
        <w:div w:id="1577858239">
          <w:marLeft w:val="0"/>
          <w:marRight w:val="0"/>
          <w:marTop w:val="547"/>
          <w:marBottom w:val="0"/>
          <w:divBdr>
            <w:top w:val="none" w:sz="0" w:space="0" w:color="auto"/>
            <w:left w:val="none" w:sz="0" w:space="0" w:color="auto"/>
            <w:bottom w:val="none" w:sz="0" w:space="0" w:color="auto"/>
            <w:right w:val="none" w:sz="0" w:space="0" w:color="auto"/>
          </w:divBdr>
        </w:div>
        <w:div w:id="1398868522">
          <w:marLeft w:val="0"/>
          <w:marRight w:val="0"/>
          <w:marTop w:val="0"/>
          <w:marBottom w:val="0"/>
          <w:divBdr>
            <w:top w:val="none" w:sz="0" w:space="0" w:color="auto"/>
            <w:left w:val="none" w:sz="0" w:space="0" w:color="auto"/>
            <w:bottom w:val="none" w:sz="0" w:space="0" w:color="auto"/>
            <w:right w:val="none" w:sz="0" w:space="0" w:color="auto"/>
          </w:divBdr>
        </w:div>
        <w:div w:id="1771470246">
          <w:marLeft w:val="0"/>
          <w:marRight w:val="0"/>
          <w:marTop w:val="0"/>
          <w:marBottom w:val="600"/>
          <w:divBdr>
            <w:top w:val="none" w:sz="0" w:space="0" w:color="auto"/>
            <w:left w:val="none" w:sz="0" w:space="0" w:color="auto"/>
            <w:bottom w:val="none" w:sz="0" w:space="0" w:color="auto"/>
            <w:right w:val="none" w:sz="0" w:space="0" w:color="auto"/>
          </w:divBdr>
        </w:div>
      </w:divsChild>
    </w:div>
    <w:div w:id="1768185155">
      <w:marLeft w:val="0"/>
      <w:marRight w:val="0"/>
      <w:marTop w:val="0"/>
      <w:marBottom w:val="0"/>
      <w:divBdr>
        <w:top w:val="none" w:sz="0" w:space="0" w:color="auto"/>
        <w:left w:val="none" w:sz="0" w:space="0" w:color="auto"/>
        <w:bottom w:val="none" w:sz="0" w:space="0" w:color="auto"/>
        <w:right w:val="none" w:sz="0" w:space="0" w:color="auto"/>
      </w:divBdr>
      <w:divsChild>
        <w:div w:id="954101166">
          <w:marLeft w:val="0"/>
          <w:marRight w:val="0"/>
          <w:marTop w:val="547"/>
          <w:marBottom w:val="0"/>
          <w:divBdr>
            <w:top w:val="none" w:sz="0" w:space="0" w:color="auto"/>
            <w:left w:val="none" w:sz="0" w:space="0" w:color="auto"/>
            <w:bottom w:val="none" w:sz="0" w:space="0" w:color="auto"/>
            <w:right w:val="none" w:sz="0" w:space="0" w:color="auto"/>
          </w:divBdr>
        </w:div>
        <w:div w:id="1197086143">
          <w:marLeft w:val="0"/>
          <w:marRight w:val="0"/>
          <w:marTop w:val="0"/>
          <w:marBottom w:val="0"/>
          <w:divBdr>
            <w:top w:val="none" w:sz="0" w:space="0" w:color="auto"/>
            <w:left w:val="none" w:sz="0" w:space="0" w:color="auto"/>
            <w:bottom w:val="none" w:sz="0" w:space="0" w:color="auto"/>
            <w:right w:val="none" w:sz="0" w:space="0" w:color="auto"/>
          </w:divBdr>
        </w:div>
        <w:div w:id="1209338566">
          <w:marLeft w:val="0"/>
          <w:marRight w:val="0"/>
          <w:marTop w:val="0"/>
          <w:marBottom w:val="600"/>
          <w:divBdr>
            <w:top w:val="none" w:sz="0" w:space="0" w:color="auto"/>
            <w:left w:val="none" w:sz="0" w:space="0" w:color="auto"/>
            <w:bottom w:val="none" w:sz="0" w:space="0" w:color="auto"/>
            <w:right w:val="none" w:sz="0" w:space="0" w:color="auto"/>
          </w:divBdr>
        </w:div>
      </w:divsChild>
    </w:div>
    <w:div w:id="1850756170">
      <w:marLeft w:val="0"/>
      <w:marRight w:val="0"/>
      <w:marTop w:val="0"/>
      <w:marBottom w:val="0"/>
      <w:divBdr>
        <w:top w:val="none" w:sz="0" w:space="0" w:color="auto"/>
        <w:left w:val="none" w:sz="0" w:space="0" w:color="auto"/>
        <w:bottom w:val="none" w:sz="0" w:space="0" w:color="auto"/>
        <w:right w:val="none" w:sz="0" w:space="0" w:color="auto"/>
      </w:divBdr>
      <w:divsChild>
        <w:div w:id="470902464">
          <w:marLeft w:val="0"/>
          <w:marRight w:val="0"/>
          <w:marTop w:val="547"/>
          <w:marBottom w:val="0"/>
          <w:divBdr>
            <w:top w:val="none" w:sz="0" w:space="0" w:color="auto"/>
            <w:left w:val="none" w:sz="0" w:space="0" w:color="auto"/>
            <w:bottom w:val="none" w:sz="0" w:space="0" w:color="auto"/>
            <w:right w:val="none" w:sz="0" w:space="0" w:color="auto"/>
          </w:divBdr>
        </w:div>
        <w:div w:id="188033635">
          <w:marLeft w:val="0"/>
          <w:marRight w:val="0"/>
          <w:marTop w:val="0"/>
          <w:marBottom w:val="0"/>
          <w:divBdr>
            <w:top w:val="none" w:sz="0" w:space="0" w:color="auto"/>
            <w:left w:val="none" w:sz="0" w:space="0" w:color="auto"/>
            <w:bottom w:val="none" w:sz="0" w:space="0" w:color="auto"/>
            <w:right w:val="none" w:sz="0" w:space="0" w:color="auto"/>
          </w:divBdr>
        </w:div>
        <w:div w:id="470753145">
          <w:marLeft w:val="0"/>
          <w:marRight w:val="0"/>
          <w:marTop w:val="0"/>
          <w:marBottom w:val="600"/>
          <w:divBdr>
            <w:top w:val="none" w:sz="0" w:space="0" w:color="auto"/>
            <w:left w:val="none" w:sz="0" w:space="0" w:color="auto"/>
            <w:bottom w:val="none" w:sz="0" w:space="0" w:color="auto"/>
            <w:right w:val="none" w:sz="0" w:space="0" w:color="auto"/>
          </w:divBdr>
        </w:div>
      </w:divsChild>
    </w:div>
    <w:div w:id="1851262463">
      <w:marLeft w:val="0"/>
      <w:marRight w:val="0"/>
      <w:marTop w:val="0"/>
      <w:marBottom w:val="0"/>
      <w:divBdr>
        <w:top w:val="none" w:sz="0" w:space="0" w:color="auto"/>
        <w:left w:val="none" w:sz="0" w:space="0" w:color="auto"/>
        <w:bottom w:val="none" w:sz="0" w:space="0" w:color="auto"/>
        <w:right w:val="none" w:sz="0" w:space="0" w:color="auto"/>
      </w:divBdr>
      <w:divsChild>
        <w:div w:id="1695839833">
          <w:marLeft w:val="0"/>
          <w:marRight w:val="0"/>
          <w:marTop w:val="547"/>
          <w:marBottom w:val="0"/>
          <w:divBdr>
            <w:top w:val="none" w:sz="0" w:space="0" w:color="auto"/>
            <w:left w:val="none" w:sz="0" w:space="0" w:color="auto"/>
            <w:bottom w:val="none" w:sz="0" w:space="0" w:color="auto"/>
            <w:right w:val="none" w:sz="0" w:space="0" w:color="auto"/>
          </w:divBdr>
        </w:div>
        <w:div w:id="1226065540">
          <w:marLeft w:val="0"/>
          <w:marRight w:val="0"/>
          <w:marTop w:val="0"/>
          <w:marBottom w:val="0"/>
          <w:divBdr>
            <w:top w:val="none" w:sz="0" w:space="0" w:color="auto"/>
            <w:left w:val="none" w:sz="0" w:space="0" w:color="auto"/>
            <w:bottom w:val="none" w:sz="0" w:space="0" w:color="auto"/>
            <w:right w:val="none" w:sz="0" w:space="0" w:color="auto"/>
          </w:divBdr>
          <w:divsChild>
            <w:div w:id="503860429">
              <w:marLeft w:val="0"/>
              <w:marRight w:val="0"/>
              <w:marTop w:val="0"/>
              <w:marBottom w:val="0"/>
              <w:divBdr>
                <w:top w:val="none" w:sz="0" w:space="0" w:color="auto"/>
                <w:left w:val="none" w:sz="0" w:space="0" w:color="auto"/>
                <w:bottom w:val="none" w:sz="0" w:space="0" w:color="auto"/>
                <w:right w:val="none" w:sz="0" w:space="0" w:color="auto"/>
              </w:divBdr>
              <w:divsChild>
                <w:div w:id="1617563326">
                  <w:marLeft w:val="0"/>
                  <w:marRight w:val="0"/>
                  <w:marTop w:val="0"/>
                  <w:marBottom w:val="0"/>
                  <w:divBdr>
                    <w:top w:val="none" w:sz="0" w:space="0" w:color="auto"/>
                    <w:left w:val="none" w:sz="0" w:space="0" w:color="auto"/>
                    <w:bottom w:val="none" w:sz="0" w:space="0" w:color="auto"/>
                    <w:right w:val="none" w:sz="0" w:space="0" w:color="auto"/>
                  </w:divBdr>
                </w:div>
              </w:divsChild>
            </w:div>
            <w:div w:id="1283926120">
              <w:marLeft w:val="0"/>
              <w:marRight w:val="0"/>
              <w:marTop w:val="0"/>
              <w:marBottom w:val="0"/>
              <w:divBdr>
                <w:top w:val="none" w:sz="0" w:space="0" w:color="auto"/>
                <w:left w:val="none" w:sz="0" w:space="0" w:color="auto"/>
                <w:bottom w:val="none" w:sz="0" w:space="0" w:color="auto"/>
                <w:right w:val="none" w:sz="0" w:space="0" w:color="auto"/>
              </w:divBdr>
              <w:divsChild>
                <w:div w:id="1783265217">
                  <w:marLeft w:val="0"/>
                  <w:marRight w:val="0"/>
                  <w:marTop w:val="0"/>
                  <w:marBottom w:val="0"/>
                  <w:divBdr>
                    <w:top w:val="none" w:sz="0" w:space="0" w:color="auto"/>
                    <w:left w:val="none" w:sz="0" w:space="0" w:color="auto"/>
                    <w:bottom w:val="none" w:sz="0" w:space="0" w:color="auto"/>
                    <w:right w:val="none" w:sz="0" w:space="0" w:color="auto"/>
                  </w:divBdr>
                </w:div>
              </w:divsChild>
            </w:div>
            <w:div w:id="991523144">
              <w:marLeft w:val="0"/>
              <w:marRight w:val="0"/>
              <w:marTop w:val="0"/>
              <w:marBottom w:val="0"/>
              <w:divBdr>
                <w:top w:val="none" w:sz="0" w:space="0" w:color="auto"/>
                <w:left w:val="none" w:sz="0" w:space="0" w:color="auto"/>
                <w:bottom w:val="none" w:sz="0" w:space="0" w:color="auto"/>
                <w:right w:val="none" w:sz="0" w:space="0" w:color="auto"/>
              </w:divBdr>
              <w:divsChild>
                <w:div w:id="779229674">
                  <w:marLeft w:val="0"/>
                  <w:marRight w:val="0"/>
                  <w:marTop w:val="0"/>
                  <w:marBottom w:val="0"/>
                  <w:divBdr>
                    <w:top w:val="none" w:sz="0" w:space="0" w:color="auto"/>
                    <w:left w:val="none" w:sz="0" w:space="0" w:color="auto"/>
                    <w:bottom w:val="none" w:sz="0" w:space="0" w:color="auto"/>
                    <w:right w:val="none" w:sz="0" w:space="0" w:color="auto"/>
                  </w:divBdr>
                </w:div>
              </w:divsChild>
            </w:div>
            <w:div w:id="768622196">
              <w:marLeft w:val="0"/>
              <w:marRight w:val="0"/>
              <w:marTop w:val="0"/>
              <w:marBottom w:val="0"/>
              <w:divBdr>
                <w:top w:val="none" w:sz="0" w:space="0" w:color="auto"/>
                <w:left w:val="none" w:sz="0" w:space="0" w:color="auto"/>
                <w:bottom w:val="none" w:sz="0" w:space="0" w:color="auto"/>
                <w:right w:val="none" w:sz="0" w:space="0" w:color="auto"/>
              </w:divBdr>
              <w:divsChild>
                <w:div w:id="122776411">
                  <w:marLeft w:val="0"/>
                  <w:marRight w:val="0"/>
                  <w:marTop w:val="0"/>
                  <w:marBottom w:val="0"/>
                  <w:divBdr>
                    <w:top w:val="none" w:sz="0" w:space="0" w:color="auto"/>
                    <w:left w:val="none" w:sz="0" w:space="0" w:color="auto"/>
                    <w:bottom w:val="none" w:sz="0" w:space="0" w:color="auto"/>
                    <w:right w:val="none" w:sz="0" w:space="0" w:color="auto"/>
                  </w:divBdr>
                </w:div>
              </w:divsChild>
            </w:div>
            <w:div w:id="539166226">
              <w:marLeft w:val="0"/>
              <w:marRight w:val="0"/>
              <w:marTop w:val="0"/>
              <w:marBottom w:val="0"/>
              <w:divBdr>
                <w:top w:val="none" w:sz="0" w:space="0" w:color="auto"/>
                <w:left w:val="none" w:sz="0" w:space="0" w:color="auto"/>
                <w:bottom w:val="none" w:sz="0" w:space="0" w:color="auto"/>
                <w:right w:val="none" w:sz="0" w:space="0" w:color="auto"/>
              </w:divBdr>
              <w:divsChild>
                <w:div w:id="50277830">
                  <w:marLeft w:val="0"/>
                  <w:marRight w:val="0"/>
                  <w:marTop w:val="0"/>
                  <w:marBottom w:val="0"/>
                  <w:divBdr>
                    <w:top w:val="none" w:sz="0" w:space="0" w:color="auto"/>
                    <w:left w:val="none" w:sz="0" w:space="0" w:color="auto"/>
                    <w:bottom w:val="none" w:sz="0" w:space="0" w:color="auto"/>
                    <w:right w:val="none" w:sz="0" w:space="0" w:color="auto"/>
                  </w:divBdr>
                </w:div>
              </w:divsChild>
            </w:div>
            <w:div w:id="1932276557">
              <w:marLeft w:val="0"/>
              <w:marRight w:val="0"/>
              <w:marTop w:val="0"/>
              <w:marBottom w:val="0"/>
              <w:divBdr>
                <w:top w:val="none" w:sz="0" w:space="0" w:color="auto"/>
                <w:left w:val="none" w:sz="0" w:space="0" w:color="auto"/>
                <w:bottom w:val="none" w:sz="0" w:space="0" w:color="auto"/>
                <w:right w:val="none" w:sz="0" w:space="0" w:color="auto"/>
              </w:divBdr>
              <w:divsChild>
                <w:div w:id="1741563836">
                  <w:marLeft w:val="0"/>
                  <w:marRight w:val="0"/>
                  <w:marTop w:val="0"/>
                  <w:marBottom w:val="0"/>
                  <w:divBdr>
                    <w:top w:val="none" w:sz="0" w:space="0" w:color="auto"/>
                    <w:left w:val="none" w:sz="0" w:space="0" w:color="auto"/>
                    <w:bottom w:val="none" w:sz="0" w:space="0" w:color="auto"/>
                    <w:right w:val="none" w:sz="0" w:space="0" w:color="auto"/>
                  </w:divBdr>
                </w:div>
              </w:divsChild>
            </w:div>
            <w:div w:id="250890918">
              <w:marLeft w:val="0"/>
              <w:marRight w:val="0"/>
              <w:marTop w:val="0"/>
              <w:marBottom w:val="0"/>
              <w:divBdr>
                <w:top w:val="none" w:sz="0" w:space="0" w:color="auto"/>
                <w:left w:val="none" w:sz="0" w:space="0" w:color="auto"/>
                <w:bottom w:val="none" w:sz="0" w:space="0" w:color="auto"/>
                <w:right w:val="none" w:sz="0" w:space="0" w:color="auto"/>
              </w:divBdr>
              <w:divsChild>
                <w:div w:id="643000494">
                  <w:marLeft w:val="0"/>
                  <w:marRight w:val="0"/>
                  <w:marTop w:val="0"/>
                  <w:marBottom w:val="0"/>
                  <w:divBdr>
                    <w:top w:val="none" w:sz="0" w:space="0" w:color="auto"/>
                    <w:left w:val="none" w:sz="0" w:space="0" w:color="auto"/>
                    <w:bottom w:val="none" w:sz="0" w:space="0" w:color="auto"/>
                    <w:right w:val="none" w:sz="0" w:space="0" w:color="auto"/>
                  </w:divBdr>
                </w:div>
              </w:divsChild>
            </w:div>
            <w:div w:id="1616406155">
              <w:marLeft w:val="0"/>
              <w:marRight w:val="0"/>
              <w:marTop w:val="0"/>
              <w:marBottom w:val="0"/>
              <w:divBdr>
                <w:top w:val="none" w:sz="0" w:space="0" w:color="auto"/>
                <w:left w:val="none" w:sz="0" w:space="0" w:color="auto"/>
                <w:bottom w:val="none" w:sz="0" w:space="0" w:color="auto"/>
                <w:right w:val="none" w:sz="0" w:space="0" w:color="auto"/>
              </w:divBdr>
              <w:divsChild>
                <w:div w:id="1851598793">
                  <w:marLeft w:val="0"/>
                  <w:marRight w:val="0"/>
                  <w:marTop w:val="0"/>
                  <w:marBottom w:val="0"/>
                  <w:divBdr>
                    <w:top w:val="none" w:sz="0" w:space="0" w:color="auto"/>
                    <w:left w:val="none" w:sz="0" w:space="0" w:color="auto"/>
                    <w:bottom w:val="none" w:sz="0" w:space="0" w:color="auto"/>
                    <w:right w:val="none" w:sz="0" w:space="0" w:color="auto"/>
                  </w:divBdr>
                </w:div>
              </w:divsChild>
            </w:div>
            <w:div w:id="1573543788">
              <w:marLeft w:val="0"/>
              <w:marRight w:val="0"/>
              <w:marTop w:val="0"/>
              <w:marBottom w:val="0"/>
              <w:divBdr>
                <w:top w:val="none" w:sz="0" w:space="0" w:color="auto"/>
                <w:left w:val="none" w:sz="0" w:space="0" w:color="auto"/>
                <w:bottom w:val="none" w:sz="0" w:space="0" w:color="auto"/>
                <w:right w:val="none" w:sz="0" w:space="0" w:color="auto"/>
              </w:divBdr>
              <w:divsChild>
                <w:div w:id="2034990031">
                  <w:marLeft w:val="0"/>
                  <w:marRight w:val="0"/>
                  <w:marTop w:val="0"/>
                  <w:marBottom w:val="0"/>
                  <w:divBdr>
                    <w:top w:val="none" w:sz="0" w:space="0" w:color="auto"/>
                    <w:left w:val="none" w:sz="0" w:space="0" w:color="auto"/>
                    <w:bottom w:val="none" w:sz="0" w:space="0" w:color="auto"/>
                    <w:right w:val="none" w:sz="0" w:space="0" w:color="auto"/>
                  </w:divBdr>
                </w:div>
              </w:divsChild>
            </w:div>
            <w:div w:id="459496645">
              <w:marLeft w:val="0"/>
              <w:marRight w:val="0"/>
              <w:marTop w:val="0"/>
              <w:marBottom w:val="0"/>
              <w:divBdr>
                <w:top w:val="none" w:sz="0" w:space="0" w:color="auto"/>
                <w:left w:val="none" w:sz="0" w:space="0" w:color="auto"/>
                <w:bottom w:val="none" w:sz="0" w:space="0" w:color="auto"/>
                <w:right w:val="none" w:sz="0" w:space="0" w:color="auto"/>
              </w:divBdr>
              <w:divsChild>
                <w:div w:id="1315644256">
                  <w:marLeft w:val="0"/>
                  <w:marRight w:val="0"/>
                  <w:marTop w:val="0"/>
                  <w:marBottom w:val="0"/>
                  <w:divBdr>
                    <w:top w:val="none" w:sz="0" w:space="0" w:color="auto"/>
                    <w:left w:val="none" w:sz="0" w:space="0" w:color="auto"/>
                    <w:bottom w:val="none" w:sz="0" w:space="0" w:color="auto"/>
                    <w:right w:val="none" w:sz="0" w:space="0" w:color="auto"/>
                  </w:divBdr>
                </w:div>
              </w:divsChild>
            </w:div>
            <w:div w:id="328946366">
              <w:marLeft w:val="0"/>
              <w:marRight w:val="0"/>
              <w:marTop w:val="0"/>
              <w:marBottom w:val="0"/>
              <w:divBdr>
                <w:top w:val="none" w:sz="0" w:space="0" w:color="auto"/>
                <w:left w:val="none" w:sz="0" w:space="0" w:color="auto"/>
                <w:bottom w:val="none" w:sz="0" w:space="0" w:color="auto"/>
                <w:right w:val="none" w:sz="0" w:space="0" w:color="auto"/>
              </w:divBdr>
              <w:divsChild>
                <w:div w:id="51782662">
                  <w:marLeft w:val="0"/>
                  <w:marRight w:val="0"/>
                  <w:marTop w:val="0"/>
                  <w:marBottom w:val="0"/>
                  <w:divBdr>
                    <w:top w:val="none" w:sz="0" w:space="0" w:color="auto"/>
                    <w:left w:val="none" w:sz="0" w:space="0" w:color="auto"/>
                    <w:bottom w:val="none" w:sz="0" w:space="0" w:color="auto"/>
                    <w:right w:val="none" w:sz="0" w:space="0" w:color="auto"/>
                  </w:divBdr>
                </w:div>
              </w:divsChild>
            </w:div>
            <w:div w:id="494345739">
              <w:marLeft w:val="0"/>
              <w:marRight w:val="0"/>
              <w:marTop w:val="0"/>
              <w:marBottom w:val="0"/>
              <w:divBdr>
                <w:top w:val="none" w:sz="0" w:space="0" w:color="auto"/>
                <w:left w:val="none" w:sz="0" w:space="0" w:color="auto"/>
                <w:bottom w:val="none" w:sz="0" w:space="0" w:color="auto"/>
                <w:right w:val="none" w:sz="0" w:space="0" w:color="auto"/>
              </w:divBdr>
              <w:divsChild>
                <w:div w:id="1632788657">
                  <w:marLeft w:val="0"/>
                  <w:marRight w:val="0"/>
                  <w:marTop w:val="0"/>
                  <w:marBottom w:val="0"/>
                  <w:divBdr>
                    <w:top w:val="none" w:sz="0" w:space="0" w:color="auto"/>
                    <w:left w:val="none" w:sz="0" w:space="0" w:color="auto"/>
                    <w:bottom w:val="none" w:sz="0" w:space="0" w:color="auto"/>
                    <w:right w:val="none" w:sz="0" w:space="0" w:color="auto"/>
                  </w:divBdr>
                </w:div>
              </w:divsChild>
            </w:div>
            <w:div w:id="1193303994">
              <w:marLeft w:val="0"/>
              <w:marRight w:val="0"/>
              <w:marTop w:val="0"/>
              <w:marBottom w:val="0"/>
              <w:divBdr>
                <w:top w:val="none" w:sz="0" w:space="0" w:color="auto"/>
                <w:left w:val="none" w:sz="0" w:space="0" w:color="auto"/>
                <w:bottom w:val="none" w:sz="0" w:space="0" w:color="auto"/>
                <w:right w:val="none" w:sz="0" w:space="0" w:color="auto"/>
              </w:divBdr>
              <w:divsChild>
                <w:div w:id="636184508">
                  <w:marLeft w:val="0"/>
                  <w:marRight w:val="0"/>
                  <w:marTop w:val="0"/>
                  <w:marBottom w:val="0"/>
                  <w:divBdr>
                    <w:top w:val="none" w:sz="0" w:space="0" w:color="auto"/>
                    <w:left w:val="none" w:sz="0" w:space="0" w:color="auto"/>
                    <w:bottom w:val="none" w:sz="0" w:space="0" w:color="auto"/>
                    <w:right w:val="none" w:sz="0" w:space="0" w:color="auto"/>
                  </w:divBdr>
                </w:div>
              </w:divsChild>
            </w:div>
            <w:div w:id="1511749189">
              <w:marLeft w:val="0"/>
              <w:marRight w:val="0"/>
              <w:marTop w:val="0"/>
              <w:marBottom w:val="0"/>
              <w:divBdr>
                <w:top w:val="none" w:sz="0" w:space="0" w:color="auto"/>
                <w:left w:val="none" w:sz="0" w:space="0" w:color="auto"/>
                <w:bottom w:val="none" w:sz="0" w:space="0" w:color="auto"/>
                <w:right w:val="none" w:sz="0" w:space="0" w:color="auto"/>
              </w:divBdr>
              <w:divsChild>
                <w:div w:id="224992410">
                  <w:marLeft w:val="0"/>
                  <w:marRight w:val="0"/>
                  <w:marTop w:val="0"/>
                  <w:marBottom w:val="0"/>
                  <w:divBdr>
                    <w:top w:val="none" w:sz="0" w:space="0" w:color="auto"/>
                    <w:left w:val="none" w:sz="0" w:space="0" w:color="auto"/>
                    <w:bottom w:val="none" w:sz="0" w:space="0" w:color="auto"/>
                    <w:right w:val="none" w:sz="0" w:space="0" w:color="auto"/>
                  </w:divBdr>
                </w:div>
              </w:divsChild>
            </w:div>
            <w:div w:id="2126460540">
              <w:marLeft w:val="0"/>
              <w:marRight w:val="0"/>
              <w:marTop w:val="0"/>
              <w:marBottom w:val="0"/>
              <w:divBdr>
                <w:top w:val="none" w:sz="0" w:space="0" w:color="auto"/>
                <w:left w:val="none" w:sz="0" w:space="0" w:color="auto"/>
                <w:bottom w:val="none" w:sz="0" w:space="0" w:color="auto"/>
                <w:right w:val="none" w:sz="0" w:space="0" w:color="auto"/>
              </w:divBdr>
              <w:divsChild>
                <w:div w:id="1869567439">
                  <w:marLeft w:val="0"/>
                  <w:marRight w:val="0"/>
                  <w:marTop w:val="0"/>
                  <w:marBottom w:val="0"/>
                  <w:divBdr>
                    <w:top w:val="none" w:sz="0" w:space="0" w:color="auto"/>
                    <w:left w:val="none" w:sz="0" w:space="0" w:color="auto"/>
                    <w:bottom w:val="none" w:sz="0" w:space="0" w:color="auto"/>
                    <w:right w:val="none" w:sz="0" w:space="0" w:color="auto"/>
                  </w:divBdr>
                </w:div>
              </w:divsChild>
            </w:div>
            <w:div w:id="2082873498">
              <w:marLeft w:val="0"/>
              <w:marRight w:val="0"/>
              <w:marTop w:val="0"/>
              <w:marBottom w:val="0"/>
              <w:divBdr>
                <w:top w:val="none" w:sz="0" w:space="0" w:color="auto"/>
                <w:left w:val="none" w:sz="0" w:space="0" w:color="auto"/>
                <w:bottom w:val="none" w:sz="0" w:space="0" w:color="auto"/>
                <w:right w:val="none" w:sz="0" w:space="0" w:color="auto"/>
              </w:divBdr>
              <w:divsChild>
                <w:div w:id="1499543299">
                  <w:marLeft w:val="0"/>
                  <w:marRight w:val="0"/>
                  <w:marTop w:val="0"/>
                  <w:marBottom w:val="0"/>
                  <w:divBdr>
                    <w:top w:val="none" w:sz="0" w:space="0" w:color="auto"/>
                    <w:left w:val="none" w:sz="0" w:space="0" w:color="auto"/>
                    <w:bottom w:val="none" w:sz="0" w:space="0" w:color="auto"/>
                    <w:right w:val="none" w:sz="0" w:space="0" w:color="auto"/>
                  </w:divBdr>
                </w:div>
              </w:divsChild>
            </w:div>
            <w:div w:id="841164730">
              <w:marLeft w:val="0"/>
              <w:marRight w:val="0"/>
              <w:marTop w:val="0"/>
              <w:marBottom w:val="0"/>
              <w:divBdr>
                <w:top w:val="none" w:sz="0" w:space="0" w:color="auto"/>
                <w:left w:val="none" w:sz="0" w:space="0" w:color="auto"/>
                <w:bottom w:val="none" w:sz="0" w:space="0" w:color="auto"/>
                <w:right w:val="none" w:sz="0" w:space="0" w:color="auto"/>
              </w:divBdr>
              <w:divsChild>
                <w:div w:id="871848317">
                  <w:marLeft w:val="0"/>
                  <w:marRight w:val="0"/>
                  <w:marTop w:val="0"/>
                  <w:marBottom w:val="0"/>
                  <w:divBdr>
                    <w:top w:val="none" w:sz="0" w:space="0" w:color="auto"/>
                    <w:left w:val="none" w:sz="0" w:space="0" w:color="auto"/>
                    <w:bottom w:val="none" w:sz="0" w:space="0" w:color="auto"/>
                    <w:right w:val="none" w:sz="0" w:space="0" w:color="auto"/>
                  </w:divBdr>
                </w:div>
              </w:divsChild>
            </w:div>
            <w:div w:id="225603850">
              <w:marLeft w:val="0"/>
              <w:marRight w:val="0"/>
              <w:marTop w:val="0"/>
              <w:marBottom w:val="0"/>
              <w:divBdr>
                <w:top w:val="none" w:sz="0" w:space="0" w:color="auto"/>
                <w:left w:val="none" w:sz="0" w:space="0" w:color="auto"/>
                <w:bottom w:val="none" w:sz="0" w:space="0" w:color="auto"/>
                <w:right w:val="none" w:sz="0" w:space="0" w:color="auto"/>
              </w:divBdr>
              <w:divsChild>
                <w:div w:id="643387481">
                  <w:marLeft w:val="0"/>
                  <w:marRight w:val="0"/>
                  <w:marTop w:val="0"/>
                  <w:marBottom w:val="0"/>
                  <w:divBdr>
                    <w:top w:val="none" w:sz="0" w:space="0" w:color="auto"/>
                    <w:left w:val="none" w:sz="0" w:space="0" w:color="auto"/>
                    <w:bottom w:val="none" w:sz="0" w:space="0" w:color="auto"/>
                    <w:right w:val="none" w:sz="0" w:space="0" w:color="auto"/>
                  </w:divBdr>
                </w:div>
              </w:divsChild>
            </w:div>
            <w:div w:id="1888298516">
              <w:marLeft w:val="0"/>
              <w:marRight w:val="0"/>
              <w:marTop w:val="0"/>
              <w:marBottom w:val="0"/>
              <w:divBdr>
                <w:top w:val="none" w:sz="0" w:space="0" w:color="auto"/>
                <w:left w:val="none" w:sz="0" w:space="0" w:color="auto"/>
                <w:bottom w:val="none" w:sz="0" w:space="0" w:color="auto"/>
                <w:right w:val="none" w:sz="0" w:space="0" w:color="auto"/>
              </w:divBdr>
              <w:divsChild>
                <w:div w:id="1083138678">
                  <w:marLeft w:val="0"/>
                  <w:marRight w:val="0"/>
                  <w:marTop w:val="0"/>
                  <w:marBottom w:val="0"/>
                  <w:divBdr>
                    <w:top w:val="none" w:sz="0" w:space="0" w:color="auto"/>
                    <w:left w:val="none" w:sz="0" w:space="0" w:color="auto"/>
                    <w:bottom w:val="none" w:sz="0" w:space="0" w:color="auto"/>
                    <w:right w:val="none" w:sz="0" w:space="0" w:color="auto"/>
                  </w:divBdr>
                </w:div>
              </w:divsChild>
            </w:div>
            <w:div w:id="742534696">
              <w:marLeft w:val="0"/>
              <w:marRight w:val="0"/>
              <w:marTop w:val="0"/>
              <w:marBottom w:val="0"/>
              <w:divBdr>
                <w:top w:val="none" w:sz="0" w:space="0" w:color="auto"/>
                <w:left w:val="none" w:sz="0" w:space="0" w:color="auto"/>
                <w:bottom w:val="none" w:sz="0" w:space="0" w:color="auto"/>
                <w:right w:val="none" w:sz="0" w:space="0" w:color="auto"/>
              </w:divBdr>
              <w:divsChild>
                <w:div w:id="1922787937">
                  <w:marLeft w:val="0"/>
                  <w:marRight w:val="0"/>
                  <w:marTop w:val="0"/>
                  <w:marBottom w:val="0"/>
                  <w:divBdr>
                    <w:top w:val="none" w:sz="0" w:space="0" w:color="auto"/>
                    <w:left w:val="none" w:sz="0" w:space="0" w:color="auto"/>
                    <w:bottom w:val="none" w:sz="0" w:space="0" w:color="auto"/>
                    <w:right w:val="none" w:sz="0" w:space="0" w:color="auto"/>
                  </w:divBdr>
                </w:div>
              </w:divsChild>
            </w:div>
            <w:div w:id="100077542">
              <w:marLeft w:val="0"/>
              <w:marRight w:val="0"/>
              <w:marTop w:val="0"/>
              <w:marBottom w:val="0"/>
              <w:divBdr>
                <w:top w:val="none" w:sz="0" w:space="0" w:color="auto"/>
                <w:left w:val="none" w:sz="0" w:space="0" w:color="auto"/>
                <w:bottom w:val="none" w:sz="0" w:space="0" w:color="auto"/>
                <w:right w:val="none" w:sz="0" w:space="0" w:color="auto"/>
              </w:divBdr>
              <w:divsChild>
                <w:div w:id="1008022895">
                  <w:marLeft w:val="0"/>
                  <w:marRight w:val="0"/>
                  <w:marTop w:val="0"/>
                  <w:marBottom w:val="0"/>
                  <w:divBdr>
                    <w:top w:val="none" w:sz="0" w:space="0" w:color="auto"/>
                    <w:left w:val="none" w:sz="0" w:space="0" w:color="auto"/>
                    <w:bottom w:val="none" w:sz="0" w:space="0" w:color="auto"/>
                    <w:right w:val="none" w:sz="0" w:space="0" w:color="auto"/>
                  </w:divBdr>
                </w:div>
              </w:divsChild>
            </w:div>
            <w:div w:id="309212075">
              <w:marLeft w:val="0"/>
              <w:marRight w:val="0"/>
              <w:marTop w:val="0"/>
              <w:marBottom w:val="0"/>
              <w:divBdr>
                <w:top w:val="none" w:sz="0" w:space="0" w:color="auto"/>
                <w:left w:val="none" w:sz="0" w:space="0" w:color="auto"/>
                <w:bottom w:val="none" w:sz="0" w:space="0" w:color="auto"/>
                <w:right w:val="none" w:sz="0" w:space="0" w:color="auto"/>
              </w:divBdr>
              <w:divsChild>
                <w:div w:id="19576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0855">
          <w:marLeft w:val="0"/>
          <w:marRight w:val="0"/>
          <w:marTop w:val="0"/>
          <w:marBottom w:val="600"/>
          <w:divBdr>
            <w:top w:val="none" w:sz="0" w:space="0" w:color="auto"/>
            <w:left w:val="none" w:sz="0" w:space="0" w:color="auto"/>
            <w:bottom w:val="none" w:sz="0" w:space="0" w:color="auto"/>
            <w:right w:val="none" w:sz="0" w:space="0" w:color="auto"/>
          </w:divBdr>
        </w:div>
      </w:divsChild>
    </w:div>
    <w:div w:id="1903785982">
      <w:marLeft w:val="0"/>
      <w:marRight w:val="0"/>
      <w:marTop w:val="0"/>
      <w:marBottom w:val="0"/>
      <w:divBdr>
        <w:top w:val="none" w:sz="0" w:space="0" w:color="auto"/>
        <w:left w:val="none" w:sz="0" w:space="0" w:color="auto"/>
        <w:bottom w:val="none" w:sz="0" w:space="0" w:color="auto"/>
        <w:right w:val="none" w:sz="0" w:space="0" w:color="auto"/>
      </w:divBdr>
      <w:divsChild>
        <w:div w:id="1388801666">
          <w:marLeft w:val="0"/>
          <w:marRight w:val="0"/>
          <w:marTop w:val="547"/>
          <w:marBottom w:val="0"/>
          <w:divBdr>
            <w:top w:val="none" w:sz="0" w:space="0" w:color="auto"/>
            <w:left w:val="none" w:sz="0" w:space="0" w:color="auto"/>
            <w:bottom w:val="none" w:sz="0" w:space="0" w:color="auto"/>
            <w:right w:val="none" w:sz="0" w:space="0" w:color="auto"/>
          </w:divBdr>
        </w:div>
        <w:div w:id="206836118">
          <w:marLeft w:val="0"/>
          <w:marRight w:val="0"/>
          <w:marTop w:val="0"/>
          <w:marBottom w:val="0"/>
          <w:divBdr>
            <w:top w:val="none" w:sz="0" w:space="0" w:color="auto"/>
            <w:left w:val="none" w:sz="0" w:space="0" w:color="auto"/>
            <w:bottom w:val="none" w:sz="0" w:space="0" w:color="auto"/>
            <w:right w:val="none" w:sz="0" w:space="0" w:color="auto"/>
          </w:divBdr>
        </w:div>
        <w:div w:id="871648848">
          <w:marLeft w:val="0"/>
          <w:marRight w:val="0"/>
          <w:marTop w:val="0"/>
          <w:marBottom w:val="600"/>
          <w:divBdr>
            <w:top w:val="none" w:sz="0" w:space="0" w:color="auto"/>
            <w:left w:val="none" w:sz="0" w:space="0" w:color="auto"/>
            <w:bottom w:val="none" w:sz="0" w:space="0" w:color="auto"/>
            <w:right w:val="none" w:sz="0" w:space="0" w:color="auto"/>
          </w:divBdr>
        </w:div>
      </w:divsChild>
    </w:div>
    <w:div w:id="1949267715">
      <w:marLeft w:val="0"/>
      <w:marRight w:val="0"/>
      <w:marTop w:val="0"/>
      <w:marBottom w:val="0"/>
      <w:divBdr>
        <w:top w:val="none" w:sz="0" w:space="0" w:color="auto"/>
        <w:left w:val="none" w:sz="0" w:space="0" w:color="auto"/>
        <w:bottom w:val="none" w:sz="0" w:space="0" w:color="auto"/>
        <w:right w:val="none" w:sz="0" w:space="0" w:color="auto"/>
      </w:divBdr>
      <w:divsChild>
        <w:div w:id="311837783">
          <w:marLeft w:val="0"/>
          <w:marRight w:val="0"/>
          <w:marTop w:val="547"/>
          <w:marBottom w:val="0"/>
          <w:divBdr>
            <w:top w:val="none" w:sz="0" w:space="0" w:color="auto"/>
            <w:left w:val="none" w:sz="0" w:space="0" w:color="auto"/>
            <w:bottom w:val="none" w:sz="0" w:space="0" w:color="auto"/>
            <w:right w:val="none" w:sz="0" w:space="0" w:color="auto"/>
          </w:divBdr>
        </w:div>
        <w:div w:id="1367217985">
          <w:marLeft w:val="0"/>
          <w:marRight w:val="0"/>
          <w:marTop w:val="0"/>
          <w:marBottom w:val="0"/>
          <w:divBdr>
            <w:top w:val="none" w:sz="0" w:space="0" w:color="auto"/>
            <w:left w:val="none" w:sz="0" w:space="0" w:color="auto"/>
            <w:bottom w:val="none" w:sz="0" w:space="0" w:color="auto"/>
            <w:right w:val="none" w:sz="0" w:space="0" w:color="auto"/>
          </w:divBdr>
        </w:div>
        <w:div w:id="412700470">
          <w:marLeft w:val="0"/>
          <w:marRight w:val="0"/>
          <w:marTop w:val="0"/>
          <w:marBottom w:val="600"/>
          <w:divBdr>
            <w:top w:val="none" w:sz="0" w:space="0" w:color="auto"/>
            <w:left w:val="none" w:sz="0" w:space="0" w:color="auto"/>
            <w:bottom w:val="none" w:sz="0" w:space="0" w:color="auto"/>
            <w:right w:val="none" w:sz="0" w:space="0" w:color="auto"/>
          </w:divBdr>
        </w:div>
      </w:divsChild>
    </w:div>
    <w:div w:id="1986739333">
      <w:marLeft w:val="0"/>
      <w:marRight w:val="0"/>
      <w:marTop w:val="0"/>
      <w:marBottom w:val="0"/>
      <w:divBdr>
        <w:top w:val="none" w:sz="0" w:space="0" w:color="auto"/>
        <w:left w:val="none" w:sz="0" w:space="0" w:color="auto"/>
        <w:bottom w:val="none" w:sz="0" w:space="0" w:color="auto"/>
        <w:right w:val="none" w:sz="0" w:space="0" w:color="auto"/>
      </w:divBdr>
      <w:divsChild>
        <w:div w:id="1092622156">
          <w:marLeft w:val="0"/>
          <w:marRight w:val="0"/>
          <w:marTop w:val="547"/>
          <w:marBottom w:val="0"/>
          <w:divBdr>
            <w:top w:val="none" w:sz="0" w:space="0" w:color="auto"/>
            <w:left w:val="none" w:sz="0" w:space="0" w:color="auto"/>
            <w:bottom w:val="none" w:sz="0" w:space="0" w:color="auto"/>
            <w:right w:val="none" w:sz="0" w:space="0" w:color="auto"/>
          </w:divBdr>
        </w:div>
        <w:div w:id="1314681992">
          <w:marLeft w:val="0"/>
          <w:marRight w:val="0"/>
          <w:marTop w:val="0"/>
          <w:marBottom w:val="0"/>
          <w:divBdr>
            <w:top w:val="none" w:sz="0" w:space="0" w:color="auto"/>
            <w:left w:val="none" w:sz="0" w:space="0" w:color="auto"/>
            <w:bottom w:val="none" w:sz="0" w:space="0" w:color="auto"/>
            <w:right w:val="none" w:sz="0" w:space="0" w:color="auto"/>
          </w:divBdr>
        </w:div>
        <w:div w:id="1079251358">
          <w:marLeft w:val="0"/>
          <w:marRight w:val="0"/>
          <w:marTop w:val="0"/>
          <w:marBottom w:val="600"/>
          <w:divBdr>
            <w:top w:val="none" w:sz="0" w:space="0" w:color="auto"/>
            <w:left w:val="none" w:sz="0" w:space="0" w:color="auto"/>
            <w:bottom w:val="none" w:sz="0" w:space="0" w:color="auto"/>
            <w:right w:val="none" w:sz="0" w:space="0" w:color="auto"/>
          </w:divBdr>
        </w:div>
      </w:divsChild>
    </w:div>
    <w:div w:id="2017993805">
      <w:marLeft w:val="0"/>
      <w:marRight w:val="0"/>
      <w:marTop w:val="0"/>
      <w:marBottom w:val="0"/>
      <w:divBdr>
        <w:top w:val="none" w:sz="0" w:space="0" w:color="auto"/>
        <w:left w:val="none" w:sz="0" w:space="0" w:color="auto"/>
        <w:bottom w:val="none" w:sz="0" w:space="0" w:color="auto"/>
        <w:right w:val="none" w:sz="0" w:space="0" w:color="auto"/>
      </w:divBdr>
      <w:divsChild>
        <w:div w:id="533924811">
          <w:marLeft w:val="0"/>
          <w:marRight w:val="0"/>
          <w:marTop w:val="547"/>
          <w:marBottom w:val="0"/>
          <w:divBdr>
            <w:top w:val="none" w:sz="0" w:space="0" w:color="auto"/>
            <w:left w:val="none" w:sz="0" w:space="0" w:color="auto"/>
            <w:bottom w:val="none" w:sz="0" w:space="0" w:color="auto"/>
            <w:right w:val="none" w:sz="0" w:space="0" w:color="auto"/>
          </w:divBdr>
        </w:div>
        <w:div w:id="1903565401">
          <w:marLeft w:val="0"/>
          <w:marRight w:val="0"/>
          <w:marTop w:val="0"/>
          <w:marBottom w:val="0"/>
          <w:divBdr>
            <w:top w:val="none" w:sz="0" w:space="0" w:color="auto"/>
            <w:left w:val="none" w:sz="0" w:space="0" w:color="auto"/>
            <w:bottom w:val="none" w:sz="0" w:space="0" w:color="auto"/>
            <w:right w:val="none" w:sz="0" w:space="0" w:color="auto"/>
          </w:divBdr>
        </w:div>
        <w:div w:id="1336417392">
          <w:marLeft w:val="0"/>
          <w:marRight w:val="0"/>
          <w:marTop w:val="0"/>
          <w:marBottom w:val="600"/>
          <w:divBdr>
            <w:top w:val="none" w:sz="0" w:space="0" w:color="auto"/>
            <w:left w:val="none" w:sz="0" w:space="0" w:color="auto"/>
            <w:bottom w:val="none" w:sz="0" w:space="0" w:color="auto"/>
            <w:right w:val="none" w:sz="0" w:space="0" w:color="auto"/>
          </w:divBdr>
        </w:div>
      </w:divsChild>
    </w:div>
    <w:div w:id="2035298899">
      <w:marLeft w:val="0"/>
      <w:marRight w:val="0"/>
      <w:marTop w:val="0"/>
      <w:marBottom w:val="0"/>
      <w:divBdr>
        <w:top w:val="none" w:sz="0" w:space="0" w:color="auto"/>
        <w:left w:val="none" w:sz="0" w:space="0" w:color="auto"/>
        <w:bottom w:val="none" w:sz="0" w:space="0" w:color="auto"/>
        <w:right w:val="none" w:sz="0" w:space="0" w:color="auto"/>
      </w:divBdr>
      <w:divsChild>
        <w:div w:id="1960650364">
          <w:marLeft w:val="0"/>
          <w:marRight w:val="0"/>
          <w:marTop w:val="547"/>
          <w:marBottom w:val="0"/>
          <w:divBdr>
            <w:top w:val="none" w:sz="0" w:space="0" w:color="auto"/>
            <w:left w:val="none" w:sz="0" w:space="0" w:color="auto"/>
            <w:bottom w:val="none" w:sz="0" w:space="0" w:color="auto"/>
            <w:right w:val="none" w:sz="0" w:space="0" w:color="auto"/>
          </w:divBdr>
        </w:div>
        <w:div w:id="52973892">
          <w:marLeft w:val="0"/>
          <w:marRight w:val="0"/>
          <w:marTop w:val="0"/>
          <w:marBottom w:val="0"/>
          <w:divBdr>
            <w:top w:val="none" w:sz="0" w:space="0" w:color="auto"/>
            <w:left w:val="none" w:sz="0" w:space="0" w:color="auto"/>
            <w:bottom w:val="none" w:sz="0" w:space="0" w:color="auto"/>
            <w:right w:val="none" w:sz="0" w:space="0" w:color="auto"/>
          </w:divBdr>
          <w:divsChild>
            <w:div w:id="1897743882">
              <w:marLeft w:val="0"/>
              <w:marRight w:val="0"/>
              <w:marTop w:val="0"/>
              <w:marBottom w:val="0"/>
              <w:divBdr>
                <w:top w:val="none" w:sz="0" w:space="0" w:color="auto"/>
                <w:left w:val="none" w:sz="0" w:space="0" w:color="auto"/>
                <w:bottom w:val="none" w:sz="0" w:space="0" w:color="auto"/>
                <w:right w:val="none" w:sz="0" w:space="0" w:color="auto"/>
              </w:divBdr>
              <w:divsChild>
                <w:div w:id="1809057008">
                  <w:marLeft w:val="0"/>
                  <w:marRight w:val="0"/>
                  <w:marTop w:val="0"/>
                  <w:marBottom w:val="0"/>
                  <w:divBdr>
                    <w:top w:val="none" w:sz="0" w:space="0" w:color="auto"/>
                    <w:left w:val="none" w:sz="0" w:space="0" w:color="auto"/>
                    <w:bottom w:val="none" w:sz="0" w:space="0" w:color="auto"/>
                    <w:right w:val="none" w:sz="0" w:space="0" w:color="auto"/>
                  </w:divBdr>
                </w:div>
              </w:divsChild>
            </w:div>
            <w:div w:id="524289208">
              <w:marLeft w:val="0"/>
              <w:marRight w:val="0"/>
              <w:marTop w:val="0"/>
              <w:marBottom w:val="0"/>
              <w:divBdr>
                <w:top w:val="none" w:sz="0" w:space="0" w:color="auto"/>
                <w:left w:val="none" w:sz="0" w:space="0" w:color="auto"/>
                <w:bottom w:val="none" w:sz="0" w:space="0" w:color="auto"/>
                <w:right w:val="none" w:sz="0" w:space="0" w:color="auto"/>
              </w:divBdr>
              <w:divsChild>
                <w:div w:id="2081249160">
                  <w:marLeft w:val="0"/>
                  <w:marRight w:val="0"/>
                  <w:marTop w:val="0"/>
                  <w:marBottom w:val="0"/>
                  <w:divBdr>
                    <w:top w:val="none" w:sz="0" w:space="0" w:color="auto"/>
                    <w:left w:val="none" w:sz="0" w:space="0" w:color="auto"/>
                    <w:bottom w:val="none" w:sz="0" w:space="0" w:color="auto"/>
                    <w:right w:val="none" w:sz="0" w:space="0" w:color="auto"/>
                  </w:divBdr>
                </w:div>
              </w:divsChild>
            </w:div>
            <w:div w:id="8994584">
              <w:marLeft w:val="0"/>
              <w:marRight w:val="0"/>
              <w:marTop w:val="0"/>
              <w:marBottom w:val="0"/>
              <w:divBdr>
                <w:top w:val="none" w:sz="0" w:space="0" w:color="auto"/>
                <w:left w:val="none" w:sz="0" w:space="0" w:color="auto"/>
                <w:bottom w:val="none" w:sz="0" w:space="0" w:color="auto"/>
                <w:right w:val="none" w:sz="0" w:space="0" w:color="auto"/>
              </w:divBdr>
              <w:divsChild>
                <w:div w:id="284580723">
                  <w:marLeft w:val="0"/>
                  <w:marRight w:val="0"/>
                  <w:marTop w:val="0"/>
                  <w:marBottom w:val="0"/>
                  <w:divBdr>
                    <w:top w:val="none" w:sz="0" w:space="0" w:color="auto"/>
                    <w:left w:val="none" w:sz="0" w:space="0" w:color="auto"/>
                    <w:bottom w:val="none" w:sz="0" w:space="0" w:color="auto"/>
                    <w:right w:val="none" w:sz="0" w:space="0" w:color="auto"/>
                  </w:divBdr>
                </w:div>
              </w:divsChild>
            </w:div>
            <w:div w:id="443423362">
              <w:marLeft w:val="0"/>
              <w:marRight w:val="0"/>
              <w:marTop w:val="0"/>
              <w:marBottom w:val="0"/>
              <w:divBdr>
                <w:top w:val="none" w:sz="0" w:space="0" w:color="auto"/>
                <w:left w:val="none" w:sz="0" w:space="0" w:color="auto"/>
                <w:bottom w:val="none" w:sz="0" w:space="0" w:color="auto"/>
                <w:right w:val="none" w:sz="0" w:space="0" w:color="auto"/>
              </w:divBdr>
              <w:divsChild>
                <w:div w:id="517696100">
                  <w:marLeft w:val="0"/>
                  <w:marRight w:val="0"/>
                  <w:marTop w:val="0"/>
                  <w:marBottom w:val="0"/>
                  <w:divBdr>
                    <w:top w:val="none" w:sz="0" w:space="0" w:color="auto"/>
                    <w:left w:val="none" w:sz="0" w:space="0" w:color="auto"/>
                    <w:bottom w:val="none" w:sz="0" w:space="0" w:color="auto"/>
                    <w:right w:val="none" w:sz="0" w:space="0" w:color="auto"/>
                  </w:divBdr>
                </w:div>
              </w:divsChild>
            </w:div>
            <w:div w:id="1537351029">
              <w:marLeft w:val="0"/>
              <w:marRight w:val="0"/>
              <w:marTop w:val="0"/>
              <w:marBottom w:val="0"/>
              <w:divBdr>
                <w:top w:val="none" w:sz="0" w:space="0" w:color="auto"/>
                <w:left w:val="none" w:sz="0" w:space="0" w:color="auto"/>
                <w:bottom w:val="none" w:sz="0" w:space="0" w:color="auto"/>
                <w:right w:val="none" w:sz="0" w:space="0" w:color="auto"/>
              </w:divBdr>
              <w:divsChild>
                <w:div w:id="79643418">
                  <w:marLeft w:val="0"/>
                  <w:marRight w:val="0"/>
                  <w:marTop w:val="0"/>
                  <w:marBottom w:val="0"/>
                  <w:divBdr>
                    <w:top w:val="none" w:sz="0" w:space="0" w:color="auto"/>
                    <w:left w:val="none" w:sz="0" w:space="0" w:color="auto"/>
                    <w:bottom w:val="none" w:sz="0" w:space="0" w:color="auto"/>
                    <w:right w:val="none" w:sz="0" w:space="0" w:color="auto"/>
                  </w:divBdr>
                </w:div>
              </w:divsChild>
            </w:div>
            <w:div w:id="1318072759">
              <w:marLeft w:val="0"/>
              <w:marRight w:val="0"/>
              <w:marTop w:val="0"/>
              <w:marBottom w:val="0"/>
              <w:divBdr>
                <w:top w:val="none" w:sz="0" w:space="0" w:color="auto"/>
                <w:left w:val="none" w:sz="0" w:space="0" w:color="auto"/>
                <w:bottom w:val="none" w:sz="0" w:space="0" w:color="auto"/>
                <w:right w:val="none" w:sz="0" w:space="0" w:color="auto"/>
              </w:divBdr>
              <w:divsChild>
                <w:div w:id="525020862">
                  <w:marLeft w:val="0"/>
                  <w:marRight w:val="0"/>
                  <w:marTop w:val="0"/>
                  <w:marBottom w:val="0"/>
                  <w:divBdr>
                    <w:top w:val="none" w:sz="0" w:space="0" w:color="auto"/>
                    <w:left w:val="none" w:sz="0" w:space="0" w:color="auto"/>
                    <w:bottom w:val="none" w:sz="0" w:space="0" w:color="auto"/>
                    <w:right w:val="none" w:sz="0" w:space="0" w:color="auto"/>
                  </w:divBdr>
                </w:div>
              </w:divsChild>
            </w:div>
            <w:div w:id="2086100122">
              <w:marLeft w:val="0"/>
              <w:marRight w:val="0"/>
              <w:marTop w:val="0"/>
              <w:marBottom w:val="0"/>
              <w:divBdr>
                <w:top w:val="none" w:sz="0" w:space="0" w:color="auto"/>
                <w:left w:val="none" w:sz="0" w:space="0" w:color="auto"/>
                <w:bottom w:val="none" w:sz="0" w:space="0" w:color="auto"/>
                <w:right w:val="none" w:sz="0" w:space="0" w:color="auto"/>
              </w:divBdr>
              <w:divsChild>
                <w:div w:id="1304777180">
                  <w:marLeft w:val="0"/>
                  <w:marRight w:val="0"/>
                  <w:marTop w:val="0"/>
                  <w:marBottom w:val="0"/>
                  <w:divBdr>
                    <w:top w:val="none" w:sz="0" w:space="0" w:color="auto"/>
                    <w:left w:val="none" w:sz="0" w:space="0" w:color="auto"/>
                    <w:bottom w:val="none" w:sz="0" w:space="0" w:color="auto"/>
                    <w:right w:val="none" w:sz="0" w:space="0" w:color="auto"/>
                  </w:divBdr>
                </w:div>
              </w:divsChild>
            </w:div>
            <w:div w:id="319236510">
              <w:marLeft w:val="0"/>
              <w:marRight w:val="0"/>
              <w:marTop w:val="0"/>
              <w:marBottom w:val="0"/>
              <w:divBdr>
                <w:top w:val="none" w:sz="0" w:space="0" w:color="auto"/>
                <w:left w:val="none" w:sz="0" w:space="0" w:color="auto"/>
                <w:bottom w:val="none" w:sz="0" w:space="0" w:color="auto"/>
                <w:right w:val="none" w:sz="0" w:space="0" w:color="auto"/>
              </w:divBdr>
              <w:divsChild>
                <w:div w:id="894585725">
                  <w:marLeft w:val="0"/>
                  <w:marRight w:val="0"/>
                  <w:marTop w:val="0"/>
                  <w:marBottom w:val="0"/>
                  <w:divBdr>
                    <w:top w:val="none" w:sz="0" w:space="0" w:color="auto"/>
                    <w:left w:val="none" w:sz="0" w:space="0" w:color="auto"/>
                    <w:bottom w:val="none" w:sz="0" w:space="0" w:color="auto"/>
                    <w:right w:val="none" w:sz="0" w:space="0" w:color="auto"/>
                  </w:divBdr>
                </w:div>
              </w:divsChild>
            </w:div>
            <w:div w:id="888034147">
              <w:marLeft w:val="0"/>
              <w:marRight w:val="0"/>
              <w:marTop w:val="0"/>
              <w:marBottom w:val="0"/>
              <w:divBdr>
                <w:top w:val="none" w:sz="0" w:space="0" w:color="auto"/>
                <w:left w:val="none" w:sz="0" w:space="0" w:color="auto"/>
                <w:bottom w:val="none" w:sz="0" w:space="0" w:color="auto"/>
                <w:right w:val="none" w:sz="0" w:space="0" w:color="auto"/>
              </w:divBdr>
              <w:divsChild>
                <w:div w:id="725227346">
                  <w:marLeft w:val="0"/>
                  <w:marRight w:val="0"/>
                  <w:marTop w:val="0"/>
                  <w:marBottom w:val="0"/>
                  <w:divBdr>
                    <w:top w:val="none" w:sz="0" w:space="0" w:color="auto"/>
                    <w:left w:val="none" w:sz="0" w:space="0" w:color="auto"/>
                    <w:bottom w:val="none" w:sz="0" w:space="0" w:color="auto"/>
                    <w:right w:val="none" w:sz="0" w:space="0" w:color="auto"/>
                  </w:divBdr>
                </w:div>
              </w:divsChild>
            </w:div>
            <w:div w:id="461193683">
              <w:marLeft w:val="0"/>
              <w:marRight w:val="0"/>
              <w:marTop w:val="0"/>
              <w:marBottom w:val="0"/>
              <w:divBdr>
                <w:top w:val="none" w:sz="0" w:space="0" w:color="auto"/>
                <w:left w:val="none" w:sz="0" w:space="0" w:color="auto"/>
                <w:bottom w:val="none" w:sz="0" w:space="0" w:color="auto"/>
                <w:right w:val="none" w:sz="0" w:space="0" w:color="auto"/>
              </w:divBdr>
              <w:divsChild>
                <w:div w:id="521169474">
                  <w:marLeft w:val="0"/>
                  <w:marRight w:val="0"/>
                  <w:marTop w:val="0"/>
                  <w:marBottom w:val="0"/>
                  <w:divBdr>
                    <w:top w:val="none" w:sz="0" w:space="0" w:color="auto"/>
                    <w:left w:val="none" w:sz="0" w:space="0" w:color="auto"/>
                    <w:bottom w:val="none" w:sz="0" w:space="0" w:color="auto"/>
                    <w:right w:val="none" w:sz="0" w:space="0" w:color="auto"/>
                  </w:divBdr>
                </w:div>
              </w:divsChild>
            </w:div>
            <w:div w:id="1866746370">
              <w:marLeft w:val="0"/>
              <w:marRight w:val="0"/>
              <w:marTop w:val="0"/>
              <w:marBottom w:val="0"/>
              <w:divBdr>
                <w:top w:val="none" w:sz="0" w:space="0" w:color="auto"/>
                <w:left w:val="none" w:sz="0" w:space="0" w:color="auto"/>
                <w:bottom w:val="none" w:sz="0" w:space="0" w:color="auto"/>
                <w:right w:val="none" w:sz="0" w:space="0" w:color="auto"/>
              </w:divBdr>
              <w:divsChild>
                <w:div w:id="1257985586">
                  <w:marLeft w:val="0"/>
                  <w:marRight w:val="0"/>
                  <w:marTop w:val="0"/>
                  <w:marBottom w:val="0"/>
                  <w:divBdr>
                    <w:top w:val="none" w:sz="0" w:space="0" w:color="auto"/>
                    <w:left w:val="none" w:sz="0" w:space="0" w:color="auto"/>
                    <w:bottom w:val="none" w:sz="0" w:space="0" w:color="auto"/>
                    <w:right w:val="none" w:sz="0" w:space="0" w:color="auto"/>
                  </w:divBdr>
                </w:div>
              </w:divsChild>
            </w:div>
            <w:div w:id="263727877">
              <w:marLeft w:val="0"/>
              <w:marRight w:val="0"/>
              <w:marTop w:val="0"/>
              <w:marBottom w:val="0"/>
              <w:divBdr>
                <w:top w:val="none" w:sz="0" w:space="0" w:color="auto"/>
                <w:left w:val="none" w:sz="0" w:space="0" w:color="auto"/>
                <w:bottom w:val="none" w:sz="0" w:space="0" w:color="auto"/>
                <w:right w:val="none" w:sz="0" w:space="0" w:color="auto"/>
              </w:divBdr>
              <w:divsChild>
                <w:div w:id="1536116641">
                  <w:marLeft w:val="0"/>
                  <w:marRight w:val="0"/>
                  <w:marTop w:val="0"/>
                  <w:marBottom w:val="0"/>
                  <w:divBdr>
                    <w:top w:val="none" w:sz="0" w:space="0" w:color="auto"/>
                    <w:left w:val="none" w:sz="0" w:space="0" w:color="auto"/>
                    <w:bottom w:val="none" w:sz="0" w:space="0" w:color="auto"/>
                    <w:right w:val="none" w:sz="0" w:space="0" w:color="auto"/>
                  </w:divBdr>
                </w:div>
              </w:divsChild>
            </w:div>
            <w:div w:id="1539705268">
              <w:marLeft w:val="0"/>
              <w:marRight w:val="0"/>
              <w:marTop w:val="0"/>
              <w:marBottom w:val="0"/>
              <w:divBdr>
                <w:top w:val="none" w:sz="0" w:space="0" w:color="auto"/>
                <w:left w:val="none" w:sz="0" w:space="0" w:color="auto"/>
                <w:bottom w:val="none" w:sz="0" w:space="0" w:color="auto"/>
                <w:right w:val="none" w:sz="0" w:space="0" w:color="auto"/>
              </w:divBdr>
              <w:divsChild>
                <w:div w:id="101994087">
                  <w:marLeft w:val="0"/>
                  <w:marRight w:val="0"/>
                  <w:marTop w:val="0"/>
                  <w:marBottom w:val="0"/>
                  <w:divBdr>
                    <w:top w:val="none" w:sz="0" w:space="0" w:color="auto"/>
                    <w:left w:val="none" w:sz="0" w:space="0" w:color="auto"/>
                    <w:bottom w:val="none" w:sz="0" w:space="0" w:color="auto"/>
                    <w:right w:val="none" w:sz="0" w:space="0" w:color="auto"/>
                  </w:divBdr>
                </w:div>
              </w:divsChild>
            </w:div>
            <w:div w:id="1515849120">
              <w:marLeft w:val="0"/>
              <w:marRight w:val="0"/>
              <w:marTop w:val="0"/>
              <w:marBottom w:val="0"/>
              <w:divBdr>
                <w:top w:val="none" w:sz="0" w:space="0" w:color="auto"/>
                <w:left w:val="none" w:sz="0" w:space="0" w:color="auto"/>
                <w:bottom w:val="none" w:sz="0" w:space="0" w:color="auto"/>
                <w:right w:val="none" w:sz="0" w:space="0" w:color="auto"/>
              </w:divBdr>
              <w:divsChild>
                <w:div w:id="1296057231">
                  <w:marLeft w:val="0"/>
                  <w:marRight w:val="0"/>
                  <w:marTop w:val="0"/>
                  <w:marBottom w:val="0"/>
                  <w:divBdr>
                    <w:top w:val="none" w:sz="0" w:space="0" w:color="auto"/>
                    <w:left w:val="none" w:sz="0" w:space="0" w:color="auto"/>
                    <w:bottom w:val="none" w:sz="0" w:space="0" w:color="auto"/>
                    <w:right w:val="none" w:sz="0" w:space="0" w:color="auto"/>
                  </w:divBdr>
                </w:div>
              </w:divsChild>
            </w:div>
            <w:div w:id="1437362184">
              <w:marLeft w:val="0"/>
              <w:marRight w:val="0"/>
              <w:marTop w:val="0"/>
              <w:marBottom w:val="0"/>
              <w:divBdr>
                <w:top w:val="none" w:sz="0" w:space="0" w:color="auto"/>
                <w:left w:val="none" w:sz="0" w:space="0" w:color="auto"/>
                <w:bottom w:val="none" w:sz="0" w:space="0" w:color="auto"/>
                <w:right w:val="none" w:sz="0" w:space="0" w:color="auto"/>
              </w:divBdr>
              <w:divsChild>
                <w:div w:id="1687177106">
                  <w:marLeft w:val="0"/>
                  <w:marRight w:val="0"/>
                  <w:marTop w:val="0"/>
                  <w:marBottom w:val="0"/>
                  <w:divBdr>
                    <w:top w:val="none" w:sz="0" w:space="0" w:color="auto"/>
                    <w:left w:val="none" w:sz="0" w:space="0" w:color="auto"/>
                    <w:bottom w:val="none" w:sz="0" w:space="0" w:color="auto"/>
                    <w:right w:val="none" w:sz="0" w:space="0" w:color="auto"/>
                  </w:divBdr>
                </w:div>
              </w:divsChild>
            </w:div>
            <w:div w:id="36857652">
              <w:marLeft w:val="0"/>
              <w:marRight w:val="0"/>
              <w:marTop w:val="0"/>
              <w:marBottom w:val="0"/>
              <w:divBdr>
                <w:top w:val="none" w:sz="0" w:space="0" w:color="auto"/>
                <w:left w:val="none" w:sz="0" w:space="0" w:color="auto"/>
                <w:bottom w:val="none" w:sz="0" w:space="0" w:color="auto"/>
                <w:right w:val="none" w:sz="0" w:space="0" w:color="auto"/>
              </w:divBdr>
              <w:divsChild>
                <w:div w:id="297538191">
                  <w:marLeft w:val="0"/>
                  <w:marRight w:val="0"/>
                  <w:marTop w:val="0"/>
                  <w:marBottom w:val="0"/>
                  <w:divBdr>
                    <w:top w:val="none" w:sz="0" w:space="0" w:color="auto"/>
                    <w:left w:val="none" w:sz="0" w:space="0" w:color="auto"/>
                    <w:bottom w:val="none" w:sz="0" w:space="0" w:color="auto"/>
                    <w:right w:val="none" w:sz="0" w:space="0" w:color="auto"/>
                  </w:divBdr>
                </w:div>
              </w:divsChild>
            </w:div>
            <w:div w:id="1204095724">
              <w:marLeft w:val="0"/>
              <w:marRight w:val="0"/>
              <w:marTop w:val="0"/>
              <w:marBottom w:val="0"/>
              <w:divBdr>
                <w:top w:val="none" w:sz="0" w:space="0" w:color="auto"/>
                <w:left w:val="none" w:sz="0" w:space="0" w:color="auto"/>
                <w:bottom w:val="none" w:sz="0" w:space="0" w:color="auto"/>
                <w:right w:val="none" w:sz="0" w:space="0" w:color="auto"/>
              </w:divBdr>
              <w:divsChild>
                <w:div w:id="1724986113">
                  <w:marLeft w:val="0"/>
                  <w:marRight w:val="0"/>
                  <w:marTop w:val="0"/>
                  <w:marBottom w:val="0"/>
                  <w:divBdr>
                    <w:top w:val="none" w:sz="0" w:space="0" w:color="auto"/>
                    <w:left w:val="none" w:sz="0" w:space="0" w:color="auto"/>
                    <w:bottom w:val="none" w:sz="0" w:space="0" w:color="auto"/>
                    <w:right w:val="none" w:sz="0" w:space="0" w:color="auto"/>
                  </w:divBdr>
                </w:div>
              </w:divsChild>
            </w:div>
            <w:div w:id="1371568438">
              <w:marLeft w:val="0"/>
              <w:marRight w:val="0"/>
              <w:marTop w:val="0"/>
              <w:marBottom w:val="0"/>
              <w:divBdr>
                <w:top w:val="none" w:sz="0" w:space="0" w:color="auto"/>
                <w:left w:val="none" w:sz="0" w:space="0" w:color="auto"/>
                <w:bottom w:val="none" w:sz="0" w:space="0" w:color="auto"/>
                <w:right w:val="none" w:sz="0" w:space="0" w:color="auto"/>
              </w:divBdr>
              <w:divsChild>
                <w:div w:id="2110081421">
                  <w:marLeft w:val="0"/>
                  <w:marRight w:val="0"/>
                  <w:marTop w:val="0"/>
                  <w:marBottom w:val="0"/>
                  <w:divBdr>
                    <w:top w:val="none" w:sz="0" w:space="0" w:color="auto"/>
                    <w:left w:val="none" w:sz="0" w:space="0" w:color="auto"/>
                    <w:bottom w:val="none" w:sz="0" w:space="0" w:color="auto"/>
                    <w:right w:val="none" w:sz="0" w:space="0" w:color="auto"/>
                  </w:divBdr>
                </w:div>
              </w:divsChild>
            </w:div>
            <w:div w:id="1013803900">
              <w:marLeft w:val="0"/>
              <w:marRight w:val="0"/>
              <w:marTop w:val="0"/>
              <w:marBottom w:val="0"/>
              <w:divBdr>
                <w:top w:val="none" w:sz="0" w:space="0" w:color="auto"/>
                <w:left w:val="none" w:sz="0" w:space="0" w:color="auto"/>
                <w:bottom w:val="none" w:sz="0" w:space="0" w:color="auto"/>
                <w:right w:val="none" w:sz="0" w:space="0" w:color="auto"/>
              </w:divBdr>
              <w:divsChild>
                <w:div w:id="1252084419">
                  <w:marLeft w:val="0"/>
                  <w:marRight w:val="0"/>
                  <w:marTop w:val="0"/>
                  <w:marBottom w:val="0"/>
                  <w:divBdr>
                    <w:top w:val="none" w:sz="0" w:space="0" w:color="auto"/>
                    <w:left w:val="none" w:sz="0" w:space="0" w:color="auto"/>
                    <w:bottom w:val="none" w:sz="0" w:space="0" w:color="auto"/>
                    <w:right w:val="none" w:sz="0" w:space="0" w:color="auto"/>
                  </w:divBdr>
                </w:div>
              </w:divsChild>
            </w:div>
            <w:div w:id="1210067947">
              <w:marLeft w:val="0"/>
              <w:marRight w:val="0"/>
              <w:marTop w:val="0"/>
              <w:marBottom w:val="0"/>
              <w:divBdr>
                <w:top w:val="none" w:sz="0" w:space="0" w:color="auto"/>
                <w:left w:val="none" w:sz="0" w:space="0" w:color="auto"/>
                <w:bottom w:val="none" w:sz="0" w:space="0" w:color="auto"/>
                <w:right w:val="none" w:sz="0" w:space="0" w:color="auto"/>
              </w:divBdr>
              <w:divsChild>
                <w:div w:id="440227020">
                  <w:marLeft w:val="0"/>
                  <w:marRight w:val="0"/>
                  <w:marTop w:val="0"/>
                  <w:marBottom w:val="0"/>
                  <w:divBdr>
                    <w:top w:val="none" w:sz="0" w:space="0" w:color="auto"/>
                    <w:left w:val="none" w:sz="0" w:space="0" w:color="auto"/>
                    <w:bottom w:val="none" w:sz="0" w:space="0" w:color="auto"/>
                    <w:right w:val="none" w:sz="0" w:space="0" w:color="auto"/>
                  </w:divBdr>
                </w:div>
              </w:divsChild>
            </w:div>
            <w:div w:id="779495922">
              <w:marLeft w:val="0"/>
              <w:marRight w:val="0"/>
              <w:marTop w:val="0"/>
              <w:marBottom w:val="0"/>
              <w:divBdr>
                <w:top w:val="none" w:sz="0" w:space="0" w:color="auto"/>
                <w:left w:val="none" w:sz="0" w:space="0" w:color="auto"/>
                <w:bottom w:val="none" w:sz="0" w:space="0" w:color="auto"/>
                <w:right w:val="none" w:sz="0" w:space="0" w:color="auto"/>
              </w:divBdr>
              <w:divsChild>
                <w:div w:id="1771462047">
                  <w:marLeft w:val="0"/>
                  <w:marRight w:val="0"/>
                  <w:marTop w:val="0"/>
                  <w:marBottom w:val="0"/>
                  <w:divBdr>
                    <w:top w:val="none" w:sz="0" w:space="0" w:color="auto"/>
                    <w:left w:val="none" w:sz="0" w:space="0" w:color="auto"/>
                    <w:bottom w:val="none" w:sz="0" w:space="0" w:color="auto"/>
                    <w:right w:val="none" w:sz="0" w:space="0" w:color="auto"/>
                  </w:divBdr>
                </w:div>
              </w:divsChild>
            </w:div>
            <w:div w:id="1373455316">
              <w:marLeft w:val="0"/>
              <w:marRight w:val="0"/>
              <w:marTop w:val="0"/>
              <w:marBottom w:val="0"/>
              <w:divBdr>
                <w:top w:val="none" w:sz="0" w:space="0" w:color="auto"/>
                <w:left w:val="none" w:sz="0" w:space="0" w:color="auto"/>
                <w:bottom w:val="none" w:sz="0" w:space="0" w:color="auto"/>
                <w:right w:val="none" w:sz="0" w:space="0" w:color="auto"/>
              </w:divBdr>
              <w:divsChild>
                <w:div w:id="1062872175">
                  <w:marLeft w:val="0"/>
                  <w:marRight w:val="0"/>
                  <w:marTop w:val="0"/>
                  <w:marBottom w:val="0"/>
                  <w:divBdr>
                    <w:top w:val="none" w:sz="0" w:space="0" w:color="auto"/>
                    <w:left w:val="none" w:sz="0" w:space="0" w:color="auto"/>
                    <w:bottom w:val="none" w:sz="0" w:space="0" w:color="auto"/>
                    <w:right w:val="none" w:sz="0" w:space="0" w:color="auto"/>
                  </w:divBdr>
                </w:div>
              </w:divsChild>
            </w:div>
            <w:div w:id="1480876443">
              <w:marLeft w:val="0"/>
              <w:marRight w:val="0"/>
              <w:marTop w:val="0"/>
              <w:marBottom w:val="0"/>
              <w:divBdr>
                <w:top w:val="none" w:sz="0" w:space="0" w:color="auto"/>
                <w:left w:val="none" w:sz="0" w:space="0" w:color="auto"/>
                <w:bottom w:val="none" w:sz="0" w:space="0" w:color="auto"/>
                <w:right w:val="none" w:sz="0" w:space="0" w:color="auto"/>
              </w:divBdr>
              <w:divsChild>
                <w:div w:id="1027829203">
                  <w:marLeft w:val="0"/>
                  <w:marRight w:val="0"/>
                  <w:marTop w:val="0"/>
                  <w:marBottom w:val="0"/>
                  <w:divBdr>
                    <w:top w:val="none" w:sz="0" w:space="0" w:color="auto"/>
                    <w:left w:val="none" w:sz="0" w:space="0" w:color="auto"/>
                    <w:bottom w:val="none" w:sz="0" w:space="0" w:color="auto"/>
                    <w:right w:val="none" w:sz="0" w:space="0" w:color="auto"/>
                  </w:divBdr>
                </w:div>
              </w:divsChild>
            </w:div>
            <w:div w:id="1644971098">
              <w:marLeft w:val="0"/>
              <w:marRight w:val="0"/>
              <w:marTop w:val="0"/>
              <w:marBottom w:val="0"/>
              <w:divBdr>
                <w:top w:val="none" w:sz="0" w:space="0" w:color="auto"/>
                <w:left w:val="none" w:sz="0" w:space="0" w:color="auto"/>
                <w:bottom w:val="none" w:sz="0" w:space="0" w:color="auto"/>
                <w:right w:val="none" w:sz="0" w:space="0" w:color="auto"/>
              </w:divBdr>
              <w:divsChild>
                <w:div w:id="680008168">
                  <w:marLeft w:val="0"/>
                  <w:marRight w:val="0"/>
                  <w:marTop w:val="0"/>
                  <w:marBottom w:val="0"/>
                  <w:divBdr>
                    <w:top w:val="none" w:sz="0" w:space="0" w:color="auto"/>
                    <w:left w:val="none" w:sz="0" w:space="0" w:color="auto"/>
                    <w:bottom w:val="none" w:sz="0" w:space="0" w:color="auto"/>
                    <w:right w:val="none" w:sz="0" w:space="0" w:color="auto"/>
                  </w:divBdr>
                </w:div>
              </w:divsChild>
            </w:div>
            <w:div w:id="844636980">
              <w:marLeft w:val="0"/>
              <w:marRight w:val="0"/>
              <w:marTop w:val="0"/>
              <w:marBottom w:val="0"/>
              <w:divBdr>
                <w:top w:val="none" w:sz="0" w:space="0" w:color="auto"/>
                <w:left w:val="none" w:sz="0" w:space="0" w:color="auto"/>
                <w:bottom w:val="none" w:sz="0" w:space="0" w:color="auto"/>
                <w:right w:val="none" w:sz="0" w:space="0" w:color="auto"/>
              </w:divBdr>
              <w:divsChild>
                <w:div w:id="1502546065">
                  <w:marLeft w:val="0"/>
                  <w:marRight w:val="0"/>
                  <w:marTop w:val="0"/>
                  <w:marBottom w:val="0"/>
                  <w:divBdr>
                    <w:top w:val="none" w:sz="0" w:space="0" w:color="auto"/>
                    <w:left w:val="none" w:sz="0" w:space="0" w:color="auto"/>
                    <w:bottom w:val="none" w:sz="0" w:space="0" w:color="auto"/>
                    <w:right w:val="none" w:sz="0" w:space="0" w:color="auto"/>
                  </w:divBdr>
                </w:div>
              </w:divsChild>
            </w:div>
            <w:div w:id="1189101226">
              <w:marLeft w:val="0"/>
              <w:marRight w:val="0"/>
              <w:marTop w:val="0"/>
              <w:marBottom w:val="0"/>
              <w:divBdr>
                <w:top w:val="none" w:sz="0" w:space="0" w:color="auto"/>
                <w:left w:val="none" w:sz="0" w:space="0" w:color="auto"/>
                <w:bottom w:val="none" w:sz="0" w:space="0" w:color="auto"/>
                <w:right w:val="none" w:sz="0" w:space="0" w:color="auto"/>
              </w:divBdr>
              <w:divsChild>
                <w:div w:id="460071536">
                  <w:marLeft w:val="0"/>
                  <w:marRight w:val="0"/>
                  <w:marTop w:val="0"/>
                  <w:marBottom w:val="0"/>
                  <w:divBdr>
                    <w:top w:val="none" w:sz="0" w:space="0" w:color="auto"/>
                    <w:left w:val="none" w:sz="0" w:space="0" w:color="auto"/>
                    <w:bottom w:val="none" w:sz="0" w:space="0" w:color="auto"/>
                    <w:right w:val="none" w:sz="0" w:space="0" w:color="auto"/>
                  </w:divBdr>
                </w:div>
              </w:divsChild>
            </w:div>
            <w:div w:id="334302263">
              <w:marLeft w:val="0"/>
              <w:marRight w:val="0"/>
              <w:marTop w:val="0"/>
              <w:marBottom w:val="0"/>
              <w:divBdr>
                <w:top w:val="none" w:sz="0" w:space="0" w:color="auto"/>
                <w:left w:val="none" w:sz="0" w:space="0" w:color="auto"/>
                <w:bottom w:val="none" w:sz="0" w:space="0" w:color="auto"/>
                <w:right w:val="none" w:sz="0" w:space="0" w:color="auto"/>
              </w:divBdr>
              <w:divsChild>
                <w:div w:id="613482837">
                  <w:marLeft w:val="0"/>
                  <w:marRight w:val="0"/>
                  <w:marTop w:val="0"/>
                  <w:marBottom w:val="0"/>
                  <w:divBdr>
                    <w:top w:val="none" w:sz="0" w:space="0" w:color="auto"/>
                    <w:left w:val="none" w:sz="0" w:space="0" w:color="auto"/>
                    <w:bottom w:val="none" w:sz="0" w:space="0" w:color="auto"/>
                    <w:right w:val="none" w:sz="0" w:space="0" w:color="auto"/>
                  </w:divBdr>
                </w:div>
              </w:divsChild>
            </w:div>
            <w:div w:id="1720283525">
              <w:marLeft w:val="0"/>
              <w:marRight w:val="0"/>
              <w:marTop w:val="0"/>
              <w:marBottom w:val="0"/>
              <w:divBdr>
                <w:top w:val="none" w:sz="0" w:space="0" w:color="auto"/>
                <w:left w:val="none" w:sz="0" w:space="0" w:color="auto"/>
                <w:bottom w:val="none" w:sz="0" w:space="0" w:color="auto"/>
                <w:right w:val="none" w:sz="0" w:space="0" w:color="auto"/>
              </w:divBdr>
              <w:divsChild>
                <w:div w:id="342321048">
                  <w:marLeft w:val="0"/>
                  <w:marRight w:val="0"/>
                  <w:marTop w:val="0"/>
                  <w:marBottom w:val="0"/>
                  <w:divBdr>
                    <w:top w:val="none" w:sz="0" w:space="0" w:color="auto"/>
                    <w:left w:val="none" w:sz="0" w:space="0" w:color="auto"/>
                    <w:bottom w:val="none" w:sz="0" w:space="0" w:color="auto"/>
                    <w:right w:val="none" w:sz="0" w:space="0" w:color="auto"/>
                  </w:divBdr>
                </w:div>
              </w:divsChild>
            </w:div>
            <w:div w:id="1576470896">
              <w:marLeft w:val="0"/>
              <w:marRight w:val="0"/>
              <w:marTop w:val="0"/>
              <w:marBottom w:val="0"/>
              <w:divBdr>
                <w:top w:val="none" w:sz="0" w:space="0" w:color="auto"/>
                <w:left w:val="none" w:sz="0" w:space="0" w:color="auto"/>
                <w:bottom w:val="none" w:sz="0" w:space="0" w:color="auto"/>
                <w:right w:val="none" w:sz="0" w:space="0" w:color="auto"/>
              </w:divBdr>
              <w:divsChild>
                <w:div w:id="472866365">
                  <w:marLeft w:val="0"/>
                  <w:marRight w:val="0"/>
                  <w:marTop w:val="0"/>
                  <w:marBottom w:val="0"/>
                  <w:divBdr>
                    <w:top w:val="none" w:sz="0" w:space="0" w:color="auto"/>
                    <w:left w:val="none" w:sz="0" w:space="0" w:color="auto"/>
                    <w:bottom w:val="none" w:sz="0" w:space="0" w:color="auto"/>
                    <w:right w:val="none" w:sz="0" w:space="0" w:color="auto"/>
                  </w:divBdr>
                </w:div>
              </w:divsChild>
            </w:div>
            <w:div w:id="2126651162">
              <w:marLeft w:val="0"/>
              <w:marRight w:val="0"/>
              <w:marTop w:val="0"/>
              <w:marBottom w:val="0"/>
              <w:divBdr>
                <w:top w:val="none" w:sz="0" w:space="0" w:color="auto"/>
                <w:left w:val="none" w:sz="0" w:space="0" w:color="auto"/>
                <w:bottom w:val="none" w:sz="0" w:space="0" w:color="auto"/>
                <w:right w:val="none" w:sz="0" w:space="0" w:color="auto"/>
              </w:divBdr>
              <w:divsChild>
                <w:div w:id="487137866">
                  <w:marLeft w:val="0"/>
                  <w:marRight w:val="0"/>
                  <w:marTop w:val="0"/>
                  <w:marBottom w:val="0"/>
                  <w:divBdr>
                    <w:top w:val="none" w:sz="0" w:space="0" w:color="auto"/>
                    <w:left w:val="none" w:sz="0" w:space="0" w:color="auto"/>
                    <w:bottom w:val="none" w:sz="0" w:space="0" w:color="auto"/>
                    <w:right w:val="none" w:sz="0" w:space="0" w:color="auto"/>
                  </w:divBdr>
                </w:div>
              </w:divsChild>
            </w:div>
            <w:div w:id="1821381040">
              <w:marLeft w:val="0"/>
              <w:marRight w:val="0"/>
              <w:marTop w:val="0"/>
              <w:marBottom w:val="0"/>
              <w:divBdr>
                <w:top w:val="none" w:sz="0" w:space="0" w:color="auto"/>
                <w:left w:val="none" w:sz="0" w:space="0" w:color="auto"/>
                <w:bottom w:val="none" w:sz="0" w:space="0" w:color="auto"/>
                <w:right w:val="none" w:sz="0" w:space="0" w:color="auto"/>
              </w:divBdr>
              <w:divsChild>
                <w:div w:id="1009869780">
                  <w:marLeft w:val="0"/>
                  <w:marRight w:val="0"/>
                  <w:marTop w:val="0"/>
                  <w:marBottom w:val="0"/>
                  <w:divBdr>
                    <w:top w:val="none" w:sz="0" w:space="0" w:color="auto"/>
                    <w:left w:val="none" w:sz="0" w:space="0" w:color="auto"/>
                    <w:bottom w:val="none" w:sz="0" w:space="0" w:color="auto"/>
                    <w:right w:val="none" w:sz="0" w:space="0" w:color="auto"/>
                  </w:divBdr>
                </w:div>
              </w:divsChild>
            </w:div>
            <w:div w:id="1278759894">
              <w:marLeft w:val="0"/>
              <w:marRight w:val="0"/>
              <w:marTop w:val="0"/>
              <w:marBottom w:val="0"/>
              <w:divBdr>
                <w:top w:val="none" w:sz="0" w:space="0" w:color="auto"/>
                <w:left w:val="none" w:sz="0" w:space="0" w:color="auto"/>
                <w:bottom w:val="none" w:sz="0" w:space="0" w:color="auto"/>
                <w:right w:val="none" w:sz="0" w:space="0" w:color="auto"/>
              </w:divBdr>
              <w:divsChild>
                <w:div w:id="340359956">
                  <w:marLeft w:val="0"/>
                  <w:marRight w:val="0"/>
                  <w:marTop w:val="0"/>
                  <w:marBottom w:val="0"/>
                  <w:divBdr>
                    <w:top w:val="none" w:sz="0" w:space="0" w:color="auto"/>
                    <w:left w:val="none" w:sz="0" w:space="0" w:color="auto"/>
                    <w:bottom w:val="none" w:sz="0" w:space="0" w:color="auto"/>
                    <w:right w:val="none" w:sz="0" w:space="0" w:color="auto"/>
                  </w:divBdr>
                </w:div>
              </w:divsChild>
            </w:div>
            <w:div w:id="1021785371">
              <w:marLeft w:val="0"/>
              <w:marRight w:val="0"/>
              <w:marTop w:val="0"/>
              <w:marBottom w:val="0"/>
              <w:divBdr>
                <w:top w:val="none" w:sz="0" w:space="0" w:color="auto"/>
                <w:left w:val="none" w:sz="0" w:space="0" w:color="auto"/>
                <w:bottom w:val="none" w:sz="0" w:space="0" w:color="auto"/>
                <w:right w:val="none" w:sz="0" w:space="0" w:color="auto"/>
              </w:divBdr>
              <w:divsChild>
                <w:div w:id="1347370914">
                  <w:marLeft w:val="0"/>
                  <w:marRight w:val="0"/>
                  <w:marTop w:val="0"/>
                  <w:marBottom w:val="0"/>
                  <w:divBdr>
                    <w:top w:val="none" w:sz="0" w:space="0" w:color="auto"/>
                    <w:left w:val="none" w:sz="0" w:space="0" w:color="auto"/>
                    <w:bottom w:val="none" w:sz="0" w:space="0" w:color="auto"/>
                    <w:right w:val="none" w:sz="0" w:space="0" w:color="auto"/>
                  </w:divBdr>
                </w:div>
              </w:divsChild>
            </w:div>
            <w:div w:id="491141325">
              <w:marLeft w:val="0"/>
              <w:marRight w:val="0"/>
              <w:marTop w:val="0"/>
              <w:marBottom w:val="0"/>
              <w:divBdr>
                <w:top w:val="none" w:sz="0" w:space="0" w:color="auto"/>
                <w:left w:val="none" w:sz="0" w:space="0" w:color="auto"/>
                <w:bottom w:val="none" w:sz="0" w:space="0" w:color="auto"/>
                <w:right w:val="none" w:sz="0" w:space="0" w:color="auto"/>
              </w:divBdr>
              <w:divsChild>
                <w:div w:id="2006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7760">
          <w:marLeft w:val="0"/>
          <w:marRight w:val="0"/>
          <w:marTop w:val="0"/>
          <w:marBottom w:val="600"/>
          <w:divBdr>
            <w:top w:val="none" w:sz="0" w:space="0" w:color="auto"/>
            <w:left w:val="none" w:sz="0" w:space="0" w:color="auto"/>
            <w:bottom w:val="none" w:sz="0" w:space="0" w:color="auto"/>
            <w:right w:val="none" w:sz="0" w:space="0" w:color="auto"/>
          </w:divBdr>
        </w:div>
      </w:divsChild>
    </w:div>
    <w:div w:id="2103186293">
      <w:marLeft w:val="0"/>
      <w:marRight w:val="0"/>
      <w:marTop w:val="0"/>
      <w:marBottom w:val="0"/>
      <w:divBdr>
        <w:top w:val="none" w:sz="0" w:space="0" w:color="auto"/>
        <w:left w:val="none" w:sz="0" w:space="0" w:color="auto"/>
        <w:bottom w:val="none" w:sz="0" w:space="0" w:color="auto"/>
        <w:right w:val="none" w:sz="0" w:space="0" w:color="auto"/>
      </w:divBdr>
      <w:divsChild>
        <w:div w:id="2000303967">
          <w:marLeft w:val="0"/>
          <w:marRight w:val="0"/>
          <w:marTop w:val="547"/>
          <w:marBottom w:val="0"/>
          <w:divBdr>
            <w:top w:val="none" w:sz="0" w:space="0" w:color="auto"/>
            <w:left w:val="none" w:sz="0" w:space="0" w:color="auto"/>
            <w:bottom w:val="none" w:sz="0" w:space="0" w:color="auto"/>
            <w:right w:val="none" w:sz="0" w:space="0" w:color="auto"/>
          </w:divBdr>
        </w:div>
        <w:div w:id="2054885378">
          <w:marLeft w:val="0"/>
          <w:marRight w:val="0"/>
          <w:marTop w:val="0"/>
          <w:marBottom w:val="0"/>
          <w:divBdr>
            <w:top w:val="none" w:sz="0" w:space="0" w:color="auto"/>
            <w:left w:val="none" w:sz="0" w:space="0" w:color="auto"/>
            <w:bottom w:val="none" w:sz="0" w:space="0" w:color="auto"/>
            <w:right w:val="none" w:sz="0" w:space="0" w:color="auto"/>
          </w:divBdr>
          <w:divsChild>
            <w:div w:id="1026176286">
              <w:marLeft w:val="0"/>
              <w:marRight w:val="0"/>
              <w:marTop w:val="0"/>
              <w:marBottom w:val="0"/>
              <w:divBdr>
                <w:top w:val="none" w:sz="0" w:space="0" w:color="auto"/>
                <w:left w:val="none" w:sz="0" w:space="0" w:color="auto"/>
                <w:bottom w:val="none" w:sz="0" w:space="0" w:color="auto"/>
                <w:right w:val="none" w:sz="0" w:space="0" w:color="auto"/>
              </w:divBdr>
              <w:divsChild>
                <w:div w:id="1392340201">
                  <w:marLeft w:val="0"/>
                  <w:marRight w:val="0"/>
                  <w:marTop w:val="0"/>
                  <w:marBottom w:val="0"/>
                  <w:divBdr>
                    <w:top w:val="none" w:sz="0" w:space="0" w:color="auto"/>
                    <w:left w:val="none" w:sz="0" w:space="0" w:color="auto"/>
                    <w:bottom w:val="none" w:sz="0" w:space="0" w:color="auto"/>
                    <w:right w:val="none" w:sz="0" w:space="0" w:color="auto"/>
                  </w:divBdr>
                </w:div>
              </w:divsChild>
            </w:div>
            <w:div w:id="1656762651">
              <w:marLeft w:val="0"/>
              <w:marRight w:val="0"/>
              <w:marTop w:val="0"/>
              <w:marBottom w:val="0"/>
              <w:divBdr>
                <w:top w:val="none" w:sz="0" w:space="0" w:color="auto"/>
                <w:left w:val="none" w:sz="0" w:space="0" w:color="auto"/>
                <w:bottom w:val="none" w:sz="0" w:space="0" w:color="auto"/>
                <w:right w:val="none" w:sz="0" w:space="0" w:color="auto"/>
              </w:divBdr>
              <w:divsChild>
                <w:div w:id="1246962920">
                  <w:marLeft w:val="0"/>
                  <w:marRight w:val="0"/>
                  <w:marTop w:val="0"/>
                  <w:marBottom w:val="0"/>
                  <w:divBdr>
                    <w:top w:val="none" w:sz="0" w:space="0" w:color="auto"/>
                    <w:left w:val="none" w:sz="0" w:space="0" w:color="auto"/>
                    <w:bottom w:val="none" w:sz="0" w:space="0" w:color="auto"/>
                    <w:right w:val="none" w:sz="0" w:space="0" w:color="auto"/>
                  </w:divBdr>
                </w:div>
              </w:divsChild>
            </w:div>
            <w:div w:id="218127575">
              <w:marLeft w:val="0"/>
              <w:marRight w:val="0"/>
              <w:marTop w:val="0"/>
              <w:marBottom w:val="0"/>
              <w:divBdr>
                <w:top w:val="none" w:sz="0" w:space="0" w:color="auto"/>
                <w:left w:val="none" w:sz="0" w:space="0" w:color="auto"/>
                <w:bottom w:val="none" w:sz="0" w:space="0" w:color="auto"/>
                <w:right w:val="none" w:sz="0" w:space="0" w:color="auto"/>
              </w:divBdr>
              <w:divsChild>
                <w:div w:id="1554272052">
                  <w:marLeft w:val="0"/>
                  <w:marRight w:val="0"/>
                  <w:marTop w:val="0"/>
                  <w:marBottom w:val="0"/>
                  <w:divBdr>
                    <w:top w:val="none" w:sz="0" w:space="0" w:color="auto"/>
                    <w:left w:val="none" w:sz="0" w:space="0" w:color="auto"/>
                    <w:bottom w:val="none" w:sz="0" w:space="0" w:color="auto"/>
                    <w:right w:val="none" w:sz="0" w:space="0" w:color="auto"/>
                  </w:divBdr>
                </w:div>
              </w:divsChild>
            </w:div>
            <w:div w:id="524289381">
              <w:marLeft w:val="0"/>
              <w:marRight w:val="0"/>
              <w:marTop w:val="0"/>
              <w:marBottom w:val="0"/>
              <w:divBdr>
                <w:top w:val="none" w:sz="0" w:space="0" w:color="auto"/>
                <w:left w:val="none" w:sz="0" w:space="0" w:color="auto"/>
                <w:bottom w:val="none" w:sz="0" w:space="0" w:color="auto"/>
                <w:right w:val="none" w:sz="0" w:space="0" w:color="auto"/>
              </w:divBdr>
              <w:divsChild>
                <w:div w:id="1355617926">
                  <w:marLeft w:val="0"/>
                  <w:marRight w:val="0"/>
                  <w:marTop w:val="0"/>
                  <w:marBottom w:val="0"/>
                  <w:divBdr>
                    <w:top w:val="none" w:sz="0" w:space="0" w:color="auto"/>
                    <w:left w:val="none" w:sz="0" w:space="0" w:color="auto"/>
                    <w:bottom w:val="none" w:sz="0" w:space="0" w:color="auto"/>
                    <w:right w:val="none" w:sz="0" w:space="0" w:color="auto"/>
                  </w:divBdr>
                </w:div>
              </w:divsChild>
            </w:div>
            <w:div w:id="313489104">
              <w:marLeft w:val="0"/>
              <w:marRight w:val="0"/>
              <w:marTop w:val="0"/>
              <w:marBottom w:val="0"/>
              <w:divBdr>
                <w:top w:val="none" w:sz="0" w:space="0" w:color="auto"/>
                <w:left w:val="none" w:sz="0" w:space="0" w:color="auto"/>
                <w:bottom w:val="none" w:sz="0" w:space="0" w:color="auto"/>
                <w:right w:val="none" w:sz="0" w:space="0" w:color="auto"/>
              </w:divBdr>
              <w:divsChild>
                <w:div w:id="2091273575">
                  <w:marLeft w:val="0"/>
                  <w:marRight w:val="0"/>
                  <w:marTop w:val="0"/>
                  <w:marBottom w:val="0"/>
                  <w:divBdr>
                    <w:top w:val="none" w:sz="0" w:space="0" w:color="auto"/>
                    <w:left w:val="none" w:sz="0" w:space="0" w:color="auto"/>
                    <w:bottom w:val="none" w:sz="0" w:space="0" w:color="auto"/>
                    <w:right w:val="none" w:sz="0" w:space="0" w:color="auto"/>
                  </w:divBdr>
                </w:div>
              </w:divsChild>
            </w:div>
            <w:div w:id="1824814279">
              <w:marLeft w:val="0"/>
              <w:marRight w:val="0"/>
              <w:marTop w:val="0"/>
              <w:marBottom w:val="0"/>
              <w:divBdr>
                <w:top w:val="none" w:sz="0" w:space="0" w:color="auto"/>
                <w:left w:val="none" w:sz="0" w:space="0" w:color="auto"/>
                <w:bottom w:val="none" w:sz="0" w:space="0" w:color="auto"/>
                <w:right w:val="none" w:sz="0" w:space="0" w:color="auto"/>
              </w:divBdr>
              <w:divsChild>
                <w:div w:id="950742756">
                  <w:marLeft w:val="0"/>
                  <w:marRight w:val="0"/>
                  <w:marTop w:val="0"/>
                  <w:marBottom w:val="0"/>
                  <w:divBdr>
                    <w:top w:val="none" w:sz="0" w:space="0" w:color="auto"/>
                    <w:left w:val="none" w:sz="0" w:space="0" w:color="auto"/>
                    <w:bottom w:val="none" w:sz="0" w:space="0" w:color="auto"/>
                    <w:right w:val="none" w:sz="0" w:space="0" w:color="auto"/>
                  </w:divBdr>
                </w:div>
              </w:divsChild>
            </w:div>
            <w:div w:id="1550460283">
              <w:marLeft w:val="0"/>
              <w:marRight w:val="0"/>
              <w:marTop w:val="0"/>
              <w:marBottom w:val="0"/>
              <w:divBdr>
                <w:top w:val="none" w:sz="0" w:space="0" w:color="auto"/>
                <w:left w:val="none" w:sz="0" w:space="0" w:color="auto"/>
                <w:bottom w:val="none" w:sz="0" w:space="0" w:color="auto"/>
                <w:right w:val="none" w:sz="0" w:space="0" w:color="auto"/>
              </w:divBdr>
              <w:divsChild>
                <w:div w:id="484512868">
                  <w:marLeft w:val="0"/>
                  <w:marRight w:val="0"/>
                  <w:marTop w:val="0"/>
                  <w:marBottom w:val="0"/>
                  <w:divBdr>
                    <w:top w:val="none" w:sz="0" w:space="0" w:color="auto"/>
                    <w:left w:val="none" w:sz="0" w:space="0" w:color="auto"/>
                    <w:bottom w:val="none" w:sz="0" w:space="0" w:color="auto"/>
                    <w:right w:val="none" w:sz="0" w:space="0" w:color="auto"/>
                  </w:divBdr>
                </w:div>
              </w:divsChild>
            </w:div>
            <w:div w:id="1608271303">
              <w:marLeft w:val="0"/>
              <w:marRight w:val="0"/>
              <w:marTop w:val="0"/>
              <w:marBottom w:val="0"/>
              <w:divBdr>
                <w:top w:val="none" w:sz="0" w:space="0" w:color="auto"/>
                <w:left w:val="none" w:sz="0" w:space="0" w:color="auto"/>
                <w:bottom w:val="none" w:sz="0" w:space="0" w:color="auto"/>
                <w:right w:val="none" w:sz="0" w:space="0" w:color="auto"/>
              </w:divBdr>
              <w:divsChild>
                <w:div w:id="404307831">
                  <w:marLeft w:val="0"/>
                  <w:marRight w:val="0"/>
                  <w:marTop w:val="0"/>
                  <w:marBottom w:val="0"/>
                  <w:divBdr>
                    <w:top w:val="none" w:sz="0" w:space="0" w:color="auto"/>
                    <w:left w:val="none" w:sz="0" w:space="0" w:color="auto"/>
                    <w:bottom w:val="none" w:sz="0" w:space="0" w:color="auto"/>
                    <w:right w:val="none" w:sz="0" w:space="0" w:color="auto"/>
                  </w:divBdr>
                </w:div>
              </w:divsChild>
            </w:div>
            <w:div w:id="233517348">
              <w:marLeft w:val="0"/>
              <w:marRight w:val="0"/>
              <w:marTop w:val="0"/>
              <w:marBottom w:val="0"/>
              <w:divBdr>
                <w:top w:val="none" w:sz="0" w:space="0" w:color="auto"/>
                <w:left w:val="none" w:sz="0" w:space="0" w:color="auto"/>
                <w:bottom w:val="none" w:sz="0" w:space="0" w:color="auto"/>
                <w:right w:val="none" w:sz="0" w:space="0" w:color="auto"/>
              </w:divBdr>
              <w:divsChild>
                <w:div w:id="137693675">
                  <w:marLeft w:val="0"/>
                  <w:marRight w:val="0"/>
                  <w:marTop w:val="0"/>
                  <w:marBottom w:val="0"/>
                  <w:divBdr>
                    <w:top w:val="none" w:sz="0" w:space="0" w:color="auto"/>
                    <w:left w:val="none" w:sz="0" w:space="0" w:color="auto"/>
                    <w:bottom w:val="none" w:sz="0" w:space="0" w:color="auto"/>
                    <w:right w:val="none" w:sz="0" w:space="0" w:color="auto"/>
                  </w:divBdr>
                </w:div>
              </w:divsChild>
            </w:div>
            <w:div w:id="867375930">
              <w:marLeft w:val="0"/>
              <w:marRight w:val="0"/>
              <w:marTop w:val="0"/>
              <w:marBottom w:val="0"/>
              <w:divBdr>
                <w:top w:val="none" w:sz="0" w:space="0" w:color="auto"/>
                <w:left w:val="none" w:sz="0" w:space="0" w:color="auto"/>
                <w:bottom w:val="none" w:sz="0" w:space="0" w:color="auto"/>
                <w:right w:val="none" w:sz="0" w:space="0" w:color="auto"/>
              </w:divBdr>
              <w:divsChild>
                <w:div w:id="1462848061">
                  <w:marLeft w:val="0"/>
                  <w:marRight w:val="0"/>
                  <w:marTop w:val="0"/>
                  <w:marBottom w:val="0"/>
                  <w:divBdr>
                    <w:top w:val="none" w:sz="0" w:space="0" w:color="auto"/>
                    <w:left w:val="none" w:sz="0" w:space="0" w:color="auto"/>
                    <w:bottom w:val="none" w:sz="0" w:space="0" w:color="auto"/>
                    <w:right w:val="none" w:sz="0" w:space="0" w:color="auto"/>
                  </w:divBdr>
                </w:div>
              </w:divsChild>
            </w:div>
            <w:div w:id="1160390067">
              <w:marLeft w:val="0"/>
              <w:marRight w:val="0"/>
              <w:marTop w:val="0"/>
              <w:marBottom w:val="0"/>
              <w:divBdr>
                <w:top w:val="none" w:sz="0" w:space="0" w:color="auto"/>
                <w:left w:val="none" w:sz="0" w:space="0" w:color="auto"/>
                <w:bottom w:val="none" w:sz="0" w:space="0" w:color="auto"/>
                <w:right w:val="none" w:sz="0" w:space="0" w:color="auto"/>
              </w:divBdr>
              <w:divsChild>
                <w:div w:id="2126659093">
                  <w:marLeft w:val="0"/>
                  <w:marRight w:val="0"/>
                  <w:marTop w:val="0"/>
                  <w:marBottom w:val="0"/>
                  <w:divBdr>
                    <w:top w:val="none" w:sz="0" w:space="0" w:color="auto"/>
                    <w:left w:val="none" w:sz="0" w:space="0" w:color="auto"/>
                    <w:bottom w:val="none" w:sz="0" w:space="0" w:color="auto"/>
                    <w:right w:val="none" w:sz="0" w:space="0" w:color="auto"/>
                  </w:divBdr>
                </w:div>
              </w:divsChild>
            </w:div>
            <w:div w:id="387848923">
              <w:marLeft w:val="0"/>
              <w:marRight w:val="0"/>
              <w:marTop w:val="0"/>
              <w:marBottom w:val="0"/>
              <w:divBdr>
                <w:top w:val="none" w:sz="0" w:space="0" w:color="auto"/>
                <w:left w:val="none" w:sz="0" w:space="0" w:color="auto"/>
                <w:bottom w:val="none" w:sz="0" w:space="0" w:color="auto"/>
                <w:right w:val="none" w:sz="0" w:space="0" w:color="auto"/>
              </w:divBdr>
              <w:divsChild>
                <w:div w:id="1731491188">
                  <w:marLeft w:val="0"/>
                  <w:marRight w:val="0"/>
                  <w:marTop w:val="0"/>
                  <w:marBottom w:val="0"/>
                  <w:divBdr>
                    <w:top w:val="none" w:sz="0" w:space="0" w:color="auto"/>
                    <w:left w:val="none" w:sz="0" w:space="0" w:color="auto"/>
                    <w:bottom w:val="none" w:sz="0" w:space="0" w:color="auto"/>
                    <w:right w:val="none" w:sz="0" w:space="0" w:color="auto"/>
                  </w:divBdr>
                </w:div>
              </w:divsChild>
            </w:div>
            <w:div w:id="316154282">
              <w:marLeft w:val="0"/>
              <w:marRight w:val="0"/>
              <w:marTop w:val="0"/>
              <w:marBottom w:val="0"/>
              <w:divBdr>
                <w:top w:val="none" w:sz="0" w:space="0" w:color="auto"/>
                <w:left w:val="none" w:sz="0" w:space="0" w:color="auto"/>
                <w:bottom w:val="none" w:sz="0" w:space="0" w:color="auto"/>
                <w:right w:val="none" w:sz="0" w:space="0" w:color="auto"/>
              </w:divBdr>
              <w:divsChild>
                <w:div w:id="1478911300">
                  <w:marLeft w:val="0"/>
                  <w:marRight w:val="0"/>
                  <w:marTop w:val="0"/>
                  <w:marBottom w:val="0"/>
                  <w:divBdr>
                    <w:top w:val="none" w:sz="0" w:space="0" w:color="auto"/>
                    <w:left w:val="none" w:sz="0" w:space="0" w:color="auto"/>
                    <w:bottom w:val="none" w:sz="0" w:space="0" w:color="auto"/>
                    <w:right w:val="none" w:sz="0" w:space="0" w:color="auto"/>
                  </w:divBdr>
                </w:div>
              </w:divsChild>
            </w:div>
            <w:div w:id="889652457">
              <w:marLeft w:val="0"/>
              <w:marRight w:val="0"/>
              <w:marTop w:val="0"/>
              <w:marBottom w:val="0"/>
              <w:divBdr>
                <w:top w:val="none" w:sz="0" w:space="0" w:color="auto"/>
                <w:left w:val="none" w:sz="0" w:space="0" w:color="auto"/>
                <w:bottom w:val="none" w:sz="0" w:space="0" w:color="auto"/>
                <w:right w:val="none" w:sz="0" w:space="0" w:color="auto"/>
              </w:divBdr>
              <w:divsChild>
                <w:div w:id="381247760">
                  <w:marLeft w:val="0"/>
                  <w:marRight w:val="0"/>
                  <w:marTop w:val="0"/>
                  <w:marBottom w:val="0"/>
                  <w:divBdr>
                    <w:top w:val="none" w:sz="0" w:space="0" w:color="auto"/>
                    <w:left w:val="none" w:sz="0" w:space="0" w:color="auto"/>
                    <w:bottom w:val="none" w:sz="0" w:space="0" w:color="auto"/>
                    <w:right w:val="none" w:sz="0" w:space="0" w:color="auto"/>
                  </w:divBdr>
                </w:div>
              </w:divsChild>
            </w:div>
            <w:div w:id="1372195398">
              <w:marLeft w:val="0"/>
              <w:marRight w:val="0"/>
              <w:marTop w:val="0"/>
              <w:marBottom w:val="0"/>
              <w:divBdr>
                <w:top w:val="none" w:sz="0" w:space="0" w:color="auto"/>
                <w:left w:val="none" w:sz="0" w:space="0" w:color="auto"/>
                <w:bottom w:val="none" w:sz="0" w:space="0" w:color="auto"/>
                <w:right w:val="none" w:sz="0" w:space="0" w:color="auto"/>
              </w:divBdr>
              <w:divsChild>
                <w:div w:id="1665426581">
                  <w:marLeft w:val="0"/>
                  <w:marRight w:val="0"/>
                  <w:marTop w:val="0"/>
                  <w:marBottom w:val="0"/>
                  <w:divBdr>
                    <w:top w:val="none" w:sz="0" w:space="0" w:color="auto"/>
                    <w:left w:val="none" w:sz="0" w:space="0" w:color="auto"/>
                    <w:bottom w:val="none" w:sz="0" w:space="0" w:color="auto"/>
                    <w:right w:val="none" w:sz="0" w:space="0" w:color="auto"/>
                  </w:divBdr>
                </w:div>
              </w:divsChild>
            </w:div>
            <w:div w:id="463471473">
              <w:marLeft w:val="0"/>
              <w:marRight w:val="0"/>
              <w:marTop w:val="0"/>
              <w:marBottom w:val="0"/>
              <w:divBdr>
                <w:top w:val="none" w:sz="0" w:space="0" w:color="auto"/>
                <w:left w:val="none" w:sz="0" w:space="0" w:color="auto"/>
                <w:bottom w:val="none" w:sz="0" w:space="0" w:color="auto"/>
                <w:right w:val="none" w:sz="0" w:space="0" w:color="auto"/>
              </w:divBdr>
              <w:divsChild>
                <w:div w:id="999232094">
                  <w:marLeft w:val="0"/>
                  <w:marRight w:val="0"/>
                  <w:marTop w:val="0"/>
                  <w:marBottom w:val="0"/>
                  <w:divBdr>
                    <w:top w:val="none" w:sz="0" w:space="0" w:color="auto"/>
                    <w:left w:val="none" w:sz="0" w:space="0" w:color="auto"/>
                    <w:bottom w:val="none" w:sz="0" w:space="0" w:color="auto"/>
                    <w:right w:val="none" w:sz="0" w:space="0" w:color="auto"/>
                  </w:divBdr>
                </w:div>
              </w:divsChild>
            </w:div>
            <w:div w:id="1131244206">
              <w:marLeft w:val="0"/>
              <w:marRight w:val="0"/>
              <w:marTop w:val="0"/>
              <w:marBottom w:val="0"/>
              <w:divBdr>
                <w:top w:val="none" w:sz="0" w:space="0" w:color="auto"/>
                <w:left w:val="none" w:sz="0" w:space="0" w:color="auto"/>
                <w:bottom w:val="none" w:sz="0" w:space="0" w:color="auto"/>
                <w:right w:val="none" w:sz="0" w:space="0" w:color="auto"/>
              </w:divBdr>
              <w:divsChild>
                <w:div w:id="105740171">
                  <w:marLeft w:val="0"/>
                  <w:marRight w:val="0"/>
                  <w:marTop w:val="0"/>
                  <w:marBottom w:val="0"/>
                  <w:divBdr>
                    <w:top w:val="none" w:sz="0" w:space="0" w:color="auto"/>
                    <w:left w:val="none" w:sz="0" w:space="0" w:color="auto"/>
                    <w:bottom w:val="none" w:sz="0" w:space="0" w:color="auto"/>
                    <w:right w:val="none" w:sz="0" w:space="0" w:color="auto"/>
                  </w:divBdr>
                </w:div>
              </w:divsChild>
            </w:div>
            <w:div w:id="954410912">
              <w:marLeft w:val="0"/>
              <w:marRight w:val="0"/>
              <w:marTop w:val="0"/>
              <w:marBottom w:val="0"/>
              <w:divBdr>
                <w:top w:val="none" w:sz="0" w:space="0" w:color="auto"/>
                <w:left w:val="none" w:sz="0" w:space="0" w:color="auto"/>
                <w:bottom w:val="none" w:sz="0" w:space="0" w:color="auto"/>
                <w:right w:val="none" w:sz="0" w:space="0" w:color="auto"/>
              </w:divBdr>
              <w:divsChild>
                <w:div w:id="1162046900">
                  <w:marLeft w:val="0"/>
                  <w:marRight w:val="0"/>
                  <w:marTop w:val="0"/>
                  <w:marBottom w:val="0"/>
                  <w:divBdr>
                    <w:top w:val="none" w:sz="0" w:space="0" w:color="auto"/>
                    <w:left w:val="none" w:sz="0" w:space="0" w:color="auto"/>
                    <w:bottom w:val="none" w:sz="0" w:space="0" w:color="auto"/>
                    <w:right w:val="none" w:sz="0" w:space="0" w:color="auto"/>
                  </w:divBdr>
                </w:div>
              </w:divsChild>
            </w:div>
            <w:div w:id="1954900709">
              <w:marLeft w:val="0"/>
              <w:marRight w:val="0"/>
              <w:marTop w:val="0"/>
              <w:marBottom w:val="0"/>
              <w:divBdr>
                <w:top w:val="none" w:sz="0" w:space="0" w:color="auto"/>
                <w:left w:val="none" w:sz="0" w:space="0" w:color="auto"/>
                <w:bottom w:val="none" w:sz="0" w:space="0" w:color="auto"/>
                <w:right w:val="none" w:sz="0" w:space="0" w:color="auto"/>
              </w:divBdr>
              <w:divsChild>
                <w:div w:id="1177768782">
                  <w:marLeft w:val="0"/>
                  <w:marRight w:val="0"/>
                  <w:marTop w:val="0"/>
                  <w:marBottom w:val="0"/>
                  <w:divBdr>
                    <w:top w:val="none" w:sz="0" w:space="0" w:color="auto"/>
                    <w:left w:val="none" w:sz="0" w:space="0" w:color="auto"/>
                    <w:bottom w:val="none" w:sz="0" w:space="0" w:color="auto"/>
                    <w:right w:val="none" w:sz="0" w:space="0" w:color="auto"/>
                  </w:divBdr>
                </w:div>
              </w:divsChild>
            </w:div>
            <w:div w:id="865094451">
              <w:marLeft w:val="0"/>
              <w:marRight w:val="0"/>
              <w:marTop w:val="0"/>
              <w:marBottom w:val="0"/>
              <w:divBdr>
                <w:top w:val="none" w:sz="0" w:space="0" w:color="auto"/>
                <w:left w:val="none" w:sz="0" w:space="0" w:color="auto"/>
                <w:bottom w:val="none" w:sz="0" w:space="0" w:color="auto"/>
                <w:right w:val="none" w:sz="0" w:space="0" w:color="auto"/>
              </w:divBdr>
              <w:divsChild>
                <w:div w:id="233781607">
                  <w:marLeft w:val="0"/>
                  <w:marRight w:val="0"/>
                  <w:marTop w:val="0"/>
                  <w:marBottom w:val="0"/>
                  <w:divBdr>
                    <w:top w:val="none" w:sz="0" w:space="0" w:color="auto"/>
                    <w:left w:val="none" w:sz="0" w:space="0" w:color="auto"/>
                    <w:bottom w:val="none" w:sz="0" w:space="0" w:color="auto"/>
                    <w:right w:val="none" w:sz="0" w:space="0" w:color="auto"/>
                  </w:divBdr>
                </w:div>
              </w:divsChild>
            </w:div>
            <w:div w:id="1372220403">
              <w:marLeft w:val="0"/>
              <w:marRight w:val="0"/>
              <w:marTop w:val="0"/>
              <w:marBottom w:val="0"/>
              <w:divBdr>
                <w:top w:val="none" w:sz="0" w:space="0" w:color="auto"/>
                <w:left w:val="none" w:sz="0" w:space="0" w:color="auto"/>
                <w:bottom w:val="none" w:sz="0" w:space="0" w:color="auto"/>
                <w:right w:val="none" w:sz="0" w:space="0" w:color="auto"/>
              </w:divBdr>
              <w:divsChild>
                <w:div w:id="1888175938">
                  <w:marLeft w:val="0"/>
                  <w:marRight w:val="0"/>
                  <w:marTop w:val="0"/>
                  <w:marBottom w:val="0"/>
                  <w:divBdr>
                    <w:top w:val="none" w:sz="0" w:space="0" w:color="auto"/>
                    <w:left w:val="none" w:sz="0" w:space="0" w:color="auto"/>
                    <w:bottom w:val="none" w:sz="0" w:space="0" w:color="auto"/>
                    <w:right w:val="none" w:sz="0" w:space="0" w:color="auto"/>
                  </w:divBdr>
                </w:div>
              </w:divsChild>
            </w:div>
            <w:div w:id="668338540">
              <w:marLeft w:val="0"/>
              <w:marRight w:val="0"/>
              <w:marTop w:val="0"/>
              <w:marBottom w:val="0"/>
              <w:divBdr>
                <w:top w:val="none" w:sz="0" w:space="0" w:color="auto"/>
                <w:left w:val="none" w:sz="0" w:space="0" w:color="auto"/>
                <w:bottom w:val="none" w:sz="0" w:space="0" w:color="auto"/>
                <w:right w:val="none" w:sz="0" w:space="0" w:color="auto"/>
              </w:divBdr>
              <w:divsChild>
                <w:div w:id="18036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9419">
          <w:marLeft w:val="0"/>
          <w:marRight w:val="0"/>
          <w:marTop w:val="0"/>
          <w:marBottom w:val="600"/>
          <w:divBdr>
            <w:top w:val="none" w:sz="0" w:space="0" w:color="auto"/>
            <w:left w:val="none" w:sz="0" w:space="0" w:color="auto"/>
            <w:bottom w:val="none" w:sz="0" w:space="0" w:color="auto"/>
            <w:right w:val="none" w:sz="0" w:space="0" w:color="auto"/>
          </w:divBdr>
        </w:div>
      </w:divsChild>
    </w:div>
    <w:div w:id="2134135255">
      <w:marLeft w:val="0"/>
      <w:marRight w:val="0"/>
      <w:marTop w:val="0"/>
      <w:marBottom w:val="0"/>
      <w:divBdr>
        <w:top w:val="none" w:sz="0" w:space="0" w:color="auto"/>
        <w:left w:val="none" w:sz="0" w:space="0" w:color="auto"/>
        <w:bottom w:val="none" w:sz="0" w:space="0" w:color="auto"/>
        <w:right w:val="none" w:sz="0" w:space="0" w:color="auto"/>
      </w:divBdr>
      <w:divsChild>
        <w:div w:id="913854109">
          <w:marLeft w:val="0"/>
          <w:marRight w:val="0"/>
          <w:marTop w:val="547"/>
          <w:marBottom w:val="0"/>
          <w:divBdr>
            <w:top w:val="none" w:sz="0" w:space="0" w:color="auto"/>
            <w:left w:val="none" w:sz="0" w:space="0" w:color="auto"/>
            <w:bottom w:val="none" w:sz="0" w:space="0" w:color="auto"/>
            <w:right w:val="none" w:sz="0" w:space="0" w:color="auto"/>
          </w:divBdr>
        </w:div>
        <w:div w:id="1392729739">
          <w:marLeft w:val="0"/>
          <w:marRight w:val="0"/>
          <w:marTop w:val="0"/>
          <w:marBottom w:val="0"/>
          <w:divBdr>
            <w:top w:val="none" w:sz="0" w:space="0" w:color="auto"/>
            <w:left w:val="none" w:sz="0" w:space="0" w:color="auto"/>
            <w:bottom w:val="none" w:sz="0" w:space="0" w:color="auto"/>
            <w:right w:val="none" w:sz="0" w:space="0" w:color="auto"/>
          </w:divBdr>
          <w:divsChild>
            <w:div w:id="1123964874">
              <w:marLeft w:val="0"/>
              <w:marRight w:val="0"/>
              <w:marTop w:val="0"/>
              <w:marBottom w:val="0"/>
              <w:divBdr>
                <w:top w:val="none" w:sz="0" w:space="0" w:color="auto"/>
                <w:left w:val="none" w:sz="0" w:space="0" w:color="auto"/>
                <w:bottom w:val="none" w:sz="0" w:space="0" w:color="auto"/>
                <w:right w:val="none" w:sz="0" w:space="0" w:color="auto"/>
              </w:divBdr>
              <w:divsChild>
                <w:div w:id="2038432246">
                  <w:marLeft w:val="0"/>
                  <w:marRight w:val="0"/>
                  <w:marTop w:val="0"/>
                  <w:marBottom w:val="0"/>
                  <w:divBdr>
                    <w:top w:val="none" w:sz="0" w:space="0" w:color="auto"/>
                    <w:left w:val="none" w:sz="0" w:space="0" w:color="auto"/>
                    <w:bottom w:val="none" w:sz="0" w:space="0" w:color="auto"/>
                    <w:right w:val="none" w:sz="0" w:space="0" w:color="auto"/>
                  </w:divBdr>
                </w:div>
              </w:divsChild>
            </w:div>
            <w:div w:id="1880629887">
              <w:marLeft w:val="0"/>
              <w:marRight w:val="0"/>
              <w:marTop w:val="0"/>
              <w:marBottom w:val="0"/>
              <w:divBdr>
                <w:top w:val="none" w:sz="0" w:space="0" w:color="auto"/>
                <w:left w:val="none" w:sz="0" w:space="0" w:color="auto"/>
                <w:bottom w:val="none" w:sz="0" w:space="0" w:color="auto"/>
                <w:right w:val="none" w:sz="0" w:space="0" w:color="auto"/>
              </w:divBdr>
              <w:divsChild>
                <w:div w:id="156508052">
                  <w:marLeft w:val="0"/>
                  <w:marRight w:val="0"/>
                  <w:marTop w:val="0"/>
                  <w:marBottom w:val="0"/>
                  <w:divBdr>
                    <w:top w:val="none" w:sz="0" w:space="0" w:color="auto"/>
                    <w:left w:val="none" w:sz="0" w:space="0" w:color="auto"/>
                    <w:bottom w:val="none" w:sz="0" w:space="0" w:color="auto"/>
                    <w:right w:val="none" w:sz="0" w:space="0" w:color="auto"/>
                  </w:divBdr>
                </w:div>
              </w:divsChild>
            </w:div>
            <w:div w:id="1742019136">
              <w:marLeft w:val="0"/>
              <w:marRight w:val="0"/>
              <w:marTop w:val="0"/>
              <w:marBottom w:val="0"/>
              <w:divBdr>
                <w:top w:val="none" w:sz="0" w:space="0" w:color="auto"/>
                <w:left w:val="none" w:sz="0" w:space="0" w:color="auto"/>
                <w:bottom w:val="none" w:sz="0" w:space="0" w:color="auto"/>
                <w:right w:val="none" w:sz="0" w:space="0" w:color="auto"/>
              </w:divBdr>
              <w:divsChild>
                <w:div w:id="1974408603">
                  <w:marLeft w:val="0"/>
                  <w:marRight w:val="0"/>
                  <w:marTop w:val="0"/>
                  <w:marBottom w:val="0"/>
                  <w:divBdr>
                    <w:top w:val="none" w:sz="0" w:space="0" w:color="auto"/>
                    <w:left w:val="none" w:sz="0" w:space="0" w:color="auto"/>
                    <w:bottom w:val="none" w:sz="0" w:space="0" w:color="auto"/>
                    <w:right w:val="none" w:sz="0" w:space="0" w:color="auto"/>
                  </w:divBdr>
                </w:div>
              </w:divsChild>
            </w:div>
            <w:div w:id="528563729">
              <w:marLeft w:val="0"/>
              <w:marRight w:val="0"/>
              <w:marTop w:val="0"/>
              <w:marBottom w:val="0"/>
              <w:divBdr>
                <w:top w:val="none" w:sz="0" w:space="0" w:color="auto"/>
                <w:left w:val="none" w:sz="0" w:space="0" w:color="auto"/>
                <w:bottom w:val="none" w:sz="0" w:space="0" w:color="auto"/>
                <w:right w:val="none" w:sz="0" w:space="0" w:color="auto"/>
              </w:divBdr>
              <w:divsChild>
                <w:div w:id="449981494">
                  <w:marLeft w:val="0"/>
                  <w:marRight w:val="0"/>
                  <w:marTop w:val="0"/>
                  <w:marBottom w:val="0"/>
                  <w:divBdr>
                    <w:top w:val="none" w:sz="0" w:space="0" w:color="auto"/>
                    <w:left w:val="none" w:sz="0" w:space="0" w:color="auto"/>
                    <w:bottom w:val="none" w:sz="0" w:space="0" w:color="auto"/>
                    <w:right w:val="none" w:sz="0" w:space="0" w:color="auto"/>
                  </w:divBdr>
                </w:div>
              </w:divsChild>
            </w:div>
            <w:div w:id="883713804">
              <w:marLeft w:val="0"/>
              <w:marRight w:val="0"/>
              <w:marTop w:val="0"/>
              <w:marBottom w:val="0"/>
              <w:divBdr>
                <w:top w:val="none" w:sz="0" w:space="0" w:color="auto"/>
                <w:left w:val="none" w:sz="0" w:space="0" w:color="auto"/>
                <w:bottom w:val="none" w:sz="0" w:space="0" w:color="auto"/>
                <w:right w:val="none" w:sz="0" w:space="0" w:color="auto"/>
              </w:divBdr>
              <w:divsChild>
                <w:div w:id="710424875">
                  <w:marLeft w:val="0"/>
                  <w:marRight w:val="0"/>
                  <w:marTop w:val="0"/>
                  <w:marBottom w:val="0"/>
                  <w:divBdr>
                    <w:top w:val="none" w:sz="0" w:space="0" w:color="auto"/>
                    <w:left w:val="none" w:sz="0" w:space="0" w:color="auto"/>
                    <w:bottom w:val="none" w:sz="0" w:space="0" w:color="auto"/>
                    <w:right w:val="none" w:sz="0" w:space="0" w:color="auto"/>
                  </w:divBdr>
                </w:div>
              </w:divsChild>
            </w:div>
            <w:div w:id="2093315066">
              <w:marLeft w:val="0"/>
              <w:marRight w:val="0"/>
              <w:marTop w:val="0"/>
              <w:marBottom w:val="0"/>
              <w:divBdr>
                <w:top w:val="none" w:sz="0" w:space="0" w:color="auto"/>
                <w:left w:val="none" w:sz="0" w:space="0" w:color="auto"/>
                <w:bottom w:val="none" w:sz="0" w:space="0" w:color="auto"/>
                <w:right w:val="none" w:sz="0" w:space="0" w:color="auto"/>
              </w:divBdr>
              <w:divsChild>
                <w:div w:id="1522552374">
                  <w:marLeft w:val="0"/>
                  <w:marRight w:val="0"/>
                  <w:marTop w:val="0"/>
                  <w:marBottom w:val="0"/>
                  <w:divBdr>
                    <w:top w:val="none" w:sz="0" w:space="0" w:color="auto"/>
                    <w:left w:val="none" w:sz="0" w:space="0" w:color="auto"/>
                    <w:bottom w:val="none" w:sz="0" w:space="0" w:color="auto"/>
                    <w:right w:val="none" w:sz="0" w:space="0" w:color="auto"/>
                  </w:divBdr>
                </w:div>
              </w:divsChild>
            </w:div>
            <w:div w:id="1683632150">
              <w:marLeft w:val="0"/>
              <w:marRight w:val="0"/>
              <w:marTop w:val="0"/>
              <w:marBottom w:val="0"/>
              <w:divBdr>
                <w:top w:val="none" w:sz="0" w:space="0" w:color="auto"/>
                <w:left w:val="none" w:sz="0" w:space="0" w:color="auto"/>
                <w:bottom w:val="none" w:sz="0" w:space="0" w:color="auto"/>
                <w:right w:val="none" w:sz="0" w:space="0" w:color="auto"/>
              </w:divBdr>
              <w:divsChild>
                <w:div w:id="16737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5372">
          <w:marLeft w:val="0"/>
          <w:marRight w:val="0"/>
          <w:marTop w:val="0"/>
          <w:marBottom w:val="600"/>
          <w:divBdr>
            <w:top w:val="none" w:sz="0" w:space="0" w:color="auto"/>
            <w:left w:val="none" w:sz="0" w:space="0" w:color="auto"/>
            <w:bottom w:val="none" w:sz="0" w:space="0" w:color="auto"/>
            <w:right w:val="none" w:sz="0" w:space="0" w:color="auto"/>
          </w:divBdr>
        </w:div>
      </w:divsChild>
    </w:div>
    <w:div w:id="2134515255">
      <w:marLeft w:val="0"/>
      <w:marRight w:val="0"/>
      <w:marTop w:val="0"/>
      <w:marBottom w:val="0"/>
      <w:divBdr>
        <w:top w:val="none" w:sz="0" w:space="0" w:color="auto"/>
        <w:left w:val="none" w:sz="0" w:space="0" w:color="auto"/>
        <w:bottom w:val="none" w:sz="0" w:space="0" w:color="auto"/>
        <w:right w:val="none" w:sz="0" w:space="0" w:color="auto"/>
      </w:divBdr>
      <w:divsChild>
        <w:div w:id="1989431142">
          <w:marLeft w:val="0"/>
          <w:marRight w:val="0"/>
          <w:marTop w:val="547"/>
          <w:marBottom w:val="0"/>
          <w:divBdr>
            <w:top w:val="none" w:sz="0" w:space="0" w:color="auto"/>
            <w:left w:val="none" w:sz="0" w:space="0" w:color="auto"/>
            <w:bottom w:val="none" w:sz="0" w:space="0" w:color="auto"/>
            <w:right w:val="none" w:sz="0" w:space="0" w:color="auto"/>
          </w:divBdr>
        </w:div>
        <w:div w:id="670841114">
          <w:marLeft w:val="0"/>
          <w:marRight w:val="0"/>
          <w:marTop w:val="0"/>
          <w:marBottom w:val="0"/>
          <w:divBdr>
            <w:top w:val="none" w:sz="0" w:space="0" w:color="auto"/>
            <w:left w:val="none" w:sz="0" w:space="0" w:color="auto"/>
            <w:bottom w:val="none" w:sz="0" w:space="0" w:color="auto"/>
            <w:right w:val="none" w:sz="0" w:space="0" w:color="auto"/>
          </w:divBdr>
        </w:div>
        <w:div w:id="704334433">
          <w:marLeft w:val="0"/>
          <w:marRight w:val="0"/>
          <w:marTop w:val="0"/>
          <w:marBottom w:val="600"/>
          <w:divBdr>
            <w:top w:val="none" w:sz="0" w:space="0" w:color="auto"/>
            <w:left w:val="none" w:sz="0" w:space="0" w:color="auto"/>
            <w:bottom w:val="none" w:sz="0" w:space="0" w:color="auto"/>
            <w:right w:val="none" w:sz="0" w:space="0" w:color="auto"/>
          </w:divBdr>
        </w:div>
      </w:divsChild>
    </w:div>
    <w:div w:id="2136830874">
      <w:marLeft w:val="0"/>
      <w:marRight w:val="0"/>
      <w:marTop w:val="0"/>
      <w:marBottom w:val="0"/>
      <w:divBdr>
        <w:top w:val="none" w:sz="0" w:space="0" w:color="auto"/>
        <w:left w:val="none" w:sz="0" w:space="0" w:color="auto"/>
        <w:bottom w:val="none" w:sz="0" w:space="0" w:color="auto"/>
        <w:right w:val="none" w:sz="0" w:space="0" w:color="auto"/>
      </w:divBdr>
      <w:divsChild>
        <w:div w:id="1436092758">
          <w:marLeft w:val="0"/>
          <w:marRight w:val="0"/>
          <w:marTop w:val="547"/>
          <w:marBottom w:val="0"/>
          <w:divBdr>
            <w:top w:val="none" w:sz="0" w:space="0" w:color="auto"/>
            <w:left w:val="none" w:sz="0" w:space="0" w:color="auto"/>
            <w:bottom w:val="none" w:sz="0" w:space="0" w:color="auto"/>
            <w:right w:val="none" w:sz="0" w:space="0" w:color="auto"/>
          </w:divBdr>
        </w:div>
        <w:div w:id="231039270">
          <w:marLeft w:val="0"/>
          <w:marRight w:val="0"/>
          <w:marTop w:val="0"/>
          <w:marBottom w:val="0"/>
          <w:divBdr>
            <w:top w:val="none" w:sz="0" w:space="0" w:color="auto"/>
            <w:left w:val="none" w:sz="0" w:space="0" w:color="auto"/>
            <w:bottom w:val="none" w:sz="0" w:space="0" w:color="auto"/>
            <w:right w:val="none" w:sz="0" w:space="0" w:color="auto"/>
          </w:divBdr>
        </w:div>
        <w:div w:id="423038410">
          <w:marLeft w:val="0"/>
          <w:marRight w:val="0"/>
          <w:marTop w:val="0"/>
          <w:marBottom w:val="600"/>
          <w:divBdr>
            <w:top w:val="none" w:sz="0" w:space="0" w:color="auto"/>
            <w:left w:val="none" w:sz="0" w:space="0" w:color="auto"/>
            <w:bottom w:val="none" w:sz="0" w:space="0" w:color="auto"/>
            <w:right w:val="none" w:sz="0" w:space="0" w:color="auto"/>
          </w:divBdr>
        </w:div>
      </w:divsChild>
    </w:div>
    <w:div w:id="2142917742">
      <w:marLeft w:val="0"/>
      <w:marRight w:val="0"/>
      <w:marTop w:val="0"/>
      <w:marBottom w:val="0"/>
      <w:divBdr>
        <w:top w:val="none" w:sz="0" w:space="0" w:color="auto"/>
        <w:left w:val="none" w:sz="0" w:space="0" w:color="auto"/>
        <w:bottom w:val="none" w:sz="0" w:space="0" w:color="auto"/>
        <w:right w:val="none" w:sz="0" w:space="0" w:color="auto"/>
      </w:divBdr>
      <w:divsChild>
        <w:div w:id="184056733">
          <w:marLeft w:val="0"/>
          <w:marRight w:val="0"/>
          <w:marTop w:val="547"/>
          <w:marBottom w:val="0"/>
          <w:divBdr>
            <w:top w:val="none" w:sz="0" w:space="0" w:color="auto"/>
            <w:left w:val="none" w:sz="0" w:space="0" w:color="auto"/>
            <w:bottom w:val="none" w:sz="0" w:space="0" w:color="auto"/>
            <w:right w:val="none" w:sz="0" w:space="0" w:color="auto"/>
          </w:divBdr>
        </w:div>
        <w:div w:id="950480115">
          <w:marLeft w:val="0"/>
          <w:marRight w:val="0"/>
          <w:marTop w:val="0"/>
          <w:marBottom w:val="0"/>
          <w:divBdr>
            <w:top w:val="none" w:sz="0" w:space="0" w:color="auto"/>
            <w:left w:val="none" w:sz="0" w:space="0" w:color="auto"/>
            <w:bottom w:val="none" w:sz="0" w:space="0" w:color="auto"/>
            <w:right w:val="none" w:sz="0" w:space="0" w:color="auto"/>
          </w:divBdr>
          <w:divsChild>
            <w:div w:id="1132601370">
              <w:marLeft w:val="0"/>
              <w:marRight w:val="0"/>
              <w:marTop w:val="0"/>
              <w:marBottom w:val="0"/>
              <w:divBdr>
                <w:top w:val="none" w:sz="0" w:space="0" w:color="auto"/>
                <w:left w:val="none" w:sz="0" w:space="0" w:color="auto"/>
                <w:bottom w:val="none" w:sz="0" w:space="0" w:color="auto"/>
                <w:right w:val="none" w:sz="0" w:space="0" w:color="auto"/>
              </w:divBdr>
              <w:divsChild>
                <w:div w:id="1400055235">
                  <w:marLeft w:val="0"/>
                  <w:marRight w:val="0"/>
                  <w:marTop w:val="0"/>
                  <w:marBottom w:val="0"/>
                  <w:divBdr>
                    <w:top w:val="none" w:sz="0" w:space="0" w:color="auto"/>
                    <w:left w:val="none" w:sz="0" w:space="0" w:color="auto"/>
                    <w:bottom w:val="none" w:sz="0" w:space="0" w:color="auto"/>
                    <w:right w:val="none" w:sz="0" w:space="0" w:color="auto"/>
                  </w:divBdr>
                </w:div>
              </w:divsChild>
            </w:div>
            <w:div w:id="1168061266">
              <w:marLeft w:val="0"/>
              <w:marRight w:val="0"/>
              <w:marTop w:val="0"/>
              <w:marBottom w:val="0"/>
              <w:divBdr>
                <w:top w:val="none" w:sz="0" w:space="0" w:color="auto"/>
                <w:left w:val="none" w:sz="0" w:space="0" w:color="auto"/>
                <w:bottom w:val="none" w:sz="0" w:space="0" w:color="auto"/>
                <w:right w:val="none" w:sz="0" w:space="0" w:color="auto"/>
              </w:divBdr>
              <w:divsChild>
                <w:div w:id="193545116">
                  <w:marLeft w:val="0"/>
                  <w:marRight w:val="0"/>
                  <w:marTop w:val="0"/>
                  <w:marBottom w:val="0"/>
                  <w:divBdr>
                    <w:top w:val="none" w:sz="0" w:space="0" w:color="auto"/>
                    <w:left w:val="none" w:sz="0" w:space="0" w:color="auto"/>
                    <w:bottom w:val="none" w:sz="0" w:space="0" w:color="auto"/>
                    <w:right w:val="none" w:sz="0" w:space="0" w:color="auto"/>
                  </w:divBdr>
                </w:div>
              </w:divsChild>
            </w:div>
            <w:div w:id="547030184">
              <w:marLeft w:val="0"/>
              <w:marRight w:val="0"/>
              <w:marTop w:val="0"/>
              <w:marBottom w:val="0"/>
              <w:divBdr>
                <w:top w:val="none" w:sz="0" w:space="0" w:color="auto"/>
                <w:left w:val="none" w:sz="0" w:space="0" w:color="auto"/>
                <w:bottom w:val="none" w:sz="0" w:space="0" w:color="auto"/>
                <w:right w:val="none" w:sz="0" w:space="0" w:color="auto"/>
              </w:divBdr>
              <w:divsChild>
                <w:div w:id="1750466971">
                  <w:marLeft w:val="0"/>
                  <w:marRight w:val="0"/>
                  <w:marTop w:val="0"/>
                  <w:marBottom w:val="0"/>
                  <w:divBdr>
                    <w:top w:val="none" w:sz="0" w:space="0" w:color="auto"/>
                    <w:left w:val="none" w:sz="0" w:space="0" w:color="auto"/>
                    <w:bottom w:val="none" w:sz="0" w:space="0" w:color="auto"/>
                    <w:right w:val="none" w:sz="0" w:space="0" w:color="auto"/>
                  </w:divBdr>
                </w:div>
              </w:divsChild>
            </w:div>
            <w:div w:id="2053577723">
              <w:marLeft w:val="0"/>
              <w:marRight w:val="0"/>
              <w:marTop w:val="0"/>
              <w:marBottom w:val="0"/>
              <w:divBdr>
                <w:top w:val="none" w:sz="0" w:space="0" w:color="auto"/>
                <w:left w:val="none" w:sz="0" w:space="0" w:color="auto"/>
                <w:bottom w:val="none" w:sz="0" w:space="0" w:color="auto"/>
                <w:right w:val="none" w:sz="0" w:space="0" w:color="auto"/>
              </w:divBdr>
              <w:divsChild>
                <w:div w:id="813907241">
                  <w:marLeft w:val="0"/>
                  <w:marRight w:val="0"/>
                  <w:marTop w:val="0"/>
                  <w:marBottom w:val="0"/>
                  <w:divBdr>
                    <w:top w:val="none" w:sz="0" w:space="0" w:color="auto"/>
                    <w:left w:val="none" w:sz="0" w:space="0" w:color="auto"/>
                    <w:bottom w:val="none" w:sz="0" w:space="0" w:color="auto"/>
                    <w:right w:val="none" w:sz="0" w:space="0" w:color="auto"/>
                  </w:divBdr>
                </w:div>
              </w:divsChild>
            </w:div>
            <w:div w:id="1326740821">
              <w:marLeft w:val="0"/>
              <w:marRight w:val="0"/>
              <w:marTop w:val="0"/>
              <w:marBottom w:val="0"/>
              <w:divBdr>
                <w:top w:val="none" w:sz="0" w:space="0" w:color="auto"/>
                <w:left w:val="none" w:sz="0" w:space="0" w:color="auto"/>
                <w:bottom w:val="none" w:sz="0" w:space="0" w:color="auto"/>
                <w:right w:val="none" w:sz="0" w:space="0" w:color="auto"/>
              </w:divBdr>
              <w:divsChild>
                <w:div w:id="2088451232">
                  <w:marLeft w:val="0"/>
                  <w:marRight w:val="0"/>
                  <w:marTop w:val="0"/>
                  <w:marBottom w:val="0"/>
                  <w:divBdr>
                    <w:top w:val="none" w:sz="0" w:space="0" w:color="auto"/>
                    <w:left w:val="none" w:sz="0" w:space="0" w:color="auto"/>
                    <w:bottom w:val="none" w:sz="0" w:space="0" w:color="auto"/>
                    <w:right w:val="none" w:sz="0" w:space="0" w:color="auto"/>
                  </w:divBdr>
                </w:div>
              </w:divsChild>
            </w:div>
            <w:div w:id="186799498">
              <w:marLeft w:val="0"/>
              <w:marRight w:val="0"/>
              <w:marTop w:val="0"/>
              <w:marBottom w:val="0"/>
              <w:divBdr>
                <w:top w:val="none" w:sz="0" w:space="0" w:color="auto"/>
                <w:left w:val="none" w:sz="0" w:space="0" w:color="auto"/>
                <w:bottom w:val="none" w:sz="0" w:space="0" w:color="auto"/>
                <w:right w:val="none" w:sz="0" w:space="0" w:color="auto"/>
              </w:divBdr>
              <w:divsChild>
                <w:div w:id="2038190656">
                  <w:marLeft w:val="0"/>
                  <w:marRight w:val="0"/>
                  <w:marTop w:val="0"/>
                  <w:marBottom w:val="0"/>
                  <w:divBdr>
                    <w:top w:val="none" w:sz="0" w:space="0" w:color="auto"/>
                    <w:left w:val="none" w:sz="0" w:space="0" w:color="auto"/>
                    <w:bottom w:val="none" w:sz="0" w:space="0" w:color="auto"/>
                    <w:right w:val="none" w:sz="0" w:space="0" w:color="auto"/>
                  </w:divBdr>
                </w:div>
              </w:divsChild>
            </w:div>
            <w:div w:id="1124499380">
              <w:marLeft w:val="0"/>
              <w:marRight w:val="0"/>
              <w:marTop w:val="0"/>
              <w:marBottom w:val="0"/>
              <w:divBdr>
                <w:top w:val="none" w:sz="0" w:space="0" w:color="auto"/>
                <w:left w:val="none" w:sz="0" w:space="0" w:color="auto"/>
                <w:bottom w:val="none" w:sz="0" w:space="0" w:color="auto"/>
                <w:right w:val="none" w:sz="0" w:space="0" w:color="auto"/>
              </w:divBdr>
              <w:divsChild>
                <w:div w:id="500391467">
                  <w:marLeft w:val="0"/>
                  <w:marRight w:val="0"/>
                  <w:marTop w:val="0"/>
                  <w:marBottom w:val="0"/>
                  <w:divBdr>
                    <w:top w:val="none" w:sz="0" w:space="0" w:color="auto"/>
                    <w:left w:val="none" w:sz="0" w:space="0" w:color="auto"/>
                    <w:bottom w:val="none" w:sz="0" w:space="0" w:color="auto"/>
                    <w:right w:val="none" w:sz="0" w:space="0" w:color="auto"/>
                  </w:divBdr>
                </w:div>
              </w:divsChild>
            </w:div>
            <w:div w:id="2130778501">
              <w:marLeft w:val="0"/>
              <w:marRight w:val="0"/>
              <w:marTop w:val="0"/>
              <w:marBottom w:val="0"/>
              <w:divBdr>
                <w:top w:val="none" w:sz="0" w:space="0" w:color="auto"/>
                <w:left w:val="none" w:sz="0" w:space="0" w:color="auto"/>
                <w:bottom w:val="none" w:sz="0" w:space="0" w:color="auto"/>
                <w:right w:val="none" w:sz="0" w:space="0" w:color="auto"/>
              </w:divBdr>
              <w:divsChild>
                <w:div w:id="1297294255">
                  <w:marLeft w:val="0"/>
                  <w:marRight w:val="0"/>
                  <w:marTop w:val="0"/>
                  <w:marBottom w:val="0"/>
                  <w:divBdr>
                    <w:top w:val="none" w:sz="0" w:space="0" w:color="auto"/>
                    <w:left w:val="none" w:sz="0" w:space="0" w:color="auto"/>
                    <w:bottom w:val="none" w:sz="0" w:space="0" w:color="auto"/>
                    <w:right w:val="none" w:sz="0" w:space="0" w:color="auto"/>
                  </w:divBdr>
                </w:div>
              </w:divsChild>
            </w:div>
            <w:div w:id="1844858812">
              <w:marLeft w:val="0"/>
              <w:marRight w:val="0"/>
              <w:marTop w:val="0"/>
              <w:marBottom w:val="0"/>
              <w:divBdr>
                <w:top w:val="none" w:sz="0" w:space="0" w:color="auto"/>
                <w:left w:val="none" w:sz="0" w:space="0" w:color="auto"/>
                <w:bottom w:val="none" w:sz="0" w:space="0" w:color="auto"/>
                <w:right w:val="none" w:sz="0" w:space="0" w:color="auto"/>
              </w:divBdr>
              <w:divsChild>
                <w:div w:id="213154327">
                  <w:marLeft w:val="0"/>
                  <w:marRight w:val="0"/>
                  <w:marTop w:val="0"/>
                  <w:marBottom w:val="0"/>
                  <w:divBdr>
                    <w:top w:val="none" w:sz="0" w:space="0" w:color="auto"/>
                    <w:left w:val="none" w:sz="0" w:space="0" w:color="auto"/>
                    <w:bottom w:val="none" w:sz="0" w:space="0" w:color="auto"/>
                    <w:right w:val="none" w:sz="0" w:space="0" w:color="auto"/>
                  </w:divBdr>
                </w:div>
              </w:divsChild>
            </w:div>
            <w:div w:id="1588228228">
              <w:marLeft w:val="0"/>
              <w:marRight w:val="0"/>
              <w:marTop w:val="0"/>
              <w:marBottom w:val="0"/>
              <w:divBdr>
                <w:top w:val="none" w:sz="0" w:space="0" w:color="auto"/>
                <w:left w:val="none" w:sz="0" w:space="0" w:color="auto"/>
                <w:bottom w:val="none" w:sz="0" w:space="0" w:color="auto"/>
                <w:right w:val="none" w:sz="0" w:space="0" w:color="auto"/>
              </w:divBdr>
              <w:divsChild>
                <w:div w:id="1892307756">
                  <w:marLeft w:val="0"/>
                  <w:marRight w:val="0"/>
                  <w:marTop w:val="0"/>
                  <w:marBottom w:val="0"/>
                  <w:divBdr>
                    <w:top w:val="none" w:sz="0" w:space="0" w:color="auto"/>
                    <w:left w:val="none" w:sz="0" w:space="0" w:color="auto"/>
                    <w:bottom w:val="none" w:sz="0" w:space="0" w:color="auto"/>
                    <w:right w:val="none" w:sz="0" w:space="0" w:color="auto"/>
                  </w:divBdr>
                </w:div>
              </w:divsChild>
            </w:div>
            <w:div w:id="830565108">
              <w:marLeft w:val="0"/>
              <w:marRight w:val="0"/>
              <w:marTop w:val="0"/>
              <w:marBottom w:val="0"/>
              <w:divBdr>
                <w:top w:val="none" w:sz="0" w:space="0" w:color="auto"/>
                <w:left w:val="none" w:sz="0" w:space="0" w:color="auto"/>
                <w:bottom w:val="none" w:sz="0" w:space="0" w:color="auto"/>
                <w:right w:val="none" w:sz="0" w:space="0" w:color="auto"/>
              </w:divBdr>
              <w:divsChild>
                <w:div w:id="571156617">
                  <w:marLeft w:val="0"/>
                  <w:marRight w:val="0"/>
                  <w:marTop w:val="0"/>
                  <w:marBottom w:val="0"/>
                  <w:divBdr>
                    <w:top w:val="none" w:sz="0" w:space="0" w:color="auto"/>
                    <w:left w:val="none" w:sz="0" w:space="0" w:color="auto"/>
                    <w:bottom w:val="none" w:sz="0" w:space="0" w:color="auto"/>
                    <w:right w:val="none" w:sz="0" w:space="0" w:color="auto"/>
                  </w:divBdr>
                </w:div>
              </w:divsChild>
            </w:div>
            <w:div w:id="920333818">
              <w:marLeft w:val="0"/>
              <w:marRight w:val="0"/>
              <w:marTop w:val="0"/>
              <w:marBottom w:val="0"/>
              <w:divBdr>
                <w:top w:val="none" w:sz="0" w:space="0" w:color="auto"/>
                <w:left w:val="none" w:sz="0" w:space="0" w:color="auto"/>
                <w:bottom w:val="none" w:sz="0" w:space="0" w:color="auto"/>
                <w:right w:val="none" w:sz="0" w:space="0" w:color="auto"/>
              </w:divBdr>
              <w:divsChild>
                <w:div w:id="1241794239">
                  <w:marLeft w:val="0"/>
                  <w:marRight w:val="0"/>
                  <w:marTop w:val="0"/>
                  <w:marBottom w:val="0"/>
                  <w:divBdr>
                    <w:top w:val="none" w:sz="0" w:space="0" w:color="auto"/>
                    <w:left w:val="none" w:sz="0" w:space="0" w:color="auto"/>
                    <w:bottom w:val="none" w:sz="0" w:space="0" w:color="auto"/>
                    <w:right w:val="none" w:sz="0" w:space="0" w:color="auto"/>
                  </w:divBdr>
                </w:div>
              </w:divsChild>
            </w:div>
            <w:div w:id="2007131302">
              <w:marLeft w:val="0"/>
              <w:marRight w:val="0"/>
              <w:marTop w:val="0"/>
              <w:marBottom w:val="0"/>
              <w:divBdr>
                <w:top w:val="none" w:sz="0" w:space="0" w:color="auto"/>
                <w:left w:val="none" w:sz="0" w:space="0" w:color="auto"/>
                <w:bottom w:val="none" w:sz="0" w:space="0" w:color="auto"/>
                <w:right w:val="none" w:sz="0" w:space="0" w:color="auto"/>
              </w:divBdr>
              <w:divsChild>
                <w:div w:id="1791627432">
                  <w:marLeft w:val="0"/>
                  <w:marRight w:val="0"/>
                  <w:marTop w:val="0"/>
                  <w:marBottom w:val="0"/>
                  <w:divBdr>
                    <w:top w:val="none" w:sz="0" w:space="0" w:color="auto"/>
                    <w:left w:val="none" w:sz="0" w:space="0" w:color="auto"/>
                    <w:bottom w:val="none" w:sz="0" w:space="0" w:color="auto"/>
                    <w:right w:val="none" w:sz="0" w:space="0" w:color="auto"/>
                  </w:divBdr>
                </w:div>
              </w:divsChild>
            </w:div>
            <w:div w:id="511384750">
              <w:marLeft w:val="0"/>
              <w:marRight w:val="0"/>
              <w:marTop w:val="0"/>
              <w:marBottom w:val="0"/>
              <w:divBdr>
                <w:top w:val="none" w:sz="0" w:space="0" w:color="auto"/>
                <w:left w:val="none" w:sz="0" w:space="0" w:color="auto"/>
                <w:bottom w:val="none" w:sz="0" w:space="0" w:color="auto"/>
                <w:right w:val="none" w:sz="0" w:space="0" w:color="auto"/>
              </w:divBdr>
              <w:divsChild>
                <w:div w:id="1654483135">
                  <w:marLeft w:val="0"/>
                  <w:marRight w:val="0"/>
                  <w:marTop w:val="0"/>
                  <w:marBottom w:val="0"/>
                  <w:divBdr>
                    <w:top w:val="none" w:sz="0" w:space="0" w:color="auto"/>
                    <w:left w:val="none" w:sz="0" w:space="0" w:color="auto"/>
                    <w:bottom w:val="none" w:sz="0" w:space="0" w:color="auto"/>
                    <w:right w:val="none" w:sz="0" w:space="0" w:color="auto"/>
                  </w:divBdr>
                </w:div>
              </w:divsChild>
            </w:div>
            <w:div w:id="321005058">
              <w:marLeft w:val="0"/>
              <w:marRight w:val="0"/>
              <w:marTop w:val="0"/>
              <w:marBottom w:val="0"/>
              <w:divBdr>
                <w:top w:val="none" w:sz="0" w:space="0" w:color="auto"/>
                <w:left w:val="none" w:sz="0" w:space="0" w:color="auto"/>
                <w:bottom w:val="none" w:sz="0" w:space="0" w:color="auto"/>
                <w:right w:val="none" w:sz="0" w:space="0" w:color="auto"/>
              </w:divBdr>
              <w:divsChild>
                <w:div w:id="1463038900">
                  <w:marLeft w:val="0"/>
                  <w:marRight w:val="0"/>
                  <w:marTop w:val="0"/>
                  <w:marBottom w:val="0"/>
                  <w:divBdr>
                    <w:top w:val="none" w:sz="0" w:space="0" w:color="auto"/>
                    <w:left w:val="none" w:sz="0" w:space="0" w:color="auto"/>
                    <w:bottom w:val="none" w:sz="0" w:space="0" w:color="auto"/>
                    <w:right w:val="none" w:sz="0" w:space="0" w:color="auto"/>
                  </w:divBdr>
                </w:div>
              </w:divsChild>
            </w:div>
            <w:div w:id="303974526">
              <w:marLeft w:val="0"/>
              <w:marRight w:val="0"/>
              <w:marTop w:val="0"/>
              <w:marBottom w:val="0"/>
              <w:divBdr>
                <w:top w:val="none" w:sz="0" w:space="0" w:color="auto"/>
                <w:left w:val="none" w:sz="0" w:space="0" w:color="auto"/>
                <w:bottom w:val="none" w:sz="0" w:space="0" w:color="auto"/>
                <w:right w:val="none" w:sz="0" w:space="0" w:color="auto"/>
              </w:divBdr>
              <w:divsChild>
                <w:div w:id="923299658">
                  <w:marLeft w:val="0"/>
                  <w:marRight w:val="0"/>
                  <w:marTop w:val="0"/>
                  <w:marBottom w:val="0"/>
                  <w:divBdr>
                    <w:top w:val="none" w:sz="0" w:space="0" w:color="auto"/>
                    <w:left w:val="none" w:sz="0" w:space="0" w:color="auto"/>
                    <w:bottom w:val="none" w:sz="0" w:space="0" w:color="auto"/>
                    <w:right w:val="none" w:sz="0" w:space="0" w:color="auto"/>
                  </w:divBdr>
                </w:div>
              </w:divsChild>
            </w:div>
            <w:div w:id="1691642139">
              <w:marLeft w:val="0"/>
              <w:marRight w:val="0"/>
              <w:marTop w:val="0"/>
              <w:marBottom w:val="0"/>
              <w:divBdr>
                <w:top w:val="none" w:sz="0" w:space="0" w:color="auto"/>
                <w:left w:val="none" w:sz="0" w:space="0" w:color="auto"/>
                <w:bottom w:val="none" w:sz="0" w:space="0" w:color="auto"/>
                <w:right w:val="none" w:sz="0" w:space="0" w:color="auto"/>
              </w:divBdr>
              <w:divsChild>
                <w:div w:id="608048265">
                  <w:marLeft w:val="0"/>
                  <w:marRight w:val="0"/>
                  <w:marTop w:val="0"/>
                  <w:marBottom w:val="0"/>
                  <w:divBdr>
                    <w:top w:val="none" w:sz="0" w:space="0" w:color="auto"/>
                    <w:left w:val="none" w:sz="0" w:space="0" w:color="auto"/>
                    <w:bottom w:val="none" w:sz="0" w:space="0" w:color="auto"/>
                    <w:right w:val="none" w:sz="0" w:space="0" w:color="auto"/>
                  </w:divBdr>
                </w:div>
              </w:divsChild>
            </w:div>
            <w:div w:id="1359431785">
              <w:marLeft w:val="0"/>
              <w:marRight w:val="0"/>
              <w:marTop w:val="0"/>
              <w:marBottom w:val="0"/>
              <w:divBdr>
                <w:top w:val="none" w:sz="0" w:space="0" w:color="auto"/>
                <w:left w:val="none" w:sz="0" w:space="0" w:color="auto"/>
                <w:bottom w:val="none" w:sz="0" w:space="0" w:color="auto"/>
                <w:right w:val="none" w:sz="0" w:space="0" w:color="auto"/>
              </w:divBdr>
              <w:divsChild>
                <w:div w:id="1664699546">
                  <w:marLeft w:val="0"/>
                  <w:marRight w:val="0"/>
                  <w:marTop w:val="0"/>
                  <w:marBottom w:val="0"/>
                  <w:divBdr>
                    <w:top w:val="none" w:sz="0" w:space="0" w:color="auto"/>
                    <w:left w:val="none" w:sz="0" w:space="0" w:color="auto"/>
                    <w:bottom w:val="none" w:sz="0" w:space="0" w:color="auto"/>
                    <w:right w:val="none" w:sz="0" w:space="0" w:color="auto"/>
                  </w:divBdr>
                </w:div>
              </w:divsChild>
            </w:div>
            <w:div w:id="1257591970">
              <w:marLeft w:val="0"/>
              <w:marRight w:val="0"/>
              <w:marTop w:val="0"/>
              <w:marBottom w:val="0"/>
              <w:divBdr>
                <w:top w:val="none" w:sz="0" w:space="0" w:color="auto"/>
                <w:left w:val="none" w:sz="0" w:space="0" w:color="auto"/>
                <w:bottom w:val="none" w:sz="0" w:space="0" w:color="auto"/>
                <w:right w:val="none" w:sz="0" w:space="0" w:color="auto"/>
              </w:divBdr>
              <w:divsChild>
                <w:div w:id="2114544645">
                  <w:marLeft w:val="0"/>
                  <w:marRight w:val="0"/>
                  <w:marTop w:val="0"/>
                  <w:marBottom w:val="0"/>
                  <w:divBdr>
                    <w:top w:val="none" w:sz="0" w:space="0" w:color="auto"/>
                    <w:left w:val="none" w:sz="0" w:space="0" w:color="auto"/>
                    <w:bottom w:val="none" w:sz="0" w:space="0" w:color="auto"/>
                    <w:right w:val="none" w:sz="0" w:space="0" w:color="auto"/>
                  </w:divBdr>
                </w:div>
              </w:divsChild>
            </w:div>
            <w:div w:id="575480176">
              <w:marLeft w:val="0"/>
              <w:marRight w:val="0"/>
              <w:marTop w:val="0"/>
              <w:marBottom w:val="0"/>
              <w:divBdr>
                <w:top w:val="none" w:sz="0" w:space="0" w:color="auto"/>
                <w:left w:val="none" w:sz="0" w:space="0" w:color="auto"/>
                <w:bottom w:val="none" w:sz="0" w:space="0" w:color="auto"/>
                <w:right w:val="none" w:sz="0" w:space="0" w:color="auto"/>
              </w:divBdr>
              <w:divsChild>
                <w:div w:id="2040857958">
                  <w:marLeft w:val="0"/>
                  <w:marRight w:val="0"/>
                  <w:marTop w:val="0"/>
                  <w:marBottom w:val="0"/>
                  <w:divBdr>
                    <w:top w:val="none" w:sz="0" w:space="0" w:color="auto"/>
                    <w:left w:val="none" w:sz="0" w:space="0" w:color="auto"/>
                    <w:bottom w:val="none" w:sz="0" w:space="0" w:color="auto"/>
                    <w:right w:val="none" w:sz="0" w:space="0" w:color="auto"/>
                  </w:divBdr>
                </w:div>
              </w:divsChild>
            </w:div>
            <w:div w:id="1368025133">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
              </w:divsChild>
            </w:div>
            <w:div w:id="53743110">
              <w:marLeft w:val="0"/>
              <w:marRight w:val="0"/>
              <w:marTop w:val="0"/>
              <w:marBottom w:val="0"/>
              <w:divBdr>
                <w:top w:val="none" w:sz="0" w:space="0" w:color="auto"/>
                <w:left w:val="none" w:sz="0" w:space="0" w:color="auto"/>
                <w:bottom w:val="none" w:sz="0" w:space="0" w:color="auto"/>
                <w:right w:val="none" w:sz="0" w:space="0" w:color="auto"/>
              </w:divBdr>
              <w:divsChild>
                <w:div w:id="1073284633">
                  <w:marLeft w:val="0"/>
                  <w:marRight w:val="0"/>
                  <w:marTop w:val="0"/>
                  <w:marBottom w:val="0"/>
                  <w:divBdr>
                    <w:top w:val="none" w:sz="0" w:space="0" w:color="auto"/>
                    <w:left w:val="none" w:sz="0" w:space="0" w:color="auto"/>
                    <w:bottom w:val="none" w:sz="0" w:space="0" w:color="auto"/>
                    <w:right w:val="none" w:sz="0" w:space="0" w:color="auto"/>
                  </w:divBdr>
                </w:div>
              </w:divsChild>
            </w:div>
            <w:div w:id="287857854">
              <w:marLeft w:val="0"/>
              <w:marRight w:val="0"/>
              <w:marTop w:val="0"/>
              <w:marBottom w:val="0"/>
              <w:divBdr>
                <w:top w:val="none" w:sz="0" w:space="0" w:color="auto"/>
                <w:left w:val="none" w:sz="0" w:space="0" w:color="auto"/>
                <w:bottom w:val="none" w:sz="0" w:space="0" w:color="auto"/>
                <w:right w:val="none" w:sz="0" w:space="0" w:color="auto"/>
              </w:divBdr>
              <w:divsChild>
                <w:div w:id="341711407">
                  <w:marLeft w:val="0"/>
                  <w:marRight w:val="0"/>
                  <w:marTop w:val="0"/>
                  <w:marBottom w:val="0"/>
                  <w:divBdr>
                    <w:top w:val="none" w:sz="0" w:space="0" w:color="auto"/>
                    <w:left w:val="none" w:sz="0" w:space="0" w:color="auto"/>
                    <w:bottom w:val="none" w:sz="0" w:space="0" w:color="auto"/>
                    <w:right w:val="none" w:sz="0" w:space="0" w:color="auto"/>
                  </w:divBdr>
                </w:div>
              </w:divsChild>
            </w:div>
            <w:div w:id="2105302249">
              <w:marLeft w:val="0"/>
              <w:marRight w:val="0"/>
              <w:marTop w:val="0"/>
              <w:marBottom w:val="0"/>
              <w:divBdr>
                <w:top w:val="none" w:sz="0" w:space="0" w:color="auto"/>
                <w:left w:val="none" w:sz="0" w:space="0" w:color="auto"/>
                <w:bottom w:val="none" w:sz="0" w:space="0" w:color="auto"/>
                <w:right w:val="none" w:sz="0" w:space="0" w:color="auto"/>
              </w:divBdr>
              <w:divsChild>
                <w:div w:id="188838173">
                  <w:marLeft w:val="0"/>
                  <w:marRight w:val="0"/>
                  <w:marTop w:val="0"/>
                  <w:marBottom w:val="0"/>
                  <w:divBdr>
                    <w:top w:val="none" w:sz="0" w:space="0" w:color="auto"/>
                    <w:left w:val="none" w:sz="0" w:space="0" w:color="auto"/>
                    <w:bottom w:val="none" w:sz="0" w:space="0" w:color="auto"/>
                    <w:right w:val="none" w:sz="0" w:space="0" w:color="auto"/>
                  </w:divBdr>
                </w:div>
              </w:divsChild>
            </w:div>
            <w:div w:id="349839875">
              <w:marLeft w:val="0"/>
              <w:marRight w:val="0"/>
              <w:marTop w:val="0"/>
              <w:marBottom w:val="0"/>
              <w:divBdr>
                <w:top w:val="none" w:sz="0" w:space="0" w:color="auto"/>
                <w:left w:val="none" w:sz="0" w:space="0" w:color="auto"/>
                <w:bottom w:val="none" w:sz="0" w:space="0" w:color="auto"/>
                <w:right w:val="none" w:sz="0" w:space="0" w:color="auto"/>
              </w:divBdr>
              <w:divsChild>
                <w:div w:id="1909001544">
                  <w:marLeft w:val="0"/>
                  <w:marRight w:val="0"/>
                  <w:marTop w:val="0"/>
                  <w:marBottom w:val="0"/>
                  <w:divBdr>
                    <w:top w:val="none" w:sz="0" w:space="0" w:color="auto"/>
                    <w:left w:val="none" w:sz="0" w:space="0" w:color="auto"/>
                    <w:bottom w:val="none" w:sz="0" w:space="0" w:color="auto"/>
                    <w:right w:val="none" w:sz="0" w:space="0" w:color="auto"/>
                  </w:divBdr>
                </w:div>
              </w:divsChild>
            </w:div>
            <w:div w:id="2061436126">
              <w:marLeft w:val="0"/>
              <w:marRight w:val="0"/>
              <w:marTop w:val="0"/>
              <w:marBottom w:val="0"/>
              <w:divBdr>
                <w:top w:val="none" w:sz="0" w:space="0" w:color="auto"/>
                <w:left w:val="none" w:sz="0" w:space="0" w:color="auto"/>
                <w:bottom w:val="none" w:sz="0" w:space="0" w:color="auto"/>
                <w:right w:val="none" w:sz="0" w:space="0" w:color="auto"/>
              </w:divBdr>
              <w:divsChild>
                <w:div w:id="16199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508">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bph-20210930xex32.htm" TargetMode="External"/><Relationship Id="rId5" Type="http://schemas.openxmlformats.org/officeDocument/2006/relationships/hyperlink" Target="tbph-20210930xex31d2.htm" TargetMode="External"/><Relationship Id="rId4" Type="http://schemas.openxmlformats.org/officeDocument/2006/relationships/hyperlink" Target="tbph-20210930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52557</Words>
  <Characters>299576</Characters>
  <Application>Microsoft Office Word</Application>
  <DocSecurity>0</DocSecurity>
  <Lines>2496</Lines>
  <Paragraphs>702</Paragraphs>
  <ScaleCrop>false</ScaleCrop>
  <Company/>
  <LinksUpToDate>false</LinksUpToDate>
  <CharactersWithSpaces>351431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