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E618F">
      <w:pPr>
        <w:divId w:val="272789208"/>
        <w:rPr>
          <w:rFonts w:eastAsia="Times New Roman"/>
          <w:vanish/>
        </w:rPr>
      </w:pPr>
      <w:r>
        <w:rPr>
          <w:rFonts w:eastAsia="Times New Roman"/>
          <w:vanish/>
        </w:rPr>
        <w:t>0.651.2475247000644930007608100000744350000001583107--12-312022Q1false75247000644930000.651.2400001583107us-gaap:RetainedEarningsMember2022-03-310001583107us-gaap:AdditionalPaidInCapitalMember2022-03-310001583107</w:t>
      </w:r>
      <w:r>
        <w:rPr>
          <w:rFonts w:eastAsia="Times New Roman"/>
          <w:vanish/>
        </w:rPr>
        <w:t>us-gaap:AccumulatedOtherComprehensiveIncomeMember2022-03-310001583107us-gaap:RetainedEarningsMember2021-12-310001583107us-gaap:AdditionalPaidInCapitalMember2021-12-310001583107us-gaap:RetainedEarningsMember2021-03-310001583107us-gaap:AdditionalPaidInCapita</w:t>
      </w:r>
      <w:r>
        <w:rPr>
          <w:rFonts w:eastAsia="Times New Roman"/>
          <w:vanish/>
        </w:rPr>
        <w:t>lMember2021-03-310001583107us-gaap:AccumulatedOtherComprehensiveIncomeMember2021-03-310001583107us-gaap:RetainedEarningsMember2020-12-310001583107us-gaap:AdditionalPaidInCapitalMember2020-12-310001583107us-gaap:AccumulatedOtherComprehensiveIncomeMember2020</w:t>
      </w:r>
      <w:r>
        <w:rPr>
          <w:rFonts w:eastAsia="Times New Roman"/>
          <w:vanish/>
        </w:rPr>
        <w:t>-12-310001583107us-gaap:CommonStockMember2022-01-012022-03-310001583107us-gaap:CommonStockMember2021-01-012021-03-310001583107us-gaap:RestructuringChargesMember2021-09-012021-09-300001583107tbph:EmployeePerformanceRestrictedStockUnitsRSUMember2022-01-01202</w:t>
      </w:r>
      <w:r>
        <w:rPr>
          <w:rFonts w:eastAsia="Times New Roman"/>
          <w:vanish/>
        </w:rPr>
        <w:t>2-03-310001583107srt:MinimumMember2022-01-012022-03-310001583107tbph:ViatrisMembertbph:NebulizedTD4208Member2015-12-310001583107tbph:PfizerInc.Member2022-03-012022-03-310001583107tbph:ViatrisMembertbph:CollaborativeArrangementRevenueMemberus-gaap:Collabora</w:t>
      </w:r>
      <w:r>
        <w:rPr>
          <w:rFonts w:eastAsia="Times New Roman"/>
          <w:vanish/>
        </w:rPr>
        <w:t>tiveArrangementMember2022-01-012022-03-310001583107us-gaap:RoyaltyMembertbph:TheravanceRespiratoryCompanyLlcMember2022-01-012022-03-310001583107tbph:OthersMemberus-gaap:CollaborativeArrangementMember2022-01-012022-03-310001583107us-gaap:LicenseMember2022-0</w:t>
      </w:r>
      <w:r>
        <w:rPr>
          <w:rFonts w:eastAsia="Times New Roman"/>
          <w:vanish/>
        </w:rPr>
        <w:t>1-012022-03-310001583107us-gaap:CollaborativeArrangementMember2022-01-012022-03-310001583107tbph:CoPromoteAgreementMember2022-01-012022-03-310001583107tbph:CollaborativeArrangementRevenueMember2022-01-012022-03-310001583107tbph:ViatrisMembertbph:Collaborat</w:t>
      </w:r>
      <w:r>
        <w:rPr>
          <w:rFonts w:eastAsia="Times New Roman"/>
          <w:vanish/>
        </w:rPr>
        <w:t>iveArrangementRevenueMemberus-gaap:CollaborativeArrangementMember2021-01-012021-03-310001583107us-gaap:RoyaltyMembertbph:TheravanceRespiratoryCompanyLlcMember2021-01-012021-03-310001583107tbph:OthersMemberus-gaap:CollaborativeArrangementMember2021-01-01202</w:t>
      </w:r>
      <w:r>
        <w:rPr>
          <w:rFonts w:eastAsia="Times New Roman"/>
          <w:vanish/>
        </w:rPr>
        <w:t>1-03-310001583107tbph:JanssenBiotechIncMemberus-gaap:CollaborativeArrangementMember2021-01-012021-03-310001583107us-gaap:CollaborativeArrangementMember2021-01-012021-03-310001583107tbph:CoPromoteAgreementMember2021-01-012021-03-310001583107tbph:Collaborati</w:t>
      </w:r>
      <w:r>
        <w:rPr>
          <w:rFonts w:eastAsia="Times New Roman"/>
          <w:vanish/>
        </w:rPr>
        <w:t>veArrangementRevenueMember2021-01-012021-03-310001583107us-gaap:SellingGeneralAndAdministrativeExpensesMember2021-09-012022-03-310001583107us-gaap:ResearchAndDevelopmentExpenseMember2021-09-012022-03-3100015831072021-09-012022-03-310001583107srt:ScenarioFo</w:t>
      </w:r>
      <w:r>
        <w:rPr>
          <w:rFonts w:eastAsia="Times New Roman"/>
          <w:vanish/>
        </w:rPr>
        <w:t>recastMember2022-09-300001583107us-gaap:AccumulatedOtherComprehensiveIncomeMember2022-01-012022-03-310001583107us-gaap:AccumulatedOtherComprehensiveIncomeMember2021-01-012021-03-310001583107us-gaap:RetainedEarningsMember2022-01-012022-03-310001583107us-gaa</w:t>
      </w:r>
      <w:r>
        <w:rPr>
          <w:rFonts w:eastAsia="Times New Roman"/>
          <w:vanish/>
        </w:rPr>
        <w:t>p:RetainedEarningsMember2021-01-012021-03-310001583107tbph:NonRecourseDebt2033Member2022-01-012022-03-310001583107tbph:NonRecourseDebt2033Member2021-01-012021-03-310001583107tbph:TheravanceRespiratoryCompanyLlcMember2022-01-012022-03-310001583107tbph:Thera</w:t>
      </w:r>
      <w:r>
        <w:rPr>
          <w:rFonts w:eastAsia="Times New Roman"/>
          <w:vanish/>
        </w:rPr>
        <w:t>vanceRespiratoryCompanyLlcMember2021-01-012021-03-310001583107tbph:NationalDemocraticAllianceGroupMember2022-03-310001583107tbph:IssuerTwoClassCUnitsMember2020-02-210001583107us-gaap:USTreasuryAndGovernmentMember2022-03-310001583107us-gaap:CorporateNoteSec</w:t>
      </w:r>
      <w:r>
        <w:rPr>
          <w:rFonts w:eastAsia="Times New Roman"/>
          <w:vanish/>
        </w:rPr>
        <w:t>uritiesMember2022-03-310001583107us-gaap:CommercialPaperMember2022-03-310001583107us-gaap:USTreasuryAndGovernmentMember2021-12-310001583107us-gaap:CorporateNoteSecuritiesMember2021-12-310001583107us-gaap:CommercialPaperMember2021-12-310001583107tbph:Therav</w:t>
      </w:r>
      <w:r>
        <w:rPr>
          <w:rFonts w:eastAsia="Times New Roman"/>
          <w:vanish/>
        </w:rPr>
        <w:t>anceBiopharmaRAndDIncMembertbph:TermNotesDue2035Member2022-03-310001583107tbph:NonRecourseDebt2035Member2022-03-310001583107tbph:NonRecourseDebt2033Member2022-03-310001583107us-gaap:SeniorNotesMember2022-03-310001583107us-gaap:CommonStockMember2022-03-3100</w:t>
      </w:r>
      <w:r>
        <w:rPr>
          <w:rFonts w:eastAsia="Times New Roman"/>
          <w:vanish/>
        </w:rPr>
        <w:t>01583107us-gaap:CommonStockMember2021-12-310001583107us-gaap:CommonStockMember2021-03-310001583107us-gaap:CommonStockMember2020-12-3100015831072020-12-3100015831072021-03-310001583107us-gaap:FairValueInputsLevel1Memberus-gaap:MoneyMarketFundsMember2022-03-</w:t>
      </w:r>
      <w:r>
        <w:rPr>
          <w:rFonts w:eastAsia="Times New Roman"/>
          <w:vanish/>
        </w:rPr>
        <w:t>310001583107us-gaap:FairValueInputsLevel1Memberus-gaap:MoneyMarketFundsMember2021-12-310001583107us-gaap:FairValueInputsLevel2Memberus-gaap:CorporateNoteSecuritiesMember2022-03-310001583107us-gaap:FairValueInputsLevel2Memberus-gaap:CommercialPaperMember202</w:t>
      </w:r>
      <w:r>
        <w:rPr>
          <w:rFonts w:eastAsia="Times New Roman"/>
          <w:vanish/>
        </w:rPr>
        <w:t>2-03-310001583107us-gaap:FairValueInputsLevel1Memberus-gaap:USTreasuryAndGovernmentMember2022-03-310001583107tbph:MarketableSecuritiesMember2022-03-310001583107us-gaap:FairValueInputsLevel2Memberus-gaap:CorporateNoteSecuritiesMember2021-12-310001583107us-g</w:t>
      </w:r>
      <w:r>
        <w:rPr>
          <w:rFonts w:eastAsia="Times New Roman"/>
          <w:vanish/>
        </w:rPr>
        <w:t>aap:FairValueInputsLevel1Memberus-gaap:USTreasuryAndGovernmentMember2021-12-310001583107us-gaap:FairValueInputsLevel2Memberus-gaap:CommercialPaperMember2021-12-310001583107tbph:MarketableSecuritiesMember2021-12-310001583107us-gaap:StockCompensationPlanMemb</w:t>
      </w:r>
      <w:r>
        <w:rPr>
          <w:rFonts w:eastAsia="Times New Roman"/>
          <w:vanish/>
        </w:rPr>
        <w:t>er2022-01-012022-03-310001583107us-gaap:ConvertibleSubordinatedDebtMember2022-01-012022-03-310001583107us-gaap:StockCompensationPlanMember2021-01-012021-03-310001583107us-gaap:ConvertibleSubordinatedDebtMember2021-01-012021-03-310001583107us-gaap:SeniorNot</w:t>
      </w:r>
      <w:r>
        <w:rPr>
          <w:rFonts w:eastAsia="Times New Roman"/>
          <w:vanish/>
        </w:rPr>
        <w:t>esMember2022-01-012022-03-310001583107us-gaap:SeniorNotesMember2021-01-012021-03-310001583107us-gaap:ScenarioPlanMembertbph:EmployeePerformanceRestrictedStockUnitsRsuAndCashBonusMilestonesMember2022-01-012022-03-310001583107us-gaap:SellingGeneralAndAdminis</w:t>
      </w:r>
      <w:r>
        <w:rPr>
          <w:rFonts w:eastAsia="Times New Roman"/>
          <w:vanish/>
        </w:rPr>
        <w:t>trativeExpensesMember2022-01-012022-03-310001583107us-gaap:ResearchAndDevelopmentExpenseMember2022-01-012022-03-310001583107tbph:EmployeePerformanceRestrictedStockUnitsRsuAndCashBonusMilestonesMember2022-01-012022-03-310001583107us-gaap:SellingGeneralAndAd</w:t>
      </w:r>
      <w:r>
        <w:rPr>
          <w:rFonts w:eastAsia="Times New Roman"/>
          <w:vanish/>
        </w:rPr>
        <w:t>ministrativeExpensesMember2021-01-012021-03-310001583107us-gaap:ResearchAndDevelopmentExpenseMember2021-01-012021-03-310001583107tbph:EmployeePerformanceRestrictedStockUnitsRsuAndCashBonusMilestonesMember2021-01-012021-03-310001583107us-gaap:AdditionalPaid</w:t>
      </w:r>
      <w:r>
        <w:rPr>
          <w:rFonts w:eastAsia="Times New Roman"/>
          <w:vanish/>
        </w:rPr>
        <w:t>InCapitalMember2022-01-012022-03-310001583107us-gaap:AdditionalPaidInCapitalMember2021-01-012021-03-3100015831072021-09-012021-09-300001583107tbph:ViatrisMembertbph:YupelriMonotherapyMember2022-01-012022-03-310001583107tbph:ViatrisMembertbph:YupelriMonothe</w:t>
      </w:r>
      <w:r>
        <w:rPr>
          <w:rFonts w:eastAsia="Times New Roman"/>
          <w:vanish/>
        </w:rPr>
        <w:t>rapyMember2021-01-012021-03-310001583107srt:MinimumMembertbph:TheravanceRespiratoryCompanyLlcMember2020-02-212020-02-210001583107srt:MaximumMembertbph:TheravanceRespiratoryCompanyLlcMember2020-02-212020-02-2100015831072021-11-302021-11-3000015831072021-09-</w:t>
      </w:r>
      <w:r>
        <w:rPr>
          <w:rFonts w:eastAsia="Times New Roman"/>
          <w:vanish/>
        </w:rPr>
        <w:t>152021-09-150001583107tbph:TermNotesDue2035Member2020-02-210001583107us-gaap:RestructuringChargesMember2022-01-012022-03-310001583107srt:ScenarioForecastMember2022-07-012022-09-300001583107tbph:PfizerInc.Membertbph:SalesMilestonesMember2019-01-012019-12-31</w:t>
      </w:r>
      <w:r>
        <w:rPr>
          <w:rFonts w:eastAsia="Times New Roman"/>
          <w:vanish/>
        </w:rPr>
        <w:t>0001583107tbph:PfizerInc.Member2019-01-012019-12-310001583107tbph:ViatrisMembertbph:NebulizedTD4208Member2015-01-012015-12-310001583107tbph:TheravanceRespiratoryCompanyLlcMembertbph:IssuerTwoClassCUnitsMember2020-02-212020-02-210001583107tbph:TheravanceRes</w:t>
      </w:r>
      <w:r>
        <w:rPr>
          <w:rFonts w:eastAsia="Times New Roman"/>
          <w:vanish/>
        </w:rPr>
        <w:t>piratoryCompanyLlcMember2020-02-212020-02-210001583107tbph:TermNotesDue2035Member2022-03-310001583107tbph:TheravanceRespiratoryCompanyLlcMember2022-03-310001583107tbph:JanssenBiotechIncMembertbph:DevelopmentAndCommercializationAgreementMember2021-01-012021</w:t>
      </w:r>
      <w:r>
        <w:rPr>
          <w:rFonts w:eastAsia="Times New Roman"/>
          <w:vanish/>
        </w:rPr>
        <w:t>-03-310001583107tbph:ViatrisMember2021-01-012021-03-310001583107tbph:JanssenBiotechIncMember2021-01-012021-03-310001583107tbph:NebulizedTD4208Membertbph:SuccessBasedDevelopmentRegulatoryAndSalesMilestonesMember2022-01-012022-03-310001583107tbph:NebulizedTD</w:t>
      </w:r>
      <w:r>
        <w:rPr>
          <w:rFonts w:eastAsia="Times New Roman"/>
          <w:vanish/>
        </w:rPr>
        <w:t>4208Membertbph:SalesMilestonesMember2022-01-012022-03-310001583107tbph:YupelriMonotherapyMember2022-01-012022-03-310001583107tbph:ViatrisMember2022-01-012022-03-310001583107tbph:NebulizedTD4208Member2022-01-012022-03-310001583107tbph:FuturePotentialCombina</w:t>
      </w:r>
      <w:r>
        <w:rPr>
          <w:rFonts w:eastAsia="Times New Roman"/>
          <w:vanish/>
        </w:rPr>
        <w:t>tionProductsMember2022-01-012022-03-310001583107tbph:JanssenBiotechIncMembertbph:DevelopmentAndCommercializationAgreementMember2018-02-012018-02-280001583107us-gaap:EmployeeSeveranceMember2022-01-012022-03-310001583107us-gaap:EmployeeSeveranceMember2021-09</w:t>
      </w:r>
      <w:r>
        <w:rPr>
          <w:rFonts w:eastAsia="Times New Roman"/>
          <w:vanish/>
        </w:rPr>
        <w:t>-012022-03-3100015831072021-01-012021-03-3100015831072022-03-3100015831072021-12-3100015831072022-04-2900015831072022-01-012022-03-31xbrli:sharesiso4217:USDxbrli:puretbph:employeeiso4217:USDxbrli:shares</w:t>
      </w:r>
    </w:p>
    <w:p w:rsidR="00000000" w:rsidRDefault="001E618F">
      <w:pPr>
        <w:pStyle w:val="a3"/>
        <w:spacing w:before="0" w:beforeAutospacing="0" w:after="120" w:afterAutospacing="0"/>
        <w:divId w:val="2055274675"/>
        <w:rPr>
          <w:sz w:val="20"/>
          <w:szCs w:val="20"/>
        </w:rPr>
      </w:pPr>
      <w:hyperlink w:anchor="TOC" w:history="1">
        <w:r>
          <w:rPr>
            <w:rStyle w:val="a4"/>
            <w:sz w:val="20"/>
            <w:szCs w:val="20"/>
          </w:rPr>
          <w:t>Table of Contents</w:t>
        </w:r>
      </w:hyperlink>
    </w:p>
    <w:p w:rsidR="00000000" w:rsidRDefault="001E618F">
      <w:pPr>
        <w:pStyle w:val="a3"/>
        <w:pBdr>
          <w:top w:val="single" w:sz="24" w:space="1" w:color="000000"/>
          <w:bottom w:val="single" w:sz="8" w:space="1" w:color="000000"/>
        </w:pBdr>
        <w:spacing w:before="0" w:beforeAutospacing="0" w:after="0" w:afterAutospacing="0"/>
        <w:divId w:val="1270968886"/>
        <w:rPr>
          <w:sz w:val="20"/>
          <w:szCs w:val="20"/>
        </w:rPr>
      </w:pPr>
      <w:r>
        <w:rPr>
          <w:sz w:val="2"/>
          <w:szCs w:val="2"/>
        </w:rPr>
        <w:t>​</w:t>
      </w:r>
    </w:p>
    <w:p w:rsidR="00000000" w:rsidRDefault="001E618F">
      <w:pPr>
        <w:pStyle w:val="a3"/>
        <w:spacing w:before="0" w:beforeAutospacing="0" w:after="0" w:afterAutospacing="0"/>
        <w:divId w:val="1270968886"/>
        <w:rPr>
          <w:sz w:val="20"/>
          <w:szCs w:val="20"/>
        </w:rPr>
      </w:pPr>
      <w:r>
        <w:rPr>
          <w:sz w:val="10"/>
          <w:szCs w:val="10"/>
        </w:rPr>
        <w:t>​</w:t>
      </w:r>
    </w:p>
    <w:p w:rsidR="00000000" w:rsidRDefault="001E618F">
      <w:pPr>
        <w:pStyle w:val="a3"/>
        <w:spacing w:before="0" w:beforeAutospacing="0" w:after="0" w:afterAutospacing="0"/>
        <w:jc w:val="center"/>
        <w:divId w:val="1270968886"/>
        <w:rPr>
          <w:sz w:val="20"/>
          <w:szCs w:val="20"/>
        </w:rPr>
      </w:pPr>
      <w:r>
        <w:rPr>
          <w:b/>
          <w:bCs/>
          <w:sz w:val="34"/>
          <w:szCs w:val="34"/>
        </w:rPr>
        <w:t>UNITE</w:t>
      </w:r>
      <w:r>
        <w:rPr>
          <w:b/>
          <w:bCs/>
          <w:sz w:val="34"/>
          <w:szCs w:val="34"/>
        </w:rPr>
        <w:t>D STATES</w:t>
      </w:r>
    </w:p>
    <w:p w:rsidR="00000000" w:rsidRDefault="001E618F">
      <w:pPr>
        <w:pStyle w:val="a3"/>
        <w:spacing w:before="0" w:beforeAutospacing="0" w:after="0" w:afterAutospacing="0"/>
        <w:jc w:val="center"/>
        <w:divId w:val="1270968886"/>
        <w:rPr>
          <w:sz w:val="20"/>
          <w:szCs w:val="20"/>
        </w:rPr>
      </w:pPr>
      <w:r>
        <w:rPr>
          <w:b/>
          <w:bCs/>
          <w:sz w:val="34"/>
          <w:szCs w:val="34"/>
        </w:rPr>
        <w:t>SECURITIES AND EXCHANGE COMMISSION</w:t>
      </w:r>
    </w:p>
    <w:p w:rsidR="00000000" w:rsidRDefault="001E618F">
      <w:pPr>
        <w:pStyle w:val="a3"/>
        <w:spacing w:before="0" w:beforeAutospacing="0" w:after="0" w:afterAutospacing="0"/>
        <w:jc w:val="center"/>
        <w:divId w:val="1270968886"/>
        <w:rPr>
          <w:sz w:val="18"/>
          <w:szCs w:val="18"/>
        </w:rPr>
      </w:pPr>
      <w:r>
        <w:rPr>
          <w:b/>
          <w:bCs/>
          <w:sz w:val="18"/>
          <w:szCs w:val="18"/>
        </w:rPr>
        <w:t>Washington, D.C. 20549</w:t>
      </w:r>
    </w:p>
    <w:p w:rsidR="00000000" w:rsidRDefault="001E618F">
      <w:pPr>
        <w:pStyle w:val="a3"/>
        <w:spacing w:before="0" w:beforeAutospacing="0" w:after="0" w:afterAutospacing="0"/>
        <w:jc w:val="center"/>
        <w:divId w:val="1270968886"/>
        <w:rPr>
          <w:sz w:val="20"/>
          <w:szCs w:val="20"/>
        </w:rPr>
      </w:pPr>
      <w:r>
        <w:rPr>
          <w:b/>
          <w:bCs/>
          <w:sz w:val="10"/>
          <w:szCs w:val="10"/>
        </w:rPr>
        <w:t>​</w:t>
      </w:r>
    </w:p>
    <w:p w:rsidR="00000000" w:rsidRDefault="001E618F">
      <w:pPr>
        <w:pStyle w:val="a3"/>
        <w:spacing w:before="0" w:beforeAutospacing="0" w:after="0" w:afterAutospacing="0"/>
        <w:jc w:val="center"/>
        <w:divId w:val="1270968886"/>
        <w:rPr>
          <w:sz w:val="34"/>
          <w:szCs w:val="34"/>
        </w:rPr>
      </w:pPr>
      <w:r>
        <w:rPr>
          <w:b/>
          <w:bCs/>
          <w:sz w:val="34"/>
          <w:szCs w:val="34"/>
        </w:rPr>
        <w:t>Form 10-Q</w:t>
      </w:r>
    </w:p>
    <w:p w:rsidR="00000000" w:rsidRDefault="001E618F">
      <w:pPr>
        <w:pStyle w:val="a3"/>
        <w:spacing w:before="0" w:beforeAutospacing="0" w:after="0" w:afterAutospacing="0"/>
        <w:divId w:val="1270968886"/>
        <w:rPr>
          <w:sz w:val="20"/>
          <w:szCs w:val="20"/>
        </w:rPr>
      </w:pPr>
      <w:r>
        <w:rPr>
          <w:b/>
          <w:bCs/>
          <w:sz w:val="10"/>
          <w:szCs w:val="10"/>
        </w:rPr>
        <w:t>​</w:t>
      </w:r>
    </w:p>
    <w:p w:rsidR="00000000" w:rsidRDefault="001E618F">
      <w:pPr>
        <w:pStyle w:val="a3"/>
        <w:spacing w:before="0" w:beforeAutospacing="0" w:after="0" w:afterAutospacing="0"/>
        <w:divId w:val="1270968886"/>
        <w:rPr>
          <w:sz w:val="18"/>
          <w:szCs w:val="18"/>
        </w:rPr>
      </w:pPr>
      <w:r>
        <w:rPr>
          <w:b/>
          <w:bCs/>
          <w:sz w:val="18"/>
          <w:szCs w:val="18"/>
        </w:rPr>
        <w:t>(Mark One)</w:t>
      </w:r>
    </w:p>
    <w:p w:rsidR="00000000" w:rsidRDefault="001E618F">
      <w:pPr>
        <w:pStyle w:val="a3"/>
        <w:spacing w:before="0" w:beforeAutospacing="0" w:after="0" w:afterAutospacing="0"/>
        <w:ind w:left="360" w:hanging="360"/>
        <w:divId w:val="1270968886"/>
        <w:rPr>
          <w:sz w:val="20"/>
          <w:szCs w:val="20"/>
        </w:rPr>
      </w:pPr>
      <w:r>
        <w:rPr>
          <w:b/>
          <w:bCs/>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3"/>
        <w:gridCol w:w="7573"/>
      </w:tblGrid>
      <w:tr w:rsidR="00000000">
        <w:trPr>
          <w:divId w:val="1270968886"/>
        </w:trPr>
        <w:tc>
          <w:tcPr>
            <w:tcW w:w="360" w:type="dxa"/>
            <w:tcMar>
              <w:top w:w="0" w:type="dxa"/>
              <w:left w:w="0" w:type="dxa"/>
              <w:bottom w:w="0" w:type="dxa"/>
              <w:right w:w="0" w:type="dxa"/>
            </w:tcMar>
            <w:vAlign w:val="center"/>
            <w:hideMark/>
          </w:tcPr>
          <w:p w:rsidR="00000000" w:rsidRDefault="001E618F">
            <w:pPr>
              <w:rPr>
                <w:sz w:val="20"/>
                <w:szCs w:val="20"/>
              </w:rPr>
            </w:pPr>
          </w:p>
        </w:tc>
        <w:tc>
          <w:tcPr>
            <w:tcW w:w="357" w:type="dxa"/>
            <w:noWrap/>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b/>
                <w:bCs/>
                <w:sz w:val="18"/>
                <w:szCs w:val="18"/>
              </w:rPr>
              <w:t>QUARTERLY REPORT PURSUANT TO SECTION 13 OR 15(d) OF THE SECURITIES EXCHANGE ACT OF 1934</w:t>
            </w:r>
          </w:p>
        </w:tc>
      </w:tr>
    </w:tbl>
    <w:p w:rsidR="00000000" w:rsidRDefault="001E618F">
      <w:pPr>
        <w:pStyle w:val="a3"/>
        <w:spacing w:before="0" w:beforeAutospacing="0" w:after="0" w:afterAutospacing="0"/>
        <w:jc w:val="center"/>
        <w:divId w:val="1270968886"/>
        <w:rPr>
          <w:sz w:val="20"/>
          <w:szCs w:val="20"/>
        </w:rPr>
      </w:pPr>
      <w:r>
        <w:rPr>
          <w:sz w:val="10"/>
          <w:szCs w:val="10"/>
        </w:rPr>
        <w:t>​</w:t>
      </w:r>
    </w:p>
    <w:p w:rsidR="00000000" w:rsidRDefault="001E618F">
      <w:pPr>
        <w:pStyle w:val="a3"/>
        <w:spacing w:before="0" w:beforeAutospacing="0" w:after="0" w:afterAutospacing="0"/>
        <w:jc w:val="center"/>
        <w:divId w:val="1270968886"/>
        <w:rPr>
          <w:sz w:val="20"/>
          <w:szCs w:val="20"/>
        </w:rPr>
      </w:pPr>
      <w:r>
        <w:rPr>
          <w:b/>
          <w:bCs/>
          <w:sz w:val="18"/>
          <w:szCs w:val="18"/>
        </w:rPr>
        <w:t>For the quarterly period ended March 31, 2022</w:t>
      </w:r>
    </w:p>
    <w:p w:rsidR="00000000" w:rsidRDefault="001E618F">
      <w:pPr>
        <w:pStyle w:val="a3"/>
        <w:spacing w:before="0" w:beforeAutospacing="0" w:after="0" w:afterAutospacing="0"/>
        <w:jc w:val="center"/>
        <w:divId w:val="1270968886"/>
        <w:rPr>
          <w:sz w:val="20"/>
          <w:szCs w:val="20"/>
        </w:rPr>
      </w:pPr>
      <w:r>
        <w:rPr>
          <w:sz w:val="10"/>
          <w:szCs w:val="10"/>
        </w:rPr>
        <w:t>​</w:t>
      </w:r>
    </w:p>
    <w:p w:rsidR="00000000" w:rsidRDefault="001E618F">
      <w:pPr>
        <w:pStyle w:val="a3"/>
        <w:spacing w:before="0" w:beforeAutospacing="0" w:after="0" w:afterAutospacing="0"/>
        <w:jc w:val="center"/>
        <w:divId w:val="1270968886"/>
        <w:rPr>
          <w:sz w:val="18"/>
          <w:szCs w:val="18"/>
        </w:rPr>
      </w:pPr>
      <w:r>
        <w:rPr>
          <w:b/>
          <w:bCs/>
          <w:sz w:val="18"/>
          <w:szCs w:val="18"/>
        </w:rPr>
        <w:t>OR</w:t>
      </w:r>
    </w:p>
    <w:p w:rsidR="00000000" w:rsidRDefault="001E618F">
      <w:pPr>
        <w:pStyle w:val="a3"/>
        <w:spacing w:before="0" w:beforeAutospacing="0" w:after="0" w:afterAutospacing="0"/>
        <w:jc w:val="center"/>
        <w:divId w:val="1270968886"/>
        <w:rPr>
          <w:sz w:val="20"/>
          <w:szCs w:val="20"/>
        </w:rPr>
      </w:pPr>
      <w:r>
        <w:rPr>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5"/>
        <w:gridCol w:w="7571"/>
      </w:tblGrid>
      <w:tr w:rsidR="00000000">
        <w:trPr>
          <w:divId w:val="1270968886"/>
        </w:trPr>
        <w:tc>
          <w:tcPr>
            <w:tcW w:w="360" w:type="dxa"/>
            <w:tcMar>
              <w:top w:w="0" w:type="dxa"/>
              <w:left w:w="0" w:type="dxa"/>
              <w:bottom w:w="0" w:type="dxa"/>
              <w:right w:w="0" w:type="dxa"/>
            </w:tcMar>
            <w:vAlign w:val="center"/>
            <w:hideMark/>
          </w:tcPr>
          <w:p w:rsidR="00000000" w:rsidRDefault="001E618F">
            <w:pPr>
              <w:rPr>
                <w:sz w:val="20"/>
                <w:szCs w:val="20"/>
              </w:rPr>
            </w:pPr>
          </w:p>
        </w:tc>
        <w:tc>
          <w:tcPr>
            <w:tcW w:w="359" w:type="dxa"/>
            <w:noWrap/>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b/>
                <w:bCs/>
                <w:sz w:val="18"/>
                <w:szCs w:val="18"/>
              </w:rPr>
              <w:t>TRANSITION REPORT PURSUANT TO SECTION 13 OR 15(d) OF THE SECURITIES EXCHANGE ACT OF 1934</w:t>
            </w:r>
          </w:p>
        </w:tc>
      </w:tr>
    </w:tbl>
    <w:p w:rsidR="00000000" w:rsidRDefault="001E618F">
      <w:pPr>
        <w:pStyle w:val="a3"/>
        <w:spacing w:before="0" w:beforeAutospacing="0" w:after="0" w:afterAutospacing="0"/>
        <w:ind w:hanging="490"/>
        <w:jc w:val="center"/>
        <w:divId w:val="1270968886"/>
        <w:rPr>
          <w:sz w:val="20"/>
          <w:szCs w:val="20"/>
        </w:rPr>
      </w:pPr>
      <w:r>
        <w:rPr>
          <w:sz w:val="10"/>
          <w:szCs w:val="10"/>
        </w:rPr>
        <w:t>​</w:t>
      </w:r>
    </w:p>
    <w:p w:rsidR="00000000" w:rsidRDefault="001E618F">
      <w:pPr>
        <w:pStyle w:val="a3"/>
        <w:spacing w:before="0" w:beforeAutospacing="0" w:after="0" w:afterAutospacing="0"/>
        <w:jc w:val="center"/>
        <w:divId w:val="1270968886"/>
        <w:rPr>
          <w:sz w:val="18"/>
          <w:szCs w:val="18"/>
        </w:rPr>
      </w:pPr>
      <w:r>
        <w:rPr>
          <w:b/>
          <w:bCs/>
          <w:sz w:val="18"/>
          <w:szCs w:val="18"/>
        </w:rPr>
        <w:t>For the transition period from                  to</w:t>
      </w:r>
    </w:p>
    <w:p w:rsidR="00000000" w:rsidRDefault="001E618F">
      <w:pPr>
        <w:pStyle w:val="a3"/>
        <w:spacing w:before="0" w:beforeAutospacing="0" w:after="0" w:afterAutospacing="0"/>
        <w:jc w:val="center"/>
        <w:divId w:val="1270968886"/>
        <w:rPr>
          <w:sz w:val="20"/>
          <w:szCs w:val="20"/>
        </w:rPr>
      </w:pPr>
      <w:r>
        <w:rPr>
          <w:sz w:val="10"/>
          <w:szCs w:val="10"/>
        </w:rPr>
        <w:t>​</w:t>
      </w:r>
    </w:p>
    <w:p w:rsidR="00000000" w:rsidRDefault="001E618F">
      <w:pPr>
        <w:pStyle w:val="a3"/>
        <w:spacing w:before="0" w:beforeAutospacing="0" w:after="0" w:afterAutospacing="0"/>
        <w:jc w:val="center"/>
        <w:divId w:val="1270968886"/>
        <w:rPr>
          <w:sz w:val="20"/>
          <w:szCs w:val="20"/>
        </w:rPr>
      </w:pPr>
      <w:r>
        <w:rPr>
          <w:b/>
          <w:bCs/>
          <w:sz w:val="18"/>
          <w:szCs w:val="18"/>
        </w:rPr>
        <w:t>Commission file number: 001-36033</w:t>
      </w:r>
    </w:p>
    <w:p w:rsidR="00000000" w:rsidRDefault="001E618F">
      <w:pPr>
        <w:pStyle w:val="a3"/>
        <w:spacing w:before="0" w:beforeAutospacing="0" w:after="0" w:afterAutospacing="0"/>
        <w:jc w:val="center"/>
        <w:divId w:val="1270968886"/>
        <w:rPr>
          <w:sz w:val="20"/>
          <w:szCs w:val="20"/>
        </w:rPr>
      </w:pPr>
      <w:r>
        <w:rPr>
          <w:sz w:val="10"/>
          <w:szCs w:val="10"/>
        </w:rPr>
        <w:t>​</w:t>
      </w:r>
    </w:p>
    <w:p w:rsidR="00000000" w:rsidRDefault="001E618F">
      <w:pPr>
        <w:pStyle w:val="a3"/>
        <w:spacing w:before="0" w:beforeAutospacing="0" w:after="0" w:afterAutospacing="0"/>
        <w:jc w:val="center"/>
        <w:divId w:val="1270968886"/>
        <w:rPr>
          <w:sz w:val="34"/>
          <w:szCs w:val="34"/>
        </w:rPr>
      </w:pPr>
      <w:r>
        <w:rPr>
          <w:b/>
          <w:bCs/>
          <w:sz w:val="34"/>
          <w:szCs w:val="34"/>
        </w:rPr>
        <w:t>THERAVANCE BIOPHARMA, INC.</w:t>
      </w:r>
    </w:p>
    <w:p w:rsidR="00000000" w:rsidRDefault="001E618F">
      <w:pPr>
        <w:pStyle w:val="a3"/>
        <w:spacing w:before="0" w:beforeAutospacing="0" w:after="0" w:afterAutospacing="0"/>
        <w:jc w:val="center"/>
        <w:divId w:val="1270968886"/>
        <w:rPr>
          <w:sz w:val="18"/>
          <w:szCs w:val="18"/>
        </w:rPr>
      </w:pPr>
      <w:r>
        <w:rPr>
          <w:sz w:val="18"/>
          <w:szCs w:val="18"/>
        </w:rPr>
        <w:t>(Exact Name of Registrant as Specified in its Ch</w:t>
      </w:r>
      <w:r>
        <w:rPr>
          <w:sz w:val="18"/>
          <w:szCs w:val="18"/>
        </w:rPr>
        <w:t>arter)</w:t>
      </w:r>
    </w:p>
    <w:p w:rsidR="00000000" w:rsidRDefault="001E618F">
      <w:pPr>
        <w:pStyle w:val="a3"/>
        <w:spacing w:before="0" w:beforeAutospacing="0" w:after="0" w:afterAutospacing="0"/>
        <w:jc w:val="center"/>
        <w:divId w:val="1270968886"/>
        <w:rPr>
          <w:sz w:val="20"/>
          <w:szCs w:val="20"/>
        </w:rPr>
      </w:pPr>
      <w:r>
        <w:rPr>
          <w:sz w:val="10"/>
          <w:szCs w:val="10"/>
        </w:rPr>
        <w:t>​</w:t>
      </w:r>
    </w:p>
    <w:p w:rsidR="00000000" w:rsidRDefault="001E618F">
      <w:pPr>
        <w:pStyle w:val="a3"/>
        <w:spacing w:before="0" w:beforeAutospacing="0" w:after="0" w:afterAutospacing="0"/>
        <w:divId w:val="1270968886"/>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063"/>
        <w:gridCol w:w="180"/>
        <w:gridCol w:w="4063"/>
      </w:tblGrid>
      <w:tr w:rsidR="00000000">
        <w:trPr>
          <w:divId w:val="1270968886"/>
        </w:trPr>
        <w:tc>
          <w:tcPr>
            <w:tcW w:w="2449" w:type="pct"/>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2"/>
                <w:szCs w:val="2"/>
              </w:rPr>
              <w:t>​</w:t>
            </w:r>
          </w:p>
        </w:tc>
        <w:tc>
          <w:tcPr>
            <w:tcW w:w="10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
                <w:szCs w:val="2"/>
              </w:rPr>
              <w:t>​</w:t>
            </w:r>
          </w:p>
        </w:tc>
        <w:tc>
          <w:tcPr>
            <w:tcW w:w="2449" w:type="pct"/>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2"/>
                <w:szCs w:val="2"/>
              </w:rPr>
              <w:t>​</w:t>
            </w:r>
          </w:p>
        </w:tc>
      </w:tr>
      <w:tr w:rsidR="00000000">
        <w:trPr>
          <w:divId w:val="1270968886"/>
        </w:trPr>
        <w:tc>
          <w:tcPr>
            <w:tcW w:w="2449" w:type="pct"/>
            <w:tcMar>
              <w:top w:w="0" w:type="dxa"/>
              <w:left w:w="0" w:type="dxa"/>
              <w:bottom w:w="0" w:type="dxa"/>
              <w:right w:w="0" w:type="dxa"/>
            </w:tcMar>
            <w:hideMark/>
          </w:tcPr>
          <w:p w:rsidR="00000000" w:rsidRDefault="001E618F">
            <w:pPr>
              <w:pStyle w:val="a3"/>
              <w:spacing w:before="0" w:beforeAutospacing="0" w:after="0" w:afterAutospacing="0"/>
              <w:ind w:hanging="200"/>
              <w:jc w:val="center"/>
              <w:rPr>
                <w:sz w:val="20"/>
                <w:szCs w:val="20"/>
              </w:rPr>
            </w:pPr>
            <w:r>
              <w:rPr>
                <w:b/>
                <w:bCs/>
                <w:sz w:val="18"/>
                <w:szCs w:val="18"/>
              </w:rPr>
              <w:t>Cayman Islands</w:t>
            </w:r>
          </w:p>
        </w:tc>
        <w:tc>
          <w:tcPr>
            <w:tcW w:w="100" w:type="pct"/>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b/>
                <w:bCs/>
                <w:sz w:val="18"/>
                <w:szCs w:val="18"/>
              </w:rPr>
              <w:t>    </w:t>
            </w:r>
          </w:p>
        </w:tc>
        <w:tc>
          <w:tcPr>
            <w:tcW w:w="2449"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b/>
                <w:bCs/>
                <w:sz w:val="18"/>
                <w:szCs w:val="18"/>
              </w:rPr>
              <w:t>98-1226628</w:t>
            </w:r>
          </w:p>
        </w:tc>
      </w:tr>
      <w:tr w:rsidR="00000000">
        <w:trPr>
          <w:divId w:val="1270968886"/>
        </w:trPr>
        <w:tc>
          <w:tcPr>
            <w:tcW w:w="2449" w:type="pct"/>
            <w:tcMar>
              <w:top w:w="0" w:type="dxa"/>
              <w:left w:w="0" w:type="dxa"/>
              <w:bottom w:w="0" w:type="dxa"/>
              <w:right w:w="0" w:type="dxa"/>
            </w:tcMar>
            <w:hideMark/>
          </w:tcPr>
          <w:p w:rsidR="00000000" w:rsidRDefault="001E618F">
            <w:pPr>
              <w:pStyle w:val="a3"/>
              <w:spacing w:before="0" w:beforeAutospacing="0" w:after="0" w:afterAutospacing="0"/>
              <w:ind w:hanging="200"/>
              <w:jc w:val="center"/>
              <w:rPr>
                <w:sz w:val="18"/>
                <w:szCs w:val="18"/>
              </w:rPr>
            </w:pPr>
            <w:r>
              <w:rPr>
                <w:sz w:val="18"/>
                <w:szCs w:val="18"/>
              </w:rPr>
              <w:t>(State or Other Jurisdiction of</w:t>
            </w:r>
          </w:p>
        </w:tc>
        <w:tc>
          <w:tcPr>
            <w:tcW w:w="10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1E618F">
            <w:pPr>
              <w:pStyle w:val="a3"/>
              <w:spacing w:before="0" w:beforeAutospacing="0" w:after="0" w:afterAutospacing="0"/>
              <w:jc w:val="center"/>
              <w:rPr>
                <w:sz w:val="18"/>
                <w:szCs w:val="18"/>
              </w:rPr>
            </w:pPr>
            <w:r>
              <w:rPr>
                <w:sz w:val="18"/>
                <w:szCs w:val="18"/>
              </w:rPr>
              <w:t>(I.R.S. Employer</w:t>
            </w:r>
          </w:p>
        </w:tc>
      </w:tr>
      <w:tr w:rsidR="00000000">
        <w:trPr>
          <w:divId w:val="1270968886"/>
        </w:trPr>
        <w:tc>
          <w:tcPr>
            <w:tcW w:w="2449" w:type="pct"/>
            <w:tcMar>
              <w:top w:w="0" w:type="dxa"/>
              <w:left w:w="0" w:type="dxa"/>
              <w:bottom w:w="0" w:type="dxa"/>
              <w:right w:w="0" w:type="dxa"/>
            </w:tcMar>
            <w:hideMark/>
          </w:tcPr>
          <w:p w:rsidR="00000000" w:rsidRDefault="001E618F">
            <w:pPr>
              <w:pStyle w:val="a3"/>
              <w:spacing w:before="0" w:beforeAutospacing="0" w:after="0" w:afterAutospacing="0"/>
              <w:ind w:hanging="200"/>
              <w:jc w:val="center"/>
              <w:rPr>
                <w:sz w:val="18"/>
                <w:szCs w:val="18"/>
              </w:rPr>
            </w:pPr>
            <w:r>
              <w:rPr>
                <w:sz w:val="18"/>
                <w:szCs w:val="18"/>
              </w:rPr>
              <w:t>Incorporation or Organization)</w:t>
            </w:r>
          </w:p>
        </w:tc>
        <w:tc>
          <w:tcPr>
            <w:tcW w:w="10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1E618F">
            <w:pPr>
              <w:pStyle w:val="a3"/>
              <w:spacing w:before="0" w:beforeAutospacing="0" w:after="0" w:afterAutospacing="0"/>
              <w:jc w:val="center"/>
              <w:rPr>
                <w:sz w:val="18"/>
                <w:szCs w:val="18"/>
              </w:rPr>
            </w:pPr>
            <w:r>
              <w:rPr>
                <w:sz w:val="18"/>
                <w:szCs w:val="18"/>
              </w:rPr>
              <w:t>Identification No.)</w:t>
            </w:r>
          </w:p>
        </w:tc>
      </w:tr>
      <w:tr w:rsidR="00000000">
        <w:trPr>
          <w:divId w:val="1270968886"/>
        </w:trPr>
        <w:tc>
          <w:tcPr>
            <w:tcW w:w="2449" w:type="pct"/>
            <w:tcMar>
              <w:top w:w="0" w:type="dxa"/>
              <w:left w:w="0" w:type="dxa"/>
              <w:bottom w:w="0" w:type="dxa"/>
              <w:right w:w="0" w:type="dxa"/>
            </w:tcMar>
            <w:hideMark/>
          </w:tcPr>
          <w:p w:rsidR="00000000" w:rsidRDefault="001E618F">
            <w:pPr>
              <w:pStyle w:val="a3"/>
              <w:spacing w:before="0" w:beforeAutospacing="0" w:after="0" w:afterAutospacing="0"/>
              <w:ind w:hanging="200"/>
              <w:jc w:val="center"/>
              <w:rPr>
                <w:sz w:val="20"/>
                <w:szCs w:val="20"/>
              </w:rPr>
            </w:pPr>
            <w:r>
              <w:rPr>
                <w:sz w:val="10"/>
                <w:szCs w:val="10"/>
              </w:rPr>
              <w:t>​</w:t>
            </w:r>
          </w:p>
        </w:tc>
        <w:tc>
          <w:tcPr>
            <w:tcW w:w="10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0"/>
                <w:szCs w:val="10"/>
              </w:rPr>
              <w:t>​</w:t>
            </w:r>
          </w:p>
        </w:tc>
        <w:tc>
          <w:tcPr>
            <w:tcW w:w="2449"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10"/>
                <w:szCs w:val="10"/>
              </w:rPr>
              <w:t>​</w:t>
            </w:r>
          </w:p>
        </w:tc>
      </w:tr>
      <w:tr w:rsidR="00000000">
        <w:trPr>
          <w:divId w:val="1270968886"/>
        </w:trPr>
        <w:tc>
          <w:tcPr>
            <w:tcW w:w="2449" w:type="pct"/>
            <w:tcMar>
              <w:top w:w="0" w:type="dxa"/>
              <w:left w:w="0" w:type="dxa"/>
              <w:bottom w:w="0" w:type="dxa"/>
              <w:right w:w="0" w:type="dxa"/>
            </w:tcMar>
            <w:hideMark/>
          </w:tcPr>
          <w:p w:rsidR="00000000" w:rsidRDefault="001E618F">
            <w:pPr>
              <w:pStyle w:val="a3"/>
              <w:spacing w:before="0" w:beforeAutospacing="0" w:after="0" w:afterAutospacing="0"/>
              <w:ind w:hanging="200"/>
              <w:jc w:val="center"/>
              <w:rPr>
                <w:sz w:val="20"/>
                <w:szCs w:val="20"/>
              </w:rPr>
            </w:pPr>
            <w:r>
              <w:rPr>
                <w:b/>
                <w:bCs/>
                <w:sz w:val="18"/>
                <w:szCs w:val="18"/>
              </w:rPr>
              <w:t>PO Box 309</w:t>
            </w:r>
          </w:p>
        </w:tc>
        <w:tc>
          <w:tcPr>
            <w:tcW w:w="10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18"/>
                <w:szCs w:val="18"/>
              </w:rPr>
              <w:t>​</w:t>
            </w:r>
          </w:p>
        </w:tc>
      </w:tr>
      <w:tr w:rsidR="00000000">
        <w:trPr>
          <w:divId w:val="1270968886"/>
        </w:trPr>
        <w:tc>
          <w:tcPr>
            <w:tcW w:w="2449" w:type="pct"/>
            <w:tcMar>
              <w:top w:w="0" w:type="dxa"/>
              <w:left w:w="0" w:type="dxa"/>
              <w:bottom w:w="0" w:type="dxa"/>
              <w:right w:w="0" w:type="dxa"/>
            </w:tcMar>
            <w:hideMark/>
          </w:tcPr>
          <w:p w:rsidR="00000000" w:rsidRDefault="001E618F">
            <w:pPr>
              <w:pStyle w:val="a3"/>
              <w:spacing w:before="0" w:beforeAutospacing="0" w:after="0" w:afterAutospacing="0"/>
              <w:ind w:hanging="200"/>
              <w:jc w:val="center"/>
              <w:rPr>
                <w:sz w:val="20"/>
                <w:szCs w:val="20"/>
              </w:rPr>
            </w:pPr>
            <w:r>
              <w:rPr>
                <w:b/>
                <w:bCs/>
                <w:sz w:val="18"/>
                <w:szCs w:val="18"/>
              </w:rPr>
              <w:t>Ugland House, South Church Street</w:t>
            </w:r>
          </w:p>
        </w:tc>
        <w:tc>
          <w:tcPr>
            <w:tcW w:w="10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b/>
                <w:bCs/>
                <w:sz w:val="18"/>
                <w:szCs w:val="18"/>
              </w:rPr>
              <w:t>​</w:t>
            </w:r>
          </w:p>
        </w:tc>
      </w:tr>
      <w:tr w:rsidR="00000000">
        <w:trPr>
          <w:divId w:val="1270968886"/>
        </w:trPr>
        <w:tc>
          <w:tcPr>
            <w:tcW w:w="2449" w:type="pct"/>
            <w:tcMar>
              <w:top w:w="0" w:type="dxa"/>
              <w:left w:w="0" w:type="dxa"/>
              <w:bottom w:w="0" w:type="dxa"/>
              <w:right w:w="0" w:type="dxa"/>
            </w:tcMar>
            <w:hideMark/>
          </w:tcPr>
          <w:p w:rsidR="00000000" w:rsidRDefault="001E618F">
            <w:pPr>
              <w:pStyle w:val="a3"/>
              <w:spacing w:before="0" w:beforeAutospacing="0" w:after="0" w:afterAutospacing="0"/>
              <w:ind w:hanging="200"/>
              <w:jc w:val="center"/>
              <w:rPr>
                <w:sz w:val="20"/>
                <w:szCs w:val="20"/>
              </w:rPr>
            </w:pPr>
            <w:r>
              <w:rPr>
                <w:b/>
                <w:bCs/>
                <w:sz w:val="18"/>
                <w:szCs w:val="18"/>
              </w:rPr>
              <w:t>George Town, Grand Cayman, Cayman Islands</w:t>
            </w:r>
          </w:p>
        </w:tc>
        <w:tc>
          <w:tcPr>
            <w:tcW w:w="10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b/>
                <w:bCs/>
                <w:sz w:val="18"/>
                <w:szCs w:val="18"/>
              </w:rPr>
              <w:t>KY1-1104</w:t>
            </w:r>
          </w:p>
        </w:tc>
      </w:tr>
      <w:tr w:rsidR="00000000">
        <w:trPr>
          <w:divId w:val="1270968886"/>
        </w:trPr>
        <w:tc>
          <w:tcPr>
            <w:tcW w:w="2449" w:type="pct"/>
            <w:tcMar>
              <w:top w:w="0" w:type="dxa"/>
              <w:left w:w="0" w:type="dxa"/>
              <w:bottom w:w="0" w:type="dxa"/>
              <w:right w:w="0" w:type="dxa"/>
            </w:tcMar>
            <w:hideMark/>
          </w:tcPr>
          <w:p w:rsidR="00000000" w:rsidRDefault="001E618F">
            <w:pPr>
              <w:pStyle w:val="a3"/>
              <w:spacing w:before="0" w:beforeAutospacing="0" w:after="0" w:afterAutospacing="0"/>
              <w:ind w:hanging="200"/>
              <w:jc w:val="center"/>
              <w:rPr>
                <w:sz w:val="18"/>
                <w:szCs w:val="18"/>
              </w:rPr>
            </w:pPr>
            <w:r>
              <w:rPr>
                <w:sz w:val="18"/>
                <w:szCs w:val="18"/>
              </w:rPr>
              <w:t>(Address of Principal Executive Offices)</w:t>
            </w:r>
          </w:p>
        </w:tc>
        <w:tc>
          <w:tcPr>
            <w:tcW w:w="10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1E618F">
            <w:pPr>
              <w:pStyle w:val="a3"/>
              <w:spacing w:before="0" w:beforeAutospacing="0" w:after="0" w:afterAutospacing="0"/>
              <w:jc w:val="center"/>
              <w:rPr>
                <w:sz w:val="18"/>
                <w:szCs w:val="18"/>
              </w:rPr>
            </w:pPr>
            <w:r>
              <w:rPr>
                <w:sz w:val="18"/>
                <w:szCs w:val="18"/>
              </w:rPr>
              <w:t>(Zip Code)</w:t>
            </w:r>
          </w:p>
        </w:tc>
      </w:tr>
    </w:tbl>
    <w:p w:rsidR="00000000" w:rsidRDefault="001E618F">
      <w:pPr>
        <w:pStyle w:val="a3"/>
        <w:spacing w:before="0" w:beforeAutospacing="0" w:after="0" w:afterAutospacing="0"/>
        <w:divId w:val="1270968886"/>
        <w:rPr>
          <w:sz w:val="20"/>
          <w:szCs w:val="20"/>
        </w:rPr>
      </w:pPr>
      <w:r>
        <w:rPr>
          <w:sz w:val="10"/>
          <w:szCs w:val="10"/>
        </w:rPr>
        <w:t>​</w:t>
      </w:r>
    </w:p>
    <w:p w:rsidR="00000000" w:rsidRDefault="001E618F">
      <w:pPr>
        <w:pStyle w:val="a3"/>
        <w:spacing w:before="0" w:beforeAutospacing="0" w:after="0" w:afterAutospacing="0"/>
        <w:jc w:val="center"/>
        <w:divId w:val="1270968886"/>
        <w:rPr>
          <w:sz w:val="20"/>
          <w:szCs w:val="20"/>
        </w:rPr>
      </w:pPr>
      <w:r>
        <w:rPr>
          <w:b/>
          <w:bCs/>
          <w:sz w:val="18"/>
          <w:szCs w:val="18"/>
        </w:rPr>
        <w:t>(650) 808-6000</w:t>
      </w:r>
    </w:p>
    <w:p w:rsidR="00000000" w:rsidRDefault="001E618F">
      <w:pPr>
        <w:pStyle w:val="a3"/>
        <w:spacing w:before="0" w:beforeAutospacing="0" w:after="0" w:afterAutospacing="0"/>
        <w:jc w:val="center"/>
        <w:divId w:val="1270968886"/>
        <w:rPr>
          <w:sz w:val="18"/>
          <w:szCs w:val="18"/>
        </w:rPr>
      </w:pPr>
      <w:r>
        <w:rPr>
          <w:sz w:val="18"/>
          <w:szCs w:val="18"/>
        </w:rPr>
        <w:t>(Registrant’s Telephone Number, Including Area Code)</w:t>
      </w:r>
    </w:p>
    <w:p w:rsidR="00000000" w:rsidRDefault="001E618F">
      <w:pPr>
        <w:pStyle w:val="a3"/>
        <w:spacing w:before="0" w:beforeAutospacing="0" w:after="0" w:afterAutospacing="0"/>
        <w:jc w:val="center"/>
        <w:divId w:val="1270968886"/>
        <w:rPr>
          <w:sz w:val="20"/>
          <w:szCs w:val="20"/>
        </w:rPr>
      </w:pPr>
      <w:r>
        <w:rPr>
          <w:sz w:val="18"/>
          <w:szCs w:val="18"/>
        </w:rPr>
        <w:t>​</w:t>
      </w:r>
    </w:p>
    <w:p w:rsidR="00000000" w:rsidRDefault="001E618F">
      <w:pPr>
        <w:pStyle w:val="a3"/>
        <w:spacing w:before="0" w:beforeAutospacing="0" w:after="60" w:afterAutospacing="0"/>
        <w:ind w:firstLine="490"/>
        <w:divId w:val="1270968886"/>
        <w:rPr>
          <w:sz w:val="18"/>
          <w:szCs w:val="18"/>
        </w:rPr>
      </w:pPr>
      <w:r>
        <w:rPr>
          <w:sz w:val="18"/>
          <w:szCs w:val="18"/>
        </w:rPr>
        <w:t>Securities registered pursuant to Section 12(b) of the Act:</w:t>
      </w:r>
    </w:p>
    <w:tbl>
      <w:tblPr>
        <w:tblW w:w="5000" w:type="pct"/>
        <w:tblCellMar>
          <w:top w:w="15" w:type="dxa"/>
          <w:left w:w="0" w:type="dxa"/>
          <w:bottom w:w="15" w:type="dxa"/>
          <w:right w:w="0" w:type="dxa"/>
        </w:tblCellMar>
        <w:tblLook w:val="04A0" w:firstRow="1" w:lastRow="0" w:firstColumn="1" w:lastColumn="0" w:noHBand="0" w:noVBand="1"/>
      </w:tblPr>
      <w:tblGrid>
        <w:gridCol w:w="2740"/>
        <w:gridCol w:w="185"/>
        <w:gridCol w:w="185"/>
        <w:gridCol w:w="1367"/>
        <w:gridCol w:w="183"/>
        <w:gridCol w:w="3646"/>
      </w:tblGrid>
      <w:tr w:rsidR="00000000">
        <w:trPr>
          <w:divId w:val="1270968886"/>
          <w:trHeight w:val="20"/>
        </w:trPr>
        <w:tc>
          <w:tcPr>
            <w:tcW w:w="1648" w:type="pct"/>
            <w:noWrap/>
            <w:tcMar>
              <w:top w:w="0" w:type="dxa"/>
              <w:left w:w="0" w:type="dxa"/>
              <w:bottom w:w="0" w:type="dxa"/>
              <w:right w:w="0" w:type="dxa"/>
            </w:tcMar>
            <w:vAlign w:val="bottom"/>
            <w:hideMark/>
          </w:tcPr>
          <w:p w:rsidR="00000000" w:rsidRDefault="001E618F">
            <w:pPr>
              <w:rPr>
                <w:sz w:val="18"/>
                <w:szCs w:val="18"/>
              </w:rPr>
            </w:pPr>
          </w:p>
        </w:tc>
        <w:tc>
          <w:tcPr>
            <w:tcW w:w="111" w:type="pct"/>
            <w:tcMar>
              <w:top w:w="0" w:type="dxa"/>
              <w:left w:w="0" w:type="dxa"/>
              <w:bottom w:w="0" w:type="dxa"/>
              <w:right w:w="0" w:type="dxa"/>
            </w:tcMar>
            <w:hideMark/>
          </w:tcPr>
          <w:p w:rsidR="00000000" w:rsidRDefault="001E618F">
            <w:pPr>
              <w:pStyle w:val="a3"/>
              <w:spacing w:before="0" w:beforeAutospacing="0" w:after="0" w:afterAutospacing="0"/>
              <w:divId w:val="1418795242"/>
              <w:rPr>
                <w:sz w:val="20"/>
                <w:szCs w:val="20"/>
              </w:rPr>
            </w:pPr>
            <w:r>
              <w:rPr>
                <w:sz w:val="2"/>
                <w:szCs w:val="2"/>
              </w:rPr>
              <w:t>​</w:t>
            </w:r>
          </w:p>
        </w:tc>
        <w:tc>
          <w:tcPr>
            <w:tcW w:w="111" w:type="pct"/>
            <w:tcMar>
              <w:top w:w="0" w:type="dxa"/>
              <w:left w:w="0" w:type="dxa"/>
              <w:bottom w:w="0" w:type="dxa"/>
              <w:right w:w="0" w:type="dxa"/>
            </w:tcMar>
            <w:hideMark/>
          </w:tcPr>
          <w:p w:rsidR="00000000" w:rsidRDefault="001E618F">
            <w:pPr>
              <w:rPr>
                <w:sz w:val="20"/>
                <w:szCs w:val="20"/>
              </w:rPr>
            </w:pPr>
          </w:p>
        </w:tc>
        <w:tc>
          <w:tcPr>
            <w:tcW w:w="823" w:type="pct"/>
            <w:noWrap/>
            <w:tcMar>
              <w:top w:w="0" w:type="dxa"/>
              <w:left w:w="0" w:type="dxa"/>
              <w:bottom w:w="0" w:type="dxa"/>
              <w:right w:w="0" w:type="dxa"/>
            </w:tcMar>
            <w:vAlign w:val="bottom"/>
            <w:hideMark/>
          </w:tcPr>
          <w:p w:rsidR="00000000" w:rsidRDefault="001E618F">
            <w:pPr>
              <w:rPr>
                <w:rFonts w:eastAsia="Times New Roman"/>
                <w:sz w:val="20"/>
                <w:szCs w:val="20"/>
              </w:rPr>
            </w:pPr>
          </w:p>
        </w:tc>
        <w:tc>
          <w:tcPr>
            <w:tcW w:w="110" w:type="pct"/>
            <w:tcMar>
              <w:top w:w="0" w:type="dxa"/>
              <w:left w:w="0" w:type="dxa"/>
              <w:bottom w:w="0" w:type="dxa"/>
              <w:right w:w="0" w:type="dxa"/>
            </w:tcMar>
            <w:hideMark/>
          </w:tcPr>
          <w:p w:rsidR="00000000" w:rsidRDefault="001E618F">
            <w:pPr>
              <w:rPr>
                <w:rFonts w:eastAsia="Times New Roman"/>
                <w:sz w:val="20"/>
                <w:szCs w:val="20"/>
              </w:rPr>
            </w:pPr>
          </w:p>
        </w:tc>
        <w:tc>
          <w:tcPr>
            <w:tcW w:w="2194" w:type="pct"/>
            <w:noWrap/>
            <w:tcMar>
              <w:top w:w="0" w:type="dxa"/>
              <w:left w:w="0" w:type="dxa"/>
              <w:bottom w:w="0" w:type="dxa"/>
              <w:right w:w="0" w:type="dxa"/>
            </w:tcMar>
            <w:vAlign w:val="bottom"/>
            <w:hideMark/>
          </w:tcPr>
          <w:p w:rsidR="00000000" w:rsidRDefault="001E618F">
            <w:pPr>
              <w:rPr>
                <w:rFonts w:eastAsia="Times New Roman"/>
                <w:sz w:val="20"/>
                <w:szCs w:val="20"/>
              </w:rPr>
            </w:pPr>
          </w:p>
        </w:tc>
      </w:tr>
      <w:tr w:rsidR="00000000">
        <w:trPr>
          <w:divId w:val="1270968886"/>
        </w:trPr>
        <w:tc>
          <w:tcPr>
            <w:tcW w:w="1648"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Title of each class</w:t>
            </w:r>
          </w:p>
        </w:tc>
        <w:tc>
          <w:tcPr>
            <w:tcW w:w="111"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b/>
                <w:bCs/>
                <w:sz w:val="16"/>
                <w:szCs w:val="16"/>
              </w:rPr>
              <w:t>​</w:t>
            </w:r>
          </w:p>
        </w:tc>
        <w:tc>
          <w:tcPr>
            <w:tcW w:w="111" w:type="pct"/>
            <w:tcMar>
              <w:top w:w="0" w:type="dxa"/>
              <w:left w:w="0" w:type="dxa"/>
              <w:bottom w:w="0" w:type="dxa"/>
              <w:right w:w="0" w:type="dxa"/>
            </w:tcMar>
            <w:hideMark/>
          </w:tcPr>
          <w:p w:rsidR="00000000" w:rsidRDefault="001E618F">
            <w:pPr>
              <w:pStyle w:val="a3"/>
              <w:spacing w:before="0" w:beforeAutospacing="0" w:after="0" w:afterAutospacing="0"/>
              <w:jc w:val="center"/>
              <w:rPr>
                <w:sz w:val="16"/>
                <w:szCs w:val="16"/>
              </w:rPr>
            </w:pPr>
            <w:r>
              <w:rPr>
                <w:b/>
                <w:bCs/>
                <w:sz w:val="16"/>
                <w:szCs w:val="16"/>
              </w:rPr>
              <w:t>    </w:t>
            </w:r>
          </w:p>
        </w:tc>
        <w:tc>
          <w:tcPr>
            <w:tcW w:w="82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Trading Symbol</w:t>
            </w:r>
          </w:p>
        </w:tc>
        <w:tc>
          <w:tcPr>
            <w:tcW w:w="110" w:type="pct"/>
            <w:tcMar>
              <w:top w:w="0" w:type="dxa"/>
              <w:left w:w="0" w:type="dxa"/>
              <w:bottom w:w="0" w:type="dxa"/>
              <w:right w:w="0" w:type="dxa"/>
            </w:tcMar>
            <w:hideMark/>
          </w:tcPr>
          <w:p w:rsidR="00000000" w:rsidRDefault="001E618F">
            <w:pPr>
              <w:pStyle w:val="a3"/>
              <w:spacing w:before="0" w:beforeAutospacing="0" w:after="0" w:afterAutospacing="0"/>
              <w:jc w:val="center"/>
              <w:rPr>
                <w:sz w:val="16"/>
                <w:szCs w:val="16"/>
              </w:rPr>
            </w:pPr>
            <w:r>
              <w:rPr>
                <w:b/>
                <w:bCs/>
                <w:sz w:val="16"/>
                <w:szCs w:val="16"/>
              </w:rPr>
              <w:t>    </w:t>
            </w:r>
          </w:p>
        </w:tc>
        <w:tc>
          <w:tcPr>
            <w:tcW w:w="2194"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Name of each exchange on which registered</w:t>
            </w:r>
          </w:p>
        </w:tc>
      </w:tr>
      <w:tr w:rsidR="00000000">
        <w:trPr>
          <w:divId w:val="1270968886"/>
        </w:trPr>
        <w:tc>
          <w:tcPr>
            <w:tcW w:w="1648"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18"/>
                <w:szCs w:val="18"/>
              </w:rPr>
              <w:t>Ordinary Share $0.00001 Par Value</w:t>
            </w:r>
          </w:p>
        </w:tc>
        <w:tc>
          <w:tcPr>
            <w:tcW w:w="111"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18"/>
                <w:szCs w:val="18"/>
              </w:rPr>
              <w:t>​</w:t>
            </w:r>
          </w:p>
        </w:tc>
        <w:tc>
          <w:tcPr>
            <w:tcW w:w="111"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18"/>
                <w:szCs w:val="18"/>
              </w:rPr>
              <w:t>​</w:t>
            </w:r>
          </w:p>
        </w:tc>
        <w:tc>
          <w:tcPr>
            <w:tcW w:w="823"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18"/>
                <w:szCs w:val="18"/>
              </w:rPr>
              <w:t>TBPH</w:t>
            </w:r>
          </w:p>
        </w:tc>
        <w:tc>
          <w:tcPr>
            <w:tcW w:w="110"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18"/>
                <w:szCs w:val="18"/>
              </w:rPr>
              <w:t>​</w:t>
            </w:r>
          </w:p>
        </w:tc>
        <w:tc>
          <w:tcPr>
            <w:tcW w:w="2194"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18"/>
                <w:szCs w:val="18"/>
              </w:rPr>
              <w:t>The Nasdaq Global Market</w:t>
            </w:r>
          </w:p>
        </w:tc>
      </w:tr>
    </w:tbl>
    <w:p w:rsidR="00000000" w:rsidRDefault="001E618F">
      <w:pPr>
        <w:pStyle w:val="a3"/>
        <w:spacing w:before="0" w:beforeAutospacing="0" w:after="0" w:afterAutospacing="0"/>
        <w:jc w:val="center"/>
        <w:divId w:val="1270968886"/>
        <w:rPr>
          <w:sz w:val="20"/>
          <w:szCs w:val="20"/>
        </w:rPr>
      </w:pPr>
      <w:r>
        <w:rPr>
          <w:sz w:val="10"/>
          <w:szCs w:val="10"/>
        </w:rPr>
        <w:t>​</w:t>
      </w:r>
    </w:p>
    <w:p w:rsidR="00000000" w:rsidRDefault="001E618F">
      <w:pPr>
        <w:pStyle w:val="a3"/>
        <w:spacing w:before="0" w:beforeAutospacing="0" w:after="0" w:afterAutospacing="0"/>
        <w:ind w:firstLine="490"/>
        <w:divId w:val="1270968886"/>
        <w:rPr>
          <w:sz w:val="20"/>
          <w:szCs w:val="20"/>
        </w:rPr>
      </w:pPr>
      <w:r>
        <w:rPr>
          <w:sz w:val="18"/>
          <w:szCs w:val="18"/>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sz w:val="18"/>
          <w:szCs w:val="18"/>
        </w:rPr>
        <w:t>such reports), and (2) has been subject to such filing requirements for the past 90 days. Yes </w:t>
      </w:r>
      <w:r>
        <w:rPr>
          <w:rFonts w:ascii="Segoe UI Symbol" w:hAnsi="Segoe UI Symbol"/>
          <w:sz w:val="18"/>
          <w:szCs w:val="18"/>
        </w:rPr>
        <w:t>☒</w:t>
      </w:r>
      <w:r>
        <w:rPr>
          <w:sz w:val="18"/>
          <w:szCs w:val="18"/>
        </w:rPr>
        <w:t xml:space="preserve">  No </w:t>
      </w:r>
      <w:r>
        <w:rPr>
          <w:rFonts w:ascii="Segoe UI Symbol" w:hAnsi="Segoe UI Symbol"/>
          <w:sz w:val="18"/>
          <w:szCs w:val="18"/>
        </w:rPr>
        <w:t>☐</w:t>
      </w:r>
      <w:r>
        <w:rPr>
          <w:sz w:val="18"/>
          <w:szCs w:val="18"/>
        </w:rPr>
        <w:t> </w:t>
      </w:r>
    </w:p>
    <w:p w:rsidR="00000000" w:rsidRDefault="001E618F">
      <w:pPr>
        <w:pStyle w:val="a3"/>
        <w:spacing w:before="0" w:beforeAutospacing="0" w:after="0" w:afterAutospacing="0"/>
        <w:ind w:firstLine="490"/>
        <w:divId w:val="1270968886"/>
        <w:rPr>
          <w:sz w:val="20"/>
          <w:szCs w:val="20"/>
        </w:rPr>
      </w:pPr>
      <w:r>
        <w:rPr>
          <w:sz w:val="10"/>
          <w:szCs w:val="10"/>
        </w:rPr>
        <w:t>​</w:t>
      </w:r>
    </w:p>
    <w:p w:rsidR="00000000" w:rsidRDefault="001E618F">
      <w:pPr>
        <w:pStyle w:val="a3"/>
        <w:spacing w:before="0" w:beforeAutospacing="0" w:after="0" w:afterAutospacing="0"/>
        <w:ind w:firstLine="490"/>
        <w:divId w:val="1270968886"/>
        <w:rPr>
          <w:sz w:val="20"/>
          <w:szCs w:val="20"/>
        </w:rPr>
      </w:pPr>
      <w:r>
        <w:rPr>
          <w:sz w:val="18"/>
          <w:szCs w:val="18"/>
        </w:rPr>
        <w:t>Indicate by check mark whether the registrant has submitted electronically every Interactive Data File required to be submitted pursuant to Rule 405 of</w:t>
      </w:r>
      <w:r>
        <w:rPr>
          <w:sz w:val="18"/>
          <w:szCs w:val="18"/>
        </w:rPr>
        <w:t xml:space="preserve"> Regulation S-T (§ 232.405 of this chapter)</w:t>
      </w:r>
      <w:r>
        <w:rPr>
          <w:sz w:val="16"/>
          <w:szCs w:val="16"/>
        </w:rPr>
        <w:t xml:space="preserve"> </w:t>
      </w:r>
      <w:r>
        <w:rPr>
          <w:sz w:val="18"/>
          <w:szCs w:val="18"/>
        </w:rPr>
        <w:t>during the preceding 12 months (or for such shorter period that the registrant was required to submit such files).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1E618F">
      <w:pPr>
        <w:pStyle w:val="a3"/>
        <w:spacing w:before="0" w:beforeAutospacing="0" w:after="0" w:afterAutospacing="0"/>
        <w:ind w:firstLine="490"/>
        <w:divId w:val="1270968886"/>
        <w:rPr>
          <w:sz w:val="20"/>
          <w:szCs w:val="20"/>
        </w:rPr>
      </w:pPr>
      <w:r>
        <w:rPr>
          <w:sz w:val="10"/>
          <w:szCs w:val="10"/>
        </w:rPr>
        <w:t>​</w:t>
      </w:r>
    </w:p>
    <w:p w:rsidR="00000000" w:rsidRDefault="001E618F">
      <w:pPr>
        <w:pStyle w:val="a3"/>
        <w:spacing w:before="0" w:beforeAutospacing="0" w:after="0" w:afterAutospacing="0"/>
        <w:ind w:firstLine="490"/>
        <w:divId w:val="1270968886"/>
        <w:rPr>
          <w:sz w:val="18"/>
          <w:szCs w:val="18"/>
        </w:rPr>
      </w:pPr>
      <w:r>
        <w:rPr>
          <w:sz w:val="18"/>
          <w:szCs w:val="18"/>
        </w:rPr>
        <w:t>Indicate by check mark whether the registrant is a large accelerated filer, an acce</w:t>
      </w:r>
      <w:r>
        <w:rPr>
          <w:sz w:val="18"/>
          <w:szCs w:val="18"/>
        </w:rPr>
        <w:t xml:space="preserve">lerated filer, a non-accelerated filer, a smaller reporting company, or emerging growth company. See the definitions of “large </w:t>
      </w:r>
      <w:r>
        <w:rPr>
          <w:sz w:val="18"/>
          <w:szCs w:val="18"/>
        </w:rPr>
        <w:lastRenderedPageBreak/>
        <w:t>accelerated filer,” “accelerated filer,” “smaller reporting company,” and “emerging growth company” in Rule 12b-2 of the Exchange</w:t>
      </w:r>
      <w:r>
        <w:rPr>
          <w:sz w:val="18"/>
          <w:szCs w:val="18"/>
        </w:rPr>
        <w:t xml:space="preserve"> Act. </w:t>
      </w:r>
    </w:p>
    <w:p w:rsidR="00000000" w:rsidRDefault="001E618F">
      <w:pPr>
        <w:pStyle w:val="a3"/>
        <w:spacing w:before="0" w:beforeAutospacing="0" w:after="0" w:afterAutospacing="0"/>
        <w:divId w:val="1270968886"/>
        <w:rPr>
          <w:sz w:val="20"/>
          <w:szCs w:val="20"/>
        </w:rPr>
      </w:pPr>
      <w:r>
        <w:rPr>
          <w:sz w:val="10"/>
          <w:szCs w:val="10"/>
        </w:rPr>
        <w:t>​</w:t>
      </w:r>
    </w:p>
    <w:tbl>
      <w:tblPr>
        <w:tblW w:w="4000" w:type="pct"/>
        <w:tblCellMar>
          <w:top w:w="15" w:type="dxa"/>
          <w:left w:w="0" w:type="dxa"/>
          <w:bottom w:w="15" w:type="dxa"/>
          <w:right w:w="0" w:type="dxa"/>
        </w:tblCellMar>
        <w:tblLook w:val="04A0" w:firstRow="1" w:lastRow="0" w:firstColumn="1" w:lastColumn="0" w:noHBand="0" w:noVBand="1"/>
      </w:tblPr>
      <w:tblGrid>
        <w:gridCol w:w="3025"/>
        <w:gridCol w:w="180"/>
        <w:gridCol w:w="3440"/>
      </w:tblGrid>
      <w:tr w:rsidR="00000000">
        <w:trPr>
          <w:divId w:val="1270968886"/>
          <w:trHeight w:val="20"/>
        </w:trPr>
        <w:tc>
          <w:tcPr>
            <w:tcW w:w="2288" w:type="pct"/>
            <w:tcMar>
              <w:top w:w="0" w:type="dxa"/>
              <w:left w:w="0" w:type="dxa"/>
              <w:bottom w:w="0" w:type="dxa"/>
              <w:right w:w="0" w:type="dxa"/>
            </w:tcMar>
            <w:hideMark/>
          </w:tcPr>
          <w:p w:rsidR="00000000" w:rsidRDefault="001E618F">
            <w:pPr>
              <w:pStyle w:val="a3"/>
              <w:spacing w:before="0" w:beforeAutospacing="0" w:after="0" w:afterAutospacing="0"/>
              <w:divId w:val="1822576688"/>
              <w:rPr>
                <w:sz w:val="20"/>
                <w:szCs w:val="20"/>
              </w:rPr>
            </w:pPr>
            <w:r>
              <w:rPr>
                <w:sz w:val="2"/>
                <w:szCs w:val="2"/>
              </w:rPr>
              <w:t>​</w:t>
            </w:r>
          </w:p>
        </w:tc>
        <w:tc>
          <w:tcPr>
            <w:tcW w:w="112" w:type="pct"/>
            <w:tcMar>
              <w:top w:w="0" w:type="dxa"/>
              <w:left w:w="0" w:type="dxa"/>
              <w:bottom w:w="0" w:type="dxa"/>
              <w:right w:w="0" w:type="dxa"/>
            </w:tcMar>
            <w:vAlign w:val="bottom"/>
            <w:hideMark/>
          </w:tcPr>
          <w:p w:rsidR="00000000" w:rsidRDefault="001E618F">
            <w:pPr>
              <w:pStyle w:val="a3"/>
              <w:spacing w:before="0" w:beforeAutospacing="0" w:after="0" w:afterAutospacing="0"/>
              <w:divId w:val="1322123531"/>
              <w:rPr>
                <w:sz w:val="20"/>
                <w:szCs w:val="20"/>
              </w:rPr>
            </w:pPr>
            <w:r>
              <w:rPr>
                <w:sz w:val="2"/>
                <w:szCs w:val="2"/>
              </w:rPr>
              <w:t>​</w:t>
            </w:r>
          </w:p>
        </w:tc>
        <w:tc>
          <w:tcPr>
            <w:tcW w:w="2599" w:type="pct"/>
            <w:tcMar>
              <w:top w:w="0" w:type="dxa"/>
              <w:left w:w="0" w:type="dxa"/>
              <w:bottom w:w="0" w:type="dxa"/>
              <w:right w:w="0" w:type="dxa"/>
            </w:tcMar>
            <w:hideMark/>
          </w:tcPr>
          <w:p w:rsidR="00000000" w:rsidRDefault="001E618F">
            <w:pPr>
              <w:pStyle w:val="a3"/>
              <w:spacing w:before="0" w:beforeAutospacing="0" w:after="0" w:afterAutospacing="0"/>
              <w:divId w:val="369915630"/>
              <w:rPr>
                <w:sz w:val="20"/>
                <w:szCs w:val="20"/>
              </w:rPr>
            </w:pPr>
            <w:r>
              <w:rPr>
                <w:sz w:val="2"/>
                <w:szCs w:val="2"/>
              </w:rPr>
              <w:t>​</w:t>
            </w:r>
          </w:p>
        </w:tc>
      </w:tr>
      <w:tr w:rsidR="00000000">
        <w:trPr>
          <w:divId w:val="1270968886"/>
        </w:trPr>
        <w:tc>
          <w:tcPr>
            <w:tcW w:w="2288"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18"/>
                <w:szCs w:val="18"/>
              </w:rPr>
              <w:t>Large</w:t>
            </w:r>
            <w:r>
              <w:rPr>
                <w:sz w:val="16"/>
                <w:szCs w:val="16"/>
              </w:rPr>
              <w:t xml:space="preserve"> </w:t>
            </w:r>
            <w:r>
              <w:rPr>
                <w:sz w:val="18"/>
                <w:szCs w:val="18"/>
              </w:rPr>
              <w:t>Accelerated</w:t>
            </w:r>
            <w:r>
              <w:rPr>
                <w:sz w:val="16"/>
                <w:szCs w:val="16"/>
              </w:rPr>
              <w:t xml:space="preserve"> </w:t>
            </w:r>
            <w:r>
              <w:rPr>
                <w:sz w:val="18"/>
                <w:szCs w:val="18"/>
              </w:rPr>
              <w:t>Filer</w:t>
            </w:r>
            <w:r>
              <w:rPr>
                <w:sz w:val="16"/>
                <w:szCs w:val="16"/>
              </w:rPr>
              <w:t xml:space="preserve">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2599"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18"/>
                <w:szCs w:val="18"/>
              </w:rPr>
              <w:t>Smaller Reporting Company </w:t>
            </w:r>
            <w:r>
              <w:rPr>
                <w:rFonts w:ascii="Segoe UI Symbol" w:hAnsi="Segoe UI Symbol"/>
                <w:sz w:val="18"/>
                <w:szCs w:val="18"/>
              </w:rPr>
              <w:t>☐</w:t>
            </w:r>
          </w:p>
        </w:tc>
      </w:tr>
      <w:tr w:rsidR="00000000">
        <w:trPr>
          <w:divId w:val="1270968886"/>
        </w:trPr>
        <w:tc>
          <w:tcPr>
            <w:tcW w:w="2288" w:type="pct"/>
            <w:tcMar>
              <w:top w:w="0" w:type="dxa"/>
              <w:left w:w="0" w:type="dxa"/>
              <w:bottom w:w="0" w:type="dxa"/>
              <w:right w:w="0" w:type="dxa"/>
            </w:tcMar>
            <w:hideMark/>
          </w:tcPr>
          <w:p w:rsidR="00000000" w:rsidRDefault="001E618F">
            <w:pPr>
              <w:pStyle w:val="a3"/>
              <w:spacing w:before="0" w:beforeAutospacing="0" w:after="0" w:afterAutospacing="0"/>
              <w:jc w:val="center"/>
              <w:rPr>
                <w:sz w:val="18"/>
                <w:szCs w:val="18"/>
              </w:rPr>
            </w:pPr>
            <w:r>
              <w:rPr>
                <w:sz w:val="18"/>
                <w:szCs w:val="18"/>
              </w:rPr>
              <w:t xml:space="preserve">Non-accelerated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0"/>
                <w:szCs w:val="10"/>
              </w:rPr>
              <w:t>​</w:t>
            </w:r>
          </w:p>
        </w:tc>
        <w:tc>
          <w:tcPr>
            <w:tcW w:w="2599"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18"/>
                <w:szCs w:val="18"/>
              </w:rPr>
              <w:t xml:space="preserve">Emerging Growth Company </w:t>
            </w:r>
            <w:r>
              <w:rPr>
                <w:rFonts w:ascii="Segoe UI Symbol" w:hAnsi="Segoe UI Symbol"/>
                <w:sz w:val="18"/>
                <w:szCs w:val="18"/>
              </w:rPr>
              <w:t>☐</w:t>
            </w:r>
          </w:p>
        </w:tc>
      </w:tr>
      <w:tr w:rsidR="00000000">
        <w:trPr>
          <w:divId w:val="1270968886"/>
        </w:trPr>
        <w:tc>
          <w:tcPr>
            <w:tcW w:w="2288" w:type="pct"/>
            <w:tcMar>
              <w:top w:w="0" w:type="dxa"/>
              <w:left w:w="0" w:type="dxa"/>
              <w:bottom w:w="0" w:type="dxa"/>
              <w:right w:w="0" w:type="dxa"/>
            </w:tcMar>
            <w:hideMark/>
          </w:tcPr>
          <w:p w:rsidR="00000000" w:rsidRDefault="001E618F">
            <w:pPr>
              <w:pStyle w:val="a3"/>
              <w:spacing w:before="0" w:beforeAutospacing="0" w:after="0" w:afterAutospacing="0"/>
              <w:jc w:val="center"/>
              <w:rPr>
                <w:sz w:val="18"/>
                <w:szCs w:val="18"/>
              </w:rPr>
            </w:pPr>
            <w:r>
              <w:rPr>
                <w:sz w:val="18"/>
                <w:szCs w:val="18"/>
              </w:rPr>
              <w:t>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2599"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18"/>
                <w:szCs w:val="18"/>
              </w:rPr>
              <w:t>​</w:t>
            </w:r>
          </w:p>
        </w:tc>
      </w:tr>
    </w:tbl>
    <w:p w:rsidR="00000000" w:rsidRDefault="001E618F">
      <w:pPr>
        <w:pStyle w:val="a3"/>
        <w:spacing w:before="0" w:beforeAutospacing="0" w:after="0" w:afterAutospacing="0"/>
        <w:divId w:val="1270968886"/>
        <w:rPr>
          <w:sz w:val="20"/>
          <w:szCs w:val="20"/>
        </w:rPr>
      </w:pPr>
      <w:r>
        <w:rPr>
          <w:sz w:val="10"/>
          <w:szCs w:val="10"/>
        </w:rPr>
        <w:t>​</w:t>
      </w:r>
    </w:p>
    <w:p w:rsidR="00000000" w:rsidRDefault="001E618F">
      <w:pPr>
        <w:pStyle w:val="a3"/>
        <w:spacing w:before="0" w:beforeAutospacing="0" w:after="0" w:afterAutospacing="0"/>
        <w:ind w:firstLine="490"/>
        <w:divId w:val="1270968886"/>
        <w:rPr>
          <w:sz w:val="18"/>
          <w:szCs w:val="18"/>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rsidR="00000000" w:rsidRDefault="001E618F">
      <w:pPr>
        <w:pStyle w:val="a3"/>
        <w:spacing w:before="0" w:beforeAutospacing="0" w:after="0" w:afterAutospacing="0"/>
        <w:ind w:firstLine="490"/>
        <w:divId w:val="1270968886"/>
        <w:rPr>
          <w:sz w:val="20"/>
          <w:szCs w:val="20"/>
        </w:rPr>
      </w:pPr>
      <w:r>
        <w:rPr>
          <w:sz w:val="10"/>
          <w:szCs w:val="10"/>
        </w:rPr>
        <w:t>​</w:t>
      </w:r>
    </w:p>
    <w:p w:rsidR="00000000" w:rsidRDefault="001E618F">
      <w:pPr>
        <w:pStyle w:val="a3"/>
        <w:spacing w:before="0" w:beforeAutospacing="0" w:after="0" w:afterAutospacing="0"/>
        <w:ind w:firstLine="490"/>
        <w:divId w:val="1270968886"/>
        <w:rPr>
          <w:sz w:val="20"/>
          <w:szCs w:val="20"/>
        </w:rPr>
      </w:pPr>
      <w:r>
        <w:rPr>
          <w:sz w:val="18"/>
          <w:szCs w:val="18"/>
        </w:rPr>
        <w:t>I</w:t>
      </w:r>
      <w:r>
        <w:rPr>
          <w:sz w:val="18"/>
          <w:szCs w:val="18"/>
        </w:rPr>
        <w:t>ndicate by check mark whether the registrant is a shell company (as defined in Rule 12b-2 of the Exchange Act).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1E618F">
      <w:pPr>
        <w:pStyle w:val="a3"/>
        <w:spacing w:before="0" w:beforeAutospacing="0" w:after="0" w:afterAutospacing="0"/>
        <w:divId w:val="1270968886"/>
        <w:rPr>
          <w:sz w:val="20"/>
          <w:szCs w:val="20"/>
        </w:rPr>
      </w:pPr>
      <w:r>
        <w:rPr>
          <w:sz w:val="10"/>
          <w:szCs w:val="10"/>
        </w:rPr>
        <w:t>​</w:t>
      </w:r>
    </w:p>
    <w:p w:rsidR="00000000" w:rsidRDefault="001E618F">
      <w:pPr>
        <w:pStyle w:val="a3"/>
        <w:spacing w:before="0" w:beforeAutospacing="0" w:after="0" w:afterAutospacing="0"/>
        <w:ind w:firstLine="490"/>
        <w:divId w:val="1270968886"/>
        <w:rPr>
          <w:sz w:val="18"/>
          <w:szCs w:val="18"/>
        </w:rPr>
      </w:pPr>
      <w:r>
        <w:rPr>
          <w:sz w:val="18"/>
          <w:szCs w:val="18"/>
        </w:rPr>
        <w:t>As of April 29, 2022, the number of the registrant’s outstanding ordinary shares was 76,115,393</w:t>
      </w:r>
      <w:r>
        <w:rPr>
          <w:sz w:val="20"/>
          <w:szCs w:val="20"/>
        </w:rPr>
        <w:t>.</w:t>
      </w:r>
    </w:p>
    <w:p w:rsidR="00000000" w:rsidRDefault="001E618F">
      <w:pPr>
        <w:pStyle w:val="a3"/>
        <w:pBdr>
          <w:top w:val="single" w:sz="8" w:space="1" w:color="000000"/>
          <w:bottom w:val="single" w:sz="24" w:space="1" w:color="000000"/>
        </w:pBdr>
        <w:spacing w:before="0" w:beforeAutospacing="0" w:after="0" w:afterAutospacing="0"/>
        <w:divId w:val="1270968886"/>
        <w:rPr>
          <w:sz w:val="20"/>
          <w:szCs w:val="20"/>
        </w:rPr>
      </w:pPr>
      <w:r>
        <w:rPr>
          <w:sz w:val="2"/>
          <w:szCs w:val="2"/>
        </w:rPr>
        <w:t>​</w:t>
      </w:r>
    </w:p>
    <w:p w:rsidR="00000000" w:rsidRDefault="001E618F">
      <w:pPr>
        <w:pStyle w:val="a3"/>
        <w:spacing w:before="0" w:beforeAutospacing="0" w:after="0" w:afterAutospacing="0" w:line="0" w:lineRule="atLeast"/>
        <w:jc w:val="center"/>
        <w:divId w:val="1270968886"/>
        <w:rPr>
          <w:vanish/>
        </w:rPr>
      </w:pPr>
      <w:r>
        <w:rPr>
          <w:vanish/>
          <w:sz w:val="2"/>
          <w:szCs w:val="2"/>
        </w:rPr>
        <w:t>​</w:t>
      </w:r>
    </w:p>
    <w:p w:rsidR="00000000" w:rsidRDefault="001E618F">
      <w:pPr>
        <w:pStyle w:val="a3"/>
        <w:spacing w:before="0" w:beforeAutospacing="0" w:after="600" w:afterAutospacing="0"/>
        <w:divId w:val="295837225"/>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jc w:val="center"/>
        <w:divId w:val="347876934"/>
        <w:rPr>
          <w:sz w:val="20"/>
          <w:szCs w:val="20"/>
        </w:rPr>
      </w:pPr>
      <w:r>
        <w:rPr>
          <w:b/>
          <w:bCs/>
          <w:sz w:val="20"/>
          <w:szCs w:val="20"/>
        </w:rPr>
        <w:t>THERAVANCE BIOPHARMA, INC.</w:t>
      </w:r>
    </w:p>
    <w:p w:rsidR="00000000" w:rsidRDefault="001E618F">
      <w:pPr>
        <w:pStyle w:val="a3"/>
        <w:spacing w:before="0" w:beforeAutospacing="0" w:after="0" w:afterAutospacing="0"/>
        <w:jc w:val="center"/>
        <w:divId w:val="347876934"/>
        <w:rPr>
          <w:sz w:val="20"/>
          <w:szCs w:val="20"/>
        </w:rPr>
      </w:pPr>
      <w:r>
        <w:rPr>
          <w:b/>
          <w:bCs/>
          <w:sz w:val="20"/>
          <w:szCs w:val="20"/>
        </w:rPr>
        <w:t>TABLE OF CONTENTS</w:t>
      </w:r>
    </w:p>
    <w:p w:rsidR="00000000" w:rsidRDefault="001E618F">
      <w:pPr>
        <w:pStyle w:val="a3"/>
        <w:spacing w:before="0" w:beforeAutospacing="0" w:after="0" w:afterAutospacing="0"/>
        <w:divId w:val="34787693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557"/>
        <w:gridCol w:w="749"/>
      </w:tblGrid>
      <w:tr w:rsidR="00000000">
        <w:trPr>
          <w:divId w:val="347876934"/>
          <w:trHeight w:val="20"/>
        </w:trPr>
        <w:tc>
          <w:tcPr>
            <w:tcW w:w="4548" w:type="pct"/>
            <w:tcMar>
              <w:top w:w="0" w:type="dxa"/>
              <w:left w:w="0" w:type="dxa"/>
              <w:bottom w:w="0" w:type="dxa"/>
              <w:right w:w="0" w:type="dxa"/>
            </w:tcMar>
            <w:vAlign w:val="bottom"/>
            <w:hideMark/>
          </w:tcPr>
          <w:p w:rsidR="00000000" w:rsidRDefault="001E618F">
            <w:pPr>
              <w:pStyle w:val="a3"/>
              <w:spacing w:before="0" w:beforeAutospacing="0" w:after="0" w:afterAutospacing="0"/>
              <w:divId w:val="363017992"/>
              <w:rPr>
                <w:sz w:val="20"/>
                <w:szCs w:val="20"/>
              </w:rPr>
            </w:pPr>
            <w:r>
              <w:rPr>
                <w:sz w:val="2"/>
                <w:szCs w:val="2"/>
              </w:rPr>
              <w:t>​</w:t>
            </w:r>
          </w:p>
        </w:tc>
        <w:tc>
          <w:tcPr>
            <w:tcW w:w="451" w:type="pct"/>
            <w:tcMar>
              <w:top w:w="0" w:type="dxa"/>
              <w:left w:w="0" w:type="dxa"/>
              <w:bottom w:w="0" w:type="dxa"/>
              <w:right w:w="0" w:type="dxa"/>
            </w:tcMar>
            <w:vAlign w:val="bottom"/>
            <w:hideMark/>
          </w:tcPr>
          <w:p w:rsidR="00000000" w:rsidRDefault="001E618F">
            <w:pPr>
              <w:pStyle w:val="a3"/>
              <w:spacing w:before="0" w:beforeAutospacing="0" w:after="0" w:afterAutospacing="0"/>
              <w:divId w:val="1682051435"/>
              <w:rPr>
                <w:sz w:val="20"/>
                <w:szCs w:val="20"/>
              </w:rPr>
            </w:pPr>
            <w:r>
              <w:rPr>
                <w:sz w:val="2"/>
                <w:szCs w:val="2"/>
              </w:rPr>
              <w:t>​</w:t>
            </w:r>
          </w:p>
        </w:tc>
      </w:tr>
      <w:tr w:rsidR="00000000">
        <w:trPr>
          <w:divId w:val="347876934"/>
        </w:trPr>
        <w:tc>
          <w:tcPr>
            <w:tcW w:w="4548"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rFonts w:ascii="Times New Roman Bold" w:hAnsi="Times New Roman Bold"/>
                <w:sz w:val="16"/>
                <w:szCs w:val="16"/>
              </w:rPr>
              <w:t>​</w:t>
            </w:r>
          </w:p>
        </w:tc>
        <w:tc>
          <w:tcPr>
            <w:tcW w:w="451"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Page No.</w:t>
            </w:r>
          </w:p>
        </w:tc>
      </w:tr>
      <w:tr w:rsidR="00000000">
        <w:trPr>
          <w:divId w:val="347876934"/>
        </w:trPr>
        <w:tc>
          <w:tcPr>
            <w:tcW w:w="4548"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hyperlink w:anchor="PARTIFINANCIALINFORMATION_279812" w:history="1">
              <w:r>
                <w:rPr>
                  <w:rStyle w:val="a4"/>
                  <w:b/>
                  <w:bCs/>
                  <w:sz w:val="20"/>
                  <w:szCs w:val="20"/>
                </w:rPr>
                <w:t>PART I. FINANCIAL INFORMATION</w:t>
              </w:r>
            </w:hyperlink>
          </w:p>
        </w:tc>
        <w:tc>
          <w:tcPr>
            <w:tcW w:w="451" w:type="pct"/>
            <w:tcBorders>
              <w:top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r>
      <w:tr w:rsidR="00000000">
        <w:trPr>
          <w:divId w:val="347876934"/>
        </w:trPr>
        <w:tc>
          <w:tcPr>
            <w:tcW w:w="4548"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hyperlink w:anchor="ITEM1FINANCIALSTATEMENTS_368827" w:history="1">
              <w:r>
                <w:rPr>
                  <w:rStyle w:val="a4"/>
                  <w:sz w:val="20"/>
                  <w:szCs w:val="20"/>
                </w:rPr>
                <w:t>Item 1. Financial Statements</w:t>
              </w:r>
            </w:hyperlink>
          </w:p>
        </w:tc>
        <w:tc>
          <w:tcPr>
            <w:tcW w:w="451"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r>
      <w:tr w:rsidR="00000000">
        <w:trPr>
          <w:divId w:val="347876934"/>
        </w:trPr>
        <w:tc>
          <w:tcPr>
            <w:tcW w:w="4548"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left="144"/>
              <w:rPr>
                <w:sz w:val="20"/>
                <w:szCs w:val="20"/>
              </w:rPr>
            </w:pPr>
            <w:hyperlink w:anchor="CONSOLIDATEDBALANCESHEETS_45369" w:history="1">
              <w:r>
                <w:rPr>
                  <w:rStyle w:val="a4"/>
                  <w:sz w:val="20"/>
                  <w:szCs w:val="20"/>
                </w:rPr>
                <w:t>Condensed Consolidated Balance Sheets as of March 31, 2022 and December 31, 2021 (unaudited)</w:t>
              </w:r>
            </w:hyperlink>
          </w:p>
        </w:tc>
        <w:tc>
          <w:tcPr>
            <w:tcW w:w="451"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3</w:t>
            </w:r>
          </w:p>
        </w:tc>
      </w:tr>
      <w:tr w:rsidR="00000000">
        <w:trPr>
          <w:divId w:val="347876934"/>
        </w:trPr>
        <w:tc>
          <w:tcPr>
            <w:tcW w:w="4548" w:type="pct"/>
            <w:tcMar>
              <w:top w:w="0" w:type="dxa"/>
              <w:left w:w="0" w:type="dxa"/>
              <w:bottom w:w="0" w:type="dxa"/>
              <w:right w:w="0" w:type="dxa"/>
            </w:tcMar>
            <w:vAlign w:val="bottom"/>
            <w:hideMark/>
          </w:tcPr>
          <w:p w:rsidR="00000000" w:rsidRDefault="001E618F">
            <w:pPr>
              <w:pStyle w:val="a3"/>
              <w:spacing w:before="0" w:beforeAutospacing="0" w:after="0" w:afterAutospacing="0"/>
              <w:ind w:left="144" w:hanging="144"/>
              <w:rPr>
                <w:sz w:val="20"/>
                <w:szCs w:val="20"/>
              </w:rPr>
            </w:pPr>
            <w:hyperlink w:anchor="CONSOLIDATEDSTATEMENTSOFOPERATIONS_3228" w:history="1">
              <w:r>
                <w:rPr>
                  <w:rStyle w:val="a4"/>
                  <w:sz w:val="20"/>
                  <w:szCs w:val="20"/>
                </w:rPr>
                <w:t>Condensed Consolidated Statements of Operations and Comprehensive Loss for the three months ended March 31, 2022 and 2021 (unaudited)</w:t>
              </w:r>
            </w:hyperlink>
          </w:p>
        </w:tc>
        <w:tc>
          <w:tcPr>
            <w:tcW w:w="451"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4</w:t>
            </w:r>
          </w:p>
        </w:tc>
      </w:tr>
      <w:tr w:rsidR="00000000">
        <w:trPr>
          <w:divId w:val="347876934"/>
        </w:trPr>
        <w:tc>
          <w:tcPr>
            <w:tcW w:w="4548"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left="144" w:hanging="144"/>
              <w:rPr>
                <w:sz w:val="20"/>
                <w:szCs w:val="20"/>
              </w:rPr>
            </w:pPr>
            <w:hyperlink w:anchor="CONSOLIDATEDSTATEMENTSOFSHAREHOLDERS_32" w:history="1">
              <w:r>
                <w:rPr>
                  <w:rStyle w:val="a4"/>
                  <w:sz w:val="20"/>
                  <w:szCs w:val="20"/>
                </w:rPr>
                <w:t>Condensed Conso</w:t>
              </w:r>
              <w:r>
                <w:rPr>
                  <w:rStyle w:val="a4"/>
                  <w:sz w:val="20"/>
                  <w:szCs w:val="20"/>
                </w:rPr>
                <w:t>lidated Statements of Shareholders’ Deficit for the three months ended March 31, 2022 and 2021 (unaudited)</w:t>
              </w:r>
            </w:hyperlink>
          </w:p>
        </w:tc>
        <w:tc>
          <w:tcPr>
            <w:tcW w:w="451"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5</w:t>
            </w:r>
          </w:p>
        </w:tc>
      </w:tr>
      <w:tr w:rsidR="00000000">
        <w:trPr>
          <w:divId w:val="347876934"/>
        </w:trPr>
        <w:tc>
          <w:tcPr>
            <w:tcW w:w="4548" w:type="pct"/>
            <w:tcMar>
              <w:top w:w="0" w:type="dxa"/>
              <w:left w:w="0" w:type="dxa"/>
              <w:bottom w:w="0" w:type="dxa"/>
              <w:right w:w="0" w:type="dxa"/>
            </w:tcMar>
            <w:vAlign w:val="bottom"/>
            <w:hideMark/>
          </w:tcPr>
          <w:p w:rsidR="00000000" w:rsidRDefault="001E618F">
            <w:pPr>
              <w:pStyle w:val="a3"/>
              <w:spacing w:before="0" w:beforeAutospacing="0" w:after="0" w:afterAutospacing="0"/>
              <w:ind w:left="144" w:hanging="144"/>
              <w:rPr>
                <w:sz w:val="20"/>
                <w:szCs w:val="20"/>
              </w:rPr>
            </w:pPr>
            <w:hyperlink w:anchor="CONSOLIDATEDSTATEMENTSOFCASHFLOWS_69820" w:history="1">
              <w:r>
                <w:rPr>
                  <w:rStyle w:val="a4"/>
                  <w:sz w:val="20"/>
                  <w:szCs w:val="20"/>
                </w:rPr>
                <w:t>Condensed Consolidated Statements of Cash Flows for the three months ended March 31,</w:t>
              </w:r>
              <w:r>
                <w:rPr>
                  <w:rStyle w:val="a4"/>
                  <w:sz w:val="20"/>
                  <w:szCs w:val="20"/>
                </w:rPr>
                <w:t xml:space="preserve"> 2022 and 2021 (unaudited)</w:t>
              </w:r>
            </w:hyperlink>
          </w:p>
        </w:tc>
        <w:tc>
          <w:tcPr>
            <w:tcW w:w="451"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6</w:t>
            </w:r>
          </w:p>
        </w:tc>
      </w:tr>
      <w:tr w:rsidR="00000000">
        <w:trPr>
          <w:divId w:val="347876934"/>
        </w:trPr>
        <w:tc>
          <w:tcPr>
            <w:tcW w:w="4548"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left="144"/>
              <w:rPr>
                <w:sz w:val="20"/>
                <w:szCs w:val="20"/>
              </w:rPr>
            </w:pPr>
            <w:hyperlink w:anchor="NOTESTOCONDENSEDCONSOLIDATEDFINANCIAL_8" w:history="1">
              <w:r>
                <w:rPr>
                  <w:rStyle w:val="a4"/>
                  <w:sz w:val="20"/>
                  <w:szCs w:val="20"/>
                </w:rPr>
                <w:t>Notes to Condensed Consolidated Financial Statements (unaudited)</w:t>
              </w:r>
            </w:hyperlink>
          </w:p>
        </w:tc>
        <w:tc>
          <w:tcPr>
            <w:tcW w:w="451"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7</w:t>
            </w:r>
          </w:p>
        </w:tc>
      </w:tr>
      <w:tr w:rsidR="00000000">
        <w:trPr>
          <w:divId w:val="347876934"/>
        </w:trPr>
        <w:tc>
          <w:tcPr>
            <w:tcW w:w="4548"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hyperlink w:anchor="MANAGEMENTSDISCUSSIONANDANALYSIS_237225" w:history="1">
              <w:r>
                <w:rPr>
                  <w:rStyle w:val="a4"/>
                  <w:sz w:val="20"/>
                  <w:szCs w:val="20"/>
                </w:rPr>
                <w:t>Item 2. Management’s Discussion and Analysis of Financial Condition and Results of Operations</w:t>
              </w:r>
            </w:hyperlink>
          </w:p>
        </w:tc>
        <w:tc>
          <w:tcPr>
            <w:tcW w:w="451"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17</w:t>
            </w:r>
          </w:p>
        </w:tc>
      </w:tr>
      <w:tr w:rsidR="00000000">
        <w:trPr>
          <w:divId w:val="347876934"/>
        </w:trPr>
        <w:tc>
          <w:tcPr>
            <w:tcW w:w="4548"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hyperlink w:anchor="QUANTITATIVEANDQUALITATIVEDISCLOSURES_5" w:history="1">
              <w:r>
                <w:rPr>
                  <w:rStyle w:val="a4"/>
                  <w:sz w:val="20"/>
                  <w:szCs w:val="20"/>
                </w:rPr>
                <w:t>Item 3. Quantitative and Qualitati</w:t>
              </w:r>
              <w:r>
                <w:rPr>
                  <w:rStyle w:val="a4"/>
                  <w:sz w:val="20"/>
                  <w:szCs w:val="20"/>
                </w:rPr>
                <w:t>ve Disclosures About Market Risk</w:t>
              </w:r>
            </w:hyperlink>
          </w:p>
        </w:tc>
        <w:tc>
          <w:tcPr>
            <w:tcW w:w="451"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31</w:t>
            </w:r>
          </w:p>
        </w:tc>
      </w:tr>
      <w:tr w:rsidR="00000000">
        <w:trPr>
          <w:divId w:val="347876934"/>
        </w:trPr>
        <w:tc>
          <w:tcPr>
            <w:tcW w:w="4548"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hyperlink w:anchor="CONTROLSANDPROCEDURES_651619" w:history="1">
              <w:r>
                <w:rPr>
                  <w:rStyle w:val="a4"/>
                  <w:sz w:val="20"/>
                  <w:szCs w:val="20"/>
                </w:rPr>
                <w:t>Item 4. Controls and Procedures</w:t>
              </w:r>
            </w:hyperlink>
          </w:p>
        </w:tc>
        <w:tc>
          <w:tcPr>
            <w:tcW w:w="451"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31</w:t>
            </w:r>
          </w:p>
        </w:tc>
      </w:tr>
      <w:tr w:rsidR="00000000">
        <w:trPr>
          <w:divId w:val="347876934"/>
        </w:trPr>
        <w:tc>
          <w:tcPr>
            <w:tcW w:w="4548"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51"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r>
      <w:tr w:rsidR="00000000">
        <w:trPr>
          <w:divId w:val="347876934"/>
        </w:trPr>
        <w:tc>
          <w:tcPr>
            <w:tcW w:w="4548"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hyperlink w:anchor="PARTIIOTHERINFORMATION_797321" w:history="1">
              <w:r>
                <w:rPr>
                  <w:rStyle w:val="a4"/>
                  <w:b/>
                  <w:bCs/>
                  <w:sz w:val="20"/>
                  <w:szCs w:val="20"/>
                </w:rPr>
                <w:t>PART II. OTHER INFORMATION</w:t>
              </w:r>
            </w:hyperlink>
          </w:p>
        </w:tc>
        <w:tc>
          <w:tcPr>
            <w:tcW w:w="451"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r>
      <w:tr w:rsidR="00000000">
        <w:trPr>
          <w:divId w:val="347876934"/>
        </w:trPr>
        <w:tc>
          <w:tcPr>
            <w:tcW w:w="4548"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hyperlink w:anchor="ITEM1LEGALPROCEEDINGS_174301" w:history="1">
              <w:r>
                <w:rPr>
                  <w:rStyle w:val="a4"/>
                  <w:sz w:val="20"/>
                  <w:szCs w:val="20"/>
                </w:rPr>
                <w:t>Item 1. Legal Proceedings</w:t>
              </w:r>
            </w:hyperlink>
          </w:p>
        </w:tc>
        <w:tc>
          <w:tcPr>
            <w:tcW w:w="451"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31</w:t>
            </w:r>
          </w:p>
        </w:tc>
      </w:tr>
      <w:tr w:rsidR="00000000">
        <w:trPr>
          <w:divId w:val="347876934"/>
        </w:trPr>
        <w:tc>
          <w:tcPr>
            <w:tcW w:w="4548"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hyperlink w:anchor="ITEM1ARISKFACTORS_513956" w:history="1">
              <w:r>
                <w:rPr>
                  <w:rStyle w:val="a4"/>
                  <w:sz w:val="20"/>
                  <w:szCs w:val="20"/>
                </w:rPr>
                <w:t>Item 1A. Risk Factors</w:t>
              </w:r>
            </w:hyperlink>
          </w:p>
        </w:tc>
        <w:tc>
          <w:tcPr>
            <w:tcW w:w="451"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31</w:t>
            </w:r>
          </w:p>
        </w:tc>
      </w:tr>
      <w:tr w:rsidR="00000000">
        <w:trPr>
          <w:divId w:val="347876934"/>
        </w:trPr>
        <w:tc>
          <w:tcPr>
            <w:tcW w:w="4548"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hyperlink w:anchor="ITEM6EXHIBITS_250977" w:history="1">
              <w:r>
                <w:rPr>
                  <w:rStyle w:val="a4"/>
                  <w:sz w:val="20"/>
                  <w:szCs w:val="20"/>
                </w:rPr>
                <w:t>Item 6. Exhibits</w:t>
              </w:r>
            </w:hyperlink>
          </w:p>
        </w:tc>
        <w:tc>
          <w:tcPr>
            <w:tcW w:w="451"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69</w:t>
            </w:r>
          </w:p>
        </w:tc>
      </w:tr>
      <w:tr w:rsidR="00000000">
        <w:trPr>
          <w:divId w:val="347876934"/>
        </w:trPr>
        <w:tc>
          <w:tcPr>
            <w:tcW w:w="4548"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hyperlink w:anchor="SIGNATURES_417351" w:history="1">
              <w:r>
                <w:rPr>
                  <w:rStyle w:val="a4"/>
                  <w:sz w:val="20"/>
                  <w:szCs w:val="20"/>
                </w:rPr>
                <w:t>Signatures</w:t>
              </w:r>
            </w:hyperlink>
          </w:p>
        </w:tc>
        <w:tc>
          <w:tcPr>
            <w:tcW w:w="451"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70</w:t>
            </w:r>
          </w:p>
        </w:tc>
      </w:tr>
    </w:tbl>
    <w:p w:rsidR="00000000" w:rsidRDefault="001E618F">
      <w:pPr>
        <w:pStyle w:val="a3"/>
        <w:spacing w:before="0" w:beforeAutospacing="0" w:after="0" w:afterAutospacing="0"/>
        <w:divId w:val="347876934"/>
        <w:rPr>
          <w:sz w:val="20"/>
          <w:szCs w:val="20"/>
        </w:rPr>
      </w:pPr>
      <w:r>
        <w:rPr>
          <w:sz w:val="20"/>
          <w:szCs w:val="20"/>
        </w:rPr>
        <w:t>​</w:t>
      </w:r>
    </w:p>
    <w:p w:rsidR="00000000" w:rsidRDefault="001E618F">
      <w:pPr>
        <w:pStyle w:val="a3"/>
        <w:spacing w:before="0" w:beforeAutospacing="0" w:after="0" w:afterAutospacing="0"/>
        <w:divId w:val="347876934"/>
        <w:rPr>
          <w:sz w:val="20"/>
          <w:szCs w:val="20"/>
        </w:rPr>
      </w:pPr>
      <w:r>
        <w:rPr>
          <w:sz w:val="20"/>
          <w:szCs w:val="20"/>
        </w:rPr>
        <w:t>​</w:t>
      </w:r>
    </w:p>
    <w:p w:rsidR="00000000" w:rsidRDefault="001E618F">
      <w:pPr>
        <w:pStyle w:val="a3"/>
        <w:spacing w:before="360" w:beforeAutospacing="0" w:after="0" w:afterAutospacing="0"/>
        <w:jc w:val="center"/>
        <w:divId w:val="965695510"/>
        <w:rPr>
          <w:sz w:val="20"/>
          <w:szCs w:val="20"/>
        </w:rPr>
      </w:pPr>
      <w:r>
        <w:rPr>
          <w:sz w:val="20"/>
          <w:szCs w:val="20"/>
        </w:rPr>
        <w:t>2</w:t>
      </w:r>
    </w:p>
    <w:p w:rsidR="00000000" w:rsidRDefault="001E618F">
      <w:pPr>
        <w:pStyle w:val="a3"/>
        <w:spacing w:before="0" w:beforeAutospacing="0" w:after="600" w:afterAutospacing="0"/>
        <w:divId w:val="840507845"/>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divId w:val="1612126120"/>
        <w:rPr>
          <w:sz w:val="20"/>
          <w:szCs w:val="20"/>
        </w:rPr>
      </w:pPr>
      <w:r>
        <w:rPr>
          <w:b/>
          <w:bCs/>
          <w:sz w:val="20"/>
          <w:szCs w:val="20"/>
        </w:rPr>
        <w:lastRenderedPageBreak/>
        <w:t>PART I. FINANCIAL INFORMATION</w:t>
      </w:r>
    </w:p>
    <w:p w:rsidR="00000000" w:rsidRDefault="001E618F">
      <w:pPr>
        <w:pStyle w:val="a3"/>
        <w:spacing w:before="0" w:beforeAutospacing="0" w:after="240" w:afterAutospacing="0"/>
        <w:ind w:hanging="1008"/>
        <w:divId w:val="1612126120"/>
        <w:rPr>
          <w:sz w:val="20"/>
          <w:szCs w:val="20"/>
        </w:rPr>
      </w:pPr>
      <w:r>
        <w:rPr>
          <w:b/>
          <w:bCs/>
          <w:sz w:val="20"/>
          <w:szCs w:val="20"/>
        </w:rPr>
        <w:t>ITEM 1.    FINANCIAL STATEMENTS</w:t>
      </w:r>
    </w:p>
    <w:p w:rsidR="00000000" w:rsidRDefault="001E618F">
      <w:pPr>
        <w:pStyle w:val="a3"/>
        <w:spacing w:before="0" w:beforeAutospacing="0" w:after="0" w:afterAutospacing="0"/>
        <w:jc w:val="center"/>
        <w:divId w:val="1612126120"/>
        <w:rPr>
          <w:sz w:val="20"/>
          <w:szCs w:val="20"/>
        </w:rPr>
      </w:pPr>
      <w:r>
        <w:rPr>
          <w:b/>
          <w:bCs/>
          <w:sz w:val="20"/>
          <w:szCs w:val="20"/>
        </w:rPr>
        <w:t>THERAVANCE BIOPHARMA, INC.</w:t>
      </w:r>
    </w:p>
    <w:p w:rsidR="00000000" w:rsidRDefault="001E618F">
      <w:pPr>
        <w:pStyle w:val="a3"/>
        <w:spacing w:before="0" w:beforeAutospacing="0" w:after="0" w:afterAutospacing="0"/>
        <w:jc w:val="center"/>
        <w:divId w:val="1612126120"/>
        <w:rPr>
          <w:sz w:val="20"/>
          <w:szCs w:val="20"/>
        </w:rPr>
      </w:pPr>
      <w:r>
        <w:rPr>
          <w:b/>
          <w:bCs/>
          <w:sz w:val="20"/>
          <w:szCs w:val="20"/>
        </w:rPr>
        <w:t>CONDENSED CONSOLIDATED BALANCE SHEETS</w:t>
      </w:r>
    </w:p>
    <w:p w:rsidR="00000000" w:rsidRDefault="001E618F">
      <w:pPr>
        <w:pStyle w:val="a3"/>
        <w:spacing w:before="0" w:beforeAutospacing="0" w:after="0" w:afterAutospacing="0"/>
        <w:jc w:val="center"/>
        <w:divId w:val="1612126120"/>
        <w:rPr>
          <w:sz w:val="20"/>
          <w:szCs w:val="20"/>
        </w:rPr>
      </w:pPr>
      <w:r>
        <w:rPr>
          <w:b/>
          <w:bCs/>
          <w:sz w:val="20"/>
          <w:szCs w:val="20"/>
        </w:rPr>
        <w:t>(Unaudited)</w:t>
      </w:r>
    </w:p>
    <w:p w:rsidR="00000000" w:rsidRDefault="001E618F">
      <w:pPr>
        <w:pStyle w:val="a3"/>
        <w:spacing w:before="0" w:beforeAutospacing="0" w:after="120" w:afterAutospacing="0"/>
        <w:jc w:val="center"/>
        <w:divId w:val="1612126120"/>
        <w:rPr>
          <w:sz w:val="20"/>
          <w:szCs w:val="20"/>
        </w:rPr>
      </w:pPr>
      <w:r>
        <w:rPr>
          <w:b/>
          <w:bCs/>
          <w:sz w:val="20"/>
          <w:szCs w:val="20"/>
        </w:rPr>
        <w:t>(In thousands, except per share data)</w:t>
      </w:r>
    </w:p>
    <w:tbl>
      <w:tblPr>
        <w:tblW w:w="5000" w:type="pct"/>
        <w:tblCellMar>
          <w:top w:w="15" w:type="dxa"/>
          <w:left w:w="0" w:type="dxa"/>
          <w:bottom w:w="15" w:type="dxa"/>
          <w:right w:w="0" w:type="dxa"/>
        </w:tblCellMar>
        <w:tblLook w:val="04A0" w:firstRow="1" w:lastRow="0" w:firstColumn="1" w:lastColumn="0" w:noHBand="0" w:noVBand="1"/>
      </w:tblPr>
      <w:tblGrid>
        <w:gridCol w:w="5933"/>
        <w:gridCol w:w="212"/>
        <w:gridCol w:w="133"/>
        <w:gridCol w:w="841"/>
        <w:gridCol w:w="213"/>
        <w:gridCol w:w="134"/>
        <w:gridCol w:w="840"/>
      </w:tblGrid>
      <w:tr w:rsidR="00000000">
        <w:trPr>
          <w:divId w:val="1612126120"/>
          <w:trHeight w:val="20"/>
        </w:trPr>
        <w:tc>
          <w:tcPr>
            <w:tcW w:w="3569" w:type="pct"/>
            <w:tcMar>
              <w:top w:w="0" w:type="dxa"/>
              <w:left w:w="0" w:type="dxa"/>
              <w:bottom w:w="0" w:type="dxa"/>
              <w:right w:w="0" w:type="dxa"/>
            </w:tcMar>
            <w:hideMark/>
          </w:tcPr>
          <w:p w:rsidR="00000000" w:rsidRDefault="001E618F">
            <w:pPr>
              <w:pStyle w:val="a3"/>
              <w:spacing w:before="0" w:beforeAutospacing="0" w:after="0" w:afterAutospacing="0"/>
              <w:divId w:val="268511331"/>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517737485"/>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281641987"/>
              <w:rPr>
                <w:sz w:val="20"/>
                <w:szCs w:val="20"/>
              </w:rPr>
            </w:pPr>
            <w:r>
              <w:rPr>
                <w:sz w:val="2"/>
                <w:szCs w:val="2"/>
              </w:rPr>
              <w:t>​</w:t>
            </w:r>
          </w:p>
        </w:tc>
        <w:tc>
          <w:tcPr>
            <w:tcW w:w="50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218735681"/>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636983955"/>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53705462"/>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481703215"/>
              <w:rPr>
                <w:sz w:val="20"/>
                <w:szCs w:val="20"/>
              </w:rPr>
            </w:pPr>
            <w:r>
              <w:rPr>
                <w:sz w:val="2"/>
                <w:szCs w:val="2"/>
              </w:rPr>
              <w:t>​</w:t>
            </w:r>
          </w:p>
        </w:tc>
      </w:tr>
      <w:tr w:rsidR="00000000">
        <w:trPr>
          <w:divId w:val="1612126120"/>
        </w:trPr>
        <w:tc>
          <w:tcPr>
            <w:tcW w:w="3569"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86"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85"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December 31, </w:t>
            </w:r>
          </w:p>
        </w:tc>
      </w:tr>
      <w:tr w:rsidR="00000000">
        <w:trPr>
          <w:divId w:val="1612126120"/>
        </w:trPr>
        <w:tc>
          <w:tcPr>
            <w:tcW w:w="3569"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586"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585"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2021</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18"/>
                <w:szCs w:val="18"/>
              </w:rPr>
            </w:pPr>
            <w:r>
              <w:rPr>
                <w:b/>
                <w:bCs/>
                <w:sz w:val="18"/>
                <w:szCs w:val="18"/>
              </w:rPr>
              <w:t>Assets</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rPr>
                <w:sz w:val="18"/>
                <w:szCs w:val="18"/>
              </w:rPr>
            </w:pPr>
            <w:r>
              <w:rPr>
                <w:sz w:val="18"/>
                <w:szCs w:val="18"/>
              </w:rPr>
              <w:t>Current assets:</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240"/>
              <w:rPr>
                <w:sz w:val="18"/>
                <w:szCs w:val="18"/>
              </w:rPr>
            </w:pPr>
            <w:r>
              <w:rPr>
                <w:sz w:val="18"/>
                <w:szCs w:val="18"/>
              </w:rPr>
              <w:t xml:space="preserve">Cash and cash equivalents </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94,367</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89,959</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ind w:left="240"/>
              <w:rPr>
                <w:sz w:val="18"/>
                <w:szCs w:val="18"/>
              </w:rPr>
            </w:pPr>
            <w:r>
              <w:rPr>
                <w:sz w:val="18"/>
                <w:szCs w:val="18"/>
              </w:rPr>
              <w:t>Short-term marketable securities</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53,149</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83,506</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240"/>
              <w:rPr>
                <w:sz w:val="18"/>
                <w:szCs w:val="18"/>
              </w:rPr>
            </w:pPr>
            <w:r>
              <w:rPr>
                <w:sz w:val="18"/>
                <w:szCs w:val="18"/>
              </w:rPr>
              <w:t xml:space="preserve">Receivables from collaborative arrangements </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12,277</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14,065</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ind w:left="240"/>
              <w:rPr>
                <w:sz w:val="18"/>
                <w:szCs w:val="18"/>
              </w:rPr>
            </w:pPr>
            <w:r>
              <w:rPr>
                <w:sz w:val="18"/>
                <w:szCs w:val="18"/>
              </w:rPr>
              <w:t>Amounts due from TRC, LLC</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35,559</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43,534</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240"/>
              <w:rPr>
                <w:sz w:val="18"/>
                <w:szCs w:val="18"/>
              </w:rPr>
            </w:pPr>
            <w:r>
              <w:rPr>
                <w:sz w:val="18"/>
                <w:szCs w:val="18"/>
              </w:rPr>
              <w:t>Prepaid clinical and development services</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4,742</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10,245</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ind w:left="240"/>
              <w:rPr>
                <w:sz w:val="18"/>
                <w:szCs w:val="18"/>
              </w:rPr>
            </w:pPr>
            <w:r>
              <w:rPr>
                <w:sz w:val="18"/>
                <w:szCs w:val="18"/>
              </w:rPr>
              <w:t>Other prepaid and current assets</w:t>
            </w:r>
            <w:r>
              <w:rPr>
                <w:sz w:val="18"/>
                <w:szCs w:val="18"/>
              </w:rPr>
              <w:t xml:space="preserve"> </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4,542</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8,561</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360"/>
              <w:rPr>
                <w:sz w:val="18"/>
                <w:szCs w:val="18"/>
              </w:rPr>
            </w:pPr>
            <w:r>
              <w:rPr>
                <w:sz w:val="18"/>
                <w:szCs w:val="18"/>
              </w:rPr>
              <w:t xml:space="preserve">Total current assets </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204,636</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249,870</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rPr>
                <w:sz w:val="18"/>
                <w:szCs w:val="18"/>
              </w:rPr>
            </w:pPr>
            <w:r>
              <w:rPr>
                <w:sz w:val="18"/>
                <w:szCs w:val="18"/>
              </w:rPr>
              <w:t xml:space="preserve">Property and equipment, net </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13,236</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13,657</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18"/>
                <w:szCs w:val="18"/>
              </w:rPr>
            </w:pPr>
            <w:r>
              <w:rPr>
                <w:sz w:val="18"/>
                <w:szCs w:val="18"/>
              </w:rPr>
              <w:t>Operating lease assets</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39,349</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39,690</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rPr>
                <w:sz w:val="18"/>
                <w:szCs w:val="18"/>
              </w:rPr>
            </w:pPr>
            <w:r>
              <w:rPr>
                <w:sz w:val="18"/>
                <w:szCs w:val="18"/>
              </w:rPr>
              <w:t>Equity in net assets of TRC, LLC</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94,108</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67,537</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18"/>
                <w:szCs w:val="18"/>
              </w:rPr>
            </w:pPr>
            <w:r>
              <w:rPr>
                <w:sz w:val="18"/>
                <w:szCs w:val="18"/>
              </w:rPr>
              <w:t xml:space="preserve">Restricted cash </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836</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837</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rPr>
                <w:sz w:val="18"/>
                <w:szCs w:val="18"/>
              </w:rPr>
            </w:pPr>
            <w:r>
              <w:rPr>
                <w:sz w:val="18"/>
                <w:szCs w:val="18"/>
              </w:rPr>
              <w:t>Other assets</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3,194</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3,228</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360"/>
              <w:rPr>
                <w:sz w:val="18"/>
                <w:szCs w:val="18"/>
              </w:rPr>
            </w:pPr>
            <w:r>
              <w:rPr>
                <w:sz w:val="18"/>
                <w:szCs w:val="18"/>
              </w:rPr>
              <w:t xml:space="preserve">Total assets </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w:t>
            </w:r>
          </w:p>
        </w:tc>
        <w:tc>
          <w:tcPr>
            <w:tcW w:w="5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355,359</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374,819</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18"/>
                <w:szCs w:val="18"/>
              </w:rPr>
            </w:pPr>
            <w:r>
              <w:rPr>
                <w:b/>
                <w:bCs/>
                <w:sz w:val="18"/>
                <w:szCs w:val="18"/>
              </w:rPr>
              <w:t>Liabilities and Shareholders' Deficit</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rPr>
                <w:sz w:val="18"/>
                <w:szCs w:val="18"/>
              </w:rPr>
            </w:pPr>
            <w:r>
              <w:rPr>
                <w:sz w:val="18"/>
                <w:szCs w:val="18"/>
              </w:rPr>
              <w:t>Current liabilities:</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240"/>
              <w:rPr>
                <w:sz w:val="18"/>
                <w:szCs w:val="18"/>
              </w:rPr>
            </w:pPr>
            <w:r>
              <w:rPr>
                <w:sz w:val="18"/>
                <w:szCs w:val="18"/>
              </w:rPr>
              <w:t xml:space="preserve">Accounts payable </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1,510</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3,098</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ind w:left="240"/>
              <w:rPr>
                <w:sz w:val="18"/>
                <w:szCs w:val="18"/>
              </w:rPr>
            </w:pPr>
            <w:r>
              <w:rPr>
                <w:sz w:val="18"/>
                <w:szCs w:val="18"/>
              </w:rPr>
              <w:t xml:space="preserve">Accrued personnel-related expenses </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9,560</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12,796</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240"/>
              <w:rPr>
                <w:sz w:val="18"/>
                <w:szCs w:val="18"/>
              </w:rPr>
            </w:pPr>
            <w:r>
              <w:rPr>
                <w:sz w:val="18"/>
                <w:szCs w:val="18"/>
              </w:rPr>
              <w:t xml:space="preserve">Accrued clinical and development expenses </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8,922</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17,010</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ind w:left="240"/>
              <w:rPr>
                <w:sz w:val="18"/>
                <w:szCs w:val="18"/>
              </w:rPr>
            </w:pPr>
            <w:r>
              <w:rPr>
                <w:sz w:val="18"/>
                <w:szCs w:val="18"/>
              </w:rPr>
              <w:t>Accrued general and administrative expenses</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4,412</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2,898</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240"/>
              <w:rPr>
                <w:sz w:val="18"/>
                <w:szCs w:val="18"/>
              </w:rPr>
            </w:pPr>
            <w:r>
              <w:rPr>
                <w:sz w:val="18"/>
                <w:szCs w:val="18"/>
              </w:rPr>
              <w:t>Accrued interest payable</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5,841</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3,940</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ind w:left="240"/>
              <w:rPr>
                <w:sz w:val="18"/>
                <w:szCs w:val="18"/>
              </w:rPr>
            </w:pPr>
            <w:r>
              <w:rPr>
                <w:sz w:val="18"/>
                <w:szCs w:val="18"/>
              </w:rPr>
              <w:t>Current portion of non-recourse notes due 2035, net</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9,012</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16,940</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240"/>
              <w:rPr>
                <w:sz w:val="18"/>
                <w:szCs w:val="18"/>
              </w:rPr>
            </w:pPr>
            <w:r>
              <w:rPr>
                <w:sz w:val="18"/>
                <w:szCs w:val="18"/>
              </w:rPr>
              <w:t>Operating lease liabilities</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4,054</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503</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ind w:left="240"/>
              <w:rPr>
                <w:sz w:val="18"/>
                <w:szCs w:val="18"/>
              </w:rPr>
            </w:pPr>
            <w:r>
              <w:rPr>
                <w:sz w:val="18"/>
                <w:szCs w:val="18"/>
              </w:rPr>
              <w:t>Deferred revenue</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98</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98</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240"/>
              <w:rPr>
                <w:sz w:val="18"/>
                <w:szCs w:val="18"/>
              </w:rPr>
            </w:pPr>
            <w:r>
              <w:rPr>
                <w:sz w:val="18"/>
                <w:szCs w:val="18"/>
              </w:rPr>
              <w:t>Other accrued liabilities</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792</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1,304</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ind w:left="360"/>
              <w:rPr>
                <w:sz w:val="18"/>
                <w:szCs w:val="18"/>
              </w:rPr>
            </w:pPr>
            <w:r>
              <w:rPr>
                <w:sz w:val="18"/>
                <w:szCs w:val="18"/>
              </w:rPr>
              <w:t xml:space="preserve">Total current liabilities </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44,201</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58,587</w:t>
            </w:r>
          </w:p>
        </w:tc>
      </w:tr>
      <w:tr w:rsidR="00000000">
        <w:trPr>
          <w:divId w:val="1612126120"/>
        </w:trPr>
        <w:tc>
          <w:tcPr>
            <w:tcW w:w="3569"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Convertible senior notes due 2023, net</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228,303</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228,035</w:t>
            </w:r>
          </w:p>
        </w:tc>
      </w:tr>
      <w:tr w:rsidR="00000000">
        <w:trPr>
          <w:divId w:val="1612126120"/>
        </w:trPr>
        <w:tc>
          <w:tcPr>
            <w:tcW w:w="3569" w:type="pct"/>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Non-recourse notes due 2035, net</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384,161</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371,359</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18"/>
                <w:szCs w:val="18"/>
              </w:rPr>
            </w:pPr>
            <w:r>
              <w:rPr>
                <w:sz w:val="18"/>
                <w:szCs w:val="18"/>
              </w:rPr>
              <w:t>Long-term operating lease liabilities</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47,415</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52,681</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rPr>
                <w:sz w:val="18"/>
                <w:szCs w:val="18"/>
              </w:rPr>
            </w:pPr>
            <w:r>
              <w:rPr>
                <w:sz w:val="18"/>
                <w:szCs w:val="18"/>
              </w:rPr>
              <w:t>Long-term deferred revenue</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301</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310</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18"/>
                <w:szCs w:val="18"/>
              </w:rPr>
            </w:pPr>
            <w:r>
              <w:rPr>
                <w:sz w:val="18"/>
                <w:szCs w:val="18"/>
              </w:rPr>
              <w:t>Other long-term liabilities</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2,428</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2,420</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rPr>
                <w:sz w:val="18"/>
                <w:szCs w:val="18"/>
              </w:rPr>
            </w:pPr>
            <w:r>
              <w:rPr>
                <w:sz w:val="18"/>
                <w:szCs w:val="18"/>
              </w:rPr>
              <w:t>Commitments and contingencies</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rPr>
                <w:sz w:val="18"/>
                <w:szCs w:val="18"/>
              </w:rPr>
            </w:pPr>
            <w:r>
              <w:rPr>
                <w:b/>
                <w:bCs/>
                <w:sz w:val="18"/>
                <w:szCs w:val="18"/>
              </w:rPr>
              <w:t>Shareholders’ Deficit</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18"/>
                <w:szCs w:val="18"/>
              </w:rPr>
            </w:pPr>
            <w:r>
              <w:rPr>
                <w:sz w:val="18"/>
                <w:szCs w:val="18"/>
              </w:rPr>
              <w:t xml:space="preserve">Preferred shares, $0.00001 par value: 230 shares authorized, no </w:t>
            </w:r>
            <w:r>
              <w:rPr>
                <w:sz w:val="18"/>
                <w:szCs w:val="18"/>
              </w:rPr>
              <w:t>shares issued or outstanding</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20"/>
                <w:szCs w:val="20"/>
              </w:rPr>
            </w:pPr>
            <w:r>
              <w:rPr>
                <w:sz w:val="18"/>
                <w:szCs w:val="18"/>
              </w:rPr>
              <w:t>—</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ind w:hanging="180"/>
              <w:rPr>
                <w:sz w:val="20"/>
                <w:szCs w:val="20"/>
              </w:rPr>
            </w:pPr>
            <w:r>
              <w:rPr>
                <w:sz w:val="18"/>
                <w:szCs w:val="18"/>
              </w:rPr>
              <w:t>Ordinary shares, $0.00001 par value: 200,000 shares authorized; 76,081 and 74,435 shares</w:t>
            </w:r>
            <w:r>
              <w:rPr>
                <w:sz w:val="18"/>
                <w:szCs w:val="18"/>
              </w:rPr>
              <w:t xml:space="preserve"> </w:t>
            </w:r>
            <w:r>
              <w:rPr>
                <w:sz w:val="18"/>
                <w:szCs w:val="18"/>
              </w:rPr>
              <w:t>issue</w:t>
            </w:r>
            <w:r>
              <w:rPr>
                <w:sz w:val="18"/>
                <w:szCs w:val="18"/>
              </w:rPr>
              <w:t>d</w:t>
            </w:r>
            <w:r>
              <w:rPr>
                <w:sz w:val="18"/>
                <w:szCs w:val="18"/>
              </w:rPr>
              <w:t xml:space="preserve"> and</w:t>
            </w:r>
            <w:r>
              <w:rPr>
                <w:sz w:val="18"/>
                <w:szCs w:val="18"/>
              </w:rPr>
              <w:t xml:space="preserve"> </w:t>
            </w:r>
            <w:r>
              <w:rPr>
                <w:sz w:val="18"/>
                <w:szCs w:val="18"/>
              </w:rPr>
              <w:t>outstandin</w:t>
            </w:r>
            <w:r>
              <w:rPr>
                <w:sz w:val="18"/>
                <w:szCs w:val="18"/>
              </w:rPr>
              <w:t>g</w:t>
            </w:r>
            <w:r>
              <w:rPr>
                <w:sz w:val="18"/>
                <w:szCs w:val="18"/>
              </w:rPr>
              <w:t xml:space="preserve"> at March 31, 2022 and December 31, 2021, respectively</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18"/>
                <w:szCs w:val="18"/>
              </w:rPr>
            </w:pPr>
            <w:r>
              <w:rPr>
                <w:sz w:val="18"/>
                <w:szCs w:val="18"/>
              </w:rPr>
              <w:t>Additional paid-in capital</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1,400,566</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1,387,469</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rPr>
                <w:sz w:val="18"/>
                <w:szCs w:val="18"/>
              </w:rPr>
            </w:pPr>
            <w:r>
              <w:rPr>
                <w:sz w:val="18"/>
                <w:szCs w:val="18"/>
              </w:rPr>
              <w:t>Accumulated other comprehensive loss</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(28)</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18"/>
                <w:szCs w:val="18"/>
              </w:rPr>
            </w:pPr>
            <w:r>
              <w:rPr>
                <w:sz w:val="18"/>
                <w:szCs w:val="18"/>
              </w:rPr>
              <w:t xml:space="preserve">Accumulated deficit </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(1,751,989)</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(1,726,043)</w:t>
            </w:r>
          </w:p>
        </w:tc>
      </w:tr>
      <w:tr w:rsidR="00000000">
        <w:trPr>
          <w:divId w:val="1612126120"/>
        </w:trPr>
        <w:tc>
          <w:tcPr>
            <w:tcW w:w="3569" w:type="pct"/>
            <w:tcMar>
              <w:top w:w="0" w:type="dxa"/>
              <w:left w:w="0" w:type="dxa"/>
              <w:bottom w:w="0" w:type="dxa"/>
              <w:right w:w="0" w:type="dxa"/>
            </w:tcMar>
            <w:hideMark/>
          </w:tcPr>
          <w:p w:rsidR="00000000" w:rsidRDefault="001E618F">
            <w:pPr>
              <w:pStyle w:val="a3"/>
              <w:spacing w:before="0" w:beforeAutospacing="0" w:after="0" w:afterAutospacing="0"/>
              <w:ind w:left="360"/>
              <w:rPr>
                <w:sz w:val="18"/>
                <w:szCs w:val="18"/>
              </w:rPr>
            </w:pPr>
            <w:r>
              <w:rPr>
                <w:sz w:val="18"/>
                <w:szCs w:val="18"/>
              </w:rPr>
              <w:t>Total shareholders’ deficit</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(351,450)</w:t>
            </w:r>
          </w:p>
        </w:tc>
        <w:tc>
          <w:tcPr>
            <w:tcW w:w="12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(338,573)</w:t>
            </w:r>
          </w:p>
        </w:tc>
      </w:tr>
      <w:tr w:rsidR="00000000">
        <w:trPr>
          <w:divId w:val="1612126120"/>
        </w:trPr>
        <w:tc>
          <w:tcPr>
            <w:tcW w:w="356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360"/>
              <w:rPr>
                <w:sz w:val="18"/>
                <w:szCs w:val="18"/>
              </w:rPr>
            </w:pPr>
            <w:r>
              <w:rPr>
                <w:sz w:val="18"/>
                <w:szCs w:val="18"/>
              </w:rPr>
              <w:t>Total liabilities and shareholders’ deficit</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w:t>
            </w:r>
          </w:p>
        </w:tc>
        <w:tc>
          <w:tcPr>
            <w:tcW w:w="5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355,359</w:t>
            </w:r>
          </w:p>
        </w:tc>
        <w:tc>
          <w:tcPr>
            <w:tcW w:w="1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374,819</w:t>
            </w:r>
          </w:p>
        </w:tc>
      </w:tr>
    </w:tbl>
    <w:p w:rsidR="00000000" w:rsidRDefault="001E618F">
      <w:pPr>
        <w:pStyle w:val="a3"/>
        <w:spacing w:before="240" w:beforeAutospacing="0" w:after="0" w:afterAutospacing="0"/>
        <w:jc w:val="center"/>
        <w:divId w:val="1612126120"/>
        <w:rPr>
          <w:sz w:val="20"/>
          <w:szCs w:val="20"/>
        </w:rPr>
      </w:pPr>
      <w:r>
        <w:rPr>
          <w:i/>
          <w:iCs/>
          <w:sz w:val="20"/>
          <w:szCs w:val="20"/>
        </w:rPr>
        <w:t>See accompanying notes to condensed consolidated financial statements.</w:t>
      </w:r>
    </w:p>
    <w:p w:rsidR="00000000" w:rsidRDefault="001E618F">
      <w:pPr>
        <w:pStyle w:val="a3"/>
        <w:spacing w:before="360" w:beforeAutospacing="0" w:after="0" w:afterAutospacing="0"/>
        <w:jc w:val="center"/>
        <w:divId w:val="231624172"/>
        <w:rPr>
          <w:sz w:val="20"/>
          <w:szCs w:val="20"/>
        </w:rPr>
      </w:pPr>
      <w:r>
        <w:rPr>
          <w:sz w:val="20"/>
          <w:szCs w:val="20"/>
        </w:rPr>
        <w:lastRenderedPageBreak/>
        <w:t>3</w:t>
      </w:r>
    </w:p>
    <w:p w:rsidR="00000000" w:rsidRDefault="001E618F">
      <w:pPr>
        <w:pStyle w:val="a3"/>
        <w:spacing w:before="0" w:beforeAutospacing="0" w:after="600" w:afterAutospacing="0"/>
        <w:divId w:val="1713191498"/>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jc w:val="center"/>
        <w:divId w:val="660547114"/>
        <w:rPr>
          <w:sz w:val="20"/>
          <w:szCs w:val="20"/>
        </w:rPr>
      </w:pPr>
      <w:r>
        <w:rPr>
          <w:b/>
          <w:bCs/>
          <w:sz w:val="20"/>
          <w:szCs w:val="20"/>
        </w:rPr>
        <w:t>THERAVANCE BIOPHARMA, INC.</w:t>
      </w:r>
    </w:p>
    <w:p w:rsidR="00000000" w:rsidRDefault="001E618F">
      <w:pPr>
        <w:pStyle w:val="a3"/>
        <w:spacing w:before="0" w:beforeAutospacing="0" w:after="0" w:afterAutospacing="0"/>
        <w:jc w:val="center"/>
        <w:divId w:val="660547114"/>
        <w:rPr>
          <w:sz w:val="20"/>
          <w:szCs w:val="20"/>
        </w:rPr>
      </w:pPr>
      <w:r>
        <w:rPr>
          <w:b/>
          <w:bCs/>
          <w:sz w:val="20"/>
          <w:szCs w:val="20"/>
        </w:rPr>
        <w:t>CONDENSED CONSOLIDATED STATEMENTS OF OPERATIONS AND COMPREHENSIVE LOSS</w:t>
      </w:r>
    </w:p>
    <w:p w:rsidR="00000000" w:rsidRDefault="001E618F">
      <w:pPr>
        <w:pStyle w:val="a3"/>
        <w:spacing w:before="0" w:beforeAutospacing="0" w:after="0" w:afterAutospacing="0"/>
        <w:jc w:val="center"/>
        <w:divId w:val="660547114"/>
        <w:rPr>
          <w:sz w:val="20"/>
          <w:szCs w:val="20"/>
        </w:rPr>
      </w:pPr>
      <w:r>
        <w:rPr>
          <w:b/>
          <w:bCs/>
          <w:sz w:val="20"/>
          <w:szCs w:val="20"/>
        </w:rPr>
        <w:t>(Unaudited)</w:t>
      </w:r>
    </w:p>
    <w:p w:rsidR="00000000" w:rsidRDefault="001E618F">
      <w:pPr>
        <w:pStyle w:val="a3"/>
        <w:spacing w:before="0" w:beforeAutospacing="0" w:after="0" w:afterAutospacing="0"/>
        <w:jc w:val="center"/>
        <w:divId w:val="660547114"/>
        <w:rPr>
          <w:sz w:val="20"/>
          <w:szCs w:val="20"/>
        </w:rPr>
      </w:pPr>
      <w:r>
        <w:rPr>
          <w:b/>
          <w:bCs/>
          <w:sz w:val="20"/>
          <w:szCs w:val="20"/>
        </w:rPr>
        <w:t>(In thousands, except per share data)</w:t>
      </w:r>
    </w:p>
    <w:p w:rsidR="00000000" w:rsidRDefault="001E618F">
      <w:pPr>
        <w:pStyle w:val="a3"/>
        <w:spacing w:before="0" w:beforeAutospacing="0" w:after="0" w:afterAutospacing="0"/>
        <w:jc w:val="center"/>
        <w:divId w:val="66054711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77"/>
        <w:gridCol w:w="208"/>
        <w:gridCol w:w="130"/>
        <w:gridCol w:w="821"/>
        <w:gridCol w:w="208"/>
        <w:gridCol w:w="130"/>
        <w:gridCol w:w="824"/>
        <w:gridCol w:w="208"/>
      </w:tblGrid>
      <w:tr w:rsidR="00000000">
        <w:trPr>
          <w:divId w:val="660547114"/>
          <w:trHeight w:val="20"/>
        </w:trPr>
        <w:tc>
          <w:tcPr>
            <w:tcW w:w="3477" w:type="pct"/>
            <w:tcMar>
              <w:top w:w="0" w:type="dxa"/>
              <w:left w:w="0" w:type="dxa"/>
              <w:bottom w:w="0" w:type="dxa"/>
              <w:right w:w="0" w:type="dxa"/>
            </w:tcMar>
            <w:vAlign w:val="bottom"/>
            <w:hideMark/>
          </w:tcPr>
          <w:p w:rsidR="00000000" w:rsidRDefault="001E618F">
            <w:pPr>
              <w:pStyle w:val="a3"/>
              <w:spacing w:before="0" w:beforeAutospacing="0" w:after="0" w:afterAutospacing="0"/>
              <w:divId w:val="1219394486"/>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11507752"/>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29076257"/>
              <w:rPr>
                <w:sz w:val="20"/>
                <w:szCs w:val="20"/>
              </w:rPr>
            </w:pPr>
            <w:r>
              <w:rPr>
                <w:sz w:val="2"/>
                <w:szCs w:val="2"/>
              </w:rPr>
              <w:t>​</w:t>
            </w:r>
          </w:p>
        </w:tc>
        <w:tc>
          <w:tcPr>
            <w:tcW w:w="49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622111194"/>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834367043"/>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916621235"/>
              <w:rPr>
                <w:sz w:val="20"/>
                <w:szCs w:val="20"/>
              </w:rPr>
            </w:pPr>
            <w:r>
              <w:rPr>
                <w:sz w:val="2"/>
                <w:szCs w:val="2"/>
              </w:rPr>
              <w:t>​</w:t>
            </w:r>
          </w:p>
        </w:tc>
        <w:tc>
          <w:tcPr>
            <w:tcW w:w="49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042707849"/>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735350683"/>
              <w:rPr>
                <w:sz w:val="20"/>
                <w:szCs w:val="20"/>
              </w:rPr>
            </w:pPr>
            <w:r>
              <w:rPr>
                <w:sz w:val="2"/>
                <w:szCs w:val="2"/>
              </w:rPr>
              <w:t>​</w:t>
            </w:r>
          </w:p>
        </w:tc>
      </w:tr>
      <w:tr w:rsidR="00000000">
        <w:trPr>
          <w:divId w:val="660547114"/>
        </w:trPr>
        <w:tc>
          <w:tcPr>
            <w:tcW w:w="3477"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71" w:type="pct"/>
            <w:gridSpan w:val="5"/>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xml:space="preserve">Three Months Ended </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r>
      <w:tr w:rsidR="00000000">
        <w:trPr>
          <w:divId w:val="660547114"/>
        </w:trPr>
        <w:tc>
          <w:tcPr>
            <w:tcW w:w="3477"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71" w:type="pct"/>
            <w:gridSpan w:val="5"/>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r>
      <w:tr w:rsidR="00000000">
        <w:trPr>
          <w:divId w:val="660547114"/>
        </w:trPr>
        <w:tc>
          <w:tcPr>
            <w:tcW w:w="3477"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2021</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r>
      <w:tr w:rsidR="00000000">
        <w:trPr>
          <w:divId w:val="660547114"/>
        </w:trPr>
        <w:tc>
          <w:tcPr>
            <w:tcW w:w="347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8"/>
                <w:szCs w:val="18"/>
              </w:rPr>
              <w:t>​</w:t>
            </w:r>
          </w:p>
        </w:tc>
        <w:tc>
          <w:tcPr>
            <w:tcW w:w="78"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8"/>
                <w:szCs w:val="18"/>
              </w:rPr>
              <w:t>​</w:t>
            </w:r>
          </w:p>
        </w:tc>
        <w:tc>
          <w:tcPr>
            <w:tcW w:w="49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b/>
                <w:bCs/>
                <w:sz w:val="18"/>
                <w:szCs w:val="18"/>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8"/>
                <w:szCs w:val="18"/>
              </w:rPr>
              <w:t>​</w:t>
            </w:r>
          </w:p>
        </w:tc>
        <w:tc>
          <w:tcPr>
            <w:tcW w:w="572"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8"/>
                <w:szCs w:val="18"/>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20"/>
                <w:szCs w:val="20"/>
              </w:rPr>
              <w:t>​</w:t>
            </w:r>
          </w:p>
        </w:tc>
      </w:tr>
      <w:tr w:rsidR="00000000">
        <w:trPr>
          <w:divId w:val="660547114"/>
        </w:trPr>
        <w:tc>
          <w:tcPr>
            <w:tcW w:w="3477"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b/>
                <w:bCs/>
                <w:sz w:val="18"/>
                <w:szCs w:val="18"/>
              </w:rPr>
              <w:t>Revenue:</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8"/>
                <w:szCs w:val="18"/>
              </w:rPr>
              <w:t>​</w:t>
            </w:r>
          </w:p>
        </w:tc>
        <w:tc>
          <w:tcPr>
            <w:tcW w:w="7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8"/>
                <w:szCs w:val="18"/>
              </w:rPr>
              <w:t>​</w:t>
            </w:r>
          </w:p>
        </w:tc>
        <w:tc>
          <w:tcPr>
            <w:tcW w:w="49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b/>
                <w:bCs/>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8"/>
                <w:szCs w:val="18"/>
              </w:rPr>
              <w:t>​</w:t>
            </w:r>
          </w:p>
        </w:tc>
        <w:tc>
          <w:tcPr>
            <w:tcW w:w="7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8"/>
                <w:szCs w:val="18"/>
              </w:rPr>
              <w:t>​</w:t>
            </w:r>
          </w:p>
        </w:tc>
        <w:tc>
          <w:tcPr>
            <w:tcW w:w="49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20"/>
                <w:szCs w:val="20"/>
              </w:rPr>
              <w:t>​</w:t>
            </w:r>
          </w:p>
        </w:tc>
      </w:tr>
      <w:tr w:rsidR="00000000">
        <w:trPr>
          <w:divId w:val="660547114"/>
        </w:trPr>
        <w:tc>
          <w:tcPr>
            <w:tcW w:w="3477" w:type="pct"/>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8"/>
                <w:szCs w:val="18"/>
              </w:rPr>
            </w:pPr>
            <w:r>
              <w:rPr>
                <w:sz w:val="18"/>
                <w:szCs w:val="18"/>
              </w:rPr>
              <w:t>Viatris collaboration agreement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w:t>
            </w:r>
          </w:p>
        </w:tc>
        <w:tc>
          <w:tcPr>
            <w:tcW w:w="49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10,687</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w:t>
            </w:r>
          </w:p>
        </w:tc>
        <w:tc>
          <w:tcPr>
            <w:tcW w:w="49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10,385</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20"/>
                <w:szCs w:val="20"/>
              </w:rPr>
              <w:t>​</w:t>
            </w:r>
          </w:p>
        </w:tc>
      </w:tr>
      <w:tr w:rsidR="00000000">
        <w:trPr>
          <w:divId w:val="660547114"/>
        </w:trPr>
        <w:tc>
          <w:tcPr>
            <w:tcW w:w="3477"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8"/>
                <w:szCs w:val="18"/>
              </w:rPr>
            </w:pPr>
            <w:r>
              <w:rPr>
                <w:sz w:val="18"/>
                <w:szCs w:val="18"/>
              </w:rPr>
              <w:t>Collaboration revenue</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9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9</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9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3,872</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8"/>
                <w:szCs w:val="18"/>
              </w:rPr>
            </w:pPr>
            <w:r>
              <w:rPr>
                <w:sz w:val="18"/>
                <w:szCs w:val="18"/>
              </w:rPr>
              <w:t>Licensing revenue</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2,500</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left="360"/>
              <w:rPr>
                <w:sz w:val="18"/>
                <w:szCs w:val="18"/>
              </w:rPr>
            </w:pPr>
            <w:r>
              <w:rPr>
                <w:sz w:val="18"/>
                <w:szCs w:val="18"/>
              </w:rPr>
              <w:t>Total revenue</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49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13,196</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49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14,257</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b/>
                <w:bCs/>
                <w:sz w:val="18"/>
                <w:szCs w:val="18"/>
              </w:rPr>
              <w:t>Expenses:</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8"/>
                <w:szCs w:val="18"/>
              </w:rPr>
            </w:pPr>
            <w:r>
              <w:rPr>
                <w:sz w:val="18"/>
                <w:szCs w:val="18"/>
              </w:rPr>
              <w:t>Research and development (1)</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49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23,253</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67,599</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8"/>
                <w:szCs w:val="18"/>
              </w:rPr>
            </w:pPr>
            <w:r>
              <w:rPr>
                <w:sz w:val="18"/>
                <w:szCs w:val="18"/>
              </w:rPr>
              <w:t>Selling, general and administrative (1)</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19,121</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30,550</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8"/>
                <w:szCs w:val="18"/>
              </w:rPr>
            </w:pPr>
            <w:r>
              <w:rPr>
                <w:sz w:val="18"/>
                <w:szCs w:val="18"/>
              </w:rPr>
              <w:t>Restructuring and related expenses (1)</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9,324</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left="360"/>
              <w:rPr>
                <w:sz w:val="18"/>
                <w:szCs w:val="18"/>
              </w:rPr>
            </w:pPr>
            <w:r>
              <w:rPr>
                <w:sz w:val="18"/>
                <w:szCs w:val="18"/>
              </w:rPr>
              <w:t xml:space="preserve">Total expenses </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4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51,698</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4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98,149</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b/>
                <w:bCs/>
                <w:sz w:val="18"/>
                <w:szCs w:val="18"/>
              </w:rPr>
              <w:t xml:space="preserve">Loss from operations </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49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(38,502)</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49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(83,892)</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Income from investment in TRC, LLC</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25,110</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16,547</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Interest expense</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(11,655)</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(11,873)</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Interest income and other income (expense), net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494"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(375)</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(234)</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xml:space="preserve">Loss before income taxes </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49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(25,422)</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49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(79,452)</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Provision for income tax expense</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494"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(524)</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(227)</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b/>
                <w:bCs/>
                <w:sz w:val="18"/>
                <w:szCs w:val="18"/>
              </w:rPr>
              <w:t xml:space="preserve">Net loss </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w:t>
            </w:r>
          </w:p>
        </w:tc>
        <w:tc>
          <w:tcPr>
            <w:tcW w:w="4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(25,946)</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w:t>
            </w:r>
          </w:p>
        </w:tc>
        <w:tc>
          <w:tcPr>
            <w:tcW w:w="4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(79,679)</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8"/>
                <w:szCs w:val="18"/>
              </w:rPr>
            </w:pPr>
            <w:r>
              <w:rPr>
                <w:sz w:val="18"/>
                <w:szCs w:val="18"/>
              </w:rPr>
              <w:t>Net unrealized loss on available-for-sale investments</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(28)</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(30)</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Total comprehensive loss</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w:t>
            </w:r>
          </w:p>
        </w:tc>
        <w:tc>
          <w:tcPr>
            <w:tcW w:w="494"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(25,974)</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w:t>
            </w:r>
          </w:p>
        </w:tc>
        <w:tc>
          <w:tcPr>
            <w:tcW w:w="494"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(79,709)</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Net loss per share:</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8"/>
                <w:szCs w:val="18"/>
              </w:rPr>
            </w:pPr>
            <w:r>
              <w:rPr>
                <w:sz w:val="18"/>
                <w:szCs w:val="18"/>
              </w:rPr>
              <w:t>Basic and diluted net loss per share</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(0.34)</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8"/>
                <w:szCs w:val="18"/>
              </w:rPr>
            </w:pPr>
            <w:r>
              <w:rPr>
                <w:sz w:val="18"/>
                <w:szCs w:val="18"/>
              </w:rPr>
              <w:t>(1.24)</w:t>
            </w:r>
          </w:p>
        </w:tc>
        <w:tc>
          <w:tcPr>
            <w:tcW w:w="12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60547114"/>
        </w:trPr>
        <w:tc>
          <w:tcPr>
            <w:tcW w:w="3477" w:type="pct"/>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8"/>
                <w:szCs w:val="18"/>
              </w:rPr>
            </w:pPr>
            <w:r>
              <w:rPr>
                <w:sz w:val="18"/>
                <w:szCs w:val="18"/>
              </w:rPr>
              <w:t>Shares used to compute basic and diluted net loss per share</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494"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75,247</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94"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60"/>
              <w:jc w:val="right"/>
              <w:rPr>
                <w:sz w:val="18"/>
                <w:szCs w:val="18"/>
              </w:rPr>
            </w:pPr>
            <w:r>
              <w:rPr>
                <w:sz w:val="18"/>
                <w:szCs w:val="18"/>
              </w:rPr>
              <w:t>64,493</w:t>
            </w:r>
          </w:p>
        </w:tc>
        <w:tc>
          <w:tcPr>
            <w:tcW w:w="12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bl>
    <w:p w:rsidR="00000000" w:rsidRDefault="001E618F">
      <w:pPr>
        <w:pStyle w:val="a3"/>
        <w:spacing w:before="0" w:beforeAutospacing="0" w:after="0" w:afterAutospacing="0"/>
        <w:jc w:val="center"/>
        <w:divId w:val="66054711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60547114"/>
        </w:trPr>
        <w:tc>
          <w:tcPr>
            <w:tcW w:w="360" w:type="dxa"/>
            <w:noWrap/>
            <w:tcMar>
              <w:top w:w="0" w:type="dxa"/>
              <w:left w:w="0" w:type="dxa"/>
              <w:bottom w:w="0" w:type="dxa"/>
              <w:right w:w="0" w:type="dxa"/>
            </w:tcMar>
            <w:hideMark/>
          </w:tcPr>
          <w:p w:rsidR="00000000" w:rsidRDefault="001E618F">
            <w:pPr>
              <w:rPr>
                <w:rFonts w:eastAsia="Times New Roman"/>
                <w:sz w:val="18"/>
                <w:szCs w:val="18"/>
              </w:rPr>
            </w:pPr>
            <w:r>
              <w:rPr>
                <w:rFonts w:eastAsia="Times New Roman"/>
                <w:sz w:val="18"/>
                <w:szCs w:val="18"/>
              </w:rPr>
              <w:t>(1)</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18"/>
                <w:szCs w:val="18"/>
              </w:rPr>
              <w:t>Amounts include share-based compensation expense as follows:</w:t>
            </w:r>
          </w:p>
        </w:tc>
      </w:tr>
    </w:tbl>
    <w:p w:rsidR="00000000" w:rsidRDefault="001E618F">
      <w:pPr>
        <w:pStyle w:val="a3"/>
        <w:spacing w:before="0" w:beforeAutospacing="0" w:after="0" w:afterAutospacing="0"/>
        <w:divId w:val="660547114"/>
        <w:rPr>
          <w:sz w:val="20"/>
          <w:szCs w:val="20"/>
        </w:rPr>
      </w:pPr>
      <w:r>
        <w:rPr>
          <w:sz w:val="20"/>
          <w:szCs w:val="20"/>
        </w:rPr>
        <w:t>​</w:t>
      </w:r>
    </w:p>
    <w:tbl>
      <w:tblPr>
        <w:tblW w:w="5010" w:type="pct"/>
        <w:tblCellMar>
          <w:top w:w="15" w:type="dxa"/>
          <w:left w:w="0" w:type="dxa"/>
          <w:bottom w:w="15" w:type="dxa"/>
          <w:right w:w="0" w:type="dxa"/>
        </w:tblCellMar>
        <w:tblLook w:val="04A0" w:firstRow="1" w:lastRow="0" w:firstColumn="1" w:lastColumn="0" w:noHBand="0" w:noVBand="1"/>
      </w:tblPr>
      <w:tblGrid>
        <w:gridCol w:w="6044"/>
        <w:gridCol w:w="191"/>
        <w:gridCol w:w="190"/>
        <w:gridCol w:w="757"/>
        <w:gridCol w:w="190"/>
        <w:gridCol w:w="190"/>
        <w:gridCol w:w="761"/>
      </w:tblGrid>
      <w:tr w:rsidR="00000000">
        <w:trPr>
          <w:divId w:val="660547114"/>
          <w:trHeight w:val="20"/>
        </w:trPr>
        <w:tc>
          <w:tcPr>
            <w:tcW w:w="3630" w:type="pct"/>
            <w:tcMar>
              <w:top w:w="0" w:type="dxa"/>
              <w:left w:w="0" w:type="dxa"/>
              <w:bottom w:w="0" w:type="dxa"/>
              <w:right w:w="0" w:type="dxa"/>
            </w:tcMar>
            <w:vAlign w:val="bottom"/>
            <w:hideMark/>
          </w:tcPr>
          <w:p w:rsidR="00000000" w:rsidRDefault="001E618F">
            <w:pPr>
              <w:pStyle w:val="a3"/>
              <w:spacing w:before="0" w:beforeAutospacing="0" w:after="0" w:afterAutospacing="0"/>
              <w:divId w:val="536165756"/>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823473911"/>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485202815"/>
              <w:rPr>
                <w:sz w:val="20"/>
                <w:szCs w:val="20"/>
              </w:rPr>
            </w:pPr>
            <w:r>
              <w:rPr>
                <w:sz w:val="2"/>
                <w:szCs w:val="2"/>
              </w:rPr>
              <w:t>​</w:t>
            </w:r>
          </w:p>
        </w:tc>
        <w:tc>
          <w:tcPr>
            <w:tcW w:w="454"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637148570"/>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28478785"/>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056589570"/>
              <w:rPr>
                <w:sz w:val="20"/>
                <w:szCs w:val="20"/>
              </w:rPr>
            </w:pPr>
            <w:r>
              <w:rPr>
                <w:sz w:val="2"/>
                <w:szCs w:val="2"/>
              </w:rPr>
              <w:t>​</w:t>
            </w:r>
          </w:p>
        </w:tc>
        <w:tc>
          <w:tcPr>
            <w:tcW w:w="454"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1031145873"/>
              <w:rPr>
                <w:sz w:val="20"/>
                <w:szCs w:val="20"/>
              </w:rPr>
            </w:pPr>
            <w:r>
              <w:rPr>
                <w:sz w:val="2"/>
                <w:szCs w:val="2"/>
              </w:rPr>
              <w:t>​</w:t>
            </w:r>
          </w:p>
        </w:tc>
      </w:tr>
      <w:tr w:rsidR="00000000">
        <w:trPr>
          <w:divId w:val="660547114"/>
        </w:trPr>
        <w:tc>
          <w:tcPr>
            <w:tcW w:w="363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54" w:type="pct"/>
            <w:gridSpan w:val="5"/>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xml:space="preserve">Three Months Ended </w:t>
            </w:r>
          </w:p>
        </w:tc>
      </w:tr>
      <w:tr w:rsidR="00000000">
        <w:trPr>
          <w:divId w:val="660547114"/>
        </w:trPr>
        <w:tc>
          <w:tcPr>
            <w:tcW w:w="363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54" w:type="pct"/>
            <w:gridSpan w:val="5"/>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w:t>
            </w:r>
          </w:p>
        </w:tc>
      </w:tr>
      <w:tr w:rsidR="00000000">
        <w:trPr>
          <w:divId w:val="660547114"/>
        </w:trPr>
        <w:tc>
          <w:tcPr>
            <w:tcW w:w="3630"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2021</w:t>
            </w:r>
          </w:p>
        </w:tc>
      </w:tr>
      <w:tr w:rsidR="00000000">
        <w:trPr>
          <w:divId w:val="660547114"/>
        </w:trPr>
        <w:tc>
          <w:tcPr>
            <w:tcW w:w="3630"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xml:space="preserve">Research and development </w:t>
            </w:r>
          </w:p>
        </w:tc>
        <w:tc>
          <w:tcPr>
            <w:tcW w:w="1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w:t>
            </w:r>
          </w:p>
        </w:tc>
        <w:tc>
          <w:tcPr>
            <w:tcW w:w="454"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18"/>
                <w:szCs w:val="18"/>
              </w:rPr>
            </w:pPr>
            <w:r>
              <w:rPr>
                <w:sz w:val="18"/>
                <w:szCs w:val="18"/>
              </w:rPr>
              <w:t>4,530</w:t>
            </w:r>
          </w:p>
        </w:tc>
        <w:tc>
          <w:tcPr>
            <w:tcW w:w="1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w:t>
            </w:r>
          </w:p>
        </w:tc>
        <w:tc>
          <w:tcPr>
            <w:tcW w:w="454"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18"/>
                <w:szCs w:val="18"/>
              </w:rPr>
            </w:pPr>
            <w:r>
              <w:rPr>
                <w:sz w:val="18"/>
                <w:szCs w:val="18"/>
              </w:rPr>
              <w:t>7,921</w:t>
            </w:r>
          </w:p>
        </w:tc>
      </w:tr>
      <w:tr w:rsidR="00000000">
        <w:trPr>
          <w:divId w:val="660547114"/>
        </w:trPr>
        <w:tc>
          <w:tcPr>
            <w:tcW w:w="3630" w:type="pct"/>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xml:space="preserve">Selling, general and administrative </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454"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18"/>
                <w:szCs w:val="18"/>
              </w:rPr>
            </w:pPr>
            <w:r>
              <w:rPr>
                <w:sz w:val="18"/>
                <w:szCs w:val="18"/>
              </w:rPr>
              <w:t>5,498</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 </w:t>
            </w:r>
          </w:p>
        </w:tc>
        <w:tc>
          <w:tcPr>
            <w:tcW w:w="454"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18"/>
                <w:szCs w:val="18"/>
              </w:rPr>
            </w:pPr>
            <w:r>
              <w:rPr>
                <w:sz w:val="18"/>
                <w:szCs w:val="18"/>
              </w:rPr>
              <w:t>7,911</w:t>
            </w:r>
          </w:p>
        </w:tc>
      </w:tr>
      <w:tr w:rsidR="00000000">
        <w:trPr>
          <w:divId w:val="660547114"/>
        </w:trPr>
        <w:tc>
          <w:tcPr>
            <w:tcW w:w="3630"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Restructuring and related expenses</w:t>
            </w:r>
          </w:p>
        </w:tc>
        <w:tc>
          <w:tcPr>
            <w:tcW w:w="1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1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5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18"/>
                <w:szCs w:val="18"/>
              </w:rPr>
            </w:pPr>
            <w:r>
              <w:rPr>
                <w:sz w:val="18"/>
                <w:szCs w:val="18"/>
              </w:rPr>
              <w:t>4,517</w:t>
            </w:r>
          </w:p>
        </w:tc>
        <w:tc>
          <w:tcPr>
            <w:tcW w:w="1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1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45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18"/>
                <w:szCs w:val="18"/>
              </w:rPr>
            </w:pPr>
            <w:r>
              <w:rPr>
                <w:sz w:val="18"/>
                <w:szCs w:val="18"/>
              </w:rPr>
              <w:t>—</w:t>
            </w:r>
          </w:p>
        </w:tc>
      </w:tr>
      <w:tr w:rsidR="00000000">
        <w:trPr>
          <w:divId w:val="660547114"/>
        </w:trPr>
        <w:tc>
          <w:tcPr>
            <w:tcW w:w="3630" w:type="pct"/>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8"/>
                <w:szCs w:val="18"/>
              </w:rPr>
            </w:pPr>
            <w:r>
              <w:rPr>
                <w:sz w:val="18"/>
                <w:szCs w:val="18"/>
              </w:rPr>
              <w:t xml:space="preserve">Total share-based compensation expense </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114"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w:t>
            </w:r>
          </w:p>
        </w:tc>
        <w:tc>
          <w:tcPr>
            <w:tcW w:w="454" w:type="pct"/>
            <w:tcBorders>
              <w:bottom w:val="doub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18"/>
                <w:szCs w:val="18"/>
              </w:rPr>
            </w:pPr>
            <w:r>
              <w:rPr>
                <w:sz w:val="18"/>
                <w:szCs w:val="18"/>
              </w:rPr>
              <w:t>14,545</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8"/>
                <w:szCs w:val="18"/>
              </w:rPr>
              <w:t>​</w:t>
            </w:r>
          </w:p>
        </w:tc>
        <w:tc>
          <w:tcPr>
            <w:tcW w:w="114"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18"/>
                <w:szCs w:val="18"/>
              </w:rPr>
            </w:pPr>
            <w:r>
              <w:rPr>
                <w:sz w:val="18"/>
                <w:szCs w:val="18"/>
              </w:rPr>
              <w:t>$</w:t>
            </w:r>
          </w:p>
        </w:tc>
        <w:tc>
          <w:tcPr>
            <w:tcW w:w="454" w:type="pct"/>
            <w:tcBorders>
              <w:bottom w:val="doub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18"/>
                <w:szCs w:val="18"/>
              </w:rPr>
            </w:pPr>
            <w:r>
              <w:rPr>
                <w:sz w:val="18"/>
                <w:szCs w:val="18"/>
              </w:rPr>
              <w:t>15,832</w:t>
            </w:r>
          </w:p>
        </w:tc>
      </w:tr>
    </w:tbl>
    <w:p w:rsidR="00000000" w:rsidRDefault="001E618F">
      <w:pPr>
        <w:pStyle w:val="a3"/>
        <w:spacing w:before="0" w:beforeAutospacing="0" w:after="0" w:afterAutospacing="0"/>
        <w:divId w:val="660547114"/>
        <w:rPr>
          <w:sz w:val="20"/>
          <w:szCs w:val="20"/>
        </w:rPr>
      </w:pPr>
      <w:r>
        <w:rPr>
          <w:sz w:val="20"/>
          <w:szCs w:val="20"/>
        </w:rPr>
        <w:t>​</w:t>
      </w:r>
    </w:p>
    <w:p w:rsidR="00000000" w:rsidRDefault="001E618F">
      <w:pPr>
        <w:pStyle w:val="a3"/>
        <w:spacing w:before="0" w:beforeAutospacing="0" w:after="0" w:afterAutospacing="0"/>
        <w:jc w:val="center"/>
        <w:divId w:val="660547114"/>
        <w:rPr>
          <w:sz w:val="20"/>
          <w:szCs w:val="20"/>
        </w:rPr>
      </w:pPr>
      <w:r>
        <w:rPr>
          <w:i/>
          <w:iCs/>
          <w:sz w:val="20"/>
          <w:szCs w:val="20"/>
        </w:rPr>
        <w:t>See accompanying notes to condensed consolidated financial statements.</w:t>
      </w:r>
    </w:p>
    <w:p w:rsidR="00000000" w:rsidRDefault="001E618F">
      <w:pPr>
        <w:pStyle w:val="a3"/>
        <w:spacing w:before="0" w:beforeAutospacing="0" w:after="0" w:afterAutospacing="0"/>
        <w:divId w:val="660547114"/>
        <w:rPr>
          <w:sz w:val="20"/>
          <w:szCs w:val="20"/>
        </w:rPr>
      </w:pPr>
      <w:r>
        <w:rPr>
          <w:sz w:val="20"/>
          <w:szCs w:val="20"/>
        </w:rPr>
        <w:t>​</w:t>
      </w:r>
    </w:p>
    <w:p w:rsidR="00000000" w:rsidRDefault="001E618F">
      <w:pPr>
        <w:pStyle w:val="a3"/>
        <w:spacing w:before="360" w:beforeAutospacing="0" w:after="0" w:afterAutospacing="0"/>
        <w:jc w:val="center"/>
        <w:divId w:val="993221851"/>
        <w:rPr>
          <w:sz w:val="20"/>
          <w:szCs w:val="20"/>
        </w:rPr>
      </w:pPr>
      <w:r>
        <w:rPr>
          <w:sz w:val="20"/>
          <w:szCs w:val="20"/>
        </w:rPr>
        <w:lastRenderedPageBreak/>
        <w:t>4</w:t>
      </w:r>
    </w:p>
    <w:p w:rsidR="00000000" w:rsidRDefault="001E618F">
      <w:pPr>
        <w:pStyle w:val="a3"/>
        <w:spacing w:before="0" w:beforeAutospacing="0" w:after="600" w:afterAutospacing="0"/>
        <w:divId w:val="1177035901"/>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jc w:val="center"/>
        <w:divId w:val="1719864137"/>
        <w:rPr>
          <w:sz w:val="20"/>
          <w:szCs w:val="20"/>
        </w:rPr>
      </w:pPr>
      <w:r>
        <w:rPr>
          <w:b/>
          <w:bCs/>
          <w:sz w:val="20"/>
          <w:szCs w:val="20"/>
        </w:rPr>
        <w:t>THERAVANCE BIOPHARMA, INC.</w:t>
      </w:r>
    </w:p>
    <w:p w:rsidR="00000000" w:rsidRDefault="001E618F">
      <w:pPr>
        <w:pStyle w:val="a3"/>
        <w:spacing w:before="0" w:beforeAutospacing="0" w:after="0" w:afterAutospacing="0"/>
        <w:jc w:val="center"/>
        <w:divId w:val="1719864137"/>
        <w:rPr>
          <w:sz w:val="20"/>
          <w:szCs w:val="20"/>
        </w:rPr>
      </w:pPr>
      <w:r>
        <w:rPr>
          <w:b/>
          <w:bCs/>
          <w:sz w:val="20"/>
          <w:szCs w:val="20"/>
        </w:rPr>
        <w:t>CONDENSED CONSOLIDATED STATEMENTS OF SHAREHOLDERS’ DEFICIT</w:t>
      </w:r>
    </w:p>
    <w:p w:rsidR="00000000" w:rsidRDefault="001E618F">
      <w:pPr>
        <w:pStyle w:val="a3"/>
        <w:spacing w:before="0" w:beforeAutospacing="0" w:after="0" w:afterAutospacing="0"/>
        <w:jc w:val="center"/>
        <w:divId w:val="1719864137"/>
        <w:rPr>
          <w:sz w:val="20"/>
          <w:szCs w:val="20"/>
        </w:rPr>
      </w:pPr>
      <w:r>
        <w:rPr>
          <w:b/>
          <w:bCs/>
          <w:sz w:val="20"/>
          <w:szCs w:val="20"/>
        </w:rPr>
        <w:t>(Unaudited)</w:t>
      </w:r>
    </w:p>
    <w:p w:rsidR="00000000" w:rsidRDefault="001E618F">
      <w:pPr>
        <w:pStyle w:val="a3"/>
        <w:spacing w:before="0" w:beforeAutospacing="0" w:after="0" w:afterAutospacing="0"/>
        <w:jc w:val="center"/>
        <w:divId w:val="1719864137"/>
        <w:rPr>
          <w:sz w:val="20"/>
          <w:szCs w:val="20"/>
        </w:rPr>
      </w:pPr>
      <w:r>
        <w:rPr>
          <w:b/>
          <w:bCs/>
          <w:sz w:val="20"/>
          <w:szCs w:val="20"/>
        </w:rPr>
        <w:t>(In thousands)</w:t>
      </w:r>
    </w:p>
    <w:p w:rsidR="00000000" w:rsidRDefault="001E618F">
      <w:pPr>
        <w:pStyle w:val="a3"/>
        <w:spacing w:before="0" w:beforeAutospacing="0" w:after="0" w:afterAutospacing="0"/>
        <w:jc w:val="center"/>
        <w:divId w:val="1719864137"/>
        <w:rPr>
          <w:sz w:val="20"/>
          <w:szCs w:val="20"/>
        </w:rPr>
      </w:pPr>
      <w:r>
        <w:rPr>
          <w:b/>
          <w:bCs/>
          <w:sz w:val="20"/>
          <w:szCs w:val="20"/>
        </w:rPr>
        <w:t>​</w:t>
      </w:r>
    </w:p>
    <w:tbl>
      <w:tblPr>
        <w:tblW w:w="5045" w:type="pct"/>
        <w:tblCellMar>
          <w:top w:w="15" w:type="dxa"/>
          <w:left w:w="0" w:type="dxa"/>
          <w:bottom w:w="15" w:type="dxa"/>
          <w:right w:w="0" w:type="dxa"/>
        </w:tblCellMar>
        <w:tblLook w:val="04A0" w:firstRow="1" w:lastRow="0" w:firstColumn="1" w:lastColumn="0" w:noHBand="0" w:noVBand="1"/>
      </w:tblPr>
      <w:tblGrid>
        <w:gridCol w:w="2902"/>
        <w:gridCol w:w="120"/>
        <w:gridCol w:w="491"/>
        <w:gridCol w:w="121"/>
        <w:gridCol w:w="80"/>
        <w:gridCol w:w="491"/>
        <w:gridCol w:w="120"/>
        <w:gridCol w:w="80"/>
        <w:gridCol w:w="690"/>
        <w:gridCol w:w="120"/>
        <w:gridCol w:w="149"/>
        <w:gridCol w:w="918"/>
        <w:gridCol w:w="120"/>
        <w:gridCol w:w="124"/>
        <w:gridCol w:w="783"/>
        <w:gridCol w:w="120"/>
        <w:gridCol w:w="133"/>
        <w:gridCol w:w="819"/>
      </w:tblGrid>
      <w:tr w:rsidR="00000000">
        <w:trPr>
          <w:divId w:val="1719864137"/>
          <w:trHeight w:val="20"/>
        </w:trPr>
        <w:tc>
          <w:tcPr>
            <w:tcW w:w="1904" w:type="pct"/>
            <w:tcMar>
              <w:top w:w="0" w:type="dxa"/>
              <w:left w:w="0" w:type="dxa"/>
              <w:bottom w:w="0" w:type="dxa"/>
              <w:right w:w="0" w:type="dxa"/>
            </w:tcMar>
            <w:vAlign w:val="bottom"/>
            <w:hideMark/>
          </w:tcPr>
          <w:p w:rsidR="00000000" w:rsidRDefault="001E618F">
            <w:pPr>
              <w:pStyle w:val="a3"/>
              <w:spacing w:before="0" w:beforeAutospacing="0" w:after="0" w:afterAutospacing="0"/>
              <w:divId w:val="1953899645"/>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422800400"/>
              <w:rPr>
                <w:sz w:val="20"/>
                <w:szCs w:val="20"/>
              </w:rPr>
            </w:pPr>
            <w:r>
              <w:rPr>
                <w:sz w:val="2"/>
                <w:szCs w:val="2"/>
              </w:rPr>
              <w:t>​</w:t>
            </w:r>
          </w:p>
        </w:tc>
        <w:tc>
          <w:tcPr>
            <w:tcW w:w="355" w:type="pct"/>
            <w:tcMar>
              <w:top w:w="0" w:type="dxa"/>
              <w:left w:w="0" w:type="dxa"/>
              <w:bottom w:w="0" w:type="dxa"/>
              <w:right w:w="0" w:type="dxa"/>
            </w:tcMar>
            <w:vAlign w:val="bottom"/>
            <w:hideMark/>
          </w:tcPr>
          <w:p w:rsidR="00000000" w:rsidRDefault="001E618F">
            <w:pPr>
              <w:pStyle w:val="a3"/>
              <w:spacing w:before="0" w:beforeAutospacing="0" w:after="0" w:afterAutospacing="0"/>
              <w:divId w:val="1483307928"/>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016690641"/>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419911228"/>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5106542"/>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443042512"/>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53168414"/>
              <w:rPr>
                <w:sz w:val="20"/>
                <w:szCs w:val="20"/>
              </w:rPr>
            </w:pPr>
            <w:r>
              <w:rPr>
                <w:sz w:val="2"/>
                <w:szCs w:val="2"/>
              </w:rPr>
              <w:t>​</w:t>
            </w:r>
          </w:p>
        </w:tc>
        <w:tc>
          <w:tcPr>
            <w:tcW w:w="358" w:type="pct"/>
            <w:tcMar>
              <w:top w:w="0" w:type="dxa"/>
              <w:left w:w="0" w:type="dxa"/>
              <w:bottom w:w="0" w:type="dxa"/>
              <w:right w:w="0" w:type="dxa"/>
            </w:tcMar>
            <w:vAlign w:val="bottom"/>
            <w:hideMark/>
          </w:tcPr>
          <w:p w:rsidR="00000000" w:rsidRDefault="001E618F">
            <w:pPr>
              <w:pStyle w:val="a3"/>
              <w:spacing w:before="0" w:beforeAutospacing="0" w:after="0" w:afterAutospacing="0"/>
              <w:divId w:val="1958634462"/>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980261388"/>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048914473"/>
              <w:rPr>
                <w:sz w:val="20"/>
                <w:szCs w:val="20"/>
              </w:rPr>
            </w:pPr>
            <w:r>
              <w:rPr>
                <w:sz w:val="2"/>
                <w:szCs w:val="2"/>
              </w:rPr>
              <w:t>​</w:t>
            </w:r>
          </w:p>
        </w:tc>
        <w:tc>
          <w:tcPr>
            <w:tcW w:w="451"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077583669"/>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86398527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671375225"/>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514614003"/>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09574250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584802788"/>
              <w:rPr>
                <w:sz w:val="20"/>
                <w:szCs w:val="20"/>
              </w:rPr>
            </w:pPr>
            <w:r>
              <w:rPr>
                <w:sz w:val="2"/>
                <w:szCs w:val="2"/>
              </w:rPr>
              <w:t>​</w:t>
            </w:r>
          </w:p>
        </w:tc>
        <w:tc>
          <w:tcPr>
            <w:tcW w:w="403" w:type="pct"/>
            <w:tcMar>
              <w:top w:w="0" w:type="dxa"/>
              <w:left w:w="0" w:type="dxa"/>
              <w:bottom w:w="0" w:type="dxa"/>
              <w:right w:w="0" w:type="dxa"/>
            </w:tcMar>
            <w:vAlign w:val="bottom"/>
            <w:hideMark/>
          </w:tcPr>
          <w:p w:rsidR="00000000" w:rsidRDefault="001E618F">
            <w:pPr>
              <w:pStyle w:val="a3"/>
              <w:spacing w:before="0" w:beforeAutospacing="0" w:after="0" w:afterAutospacing="0"/>
              <w:divId w:val="388580051"/>
              <w:rPr>
                <w:sz w:val="20"/>
                <w:szCs w:val="20"/>
              </w:rPr>
            </w:pPr>
            <w:r>
              <w:rPr>
                <w:sz w:val="2"/>
                <w:szCs w:val="2"/>
              </w:rPr>
              <w:t>​</w:t>
            </w:r>
          </w:p>
        </w:tc>
      </w:tr>
      <w:tr w:rsidR="00000000">
        <w:trPr>
          <w:divId w:val="1719864137"/>
        </w:trPr>
        <w:tc>
          <w:tcPr>
            <w:tcW w:w="1904"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525"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Accumulated</w:t>
            </w:r>
          </w:p>
        </w:tc>
        <w:tc>
          <w:tcPr>
            <w:tcW w:w="8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6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86"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r>
      <w:tr w:rsidR="00000000">
        <w:trPr>
          <w:divId w:val="1719864137"/>
        </w:trPr>
        <w:tc>
          <w:tcPr>
            <w:tcW w:w="1904"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5"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47"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357"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06"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Additional</w:t>
            </w:r>
          </w:p>
        </w:tc>
        <w:tc>
          <w:tcPr>
            <w:tcW w:w="8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Other</w:t>
            </w:r>
          </w:p>
        </w:tc>
        <w:tc>
          <w:tcPr>
            <w:tcW w:w="8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6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386"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68"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Total</w:t>
            </w:r>
          </w:p>
        </w:tc>
      </w:tr>
      <w:tr w:rsidR="00000000">
        <w:trPr>
          <w:divId w:val="1719864137"/>
        </w:trPr>
        <w:tc>
          <w:tcPr>
            <w:tcW w:w="1904"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842" w:type="pct"/>
            <w:gridSpan w:val="4"/>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Ordinary Shares</w:t>
            </w:r>
          </w:p>
        </w:tc>
        <w:tc>
          <w:tcPr>
            <w:tcW w:w="8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06"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Paid-In</w:t>
            </w:r>
          </w:p>
        </w:tc>
        <w:tc>
          <w:tcPr>
            <w:tcW w:w="8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Comprehensive</w:t>
            </w:r>
          </w:p>
        </w:tc>
        <w:tc>
          <w:tcPr>
            <w:tcW w:w="8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48"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Accumulated</w:t>
            </w:r>
          </w:p>
        </w:tc>
        <w:tc>
          <w:tcPr>
            <w:tcW w:w="8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68"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Shareholders'</w:t>
            </w:r>
          </w:p>
        </w:tc>
      </w:tr>
      <w:tr w:rsidR="00000000">
        <w:trPr>
          <w:divId w:val="1719864137"/>
        </w:trPr>
        <w:tc>
          <w:tcPr>
            <w:tcW w:w="1904"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Shares</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   </w:t>
            </w:r>
          </w:p>
        </w:tc>
        <w:tc>
          <w:tcPr>
            <w:tcW w:w="405"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Amount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   </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Capital</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   </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Loss</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Deficit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Deficit</w:t>
            </w:r>
          </w:p>
        </w:tc>
      </w:tr>
      <w:tr w:rsidR="00000000">
        <w:trPr>
          <w:divId w:val="1719864137"/>
        </w:trPr>
        <w:tc>
          <w:tcPr>
            <w:tcW w:w="1904"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Balances at December 31, 2021</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5"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74,435</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1</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358"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1,387,469</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45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386"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(1,726,043)</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403"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(338,573)</w:t>
            </w:r>
          </w:p>
        </w:tc>
      </w:tr>
      <w:tr w:rsidR="00000000">
        <w:trPr>
          <w:divId w:val="1719864137"/>
        </w:trPr>
        <w:tc>
          <w:tcPr>
            <w:tcW w:w="1904" w:type="pct"/>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6"/>
                <w:szCs w:val="16"/>
              </w:rPr>
            </w:pPr>
            <w:r>
              <w:rPr>
                <w:sz w:val="16"/>
                <w:szCs w:val="16"/>
              </w:rPr>
              <w:t>Employee share-based compensation expense</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5" w:type="pct"/>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7" w:type="pct"/>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8" w:type="pct"/>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14,545</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51" w:type="pct"/>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86" w:type="pct"/>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14,545</w:t>
            </w:r>
          </w:p>
        </w:tc>
      </w:tr>
      <w:tr w:rsidR="00000000">
        <w:trPr>
          <w:divId w:val="1719864137"/>
        </w:trPr>
        <w:tc>
          <w:tcPr>
            <w:tcW w:w="1904"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6"/>
                <w:szCs w:val="16"/>
              </w:rPr>
            </w:pPr>
            <w:r>
              <w:rPr>
                <w:sz w:val="16"/>
                <w:szCs w:val="16"/>
              </w:rPr>
              <w:t>Issuance of restricted shares</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5"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1,796</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7"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8"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51"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86"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r>
      <w:tr w:rsidR="00000000">
        <w:trPr>
          <w:divId w:val="1719864137"/>
        </w:trPr>
        <w:tc>
          <w:tcPr>
            <w:tcW w:w="1904" w:type="pct"/>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6"/>
                <w:szCs w:val="16"/>
              </w:rPr>
            </w:pPr>
            <w:r>
              <w:rPr>
                <w:sz w:val="16"/>
                <w:szCs w:val="16"/>
              </w:rPr>
              <w:t>Repurchase of shares to satisfy tax withholding</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5"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(150)</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7" w:type="pct"/>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8"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(1,448)</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51" w:type="pct"/>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86" w:type="pct"/>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(1,448)</w:t>
            </w:r>
          </w:p>
        </w:tc>
      </w:tr>
      <w:tr w:rsidR="00000000">
        <w:trPr>
          <w:divId w:val="1719864137"/>
        </w:trPr>
        <w:tc>
          <w:tcPr>
            <w:tcW w:w="1904"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6"/>
                <w:szCs w:val="16"/>
              </w:rPr>
            </w:pPr>
            <w:r>
              <w:rPr>
                <w:sz w:val="16"/>
                <w:szCs w:val="16"/>
              </w:rPr>
              <w:t>Net unrealized loss on marketable securities</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5"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7"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8"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51"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(28)</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86"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(28)</w:t>
            </w:r>
          </w:p>
        </w:tc>
      </w:tr>
      <w:tr w:rsidR="00000000">
        <w:trPr>
          <w:divId w:val="1719864137"/>
        </w:trPr>
        <w:tc>
          <w:tcPr>
            <w:tcW w:w="1904" w:type="pct"/>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6"/>
                <w:szCs w:val="16"/>
              </w:rPr>
            </w:pPr>
            <w:r>
              <w:rPr>
                <w:sz w:val="16"/>
                <w:szCs w:val="16"/>
              </w:rPr>
              <w:t>Net loss</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5"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7"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8"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51"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86"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(25,946)</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03"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(25,946)</w:t>
            </w:r>
          </w:p>
        </w:tc>
      </w:tr>
      <w:tr w:rsidR="00000000">
        <w:trPr>
          <w:divId w:val="1719864137"/>
        </w:trPr>
        <w:tc>
          <w:tcPr>
            <w:tcW w:w="1904"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Balances at March 31, 2022</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76,081</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3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1</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3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1,400,566</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4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(28)</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3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(1,751,989)</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4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(351,450)</w:t>
            </w:r>
          </w:p>
        </w:tc>
      </w:tr>
      <w:tr w:rsidR="00000000">
        <w:trPr>
          <w:divId w:val="1719864137"/>
        </w:trPr>
        <w:tc>
          <w:tcPr>
            <w:tcW w:w="190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35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4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35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4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35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7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45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6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386"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6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40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r>
      <w:tr w:rsidR="00000000">
        <w:trPr>
          <w:divId w:val="1719864137"/>
        </w:trPr>
        <w:tc>
          <w:tcPr>
            <w:tcW w:w="190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color w:val="0563C1"/>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525"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Accumulated</w:t>
            </w:r>
          </w:p>
        </w:tc>
        <w:tc>
          <w:tcPr>
            <w:tcW w:w="8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6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86"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r>
      <w:tr w:rsidR="00000000">
        <w:trPr>
          <w:divId w:val="1719864137"/>
        </w:trPr>
        <w:tc>
          <w:tcPr>
            <w:tcW w:w="1904"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355"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47"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357"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06"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Additional</w:t>
            </w:r>
          </w:p>
        </w:tc>
        <w:tc>
          <w:tcPr>
            <w:tcW w:w="8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Other</w:t>
            </w:r>
          </w:p>
        </w:tc>
        <w:tc>
          <w:tcPr>
            <w:tcW w:w="8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6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386"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68"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Total</w:t>
            </w:r>
          </w:p>
        </w:tc>
      </w:tr>
      <w:tr w:rsidR="00000000">
        <w:trPr>
          <w:divId w:val="1719864137"/>
        </w:trPr>
        <w:tc>
          <w:tcPr>
            <w:tcW w:w="1904"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842" w:type="pct"/>
            <w:gridSpan w:val="4"/>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Ordinary Shares</w:t>
            </w:r>
          </w:p>
        </w:tc>
        <w:tc>
          <w:tcPr>
            <w:tcW w:w="8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06"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Paid-In</w:t>
            </w:r>
          </w:p>
        </w:tc>
        <w:tc>
          <w:tcPr>
            <w:tcW w:w="8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Comprehensive</w:t>
            </w:r>
          </w:p>
        </w:tc>
        <w:tc>
          <w:tcPr>
            <w:tcW w:w="8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48"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Accumulated</w:t>
            </w:r>
          </w:p>
        </w:tc>
        <w:tc>
          <w:tcPr>
            <w:tcW w:w="8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68"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Shareholders'</w:t>
            </w:r>
          </w:p>
        </w:tc>
      </w:tr>
      <w:tr w:rsidR="00000000">
        <w:trPr>
          <w:divId w:val="1719864137"/>
        </w:trPr>
        <w:tc>
          <w:tcPr>
            <w:tcW w:w="1904"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   </w:t>
            </w:r>
          </w:p>
        </w:tc>
        <w:tc>
          <w:tcPr>
            <w:tcW w:w="35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Shares</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   </w:t>
            </w:r>
          </w:p>
        </w:tc>
        <w:tc>
          <w:tcPr>
            <w:tcW w:w="405"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Amount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   </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Capital</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   </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Income (Loss)</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Deficit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Deficit</w:t>
            </w:r>
          </w:p>
        </w:tc>
      </w:tr>
      <w:tr w:rsidR="00000000">
        <w:trPr>
          <w:divId w:val="1719864137"/>
        </w:trPr>
        <w:tc>
          <w:tcPr>
            <w:tcW w:w="1904"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Balances at December 31, 2020</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64,328</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1</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1,222,818</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45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47</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386"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(1,526,617)</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4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(303,751)</w:t>
            </w:r>
          </w:p>
        </w:tc>
      </w:tr>
      <w:tr w:rsidR="00000000">
        <w:trPr>
          <w:divId w:val="1719864137"/>
        </w:trPr>
        <w:tc>
          <w:tcPr>
            <w:tcW w:w="1904" w:type="pct"/>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6"/>
                <w:szCs w:val="16"/>
              </w:rPr>
            </w:pPr>
            <w:r>
              <w:rPr>
                <w:sz w:val="16"/>
                <w:szCs w:val="16"/>
              </w:rPr>
              <w:t>Employee share-based compensation expense</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15,832</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51"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86"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15,832</w:t>
            </w:r>
          </w:p>
        </w:tc>
      </w:tr>
      <w:tr w:rsidR="00000000">
        <w:trPr>
          <w:divId w:val="1719864137"/>
        </w:trPr>
        <w:tc>
          <w:tcPr>
            <w:tcW w:w="1904"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6"/>
                <w:szCs w:val="16"/>
              </w:rPr>
            </w:pPr>
            <w:r>
              <w:rPr>
                <w:sz w:val="16"/>
                <w:szCs w:val="16"/>
              </w:rPr>
              <w:t>Issuance of restricted shares</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1,188</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5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86"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r>
      <w:tr w:rsidR="00000000">
        <w:trPr>
          <w:divId w:val="1719864137"/>
        </w:trPr>
        <w:tc>
          <w:tcPr>
            <w:tcW w:w="1904" w:type="pct"/>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6"/>
                <w:szCs w:val="16"/>
              </w:rPr>
            </w:pPr>
            <w:r>
              <w:rPr>
                <w:sz w:val="16"/>
                <w:szCs w:val="16"/>
              </w:rPr>
              <w:t>Option exercises</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3</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51"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86"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3</w:t>
            </w:r>
          </w:p>
        </w:tc>
      </w:tr>
      <w:tr w:rsidR="00000000">
        <w:trPr>
          <w:divId w:val="1719864137"/>
        </w:trPr>
        <w:tc>
          <w:tcPr>
            <w:tcW w:w="1904"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6"/>
                <w:szCs w:val="16"/>
              </w:rPr>
            </w:pPr>
            <w:r>
              <w:rPr>
                <w:sz w:val="16"/>
                <w:szCs w:val="16"/>
              </w:rPr>
              <w:t>Repurchase of shares to satisfy tax withholding</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(298)</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(5,593)</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5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86"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(5,593)</w:t>
            </w:r>
          </w:p>
        </w:tc>
      </w:tr>
      <w:tr w:rsidR="00000000">
        <w:trPr>
          <w:divId w:val="1719864137"/>
        </w:trPr>
        <w:tc>
          <w:tcPr>
            <w:tcW w:w="1904" w:type="pct"/>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6"/>
                <w:szCs w:val="16"/>
              </w:rPr>
            </w:pPr>
            <w:r>
              <w:rPr>
                <w:sz w:val="16"/>
                <w:szCs w:val="16"/>
              </w:rPr>
              <w:t>Net unrealized loss on marketable securities</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51"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(30)</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86"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(30)</w:t>
            </w:r>
          </w:p>
        </w:tc>
      </w:tr>
      <w:tr w:rsidR="00000000">
        <w:trPr>
          <w:divId w:val="1719864137"/>
        </w:trPr>
        <w:tc>
          <w:tcPr>
            <w:tcW w:w="1904"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16"/>
                <w:szCs w:val="16"/>
              </w:rPr>
            </w:pPr>
            <w:r>
              <w:rPr>
                <w:sz w:val="16"/>
                <w:szCs w:val="16"/>
              </w:rPr>
              <w:t>Net loss</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(79,679)</w:t>
            </w:r>
          </w:p>
        </w:tc>
        <w:tc>
          <w:tcPr>
            <w:tcW w:w="8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(79,679)</w:t>
            </w:r>
          </w:p>
        </w:tc>
      </w:tr>
      <w:tr w:rsidR="00000000">
        <w:trPr>
          <w:divId w:val="1719864137"/>
        </w:trPr>
        <w:tc>
          <w:tcPr>
            <w:tcW w:w="1904" w:type="pct"/>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Balances at March 31, 2021</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355"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65,218</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357"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1</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358"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1,233,060</w:t>
            </w:r>
          </w:p>
        </w:tc>
        <w:tc>
          <w:tcPr>
            <w:tcW w:w="8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451"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6"/>
                <w:szCs w:val="16"/>
              </w:rPr>
            </w:pPr>
            <w:r>
              <w:rPr>
                <w:sz w:val="16"/>
                <w:szCs w:val="16"/>
              </w:rPr>
              <w:t>17</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(1,606,296)</w:t>
            </w:r>
          </w:p>
        </w:tc>
        <w:tc>
          <w:tcPr>
            <w:tcW w:w="8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sz w:val="16"/>
                <w:szCs w:val="16"/>
              </w:rPr>
              <w:t>$</w:t>
            </w:r>
          </w:p>
        </w:tc>
        <w:tc>
          <w:tcPr>
            <w:tcW w:w="403"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6"/>
                <w:szCs w:val="16"/>
              </w:rPr>
            </w:pPr>
            <w:r>
              <w:rPr>
                <w:sz w:val="16"/>
                <w:szCs w:val="16"/>
              </w:rPr>
              <w:t>(373,218)</w:t>
            </w:r>
          </w:p>
        </w:tc>
      </w:tr>
    </w:tbl>
    <w:p w:rsidR="00000000" w:rsidRDefault="001E618F">
      <w:pPr>
        <w:pStyle w:val="a3"/>
        <w:spacing w:before="60" w:beforeAutospacing="0" w:after="0" w:afterAutospacing="0"/>
        <w:ind w:firstLine="720"/>
        <w:jc w:val="center"/>
        <w:divId w:val="1719864137"/>
        <w:rPr>
          <w:sz w:val="20"/>
          <w:szCs w:val="20"/>
        </w:rPr>
      </w:pPr>
      <w:r>
        <w:rPr>
          <w:i/>
          <w:iCs/>
          <w:sz w:val="20"/>
          <w:szCs w:val="20"/>
        </w:rPr>
        <w:t>​</w:t>
      </w:r>
    </w:p>
    <w:p w:rsidR="00000000" w:rsidRDefault="001E618F">
      <w:pPr>
        <w:pStyle w:val="a3"/>
        <w:spacing w:before="60" w:beforeAutospacing="0" w:after="0" w:afterAutospacing="0"/>
        <w:ind w:firstLine="720"/>
        <w:jc w:val="center"/>
        <w:divId w:val="1719864137"/>
        <w:rPr>
          <w:sz w:val="20"/>
          <w:szCs w:val="20"/>
        </w:rPr>
      </w:pPr>
      <w:r>
        <w:rPr>
          <w:i/>
          <w:iCs/>
          <w:sz w:val="20"/>
          <w:szCs w:val="20"/>
        </w:rPr>
        <w:t>See accompanying notes to condensed consolidated financial statements.</w:t>
      </w:r>
    </w:p>
    <w:p w:rsidR="00000000" w:rsidRDefault="001E618F">
      <w:pPr>
        <w:pStyle w:val="a3"/>
        <w:spacing w:before="0" w:beforeAutospacing="0" w:after="0" w:afterAutospacing="0"/>
        <w:jc w:val="center"/>
        <w:divId w:val="1719864137"/>
        <w:rPr>
          <w:sz w:val="20"/>
          <w:szCs w:val="20"/>
        </w:rPr>
      </w:pPr>
      <w:r>
        <w:rPr>
          <w:b/>
          <w:bCs/>
          <w:sz w:val="20"/>
          <w:szCs w:val="20"/>
        </w:rPr>
        <w:t>​</w:t>
      </w:r>
    </w:p>
    <w:p w:rsidR="00000000" w:rsidRDefault="001E618F">
      <w:pPr>
        <w:pStyle w:val="a3"/>
        <w:spacing w:before="360" w:beforeAutospacing="0" w:after="0" w:afterAutospacing="0"/>
        <w:jc w:val="center"/>
        <w:divId w:val="1792475647"/>
        <w:rPr>
          <w:sz w:val="20"/>
          <w:szCs w:val="20"/>
        </w:rPr>
      </w:pPr>
      <w:r>
        <w:rPr>
          <w:sz w:val="20"/>
          <w:szCs w:val="20"/>
        </w:rPr>
        <w:t>5</w:t>
      </w:r>
    </w:p>
    <w:p w:rsidR="00000000" w:rsidRDefault="001E618F">
      <w:pPr>
        <w:pStyle w:val="a3"/>
        <w:spacing w:before="0" w:beforeAutospacing="0" w:after="600" w:afterAutospacing="0"/>
        <w:divId w:val="511187057"/>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jc w:val="center"/>
        <w:divId w:val="603077307"/>
        <w:rPr>
          <w:sz w:val="20"/>
          <w:szCs w:val="20"/>
        </w:rPr>
      </w:pPr>
      <w:r>
        <w:rPr>
          <w:b/>
          <w:bCs/>
          <w:sz w:val="20"/>
          <w:szCs w:val="20"/>
        </w:rPr>
        <w:t>THERAVANCE BIOPHARMA, INC.</w:t>
      </w:r>
    </w:p>
    <w:p w:rsidR="00000000" w:rsidRDefault="001E618F">
      <w:pPr>
        <w:pStyle w:val="a3"/>
        <w:spacing w:before="0" w:beforeAutospacing="0" w:after="0" w:afterAutospacing="0"/>
        <w:jc w:val="center"/>
        <w:divId w:val="603077307"/>
        <w:rPr>
          <w:sz w:val="20"/>
          <w:szCs w:val="20"/>
        </w:rPr>
      </w:pPr>
      <w:r>
        <w:rPr>
          <w:b/>
          <w:bCs/>
          <w:sz w:val="20"/>
          <w:szCs w:val="20"/>
        </w:rPr>
        <w:t>CONDENSED CONSOLIDATED STATEMENTS OF CASH FLOWS</w:t>
      </w:r>
    </w:p>
    <w:p w:rsidR="00000000" w:rsidRDefault="001E618F">
      <w:pPr>
        <w:pStyle w:val="a3"/>
        <w:spacing w:before="0" w:beforeAutospacing="0" w:after="0" w:afterAutospacing="0"/>
        <w:jc w:val="center"/>
        <w:divId w:val="603077307"/>
        <w:rPr>
          <w:sz w:val="20"/>
          <w:szCs w:val="20"/>
        </w:rPr>
      </w:pPr>
      <w:r>
        <w:rPr>
          <w:b/>
          <w:bCs/>
          <w:sz w:val="20"/>
          <w:szCs w:val="20"/>
        </w:rPr>
        <w:t>(Unaudited)</w:t>
      </w:r>
    </w:p>
    <w:p w:rsidR="00000000" w:rsidRDefault="001E618F">
      <w:pPr>
        <w:pStyle w:val="a3"/>
        <w:spacing w:before="0" w:beforeAutospacing="0" w:after="0" w:afterAutospacing="0"/>
        <w:jc w:val="center"/>
        <w:divId w:val="603077307"/>
        <w:rPr>
          <w:sz w:val="20"/>
          <w:szCs w:val="20"/>
        </w:rPr>
      </w:pPr>
      <w:r>
        <w:rPr>
          <w:b/>
          <w:bCs/>
          <w:sz w:val="20"/>
          <w:szCs w:val="20"/>
        </w:rPr>
        <w:t>(In thousands)</w:t>
      </w:r>
    </w:p>
    <w:p w:rsidR="00000000" w:rsidRDefault="001E618F">
      <w:pPr>
        <w:pStyle w:val="a3"/>
        <w:spacing w:before="0" w:beforeAutospacing="0" w:after="0" w:afterAutospacing="0"/>
        <w:divId w:val="603077307"/>
        <w:rPr>
          <w:sz w:val="20"/>
          <w:szCs w:val="20"/>
        </w:rPr>
      </w:pPr>
      <w:r>
        <w:rPr>
          <w:sz w:val="16"/>
          <w:szCs w:val="16"/>
        </w:rPr>
        <w:t>​</w:t>
      </w:r>
    </w:p>
    <w:tbl>
      <w:tblPr>
        <w:tblW w:w="5000" w:type="pct"/>
        <w:tblCellMar>
          <w:top w:w="15" w:type="dxa"/>
          <w:left w:w="0" w:type="dxa"/>
          <w:bottom w:w="15" w:type="dxa"/>
          <w:right w:w="0" w:type="dxa"/>
        </w:tblCellMar>
        <w:tblLook w:val="04A0" w:firstRow="1" w:lastRow="0" w:firstColumn="1" w:lastColumn="0" w:noHBand="0" w:noVBand="1"/>
      </w:tblPr>
      <w:tblGrid>
        <w:gridCol w:w="5922"/>
        <w:gridCol w:w="211"/>
        <w:gridCol w:w="141"/>
        <w:gridCol w:w="839"/>
        <w:gridCol w:w="211"/>
        <w:gridCol w:w="141"/>
        <w:gridCol w:w="841"/>
      </w:tblGrid>
      <w:tr w:rsidR="00000000">
        <w:trPr>
          <w:divId w:val="603077307"/>
          <w:trHeight w:val="20"/>
        </w:trPr>
        <w:tc>
          <w:tcPr>
            <w:tcW w:w="3563" w:type="pct"/>
            <w:tcMar>
              <w:top w:w="0" w:type="dxa"/>
              <w:left w:w="0" w:type="dxa"/>
              <w:bottom w:w="0" w:type="dxa"/>
              <w:right w:w="0" w:type="dxa"/>
            </w:tcMar>
            <w:hideMark/>
          </w:tcPr>
          <w:p w:rsidR="00000000" w:rsidRDefault="001E618F">
            <w:pPr>
              <w:pStyle w:val="a3"/>
              <w:spacing w:before="0" w:beforeAutospacing="0" w:after="0" w:afterAutospacing="0"/>
              <w:divId w:val="728185545"/>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088967864"/>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42031444"/>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894584843"/>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135441309"/>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837623058"/>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589577009"/>
              <w:rPr>
                <w:sz w:val="20"/>
                <w:szCs w:val="20"/>
              </w:rPr>
            </w:pPr>
            <w:r>
              <w:rPr>
                <w:sz w:val="2"/>
                <w:szCs w:val="2"/>
              </w:rPr>
              <w:t>​</w:t>
            </w:r>
          </w:p>
        </w:tc>
      </w:tr>
      <w:tr w:rsidR="00000000">
        <w:trPr>
          <w:divId w:val="603077307"/>
        </w:trPr>
        <w:tc>
          <w:tcPr>
            <w:tcW w:w="356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5"/>
                <w:szCs w:val="15"/>
              </w:rPr>
              <w:lastRenderedPageBreak/>
              <w:t>​</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5"/>
                <w:szCs w:val="15"/>
              </w:rPr>
              <w:t>​</w:t>
            </w:r>
          </w:p>
        </w:tc>
        <w:tc>
          <w:tcPr>
            <w:tcW w:w="1308" w:type="pct"/>
            <w:gridSpan w:val="5"/>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5"/>
                <w:szCs w:val="15"/>
              </w:rPr>
              <w:t>​</w:t>
            </w:r>
          </w:p>
        </w:tc>
      </w:tr>
      <w:tr w:rsidR="00000000">
        <w:trPr>
          <w:divId w:val="603077307"/>
        </w:trPr>
        <w:tc>
          <w:tcPr>
            <w:tcW w:w="356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5"/>
                <w:szCs w:val="15"/>
              </w:rPr>
              <w:t>​</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5"/>
                <w:szCs w:val="15"/>
              </w:rPr>
              <w:t>​</w:t>
            </w:r>
          </w:p>
        </w:tc>
        <w:tc>
          <w:tcPr>
            <w:tcW w:w="1308" w:type="pct"/>
            <w:gridSpan w:val="5"/>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b/>
                <w:bCs/>
                <w:sz w:val="15"/>
                <w:szCs w:val="15"/>
              </w:rPr>
              <w:t>Three Months Ended March 31, </w:t>
            </w:r>
          </w:p>
        </w:tc>
      </w:tr>
      <w:tr w:rsidR="00000000">
        <w:trPr>
          <w:divId w:val="603077307"/>
        </w:trPr>
        <w:tc>
          <w:tcPr>
            <w:tcW w:w="356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5"/>
                <w:szCs w:val="15"/>
              </w:rPr>
              <w:t>​</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4"/>
                <w:szCs w:val="14"/>
              </w:rPr>
            </w:pPr>
            <w:r>
              <w:rPr>
                <w:b/>
                <w:bCs/>
                <w:sz w:val="15"/>
                <w:szCs w:val="15"/>
              </w:rPr>
              <w:t>    </w:t>
            </w:r>
          </w:p>
        </w:tc>
        <w:tc>
          <w:tcPr>
            <w:tcW w:w="59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b/>
                <w:bCs/>
                <w:sz w:val="15"/>
                <w:szCs w:val="15"/>
              </w:rPr>
              <w:t>2022</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4"/>
                <w:szCs w:val="14"/>
              </w:rPr>
            </w:pPr>
            <w:r>
              <w:rPr>
                <w:b/>
                <w:bCs/>
                <w:sz w:val="15"/>
                <w:szCs w:val="15"/>
              </w:rPr>
              <w:t>    </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b/>
                <w:bCs/>
                <w:sz w:val="15"/>
                <w:szCs w:val="15"/>
              </w:rPr>
              <w:t>2021</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14"/>
                <w:szCs w:val="14"/>
              </w:rPr>
            </w:pPr>
            <w:r>
              <w:rPr>
                <w:b/>
                <w:bCs/>
                <w:sz w:val="15"/>
                <w:szCs w:val="15"/>
              </w:rPr>
              <w:t>Operating activities</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rPr>
                <w:sz w:val="14"/>
                <w:szCs w:val="14"/>
              </w:rPr>
            </w:pPr>
            <w:r>
              <w:rPr>
                <w:sz w:val="15"/>
                <w:szCs w:val="15"/>
              </w:rPr>
              <w:t xml:space="preserve">Net loss </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4"/>
                <w:szCs w:val="14"/>
              </w:rPr>
            </w:pPr>
            <w:r>
              <w:rPr>
                <w:sz w:val="15"/>
                <w:szCs w:val="15"/>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(25,946)</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4"/>
                <w:szCs w:val="14"/>
              </w:rPr>
            </w:pPr>
            <w:r>
              <w:rPr>
                <w:sz w:val="15"/>
                <w:szCs w:val="15"/>
              </w:rPr>
              <w:t>$</w:t>
            </w:r>
          </w:p>
        </w:tc>
        <w:tc>
          <w:tcPr>
            <w:tcW w:w="503"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(79,679)</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14"/>
                <w:szCs w:val="14"/>
              </w:rPr>
            </w:pPr>
            <w:r>
              <w:rPr>
                <w:sz w:val="15"/>
                <w:szCs w:val="15"/>
              </w:rPr>
              <w:t>Adjustments to reconcile net loss to net cash used in operating activities:</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ind w:left="240"/>
              <w:rPr>
                <w:sz w:val="14"/>
                <w:szCs w:val="14"/>
              </w:rPr>
            </w:pPr>
            <w:r>
              <w:rPr>
                <w:sz w:val="15"/>
                <w:szCs w:val="15"/>
              </w:rPr>
              <w:t>Depreciation and amortization</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1,141</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1,539</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240"/>
              <w:rPr>
                <w:sz w:val="14"/>
                <w:szCs w:val="14"/>
              </w:rPr>
            </w:pPr>
            <w:r>
              <w:rPr>
                <w:sz w:val="15"/>
                <w:szCs w:val="15"/>
              </w:rPr>
              <w:t>Amortization and accretion income, net</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2</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11</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ind w:left="240"/>
              <w:rPr>
                <w:sz w:val="14"/>
                <w:szCs w:val="14"/>
              </w:rPr>
            </w:pPr>
            <w:r>
              <w:rPr>
                <w:sz w:val="15"/>
                <w:szCs w:val="15"/>
              </w:rPr>
              <w:t xml:space="preserve">Share-based compensation </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14,545</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15,832</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240"/>
              <w:rPr>
                <w:sz w:val="14"/>
                <w:szCs w:val="14"/>
              </w:rPr>
            </w:pPr>
            <w:r>
              <w:rPr>
                <w:sz w:val="15"/>
                <w:szCs w:val="15"/>
              </w:rPr>
              <w:t>Gain on disposal of property and equipment</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(218)</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ind w:left="240"/>
              <w:rPr>
                <w:sz w:val="14"/>
                <w:szCs w:val="14"/>
              </w:rPr>
            </w:pPr>
            <w:r>
              <w:rPr>
                <w:sz w:val="15"/>
                <w:szCs w:val="15"/>
              </w:rPr>
              <w:t>Amortization of right-of-use assets</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341</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743</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240"/>
              <w:rPr>
                <w:sz w:val="14"/>
                <w:szCs w:val="14"/>
              </w:rPr>
            </w:pPr>
            <w:r>
              <w:rPr>
                <w:sz w:val="15"/>
                <w:szCs w:val="15"/>
              </w:rPr>
              <w:t>Undistributed earnings from TRC, LLC</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(18,596)</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4,751</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ind w:left="240"/>
              <w:rPr>
                <w:sz w:val="14"/>
                <w:szCs w:val="14"/>
              </w:rPr>
            </w:pPr>
            <w:r>
              <w:rPr>
                <w:sz w:val="15"/>
                <w:szCs w:val="15"/>
              </w:rPr>
              <w:t>Interest shortfall on 2035 notes, net</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4,712</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240"/>
              <w:rPr>
                <w:sz w:val="14"/>
                <w:szCs w:val="14"/>
              </w:rPr>
            </w:pPr>
            <w:r>
              <w:rPr>
                <w:sz w:val="15"/>
                <w:szCs w:val="15"/>
              </w:rPr>
              <w:t>Other</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46</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ind w:left="240"/>
              <w:rPr>
                <w:sz w:val="14"/>
                <w:szCs w:val="14"/>
              </w:rPr>
            </w:pPr>
            <w:r>
              <w:rPr>
                <w:sz w:val="15"/>
                <w:szCs w:val="15"/>
              </w:rPr>
              <w:t>Changes in operating assets and liabilities:</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360"/>
              <w:rPr>
                <w:sz w:val="14"/>
                <w:szCs w:val="14"/>
              </w:rPr>
            </w:pPr>
            <w:r>
              <w:rPr>
                <w:sz w:val="15"/>
                <w:szCs w:val="15"/>
              </w:rPr>
              <w:t xml:space="preserve">Receivables from collaborative and licensing arrangements </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1,788</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3,953</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ind w:left="360"/>
              <w:rPr>
                <w:sz w:val="14"/>
                <w:szCs w:val="14"/>
              </w:rPr>
            </w:pPr>
            <w:r>
              <w:rPr>
                <w:sz w:val="15"/>
                <w:szCs w:val="15"/>
              </w:rPr>
              <w:t>Prepaid clinical and development services</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5,503</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1,582</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360"/>
              <w:rPr>
                <w:sz w:val="14"/>
                <w:szCs w:val="14"/>
              </w:rPr>
            </w:pPr>
            <w:r>
              <w:rPr>
                <w:sz w:val="15"/>
                <w:szCs w:val="15"/>
              </w:rPr>
              <w:t>Other prepaid and current assets</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2,436</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322</w:t>
            </w:r>
          </w:p>
        </w:tc>
      </w:tr>
      <w:tr w:rsidR="00000000">
        <w:trPr>
          <w:divId w:val="603077307"/>
        </w:trPr>
        <w:tc>
          <w:tcPr>
            <w:tcW w:w="3563" w:type="pct"/>
            <w:tcMar>
              <w:top w:w="0" w:type="dxa"/>
              <w:left w:w="0" w:type="dxa"/>
              <w:bottom w:w="0" w:type="dxa"/>
              <w:right w:w="0" w:type="dxa"/>
            </w:tcMar>
            <w:vAlign w:val="bottom"/>
            <w:hideMark/>
          </w:tcPr>
          <w:p w:rsidR="00000000" w:rsidRDefault="001E618F">
            <w:pPr>
              <w:pStyle w:val="a3"/>
              <w:spacing w:before="0" w:beforeAutospacing="0" w:after="0" w:afterAutospacing="0"/>
              <w:ind w:left="360"/>
              <w:rPr>
                <w:sz w:val="14"/>
                <w:szCs w:val="14"/>
              </w:rPr>
            </w:pPr>
            <w:r>
              <w:rPr>
                <w:sz w:val="15"/>
                <w:szCs w:val="15"/>
              </w:rPr>
              <w:t>Other assets</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1</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65</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360"/>
              <w:rPr>
                <w:sz w:val="14"/>
                <w:szCs w:val="14"/>
              </w:rPr>
            </w:pPr>
            <w:r>
              <w:rPr>
                <w:sz w:val="15"/>
                <w:szCs w:val="15"/>
              </w:rPr>
              <w:t xml:space="preserve">Accounts payable </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(1,619)</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(1,073)</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ind w:left="360"/>
              <w:rPr>
                <w:sz w:val="14"/>
                <w:szCs w:val="14"/>
              </w:rPr>
            </w:pPr>
            <w:r>
              <w:rPr>
                <w:sz w:val="15"/>
                <w:szCs w:val="15"/>
              </w:rPr>
              <w:t xml:space="preserve">Accrued personnel-related expenses, accrued clinical and development expenses, and other accrued liabilities </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(10,344)</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(17,299)</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360"/>
              <w:rPr>
                <w:sz w:val="14"/>
                <w:szCs w:val="14"/>
              </w:rPr>
            </w:pPr>
            <w:r>
              <w:rPr>
                <w:sz w:val="15"/>
                <w:szCs w:val="15"/>
              </w:rPr>
              <w:t>Accrued interest payable</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1,901</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1,830</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ind w:left="360"/>
              <w:rPr>
                <w:sz w:val="14"/>
                <w:szCs w:val="14"/>
              </w:rPr>
            </w:pPr>
            <w:r>
              <w:rPr>
                <w:sz w:val="15"/>
                <w:szCs w:val="15"/>
              </w:rPr>
              <w:t xml:space="preserve">Deferred revenue </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(9)</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(3,871)</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360"/>
              <w:rPr>
                <w:sz w:val="14"/>
                <w:szCs w:val="14"/>
              </w:rPr>
            </w:pPr>
            <w:r>
              <w:rPr>
                <w:sz w:val="15"/>
                <w:szCs w:val="15"/>
              </w:rPr>
              <w:t>Operating lease liabilities</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(1,715)</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1,159</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ind w:left="360"/>
              <w:rPr>
                <w:sz w:val="14"/>
                <w:szCs w:val="14"/>
              </w:rPr>
            </w:pPr>
            <w:r>
              <w:rPr>
                <w:sz w:val="15"/>
                <w:szCs w:val="15"/>
              </w:rPr>
              <w:t>Other long-term liabilities</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8</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224</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480"/>
              <w:rPr>
                <w:sz w:val="14"/>
                <w:szCs w:val="14"/>
              </w:rPr>
            </w:pPr>
            <w:r>
              <w:rPr>
                <w:sz w:val="15"/>
                <w:szCs w:val="15"/>
              </w:rPr>
              <w:t xml:space="preserve">Net cash used in operating activities </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(26,069)</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(69,865)</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14"/>
                <w:szCs w:val="14"/>
              </w:rPr>
            </w:pPr>
            <w:r>
              <w:rPr>
                <w:b/>
                <w:bCs/>
                <w:sz w:val="15"/>
                <w:szCs w:val="15"/>
              </w:rPr>
              <w:t>Investing activities</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rPr>
                <w:sz w:val="14"/>
                <w:szCs w:val="14"/>
              </w:rPr>
            </w:pPr>
            <w:r>
              <w:rPr>
                <w:sz w:val="15"/>
                <w:szCs w:val="15"/>
              </w:rPr>
              <w:t>Purchases of property and equipment</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(250)</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(1,767)</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14"/>
                <w:szCs w:val="14"/>
              </w:rPr>
            </w:pPr>
            <w:r>
              <w:rPr>
                <w:sz w:val="15"/>
                <w:szCs w:val="15"/>
              </w:rPr>
              <w:t xml:space="preserve">Purchases of marketable securities </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(18,174)</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(36)</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rPr>
                <w:sz w:val="14"/>
                <w:szCs w:val="14"/>
              </w:rPr>
            </w:pPr>
            <w:r>
              <w:rPr>
                <w:sz w:val="15"/>
                <w:szCs w:val="15"/>
              </w:rPr>
              <w:t xml:space="preserve">Maturities of marketable securities </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48,499</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115,500</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14"/>
                <w:szCs w:val="14"/>
              </w:rPr>
            </w:pPr>
            <w:r>
              <w:rPr>
                <w:sz w:val="15"/>
                <w:szCs w:val="15"/>
              </w:rPr>
              <w:t>Proceeds from the sale of property and equipment</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1,849</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ind w:left="480"/>
              <w:rPr>
                <w:sz w:val="14"/>
                <w:szCs w:val="14"/>
              </w:rPr>
            </w:pPr>
            <w:r>
              <w:rPr>
                <w:sz w:val="15"/>
                <w:szCs w:val="15"/>
              </w:rPr>
              <w:t xml:space="preserve">Net cash provided by investing activities </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31,924</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113,697</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rPr>
                <w:sz w:val="14"/>
                <w:szCs w:val="14"/>
              </w:rPr>
            </w:pPr>
            <w:r>
              <w:rPr>
                <w:b/>
                <w:bCs/>
                <w:sz w:val="15"/>
                <w:szCs w:val="15"/>
              </w:rPr>
              <w:t>Financing activities</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r>
      <w:tr w:rsidR="00000000">
        <w:trPr>
          <w:divId w:val="603077307"/>
        </w:trPr>
        <w:tc>
          <w:tcPr>
            <w:tcW w:w="3563"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14"/>
                <w:szCs w:val="14"/>
              </w:rPr>
            </w:pPr>
            <w:r>
              <w:rPr>
                <w:sz w:val="15"/>
                <w:szCs w:val="15"/>
              </w:rPr>
              <w:t>Principal payment on 2035 notes</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(5,698)</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rPr>
                <w:sz w:val="14"/>
                <w:szCs w:val="14"/>
              </w:rPr>
            </w:pPr>
            <w:r>
              <w:rPr>
                <w:sz w:val="15"/>
                <w:szCs w:val="15"/>
              </w:rPr>
              <w:t>Proceeds from option exercises</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3</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14"/>
                <w:szCs w:val="14"/>
              </w:rPr>
            </w:pPr>
            <w:r>
              <w:rPr>
                <w:sz w:val="15"/>
                <w:szCs w:val="15"/>
              </w:rPr>
              <w:t>Repurchase of shares to satisfy tax withholding</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(1,448)</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(5,593)</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ind w:left="480"/>
              <w:rPr>
                <w:sz w:val="14"/>
                <w:szCs w:val="14"/>
              </w:rPr>
            </w:pPr>
            <w:r>
              <w:rPr>
                <w:sz w:val="15"/>
                <w:szCs w:val="15"/>
              </w:rPr>
              <w:t>Net cash used in financing activities</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(1,448)</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14"/>
                <w:szCs w:val="14"/>
              </w:rPr>
            </w:pPr>
            <w:r>
              <w:rPr>
                <w:sz w:val="15"/>
                <w:szCs w:val="15"/>
              </w:rPr>
              <w:t>(11,288)</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rPr>
                <w:sz w:val="14"/>
                <w:szCs w:val="14"/>
              </w:rPr>
            </w:pPr>
            <w:r>
              <w:rPr>
                <w:b/>
                <w:bCs/>
                <w:sz w:val="15"/>
                <w:szCs w:val="15"/>
              </w:rPr>
              <w:t>Net increase in cash, cash equivalents, and restricted cash</w:t>
            </w:r>
            <w:r>
              <w:rPr>
                <w:sz w:val="15"/>
                <w:szCs w:val="15"/>
              </w:rPr>
              <w:t xml:space="preserve"> </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4,407</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32,544</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14"/>
                <w:szCs w:val="14"/>
              </w:rPr>
            </w:pPr>
            <w:r>
              <w:rPr>
                <w:b/>
                <w:bCs/>
                <w:sz w:val="15"/>
                <w:szCs w:val="15"/>
              </w:rPr>
              <w:t>Cash, cash equivalents, and restricted cash at beginning of period</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90,796</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82,300</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rPr>
                <w:sz w:val="14"/>
                <w:szCs w:val="14"/>
              </w:rPr>
            </w:pPr>
            <w:r>
              <w:rPr>
                <w:b/>
                <w:bCs/>
                <w:sz w:val="15"/>
                <w:szCs w:val="15"/>
              </w:rPr>
              <w:t>Cash, cash equivalents, and restricted cash at end of period</w:t>
            </w:r>
            <w:r>
              <w:rPr>
                <w:sz w:val="15"/>
                <w:szCs w:val="15"/>
              </w:rPr>
              <w:t xml:space="preserve"> </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14"/>
                <w:szCs w:val="14"/>
              </w:rPr>
            </w:pPr>
            <w:r>
              <w:rPr>
                <w:sz w:val="15"/>
                <w:szCs w:val="15"/>
              </w:rPr>
              <w:t>$</w:t>
            </w:r>
          </w:p>
        </w:tc>
        <w:tc>
          <w:tcPr>
            <w:tcW w:w="504"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95,203</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14"/>
                <w:szCs w:val="14"/>
              </w:rPr>
            </w:pPr>
            <w:r>
              <w:rPr>
                <w:sz w:val="15"/>
                <w:szCs w:val="15"/>
              </w:rPr>
              <w:t>$</w:t>
            </w:r>
          </w:p>
        </w:tc>
        <w:tc>
          <w:tcPr>
            <w:tcW w:w="503"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114,844</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b/>
                <w:bCs/>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rPr>
                <w:sz w:val="14"/>
                <w:szCs w:val="14"/>
              </w:rPr>
            </w:pPr>
            <w:r>
              <w:rPr>
                <w:b/>
                <w:bCs/>
                <w:sz w:val="15"/>
                <w:szCs w:val="15"/>
              </w:rPr>
              <w:t>Supplemental disclosure of cash flow information</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14"/>
                <w:szCs w:val="14"/>
              </w:rPr>
            </w:pPr>
            <w:r>
              <w:rPr>
                <w:sz w:val="15"/>
                <w:szCs w:val="15"/>
              </w:rPr>
              <w:t>Cash paid for interest</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4"/>
                <w:szCs w:val="14"/>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4,613</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14"/>
                <w:szCs w:val="14"/>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14,385</w:t>
            </w:r>
          </w:p>
        </w:tc>
      </w:tr>
      <w:tr w:rsidR="00000000">
        <w:trPr>
          <w:divId w:val="603077307"/>
        </w:trPr>
        <w:tc>
          <w:tcPr>
            <w:tcW w:w="3563" w:type="pct"/>
            <w:tcMar>
              <w:top w:w="0" w:type="dxa"/>
              <w:left w:w="0" w:type="dxa"/>
              <w:bottom w:w="0" w:type="dxa"/>
              <w:right w:w="0" w:type="dxa"/>
            </w:tcMar>
            <w:hideMark/>
          </w:tcPr>
          <w:p w:rsidR="00000000" w:rsidRDefault="001E618F">
            <w:pPr>
              <w:pStyle w:val="a3"/>
              <w:spacing w:before="0" w:beforeAutospacing="0" w:after="0" w:afterAutospacing="0"/>
              <w:rPr>
                <w:sz w:val="14"/>
                <w:szCs w:val="14"/>
              </w:rPr>
            </w:pPr>
            <w:r>
              <w:rPr>
                <w:sz w:val="15"/>
                <w:szCs w:val="15"/>
              </w:rPr>
              <w:t>Cash (received) paid for income taxes, net</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4"/>
                <w:szCs w:val="14"/>
              </w:rPr>
            </w:pPr>
            <w:r>
              <w:rPr>
                <w:sz w:val="15"/>
                <w:szCs w:val="15"/>
              </w:rPr>
              <w:t>$</w:t>
            </w:r>
          </w:p>
        </w:tc>
        <w:tc>
          <w:tcPr>
            <w:tcW w:w="50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w:t>
            </w:r>
          </w:p>
        </w:tc>
        <w:tc>
          <w:tcPr>
            <w:tcW w:w="12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4"/>
                <w:szCs w:val="14"/>
              </w:rPr>
            </w:pPr>
            <w:r>
              <w:rPr>
                <w:sz w:val="15"/>
                <w:szCs w:val="15"/>
              </w:rPr>
              <w:t>$</w:t>
            </w:r>
          </w:p>
        </w:tc>
        <w:tc>
          <w:tcPr>
            <w:tcW w:w="503"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50"/>
              <w:jc w:val="right"/>
              <w:rPr>
                <w:sz w:val="14"/>
                <w:szCs w:val="14"/>
              </w:rPr>
            </w:pPr>
            <w:r>
              <w:rPr>
                <w:sz w:val="15"/>
                <w:szCs w:val="15"/>
              </w:rPr>
              <w:t>—</w:t>
            </w:r>
          </w:p>
        </w:tc>
      </w:tr>
      <w:tr w:rsidR="00000000">
        <w:trPr>
          <w:divId w:val="603077307"/>
        </w:trPr>
        <w:tc>
          <w:tcPr>
            <w:tcW w:w="3563"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15"/>
                <w:szCs w:val="15"/>
              </w:rPr>
              <w:t>​</w:t>
            </w:r>
          </w:p>
        </w:tc>
      </w:tr>
    </w:tbl>
    <w:p w:rsidR="00000000" w:rsidRDefault="001E618F">
      <w:pPr>
        <w:pStyle w:val="a3"/>
        <w:spacing w:before="20" w:beforeAutospacing="0" w:after="0" w:afterAutospacing="0"/>
        <w:divId w:val="603077307"/>
        <w:rPr>
          <w:sz w:val="20"/>
          <w:szCs w:val="20"/>
        </w:rPr>
      </w:pPr>
      <w:r>
        <w:rPr>
          <w:sz w:val="16"/>
          <w:szCs w:val="16"/>
        </w:rPr>
        <w:t>​</w:t>
      </w:r>
    </w:p>
    <w:p w:rsidR="00000000" w:rsidRDefault="001E618F">
      <w:pPr>
        <w:pStyle w:val="a3"/>
        <w:spacing w:before="0" w:beforeAutospacing="0" w:after="0" w:afterAutospacing="0"/>
        <w:jc w:val="center"/>
        <w:divId w:val="603077307"/>
        <w:rPr>
          <w:sz w:val="20"/>
          <w:szCs w:val="20"/>
        </w:rPr>
      </w:pPr>
      <w:r>
        <w:rPr>
          <w:i/>
          <w:iCs/>
          <w:sz w:val="20"/>
          <w:szCs w:val="20"/>
        </w:rPr>
        <w:t>See accompanying notes to condensed consolidated financial statements</w:t>
      </w:r>
      <w:r>
        <w:rPr>
          <w:sz w:val="20"/>
          <w:szCs w:val="20"/>
        </w:rPr>
        <w:t>.</w:t>
      </w:r>
    </w:p>
    <w:p w:rsidR="00000000" w:rsidRDefault="001E618F">
      <w:pPr>
        <w:pStyle w:val="a3"/>
        <w:spacing w:before="0" w:beforeAutospacing="0" w:after="0" w:afterAutospacing="0"/>
        <w:divId w:val="603077307"/>
        <w:rPr>
          <w:sz w:val="20"/>
          <w:szCs w:val="20"/>
        </w:rPr>
      </w:pPr>
      <w:r>
        <w:rPr>
          <w:sz w:val="16"/>
          <w:szCs w:val="16"/>
        </w:rPr>
        <w:t>​</w:t>
      </w:r>
    </w:p>
    <w:p w:rsidR="00000000" w:rsidRDefault="001E618F">
      <w:pPr>
        <w:pStyle w:val="a3"/>
        <w:spacing w:before="360" w:beforeAutospacing="0" w:after="0" w:afterAutospacing="0"/>
        <w:jc w:val="center"/>
        <w:divId w:val="996811140"/>
        <w:rPr>
          <w:sz w:val="20"/>
          <w:szCs w:val="20"/>
        </w:rPr>
      </w:pPr>
      <w:r>
        <w:rPr>
          <w:sz w:val="20"/>
          <w:szCs w:val="20"/>
        </w:rPr>
        <w:t>6</w:t>
      </w:r>
    </w:p>
    <w:p w:rsidR="00000000" w:rsidRDefault="001E618F">
      <w:pPr>
        <w:pStyle w:val="a3"/>
        <w:spacing w:before="0" w:beforeAutospacing="0" w:after="600" w:afterAutospacing="0"/>
        <w:divId w:val="495000384"/>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jc w:val="center"/>
        <w:divId w:val="103500243"/>
        <w:rPr>
          <w:sz w:val="20"/>
          <w:szCs w:val="20"/>
        </w:rPr>
      </w:pPr>
      <w:r>
        <w:rPr>
          <w:b/>
          <w:bCs/>
          <w:sz w:val="20"/>
          <w:szCs w:val="20"/>
        </w:rPr>
        <w:t>THERAVANCE BIOPHARMA, INC.</w:t>
      </w:r>
    </w:p>
    <w:p w:rsidR="00000000" w:rsidRDefault="001E618F">
      <w:pPr>
        <w:pStyle w:val="a3"/>
        <w:spacing w:before="0" w:beforeAutospacing="0" w:after="0" w:afterAutospacing="0"/>
        <w:jc w:val="center"/>
        <w:divId w:val="103500243"/>
        <w:rPr>
          <w:sz w:val="20"/>
          <w:szCs w:val="20"/>
        </w:rPr>
      </w:pPr>
      <w:r>
        <w:rPr>
          <w:b/>
          <w:bCs/>
          <w:sz w:val="20"/>
          <w:szCs w:val="20"/>
        </w:rPr>
        <w:t>NOTES TO CONDENSED CONSOLIDATED FINANCIAL STATEMENTS</w:t>
      </w:r>
    </w:p>
    <w:p w:rsidR="00000000" w:rsidRDefault="001E618F">
      <w:pPr>
        <w:pStyle w:val="a3"/>
        <w:spacing w:before="0" w:beforeAutospacing="0" w:after="0" w:afterAutospacing="0"/>
        <w:jc w:val="center"/>
        <w:divId w:val="103500243"/>
        <w:rPr>
          <w:sz w:val="20"/>
          <w:szCs w:val="20"/>
        </w:rPr>
      </w:pPr>
      <w:r>
        <w:rPr>
          <w:b/>
          <w:bCs/>
          <w:sz w:val="20"/>
          <w:szCs w:val="20"/>
        </w:rPr>
        <w:t>(Unaudited)</w:t>
      </w:r>
    </w:p>
    <w:p w:rsidR="00000000" w:rsidRDefault="001E618F">
      <w:pPr>
        <w:pStyle w:val="a3"/>
        <w:spacing w:before="0" w:beforeAutospacing="0" w:after="0" w:afterAutospacing="0"/>
        <w:jc w:val="center"/>
        <w:divId w:val="103500243"/>
        <w:rPr>
          <w:sz w:val="20"/>
          <w:szCs w:val="20"/>
        </w:rPr>
      </w:pPr>
      <w:r>
        <w:rPr>
          <w:sz w:val="20"/>
          <w:szCs w:val="20"/>
        </w:rPr>
        <w:t>​</w:t>
      </w:r>
    </w:p>
    <w:p w:rsidR="00000000" w:rsidRDefault="001E618F">
      <w:pPr>
        <w:pStyle w:val="a3"/>
        <w:spacing w:before="0" w:beforeAutospacing="0" w:after="0" w:afterAutospacing="0"/>
        <w:divId w:val="103500243"/>
        <w:rPr>
          <w:sz w:val="20"/>
          <w:szCs w:val="20"/>
        </w:rPr>
      </w:pPr>
      <w:r>
        <w:rPr>
          <w:sz w:val="20"/>
          <w:szCs w:val="20"/>
        </w:rPr>
        <w:t>​</w:t>
      </w:r>
    </w:p>
    <w:p w:rsidR="00000000" w:rsidRDefault="001E618F">
      <w:pPr>
        <w:pStyle w:val="a3"/>
        <w:spacing w:before="0" w:beforeAutospacing="0" w:after="0" w:afterAutospacing="0"/>
        <w:divId w:val="103500243"/>
        <w:rPr>
          <w:sz w:val="20"/>
          <w:szCs w:val="20"/>
        </w:rPr>
      </w:pPr>
      <w:r>
        <w:rPr>
          <w:b/>
          <w:bCs/>
          <w:sz w:val="20"/>
          <w:szCs w:val="20"/>
        </w:rPr>
        <w:t>1. Organization and Summary of Significant Accounting Policies</w:t>
      </w:r>
    </w:p>
    <w:p w:rsidR="00000000" w:rsidRDefault="001E618F">
      <w:pPr>
        <w:pStyle w:val="a3"/>
        <w:spacing w:before="0" w:beforeAutospacing="0" w:after="0" w:afterAutospacing="0"/>
        <w:divId w:val="103500243"/>
        <w:rPr>
          <w:sz w:val="20"/>
          <w:szCs w:val="20"/>
        </w:rPr>
      </w:pPr>
      <w:r>
        <w:rPr>
          <w:sz w:val="10"/>
          <w:szCs w:val="10"/>
        </w:rPr>
        <w:t>​</w:t>
      </w:r>
    </w:p>
    <w:p w:rsidR="00000000" w:rsidRDefault="001E618F">
      <w:pPr>
        <w:pStyle w:val="a3"/>
        <w:spacing w:before="0" w:beforeAutospacing="0" w:after="0" w:afterAutospacing="0"/>
        <w:ind w:firstLine="720"/>
        <w:divId w:val="103500243"/>
        <w:rPr>
          <w:sz w:val="20"/>
          <w:szCs w:val="20"/>
        </w:rPr>
      </w:pPr>
      <w:r>
        <w:rPr>
          <w:sz w:val="20"/>
          <w:szCs w:val="20"/>
        </w:rPr>
        <w:t>Theravance Biopharma, Inc. (“Theravance Biopharma” or the “Company”</w:t>
      </w:r>
      <w:r>
        <w:rPr>
          <w:sz w:val="20"/>
          <w:szCs w:val="20"/>
        </w:rPr>
        <w:t xml:space="preserve">) is a biopharmaceutical company primarily focused on the discovery, development, and commercialization of respiratory medicines. The Company’s core purpose is to create </w:t>
      </w:r>
      <w:r>
        <w:rPr>
          <w:i/>
          <w:iCs/>
          <w:sz w:val="20"/>
          <w:szCs w:val="20"/>
        </w:rPr>
        <w:t>medicines that make a difference</w:t>
      </w:r>
      <w:r>
        <w:rPr>
          <w:sz w:val="20"/>
          <w:szCs w:val="20"/>
        </w:rPr>
        <w:t>® in people's lives.</w:t>
      </w:r>
    </w:p>
    <w:p w:rsidR="00000000" w:rsidRDefault="001E618F">
      <w:pPr>
        <w:pStyle w:val="a3"/>
        <w:spacing w:before="0" w:beforeAutospacing="0" w:after="0" w:afterAutospacing="0"/>
        <w:divId w:val="103500243"/>
        <w:rPr>
          <w:sz w:val="20"/>
          <w:szCs w:val="20"/>
        </w:rPr>
      </w:pPr>
      <w:r>
        <w:rPr>
          <w:sz w:val="20"/>
          <w:szCs w:val="20"/>
        </w:rPr>
        <w:t>​</w:t>
      </w:r>
    </w:p>
    <w:p w:rsidR="00000000" w:rsidRDefault="001E618F">
      <w:pPr>
        <w:pStyle w:val="a3"/>
        <w:spacing w:before="0" w:beforeAutospacing="0" w:after="0" w:afterAutospacing="0"/>
        <w:divId w:val="103500243"/>
        <w:rPr>
          <w:sz w:val="20"/>
          <w:szCs w:val="20"/>
        </w:rPr>
      </w:pPr>
      <w:r>
        <w:rPr>
          <w:b/>
          <w:bCs/>
          <w:i/>
          <w:iCs/>
          <w:sz w:val="20"/>
          <w:szCs w:val="20"/>
        </w:rPr>
        <w:t>Basis of Presentation</w:t>
      </w:r>
    </w:p>
    <w:p w:rsidR="00000000" w:rsidRDefault="001E618F">
      <w:pPr>
        <w:pStyle w:val="a3"/>
        <w:spacing w:before="0" w:beforeAutospacing="0" w:after="0" w:afterAutospacing="0"/>
        <w:divId w:val="103500243"/>
        <w:rPr>
          <w:sz w:val="20"/>
          <w:szCs w:val="20"/>
        </w:rPr>
      </w:pPr>
      <w:r>
        <w:rPr>
          <w:sz w:val="10"/>
          <w:szCs w:val="10"/>
        </w:rPr>
        <w:t>​</w:t>
      </w:r>
    </w:p>
    <w:p w:rsidR="00000000" w:rsidRDefault="001E618F">
      <w:pPr>
        <w:pStyle w:val="a3"/>
        <w:spacing w:before="0" w:beforeAutospacing="0" w:after="0" w:afterAutospacing="0"/>
        <w:ind w:firstLine="720"/>
        <w:divId w:val="103500243"/>
        <w:rPr>
          <w:sz w:val="20"/>
          <w:szCs w:val="20"/>
        </w:rPr>
      </w:pPr>
      <w:r>
        <w:rPr>
          <w:sz w:val="20"/>
          <w:szCs w:val="20"/>
        </w:rPr>
        <w:t>The Com</w:t>
      </w:r>
      <w:r>
        <w:rPr>
          <w:sz w:val="20"/>
          <w:szCs w:val="20"/>
        </w:rPr>
        <w:t>pany’s condensed consolidated financial information as of March 31, 2022, and for the three months ended March 31, 2022 and 2021 is unaudited but includes all adjustments (consisting only of normal recurring adjustments), which are considered necessary for</w:t>
      </w:r>
      <w:r>
        <w:rPr>
          <w:sz w:val="20"/>
          <w:szCs w:val="20"/>
        </w:rPr>
        <w:t xml:space="preserve"> a fair presentation of the financial position at such date and of the operating results and cash flows for those periods, and have been prepared in accordance with United States (“US”) generally accepted accounting principles (“GAAP”) for interim financia</w:t>
      </w:r>
      <w:r>
        <w:rPr>
          <w:sz w:val="20"/>
          <w:szCs w:val="20"/>
        </w:rPr>
        <w:t>l information. Accordingly, they do not include all of the information and notes required by GAAP for complete financial statements. The accompanying unaudited condensed consolidated financial statements should be read in conjunction with the audited conso</w:t>
      </w:r>
      <w:r>
        <w:rPr>
          <w:sz w:val="20"/>
          <w:szCs w:val="20"/>
        </w:rPr>
        <w:t>lidated December 31, 2021 financial statements and notes thereto included in the Company’s Annual Report on Form 10-K for the year ended December 31, 2021, filed with the Securities and Exchange Commission (“SEC”) on February 28, 2022.</w:t>
      </w:r>
    </w:p>
    <w:p w:rsidR="00000000" w:rsidRDefault="001E618F">
      <w:pPr>
        <w:pStyle w:val="a3"/>
        <w:spacing w:before="0" w:beforeAutospacing="0" w:after="0" w:afterAutospacing="0"/>
        <w:ind w:firstLine="720"/>
        <w:divId w:val="103500243"/>
        <w:rPr>
          <w:sz w:val="20"/>
          <w:szCs w:val="20"/>
        </w:rPr>
      </w:pPr>
      <w:r>
        <w:rPr>
          <w:sz w:val="20"/>
          <w:szCs w:val="20"/>
        </w:rPr>
        <w:t>​</w:t>
      </w:r>
    </w:p>
    <w:p w:rsidR="00000000" w:rsidRDefault="001E618F">
      <w:pPr>
        <w:pStyle w:val="a3"/>
        <w:spacing w:before="0" w:beforeAutospacing="0" w:after="0" w:afterAutospacing="0"/>
        <w:ind w:firstLine="720"/>
        <w:divId w:val="103500243"/>
        <w:rPr>
          <w:sz w:val="20"/>
          <w:szCs w:val="20"/>
        </w:rPr>
      </w:pPr>
      <w:r>
        <w:rPr>
          <w:sz w:val="20"/>
          <w:szCs w:val="20"/>
        </w:rPr>
        <w:t>The results for th</w:t>
      </w:r>
      <w:r>
        <w:rPr>
          <w:sz w:val="20"/>
          <w:szCs w:val="20"/>
        </w:rPr>
        <w:t xml:space="preserve">e three months ended March 31, 2022 are not necessarily indicative of the results to be expected for the year ending December 31, 2022, or for any other interim period or for any future period. These condensed consolidated financial statements include the </w:t>
      </w:r>
      <w:r>
        <w:rPr>
          <w:sz w:val="20"/>
          <w:szCs w:val="20"/>
        </w:rPr>
        <w:t>accounts of the Company and its subsidiaries, and intercompany transactions and balances have been eliminated.</w:t>
      </w:r>
    </w:p>
    <w:p w:rsidR="00000000" w:rsidRDefault="001E618F">
      <w:pPr>
        <w:pStyle w:val="a3"/>
        <w:spacing w:before="0" w:beforeAutospacing="0" w:after="0" w:afterAutospacing="0"/>
        <w:ind w:firstLine="720"/>
        <w:divId w:val="103500243"/>
        <w:rPr>
          <w:sz w:val="20"/>
          <w:szCs w:val="20"/>
        </w:rPr>
      </w:pPr>
      <w:r>
        <w:rPr>
          <w:sz w:val="20"/>
          <w:szCs w:val="20"/>
        </w:rPr>
        <w:t>​</w:t>
      </w:r>
    </w:p>
    <w:p w:rsidR="00000000" w:rsidRDefault="001E618F">
      <w:pPr>
        <w:pStyle w:val="a3"/>
        <w:spacing w:before="0" w:beforeAutospacing="0" w:after="0" w:afterAutospacing="0"/>
        <w:divId w:val="103500243"/>
        <w:rPr>
          <w:sz w:val="20"/>
          <w:szCs w:val="20"/>
        </w:rPr>
      </w:pPr>
      <w:r>
        <w:rPr>
          <w:b/>
          <w:bCs/>
          <w:i/>
          <w:iCs/>
          <w:sz w:val="20"/>
          <w:szCs w:val="20"/>
        </w:rPr>
        <w:t>Use of Estimates</w:t>
      </w:r>
    </w:p>
    <w:p w:rsidR="00000000" w:rsidRDefault="001E618F">
      <w:pPr>
        <w:pStyle w:val="a3"/>
        <w:spacing w:before="0" w:beforeAutospacing="0" w:after="0" w:afterAutospacing="0"/>
        <w:divId w:val="103500243"/>
        <w:rPr>
          <w:sz w:val="20"/>
          <w:szCs w:val="20"/>
        </w:rPr>
      </w:pPr>
      <w:r>
        <w:rPr>
          <w:sz w:val="10"/>
          <w:szCs w:val="10"/>
        </w:rPr>
        <w:t>​</w:t>
      </w:r>
    </w:p>
    <w:p w:rsidR="00000000" w:rsidRDefault="001E618F">
      <w:pPr>
        <w:pStyle w:val="a3"/>
        <w:spacing w:before="0" w:beforeAutospacing="0" w:after="0" w:afterAutospacing="0"/>
        <w:ind w:firstLine="720"/>
        <w:divId w:val="103500243"/>
        <w:rPr>
          <w:sz w:val="20"/>
          <w:szCs w:val="20"/>
        </w:rPr>
      </w:pPr>
      <w:r>
        <w:rPr>
          <w:sz w:val="20"/>
          <w:szCs w:val="20"/>
        </w:rPr>
        <w:t>The preparation of financial statements in conformity with GAAP requires management to make estimates and assumptions that a</w:t>
      </w:r>
      <w:r>
        <w:rPr>
          <w:sz w:val="20"/>
          <w:szCs w:val="20"/>
        </w:rPr>
        <w:t>ffect the reported amounts of assets, liabilities, revenues and expenses, and related disclosures in the condensed consolidated financial statements and accompanying notes. Management bases its estimates on historical experience and on assumptions believed</w:t>
      </w:r>
      <w:r>
        <w:rPr>
          <w:sz w:val="20"/>
          <w:szCs w:val="20"/>
        </w:rPr>
        <w:t xml:space="preserve"> to be reasonable under the circumstances. Actual results could differ materially from those estimates.</w:t>
      </w:r>
    </w:p>
    <w:p w:rsidR="00000000" w:rsidRDefault="001E618F">
      <w:pPr>
        <w:pStyle w:val="a3"/>
        <w:spacing w:before="0" w:beforeAutospacing="0" w:after="0" w:afterAutospacing="0"/>
        <w:divId w:val="103500243"/>
        <w:rPr>
          <w:sz w:val="20"/>
          <w:szCs w:val="20"/>
        </w:rPr>
      </w:pPr>
      <w:r>
        <w:rPr>
          <w:sz w:val="20"/>
          <w:szCs w:val="20"/>
        </w:rPr>
        <w:t>​</w:t>
      </w:r>
    </w:p>
    <w:p w:rsidR="00000000" w:rsidRDefault="001E618F">
      <w:pPr>
        <w:pStyle w:val="a3"/>
        <w:spacing w:before="0" w:beforeAutospacing="0" w:after="0" w:afterAutospacing="0"/>
        <w:divId w:val="103500243"/>
        <w:rPr>
          <w:sz w:val="20"/>
          <w:szCs w:val="20"/>
        </w:rPr>
      </w:pPr>
      <w:r>
        <w:rPr>
          <w:b/>
          <w:bCs/>
          <w:i/>
          <w:iCs/>
          <w:sz w:val="20"/>
          <w:szCs w:val="20"/>
        </w:rPr>
        <w:t>Significant Accounting Policies</w:t>
      </w:r>
    </w:p>
    <w:p w:rsidR="00000000" w:rsidRDefault="001E618F">
      <w:pPr>
        <w:pStyle w:val="a3"/>
        <w:spacing w:before="0" w:beforeAutospacing="0" w:after="0" w:afterAutospacing="0"/>
        <w:divId w:val="103500243"/>
        <w:rPr>
          <w:sz w:val="20"/>
          <w:szCs w:val="20"/>
        </w:rPr>
      </w:pPr>
      <w:r>
        <w:rPr>
          <w:sz w:val="10"/>
          <w:szCs w:val="10"/>
        </w:rPr>
        <w:t>​</w:t>
      </w:r>
    </w:p>
    <w:p w:rsidR="00000000" w:rsidRDefault="001E618F">
      <w:pPr>
        <w:pStyle w:val="a3"/>
        <w:spacing w:before="0" w:beforeAutospacing="0" w:after="0" w:afterAutospacing="0"/>
        <w:ind w:firstLine="720"/>
        <w:divId w:val="103500243"/>
        <w:rPr>
          <w:sz w:val="20"/>
          <w:szCs w:val="20"/>
        </w:rPr>
      </w:pPr>
      <w:r>
        <w:rPr>
          <w:sz w:val="20"/>
          <w:szCs w:val="20"/>
        </w:rPr>
        <w:t>There have been no material revisions in the Company’s significant accounting policies described in Note 1 to the co</w:t>
      </w:r>
      <w:r>
        <w:rPr>
          <w:sz w:val="20"/>
          <w:szCs w:val="20"/>
        </w:rPr>
        <w:t>nsolidated financial statements included in its Annual Report on Form 10-K for the year ended December 31, 2021.</w:t>
      </w:r>
    </w:p>
    <w:p w:rsidR="00000000" w:rsidRDefault="001E618F">
      <w:pPr>
        <w:pStyle w:val="a3"/>
        <w:spacing w:before="0" w:beforeAutospacing="0" w:after="0" w:afterAutospacing="0"/>
        <w:divId w:val="103500243"/>
        <w:rPr>
          <w:sz w:val="20"/>
          <w:szCs w:val="20"/>
        </w:rPr>
      </w:pPr>
      <w:r>
        <w:rPr>
          <w:sz w:val="20"/>
          <w:szCs w:val="20"/>
        </w:rPr>
        <w:t>​</w:t>
      </w:r>
    </w:p>
    <w:p w:rsidR="00000000" w:rsidRDefault="001E618F">
      <w:pPr>
        <w:pStyle w:val="a3"/>
        <w:spacing w:before="0" w:beforeAutospacing="0" w:after="0" w:afterAutospacing="0"/>
        <w:divId w:val="103500243"/>
        <w:rPr>
          <w:sz w:val="20"/>
          <w:szCs w:val="20"/>
        </w:rPr>
      </w:pPr>
      <w:r>
        <w:rPr>
          <w:b/>
          <w:bCs/>
          <w:i/>
          <w:iCs/>
          <w:sz w:val="20"/>
          <w:szCs w:val="20"/>
        </w:rPr>
        <w:t>Recently Adopted Accounting Pronouncements</w:t>
      </w:r>
    </w:p>
    <w:p w:rsidR="00000000" w:rsidRDefault="001E618F">
      <w:pPr>
        <w:pStyle w:val="a3"/>
        <w:spacing w:before="0" w:beforeAutospacing="0" w:after="0" w:afterAutospacing="0"/>
        <w:divId w:val="103500243"/>
        <w:rPr>
          <w:sz w:val="20"/>
          <w:szCs w:val="20"/>
        </w:rPr>
      </w:pPr>
      <w:r>
        <w:rPr>
          <w:sz w:val="10"/>
          <w:szCs w:val="10"/>
        </w:rPr>
        <w:t>​</w:t>
      </w:r>
    </w:p>
    <w:p w:rsidR="00000000" w:rsidRDefault="001E618F">
      <w:pPr>
        <w:pStyle w:val="a3"/>
        <w:spacing w:before="0" w:beforeAutospacing="0" w:after="0" w:afterAutospacing="0"/>
        <w:ind w:firstLine="720"/>
        <w:divId w:val="103500243"/>
        <w:rPr>
          <w:sz w:val="20"/>
          <w:szCs w:val="20"/>
        </w:rPr>
      </w:pPr>
      <w:r>
        <w:rPr>
          <w:sz w:val="20"/>
          <w:szCs w:val="20"/>
        </w:rPr>
        <w:t xml:space="preserve">In August 2020, the FASB issued ASU 2020-06, </w:t>
      </w:r>
      <w:r>
        <w:rPr>
          <w:i/>
          <w:iCs/>
          <w:sz w:val="20"/>
          <w:szCs w:val="20"/>
        </w:rPr>
        <w:t>Debt - Debt with Conversion and other Options (Subtopic 470-20) and Derivatives and Hedging: Contracts in Entity’s Own Equity (Subtopic 815-40)</w:t>
      </w:r>
      <w:r>
        <w:rPr>
          <w:sz w:val="20"/>
          <w:szCs w:val="20"/>
        </w:rPr>
        <w:t xml:space="preserve"> (“ASU 2020-06”). ASU 2020-06</w:t>
      </w:r>
      <w:r>
        <w:rPr>
          <w:color w:val="333333"/>
          <w:sz w:val="20"/>
          <w:szCs w:val="20"/>
          <w:shd w:val="clear" w:color="auto" w:fill="FFFFFF"/>
        </w:rPr>
        <w:t> simplifies the complexity associated with applying GAAP for certain financial instr</w:t>
      </w:r>
      <w:r>
        <w:rPr>
          <w:color w:val="333333"/>
          <w:sz w:val="20"/>
          <w:szCs w:val="20"/>
          <w:shd w:val="clear" w:color="auto" w:fill="FFFFFF"/>
        </w:rPr>
        <w:t>uments with characteristics of liabilities and equity</w:t>
      </w:r>
      <w:r>
        <w:rPr>
          <w:sz w:val="20"/>
          <w:szCs w:val="20"/>
        </w:rPr>
        <w:t xml:space="preserve"> by </w:t>
      </w:r>
      <w:r>
        <w:rPr>
          <w:color w:val="333333"/>
          <w:sz w:val="20"/>
          <w:szCs w:val="20"/>
          <w:shd w:val="clear" w:color="auto" w:fill="FFFFFF"/>
        </w:rPr>
        <w:t xml:space="preserve">removing certain accounting models which separate the embedded conversion features from the host contract for convertible instruments. The standard also </w:t>
      </w:r>
      <w:r>
        <w:rPr>
          <w:sz w:val="20"/>
          <w:szCs w:val="20"/>
          <w:shd w:val="clear" w:color="auto" w:fill="FFFFFF"/>
        </w:rPr>
        <w:t>enhances the consistency of earnings-per-share</w:t>
      </w:r>
      <w:r>
        <w:rPr>
          <w:sz w:val="20"/>
          <w:szCs w:val="20"/>
          <w:shd w:val="clear" w:color="auto" w:fill="FFFFFF"/>
        </w:rPr>
        <w:t xml:space="preserve"> calculations by requiring that an entity use the if-converted method and that the effect of potential share settlement be included in diluted earnings-per-share calculations</w:t>
      </w:r>
      <w:r>
        <w:rPr>
          <w:sz w:val="20"/>
          <w:szCs w:val="20"/>
          <w:shd w:val="clear" w:color="auto" w:fill="FFFFFF"/>
        </w:rPr>
        <w:t>.</w:t>
      </w:r>
      <w:r>
        <w:rPr>
          <w:sz w:val="20"/>
          <w:szCs w:val="20"/>
        </w:rPr>
        <w:t xml:space="preserve"> ASU 2020-06 became effective for fiscal years and interim periods within those f</w:t>
      </w:r>
      <w:r>
        <w:rPr>
          <w:sz w:val="20"/>
          <w:szCs w:val="20"/>
        </w:rPr>
        <w:t>iscal years beginning after December 15, 2021. The Company evaluated ASU 2020-06 and determined that its adoption did not have an impact on the Company’s condensed consolidated financial statements and related disclosures.</w:t>
      </w:r>
      <w:r>
        <w:rPr>
          <w:sz w:val="20"/>
          <w:szCs w:val="20"/>
        </w:rPr>
        <w:t xml:space="preserve"> </w:t>
      </w:r>
    </w:p>
    <w:p w:rsidR="00000000" w:rsidRDefault="001E618F">
      <w:pPr>
        <w:pStyle w:val="a3"/>
        <w:spacing w:before="0" w:beforeAutospacing="0" w:after="0" w:afterAutospacing="0"/>
        <w:divId w:val="103500243"/>
        <w:rPr>
          <w:sz w:val="20"/>
          <w:szCs w:val="20"/>
        </w:rPr>
      </w:pPr>
      <w:r>
        <w:rPr>
          <w:b/>
          <w:bCs/>
          <w:i/>
          <w:iCs/>
          <w:sz w:val="20"/>
          <w:szCs w:val="20"/>
        </w:rPr>
        <w:t>​</w:t>
      </w:r>
    </w:p>
    <w:p w:rsidR="00000000" w:rsidRDefault="001E618F">
      <w:pPr>
        <w:pStyle w:val="a3"/>
        <w:spacing w:before="0" w:beforeAutospacing="0" w:after="0" w:afterAutospacing="0"/>
        <w:divId w:val="103500243"/>
        <w:rPr>
          <w:sz w:val="20"/>
          <w:szCs w:val="20"/>
        </w:rPr>
      </w:pPr>
      <w:r>
        <w:rPr>
          <w:b/>
          <w:bCs/>
          <w:i/>
          <w:iCs/>
          <w:sz w:val="20"/>
          <w:szCs w:val="20"/>
        </w:rPr>
        <w:t>Recently Issued Accounting Pro</w:t>
      </w:r>
      <w:r>
        <w:rPr>
          <w:b/>
          <w:bCs/>
          <w:i/>
          <w:iCs/>
          <w:sz w:val="20"/>
          <w:szCs w:val="20"/>
        </w:rPr>
        <w:t xml:space="preserve">nouncements Not Yet Adopted </w:t>
      </w:r>
    </w:p>
    <w:p w:rsidR="00000000" w:rsidRDefault="001E618F">
      <w:pPr>
        <w:pStyle w:val="a3"/>
        <w:spacing w:before="0" w:beforeAutospacing="0" w:after="0" w:afterAutospacing="0"/>
        <w:divId w:val="103500243"/>
        <w:rPr>
          <w:sz w:val="20"/>
          <w:szCs w:val="20"/>
        </w:rPr>
      </w:pPr>
      <w:r>
        <w:rPr>
          <w:sz w:val="10"/>
          <w:szCs w:val="10"/>
        </w:rPr>
        <w:t>​</w:t>
      </w:r>
    </w:p>
    <w:p w:rsidR="00000000" w:rsidRDefault="001E618F">
      <w:pPr>
        <w:pStyle w:val="a3"/>
        <w:spacing w:before="0" w:beforeAutospacing="0" w:after="0" w:afterAutospacing="0"/>
        <w:ind w:firstLine="720"/>
        <w:jc w:val="both"/>
        <w:divId w:val="103500243"/>
        <w:rPr>
          <w:sz w:val="20"/>
          <w:szCs w:val="20"/>
        </w:rPr>
      </w:pPr>
      <w:r>
        <w:rPr>
          <w:sz w:val="20"/>
          <w:szCs w:val="20"/>
        </w:rPr>
        <w:t>The Company has evaluated other recently issued accounting pronouncements and does not currently believe that any of these pronouncements will have a material impact on its condensed consolidated financial statements and rela</w:t>
      </w:r>
      <w:r>
        <w:rPr>
          <w:sz w:val="20"/>
          <w:szCs w:val="20"/>
        </w:rPr>
        <w:t>ted disclosures.</w:t>
      </w:r>
    </w:p>
    <w:p w:rsidR="00000000" w:rsidRDefault="001E618F">
      <w:pPr>
        <w:pStyle w:val="a3"/>
        <w:spacing w:before="0" w:beforeAutospacing="0" w:after="0" w:afterAutospacing="0"/>
        <w:divId w:val="103500243"/>
        <w:rPr>
          <w:sz w:val="20"/>
          <w:szCs w:val="20"/>
        </w:rPr>
      </w:pPr>
      <w:r>
        <w:rPr>
          <w:sz w:val="2"/>
          <w:szCs w:val="2"/>
        </w:rPr>
        <w:t>​</w:t>
      </w:r>
    </w:p>
    <w:p w:rsidR="00000000" w:rsidRDefault="001E618F">
      <w:pPr>
        <w:pStyle w:val="a3"/>
        <w:spacing w:before="360" w:beforeAutospacing="0" w:after="0" w:afterAutospacing="0"/>
        <w:jc w:val="center"/>
        <w:divId w:val="1351833051"/>
        <w:rPr>
          <w:sz w:val="20"/>
          <w:szCs w:val="20"/>
        </w:rPr>
      </w:pPr>
      <w:r>
        <w:rPr>
          <w:sz w:val="20"/>
          <w:szCs w:val="20"/>
        </w:rPr>
        <w:t>7</w:t>
      </w:r>
    </w:p>
    <w:p w:rsidR="00000000" w:rsidRDefault="001E618F">
      <w:pPr>
        <w:pStyle w:val="a3"/>
        <w:spacing w:before="0" w:beforeAutospacing="0" w:after="600" w:afterAutospacing="0"/>
        <w:divId w:val="1146776843"/>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divId w:val="678115846"/>
        <w:rPr>
          <w:sz w:val="20"/>
          <w:szCs w:val="20"/>
        </w:rPr>
      </w:pPr>
      <w:r>
        <w:rPr>
          <w:b/>
          <w:bCs/>
          <w:sz w:val="20"/>
          <w:szCs w:val="20"/>
        </w:rPr>
        <w:t>2. Net Loss per Share</w:t>
      </w:r>
    </w:p>
    <w:p w:rsidR="00000000" w:rsidRDefault="001E618F">
      <w:pPr>
        <w:pStyle w:val="a3"/>
        <w:spacing w:before="0" w:beforeAutospacing="0" w:after="0" w:afterAutospacing="0"/>
        <w:divId w:val="678115846"/>
        <w:rPr>
          <w:sz w:val="20"/>
          <w:szCs w:val="20"/>
        </w:rPr>
      </w:pPr>
      <w:r>
        <w:rPr>
          <w:sz w:val="10"/>
          <w:szCs w:val="10"/>
        </w:rPr>
        <w:t>​</w:t>
      </w:r>
    </w:p>
    <w:p w:rsidR="00000000" w:rsidRDefault="001E618F">
      <w:pPr>
        <w:pStyle w:val="a3"/>
        <w:spacing w:before="0" w:beforeAutospacing="0" w:after="0" w:afterAutospacing="0"/>
        <w:ind w:firstLine="720"/>
        <w:divId w:val="678115846"/>
        <w:rPr>
          <w:sz w:val="20"/>
          <w:szCs w:val="20"/>
        </w:rPr>
      </w:pPr>
      <w:r>
        <w:rPr>
          <w:sz w:val="20"/>
          <w:szCs w:val="20"/>
        </w:rPr>
        <w:t>Basic net loss per share is computed by dividing net loss by the weighted-average number of shares outstanding, less ordinary shares subject to forfeiture. Diluted net</w:t>
      </w:r>
      <w:r>
        <w:rPr>
          <w:sz w:val="20"/>
          <w:szCs w:val="20"/>
        </w:rPr>
        <w:t xml:space="preserve"> loss per share is computed by dividing net loss by the weighted-average number of shares outstanding, less ordinary shares subject to forfeiture, plus all additional ordinary shares that would have been outstanding, assuming dilutive potential ordinary sh</w:t>
      </w:r>
      <w:r>
        <w:rPr>
          <w:sz w:val="20"/>
          <w:szCs w:val="20"/>
        </w:rPr>
        <w:t>ares had been issued for other dilutive securities.</w:t>
      </w:r>
    </w:p>
    <w:p w:rsidR="00000000" w:rsidRDefault="001E618F">
      <w:pPr>
        <w:pStyle w:val="a3"/>
        <w:spacing w:before="0" w:beforeAutospacing="0" w:after="0" w:afterAutospacing="0"/>
        <w:ind w:firstLine="720"/>
        <w:divId w:val="67811584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941"/>
        <w:gridCol w:w="190"/>
        <w:gridCol w:w="189"/>
        <w:gridCol w:w="801"/>
        <w:gridCol w:w="189"/>
        <w:gridCol w:w="189"/>
        <w:gridCol w:w="807"/>
      </w:tblGrid>
      <w:tr w:rsidR="00000000">
        <w:trPr>
          <w:divId w:val="678115846"/>
          <w:trHeight w:val="20"/>
        </w:trPr>
        <w:tc>
          <w:tcPr>
            <w:tcW w:w="3575" w:type="pct"/>
            <w:tcMar>
              <w:top w:w="0" w:type="dxa"/>
              <w:left w:w="0" w:type="dxa"/>
              <w:bottom w:w="0" w:type="dxa"/>
              <w:right w:w="0" w:type="dxa"/>
            </w:tcMar>
            <w:hideMark/>
          </w:tcPr>
          <w:p w:rsidR="00000000" w:rsidRDefault="001E618F">
            <w:pPr>
              <w:pStyle w:val="a3"/>
              <w:spacing w:before="0" w:beforeAutospacing="0" w:after="0" w:afterAutospacing="0"/>
              <w:divId w:val="1464226873"/>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393628216"/>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548881266"/>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978807758"/>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877230289"/>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826581600"/>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652640095"/>
              <w:rPr>
                <w:sz w:val="20"/>
                <w:szCs w:val="20"/>
              </w:rPr>
            </w:pPr>
            <w:r>
              <w:rPr>
                <w:sz w:val="2"/>
                <w:szCs w:val="2"/>
              </w:rPr>
              <w:t>​</w:t>
            </w:r>
          </w:p>
        </w:tc>
      </w:tr>
      <w:tr w:rsidR="00000000">
        <w:trPr>
          <w:divId w:val="678115846"/>
        </w:trPr>
        <w:tc>
          <w:tcPr>
            <w:tcW w:w="357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310" w:type="pct"/>
            <w:gridSpan w:val="5"/>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xml:space="preserve">Three Months Ended </w:t>
            </w:r>
          </w:p>
        </w:tc>
      </w:tr>
      <w:tr w:rsidR="00000000">
        <w:trPr>
          <w:divId w:val="678115846"/>
        </w:trPr>
        <w:tc>
          <w:tcPr>
            <w:tcW w:w="357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310" w:type="pct"/>
            <w:gridSpan w:val="5"/>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w:t>
            </w:r>
          </w:p>
        </w:tc>
      </w:tr>
      <w:tr w:rsidR="00000000">
        <w:trPr>
          <w:divId w:val="678115846"/>
        </w:trPr>
        <w:tc>
          <w:tcPr>
            <w:tcW w:w="3575"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 except per share data)</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596"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2021</w:t>
            </w:r>
          </w:p>
        </w:tc>
      </w:tr>
      <w:tr w:rsidR="00000000">
        <w:trPr>
          <w:divId w:val="678115846"/>
        </w:trPr>
        <w:tc>
          <w:tcPr>
            <w:tcW w:w="3575"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b/>
                <w:bCs/>
                <w:sz w:val="20"/>
                <w:szCs w:val="20"/>
              </w:rPr>
              <w:t>Numerator:</w:t>
            </w:r>
          </w:p>
        </w:tc>
        <w:tc>
          <w:tcPr>
            <w:tcW w:w="1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78115846"/>
        </w:trPr>
        <w:tc>
          <w:tcPr>
            <w:tcW w:w="3575" w:type="pct"/>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Net loss</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(25,946)</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(79,679)</w:t>
            </w:r>
          </w:p>
        </w:tc>
      </w:tr>
      <w:tr w:rsidR="00000000">
        <w:trPr>
          <w:divId w:val="678115846"/>
        </w:trPr>
        <w:tc>
          <w:tcPr>
            <w:tcW w:w="3575"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b/>
                <w:bCs/>
                <w:sz w:val="20"/>
                <w:szCs w:val="20"/>
              </w:rPr>
              <w:t>Denominator:</w:t>
            </w:r>
          </w:p>
        </w:tc>
        <w:tc>
          <w:tcPr>
            <w:tcW w:w="1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678115846"/>
        </w:trPr>
        <w:tc>
          <w:tcPr>
            <w:tcW w:w="3575" w:type="pct"/>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Weighted-average ordinary shares outstanding</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75,247</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64,723</w:t>
            </w:r>
          </w:p>
        </w:tc>
      </w:tr>
      <w:tr w:rsidR="00000000">
        <w:trPr>
          <w:divId w:val="678115846"/>
        </w:trPr>
        <w:tc>
          <w:tcPr>
            <w:tcW w:w="3575" w:type="pct"/>
            <w:shd w:val="clear" w:color="auto" w:fill="CCEEFF"/>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Less: weighted-average ordinary shares subject to forfeiture</w:t>
            </w:r>
          </w:p>
        </w:tc>
        <w:tc>
          <w:tcPr>
            <w:tcW w:w="1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(230)</w:t>
            </w:r>
          </w:p>
        </w:tc>
      </w:tr>
      <w:tr w:rsidR="00000000">
        <w:trPr>
          <w:divId w:val="678115846"/>
        </w:trPr>
        <w:tc>
          <w:tcPr>
            <w:tcW w:w="3575" w:type="pct"/>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Weighted-average ordinary shares used to compute basic and diluted net loss per share</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4"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82"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75,247</w:t>
            </w:r>
          </w:p>
        </w:tc>
        <w:tc>
          <w:tcPr>
            <w:tcW w:w="11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4"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64,493</w:t>
            </w:r>
          </w:p>
        </w:tc>
      </w:tr>
      <w:tr w:rsidR="00000000">
        <w:trPr>
          <w:divId w:val="678115846"/>
        </w:trPr>
        <w:tc>
          <w:tcPr>
            <w:tcW w:w="3575"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240"/>
              <w:rPr>
                <w:sz w:val="20"/>
                <w:szCs w:val="20"/>
              </w:rPr>
            </w:pPr>
            <w:r>
              <w:rPr>
                <w:sz w:val="20"/>
                <w:szCs w:val="20"/>
              </w:rPr>
              <w:t>Basic and diluted net loss per share</w:t>
            </w:r>
          </w:p>
        </w:tc>
        <w:tc>
          <w:tcPr>
            <w:tcW w:w="1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(0.34)</w:t>
            </w:r>
          </w:p>
        </w:tc>
        <w:tc>
          <w:tcPr>
            <w:tcW w:w="1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(1.24)</w:t>
            </w:r>
          </w:p>
        </w:tc>
      </w:tr>
    </w:tbl>
    <w:p w:rsidR="00000000" w:rsidRDefault="001E618F">
      <w:pPr>
        <w:pStyle w:val="a3"/>
        <w:spacing w:before="0" w:beforeAutospacing="0" w:after="0" w:afterAutospacing="0"/>
        <w:divId w:val="678115846"/>
        <w:rPr>
          <w:sz w:val="20"/>
          <w:szCs w:val="20"/>
        </w:rPr>
      </w:pPr>
      <w:r>
        <w:rPr>
          <w:sz w:val="20"/>
          <w:szCs w:val="20"/>
        </w:rPr>
        <w:t>​</w:t>
      </w:r>
    </w:p>
    <w:p w:rsidR="00000000" w:rsidRDefault="001E618F">
      <w:pPr>
        <w:pStyle w:val="a3"/>
        <w:spacing w:before="0" w:beforeAutospacing="0" w:after="0" w:afterAutospacing="0"/>
        <w:ind w:firstLine="720"/>
        <w:divId w:val="678115846"/>
        <w:rPr>
          <w:sz w:val="20"/>
          <w:szCs w:val="20"/>
        </w:rPr>
      </w:pPr>
      <w:r>
        <w:rPr>
          <w:sz w:val="20"/>
          <w:szCs w:val="20"/>
        </w:rPr>
        <w:t xml:space="preserve">For the three months ended March 31, 2022 and 2021, diluted and basic net loss per share were identical since potential ordinary shares were excluded from the calculation, as their effect was anti-dilutive. </w:t>
      </w:r>
    </w:p>
    <w:p w:rsidR="00000000" w:rsidRDefault="001E618F">
      <w:pPr>
        <w:pStyle w:val="a3"/>
        <w:spacing w:before="0" w:beforeAutospacing="0" w:after="0" w:afterAutospacing="0"/>
        <w:ind w:firstLine="720"/>
        <w:divId w:val="678115846"/>
        <w:rPr>
          <w:sz w:val="20"/>
          <w:szCs w:val="20"/>
        </w:rPr>
      </w:pPr>
      <w:r>
        <w:rPr>
          <w:sz w:val="20"/>
          <w:szCs w:val="20"/>
        </w:rPr>
        <w:t>​</w:t>
      </w:r>
    </w:p>
    <w:p w:rsidR="00000000" w:rsidRDefault="001E618F">
      <w:pPr>
        <w:pStyle w:val="a3"/>
        <w:spacing w:before="0" w:beforeAutospacing="0" w:after="0" w:afterAutospacing="0"/>
        <w:divId w:val="678115846"/>
        <w:rPr>
          <w:sz w:val="20"/>
          <w:szCs w:val="20"/>
        </w:rPr>
      </w:pPr>
      <w:r>
        <w:rPr>
          <w:b/>
          <w:bCs/>
          <w:i/>
          <w:iCs/>
          <w:sz w:val="20"/>
          <w:szCs w:val="20"/>
        </w:rPr>
        <w:t>Anti-dilutive Securities</w:t>
      </w:r>
    </w:p>
    <w:p w:rsidR="00000000" w:rsidRDefault="001E618F">
      <w:pPr>
        <w:pStyle w:val="a3"/>
        <w:spacing w:before="0" w:beforeAutospacing="0" w:after="0" w:afterAutospacing="0"/>
        <w:divId w:val="678115846"/>
        <w:rPr>
          <w:sz w:val="20"/>
          <w:szCs w:val="20"/>
        </w:rPr>
      </w:pPr>
      <w:r>
        <w:rPr>
          <w:sz w:val="10"/>
          <w:szCs w:val="10"/>
        </w:rPr>
        <w:t>​</w:t>
      </w:r>
    </w:p>
    <w:p w:rsidR="00000000" w:rsidRDefault="001E618F">
      <w:pPr>
        <w:pStyle w:val="a3"/>
        <w:spacing w:before="0" w:beforeAutospacing="0" w:after="0" w:afterAutospacing="0"/>
        <w:ind w:firstLine="720"/>
        <w:divId w:val="678115846"/>
        <w:rPr>
          <w:sz w:val="20"/>
          <w:szCs w:val="20"/>
        </w:rPr>
      </w:pPr>
      <w:r>
        <w:rPr>
          <w:sz w:val="20"/>
          <w:szCs w:val="20"/>
        </w:rPr>
        <w:t>The following ordin</w:t>
      </w:r>
      <w:r>
        <w:rPr>
          <w:sz w:val="20"/>
          <w:szCs w:val="20"/>
        </w:rPr>
        <w:t>ary equivalent shares were not included in the computation of diluted net loss per share because their effect was anti-dilutive:</w:t>
      </w:r>
    </w:p>
    <w:p w:rsidR="00000000" w:rsidRDefault="001E618F">
      <w:pPr>
        <w:pStyle w:val="a3"/>
        <w:spacing w:before="0" w:beforeAutospacing="0" w:after="0" w:afterAutospacing="0"/>
        <w:divId w:val="67811584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322"/>
        <w:gridCol w:w="201"/>
        <w:gridCol w:w="791"/>
        <w:gridCol w:w="201"/>
        <w:gridCol w:w="791"/>
      </w:tblGrid>
      <w:tr w:rsidR="00000000">
        <w:trPr>
          <w:divId w:val="678115846"/>
          <w:trHeight w:val="20"/>
        </w:trPr>
        <w:tc>
          <w:tcPr>
            <w:tcW w:w="3805" w:type="pct"/>
            <w:tcMar>
              <w:top w:w="0" w:type="dxa"/>
              <w:left w:w="0" w:type="dxa"/>
              <w:bottom w:w="0" w:type="dxa"/>
              <w:right w:w="0" w:type="dxa"/>
            </w:tcMar>
            <w:vAlign w:val="bottom"/>
            <w:hideMark/>
          </w:tcPr>
          <w:p w:rsidR="00000000" w:rsidRDefault="001E618F">
            <w:pPr>
              <w:pStyle w:val="a3"/>
              <w:spacing w:before="0" w:beforeAutospacing="0" w:after="0" w:afterAutospacing="0"/>
              <w:divId w:val="214320926"/>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175263370"/>
              <w:rPr>
                <w:sz w:val="20"/>
                <w:szCs w:val="20"/>
              </w:rPr>
            </w:pPr>
            <w:r>
              <w:rPr>
                <w:sz w:val="2"/>
                <w:szCs w:val="2"/>
              </w:rPr>
              <w:t>​</w:t>
            </w:r>
          </w:p>
        </w:tc>
        <w:tc>
          <w:tcPr>
            <w:tcW w:w="476"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754784923"/>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920259461"/>
              <w:rPr>
                <w:sz w:val="20"/>
                <w:szCs w:val="20"/>
              </w:rPr>
            </w:pPr>
            <w:r>
              <w:rPr>
                <w:sz w:val="2"/>
                <w:szCs w:val="2"/>
              </w:rPr>
              <w:t>​</w:t>
            </w:r>
          </w:p>
        </w:tc>
        <w:tc>
          <w:tcPr>
            <w:tcW w:w="476"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79643034"/>
              <w:rPr>
                <w:sz w:val="20"/>
                <w:szCs w:val="20"/>
              </w:rPr>
            </w:pPr>
            <w:r>
              <w:rPr>
                <w:sz w:val="2"/>
                <w:szCs w:val="2"/>
              </w:rPr>
              <w:t>​</w:t>
            </w:r>
          </w:p>
        </w:tc>
      </w:tr>
      <w:tr w:rsidR="00000000">
        <w:trPr>
          <w:divId w:val="678115846"/>
        </w:trPr>
        <w:tc>
          <w:tcPr>
            <w:tcW w:w="380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073" w:type="pct"/>
            <w:gridSpan w:val="3"/>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xml:space="preserve">Three Months Ended </w:t>
            </w:r>
          </w:p>
        </w:tc>
      </w:tr>
      <w:tr w:rsidR="00000000">
        <w:trPr>
          <w:divId w:val="678115846"/>
        </w:trPr>
        <w:tc>
          <w:tcPr>
            <w:tcW w:w="380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073" w:type="pct"/>
            <w:gridSpan w:val="3"/>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w:t>
            </w:r>
          </w:p>
        </w:tc>
      </w:tr>
      <w:tr w:rsidR="00000000">
        <w:trPr>
          <w:divId w:val="678115846"/>
        </w:trPr>
        <w:tc>
          <w:tcPr>
            <w:tcW w:w="3805"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12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76"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c>
          <w:tcPr>
            <w:tcW w:w="12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76"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2021</w:t>
            </w:r>
          </w:p>
        </w:tc>
      </w:tr>
      <w:tr w:rsidR="00000000">
        <w:trPr>
          <w:divId w:val="678115846"/>
        </w:trPr>
        <w:tc>
          <w:tcPr>
            <w:tcW w:w="3805"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20"/>
                <w:szCs w:val="20"/>
              </w:rPr>
              <w:t>Share issuances under equity incentive plans and ESPP </w:t>
            </w:r>
          </w:p>
        </w:tc>
        <w:tc>
          <w:tcPr>
            <w:tcW w:w="12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20"/>
                <w:szCs w:val="20"/>
              </w:rPr>
              <w:t>​</w:t>
            </w:r>
          </w:p>
        </w:tc>
        <w:tc>
          <w:tcPr>
            <w:tcW w:w="476"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6,831</w:t>
            </w:r>
          </w:p>
        </w:tc>
        <w:tc>
          <w:tcPr>
            <w:tcW w:w="12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76"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8,483</w:t>
            </w:r>
          </w:p>
        </w:tc>
      </w:tr>
      <w:tr w:rsidR="00000000">
        <w:trPr>
          <w:divId w:val="678115846"/>
        </w:trPr>
        <w:tc>
          <w:tcPr>
            <w:tcW w:w="3805" w:type="pct"/>
            <w:noWrap/>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20"/>
                <w:szCs w:val="20"/>
              </w:rPr>
              <w:t xml:space="preserve">Share issuances upon the conversion of convertible senior notes </w:t>
            </w:r>
          </w:p>
        </w:tc>
        <w:tc>
          <w:tcPr>
            <w:tcW w:w="12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20"/>
                <w:szCs w:val="20"/>
              </w:rPr>
              <w:t>​</w:t>
            </w:r>
          </w:p>
        </w:tc>
        <w:tc>
          <w:tcPr>
            <w:tcW w:w="476"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6,676</w:t>
            </w:r>
          </w:p>
        </w:tc>
        <w:tc>
          <w:tcPr>
            <w:tcW w:w="12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76"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6,676</w:t>
            </w:r>
          </w:p>
        </w:tc>
      </w:tr>
      <w:tr w:rsidR="00000000">
        <w:trPr>
          <w:divId w:val="678115846"/>
        </w:trPr>
        <w:tc>
          <w:tcPr>
            <w:tcW w:w="3805"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120"/>
              <w:rPr>
                <w:sz w:val="20"/>
                <w:szCs w:val="20"/>
              </w:rPr>
            </w:pPr>
            <w:r>
              <w:rPr>
                <w:sz w:val="20"/>
                <w:szCs w:val="20"/>
              </w:rPr>
              <w:t>Total</w:t>
            </w:r>
          </w:p>
        </w:tc>
        <w:tc>
          <w:tcPr>
            <w:tcW w:w="12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4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13,507</w:t>
            </w:r>
          </w:p>
        </w:tc>
        <w:tc>
          <w:tcPr>
            <w:tcW w:w="12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15,159</w:t>
            </w:r>
          </w:p>
        </w:tc>
      </w:tr>
    </w:tbl>
    <w:p w:rsidR="00000000" w:rsidRDefault="001E618F">
      <w:pPr>
        <w:pStyle w:val="a3"/>
        <w:spacing w:before="0" w:beforeAutospacing="0" w:after="0" w:afterAutospacing="0"/>
        <w:divId w:val="678115846"/>
        <w:rPr>
          <w:sz w:val="20"/>
          <w:szCs w:val="20"/>
        </w:rPr>
      </w:pPr>
      <w:r>
        <w:rPr>
          <w:sz w:val="2"/>
          <w:szCs w:val="2"/>
        </w:rPr>
        <w:t>​</w:t>
      </w:r>
    </w:p>
    <w:p w:rsidR="00000000" w:rsidRDefault="001E618F">
      <w:pPr>
        <w:pStyle w:val="a3"/>
        <w:spacing w:before="0" w:beforeAutospacing="0" w:after="0" w:afterAutospacing="0"/>
        <w:divId w:val="678115846"/>
        <w:rPr>
          <w:sz w:val="20"/>
          <w:szCs w:val="20"/>
        </w:rPr>
      </w:pPr>
      <w:r>
        <w:rPr>
          <w:sz w:val="20"/>
          <w:szCs w:val="20"/>
        </w:rPr>
        <w:t>​</w:t>
      </w:r>
    </w:p>
    <w:p w:rsidR="00000000" w:rsidRDefault="001E618F">
      <w:pPr>
        <w:pStyle w:val="a3"/>
        <w:spacing w:before="0" w:beforeAutospacing="0" w:after="0" w:afterAutospacing="0"/>
        <w:divId w:val="678115846"/>
        <w:rPr>
          <w:sz w:val="20"/>
          <w:szCs w:val="20"/>
        </w:rPr>
      </w:pPr>
      <w:r>
        <w:rPr>
          <w:b/>
          <w:bCs/>
          <w:sz w:val="20"/>
          <w:szCs w:val="20"/>
        </w:rPr>
        <w:t>3. Revenue</w:t>
      </w:r>
    </w:p>
    <w:p w:rsidR="00000000" w:rsidRDefault="001E618F">
      <w:pPr>
        <w:pStyle w:val="a3"/>
        <w:spacing w:before="0" w:beforeAutospacing="0" w:after="0" w:afterAutospacing="0"/>
        <w:divId w:val="678115846"/>
        <w:rPr>
          <w:sz w:val="20"/>
          <w:szCs w:val="20"/>
        </w:rPr>
      </w:pPr>
      <w:r>
        <w:rPr>
          <w:b/>
          <w:bCs/>
          <w:sz w:val="10"/>
          <w:szCs w:val="10"/>
        </w:rPr>
        <w:t>​</w:t>
      </w:r>
    </w:p>
    <w:p w:rsidR="00000000" w:rsidRDefault="001E618F">
      <w:pPr>
        <w:pStyle w:val="a3"/>
        <w:spacing w:before="0" w:beforeAutospacing="0" w:after="0" w:afterAutospacing="0"/>
        <w:divId w:val="678115846"/>
        <w:rPr>
          <w:sz w:val="20"/>
          <w:szCs w:val="20"/>
        </w:rPr>
      </w:pPr>
      <w:r>
        <w:rPr>
          <w:b/>
          <w:bCs/>
          <w:i/>
          <w:iCs/>
          <w:sz w:val="20"/>
          <w:szCs w:val="20"/>
        </w:rPr>
        <w:t xml:space="preserve">Revenue from Collaborative Arrangements </w:t>
      </w:r>
    </w:p>
    <w:p w:rsidR="00000000" w:rsidRDefault="001E618F">
      <w:pPr>
        <w:pStyle w:val="a3"/>
        <w:spacing w:before="0" w:beforeAutospacing="0" w:after="0" w:afterAutospacing="0"/>
        <w:ind w:firstLine="720"/>
        <w:divId w:val="678115846"/>
        <w:rPr>
          <w:sz w:val="20"/>
          <w:szCs w:val="20"/>
        </w:rPr>
      </w:pPr>
      <w:r>
        <w:rPr>
          <w:sz w:val="10"/>
          <w:szCs w:val="10"/>
        </w:rPr>
        <w:t>​</w:t>
      </w:r>
    </w:p>
    <w:p w:rsidR="00000000" w:rsidRDefault="001E618F">
      <w:pPr>
        <w:pStyle w:val="a3"/>
        <w:shd w:val="clear" w:color="auto" w:fill="FFFFFF"/>
        <w:spacing w:before="0" w:beforeAutospacing="0" w:after="0" w:afterAutospacing="0"/>
        <w:divId w:val="678115846"/>
        <w:rPr>
          <w:sz w:val="20"/>
          <w:szCs w:val="20"/>
        </w:rPr>
      </w:pPr>
      <w:r>
        <w:rPr>
          <w:b/>
          <w:bCs/>
          <w:i/>
          <w:iCs/>
          <w:sz w:val="20"/>
          <w:szCs w:val="20"/>
        </w:rPr>
        <w:t>Viatris</w:t>
      </w:r>
    </w:p>
    <w:p w:rsidR="00000000" w:rsidRDefault="001E618F">
      <w:pPr>
        <w:pStyle w:val="a3"/>
        <w:spacing w:before="0" w:beforeAutospacing="0" w:after="0" w:afterAutospacing="0"/>
        <w:divId w:val="678115846"/>
        <w:rPr>
          <w:sz w:val="20"/>
          <w:szCs w:val="20"/>
        </w:rPr>
      </w:pPr>
      <w:r>
        <w:rPr>
          <w:sz w:val="10"/>
          <w:szCs w:val="10"/>
        </w:rPr>
        <w:t>​</w:t>
      </w:r>
    </w:p>
    <w:p w:rsidR="00000000" w:rsidRDefault="001E618F">
      <w:pPr>
        <w:pStyle w:val="a3"/>
        <w:spacing w:before="0" w:beforeAutospacing="0" w:after="0" w:afterAutospacing="0"/>
        <w:ind w:firstLine="720"/>
        <w:divId w:val="678115846"/>
        <w:rPr>
          <w:sz w:val="20"/>
          <w:szCs w:val="20"/>
        </w:rPr>
      </w:pPr>
      <w:r>
        <w:rPr>
          <w:sz w:val="20"/>
          <w:szCs w:val="20"/>
        </w:rPr>
        <w:t>In January 2015, the Company and Viatris Inc. (“Viatris”) established a strategic collaboration (the “Viatris Agreement”</w:t>
      </w:r>
      <w:r>
        <w:rPr>
          <w:sz w:val="20"/>
          <w:szCs w:val="20"/>
        </w:rPr>
        <w:t>) for the development and commercialization of revefenacin, including YUPELR</w:t>
      </w:r>
      <w:r>
        <w:rPr>
          <w:sz w:val="20"/>
          <w:szCs w:val="20"/>
        </w:rPr>
        <w:t>I</w:t>
      </w:r>
      <w:r>
        <w:rPr>
          <w:sz w:val="15"/>
          <w:szCs w:val="15"/>
          <w:vertAlign w:val="superscript"/>
        </w:rPr>
        <w:t>®</w:t>
      </w:r>
      <w:r>
        <w:rPr>
          <w:sz w:val="20"/>
          <w:szCs w:val="20"/>
        </w:rPr>
        <w:t xml:space="preserve"> (revefenacin) inhalation solution. The Company entered into the collaboration to expand the breadth of its revefenacin development program and extend its commercial reach beyond</w:t>
      </w:r>
      <w:r>
        <w:rPr>
          <w:sz w:val="20"/>
          <w:szCs w:val="20"/>
        </w:rPr>
        <w:t xml:space="preserve"> the acute care setting. </w:t>
      </w:r>
    </w:p>
    <w:p w:rsidR="00000000" w:rsidRDefault="001E618F">
      <w:pPr>
        <w:pStyle w:val="a3"/>
        <w:spacing w:before="0" w:beforeAutospacing="0" w:after="0" w:afterAutospacing="0"/>
        <w:ind w:firstLine="720"/>
        <w:divId w:val="678115846"/>
        <w:rPr>
          <w:sz w:val="20"/>
          <w:szCs w:val="20"/>
        </w:rPr>
      </w:pPr>
      <w:r>
        <w:rPr>
          <w:sz w:val="20"/>
          <w:szCs w:val="20"/>
        </w:rPr>
        <w:t>​</w:t>
      </w:r>
    </w:p>
    <w:p w:rsidR="00000000" w:rsidRDefault="001E618F">
      <w:pPr>
        <w:pStyle w:val="a3"/>
        <w:spacing w:before="0" w:beforeAutospacing="0" w:after="0" w:afterAutospacing="0"/>
        <w:ind w:firstLine="720"/>
        <w:divId w:val="678115846"/>
        <w:rPr>
          <w:sz w:val="20"/>
          <w:szCs w:val="20"/>
        </w:rPr>
      </w:pPr>
      <w:r>
        <w:rPr>
          <w:sz w:val="20"/>
          <w:szCs w:val="20"/>
        </w:rPr>
        <w:t>In the US, Viatris is leading the commercialization of YUPELRI, and the Company co-promotes the product under a profit and loss sharing arrangement (65% to Viatris; 35% to Theravance Biopharma). Outside the US (including China a</w:t>
      </w:r>
      <w:r>
        <w:rPr>
          <w:sz w:val="20"/>
          <w:szCs w:val="20"/>
        </w:rPr>
        <w:t>nd adjacent territories), Viatris is responsible for development and commercialization and will pay the Company a tiered royalty on net sales at percentage royalty rates ranging from low double-digits to mid-teens. Viatris is the principal in the sales tra</w:t>
      </w:r>
      <w:r>
        <w:rPr>
          <w:sz w:val="20"/>
          <w:szCs w:val="20"/>
        </w:rPr>
        <w:t>nsactions, and as a result, the Company does not reflect the product sales in its condensed consolidated financial statements.</w:t>
      </w:r>
    </w:p>
    <w:p w:rsidR="00000000" w:rsidRDefault="001E618F">
      <w:pPr>
        <w:pStyle w:val="a3"/>
        <w:spacing w:before="0" w:beforeAutospacing="0" w:after="0" w:afterAutospacing="0"/>
        <w:divId w:val="678115846"/>
        <w:rPr>
          <w:sz w:val="20"/>
          <w:szCs w:val="20"/>
        </w:rPr>
      </w:pPr>
      <w:r>
        <w:rPr>
          <w:sz w:val="20"/>
          <w:szCs w:val="20"/>
        </w:rPr>
        <w:t>​</w:t>
      </w:r>
    </w:p>
    <w:p w:rsidR="00000000" w:rsidRDefault="001E618F">
      <w:pPr>
        <w:pStyle w:val="a3"/>
        <w:spacing w:before="0" w:beforeAutospacing="0" w:after="0" w:afterAutospacing="0"/>
        <w:ind w:firstLine="720"/>
        <w:divId w:val="678115846"/>
        <w:rPr>
          <w:sz w:val="20"/>
          <w:szCs w:val="20"/>
        </w:rPr>
      </w:pPr>
      <w:r>
        <w:rPr>
          <w:sz w:val="20"/>
          <w:szCs w:val="20"/>
        </w:rPr>
        <w:t>As of March 31, 2022, the Company is eligible to receive from Viatris potential global development, regulatory and sales milest</w:t>
      </w:r>
      <w:r>
        <w:rPr>
          <w:sz w:val="20"/>
          <w:szCs w:val="20"/>
        </w:rPr>
        <w:t>one payments totaling up to $257.5 million in the aggregate, with $205.0 million associated with YUPELRI monotherapy, and $52.5 million associated with future potential combination products. Of the $205.0 million associated with monotherapy, $187.5 million</w:t>
      </w:r>
      <w:r>
        <w:rPr>
          <w:sz w:val="20"/>
          <w:szCs w:val="20"/>
        </w:rPr>
        <w:t xml:space="preserve"> relates to sales milestones based on achieving certain levels of net sales and $17.5 million relates to global development and regulatory actions. The $52.5 million associated with future potential combination products relates solely to development and re</w:t>
      </w:r>
      <w:r>
        <w:rPr>
          <w:sz w:val="20"/>
          <w:szCs w:val="20"/>
        </w:rPr>
        <w:t>gulatory actions.</w:t>
      </w:r>
    </w:p>
    <w:p w:rsidR="00000000" w:rsidRDefault="001E618F">
      <w:pPr>
        <w:pStyle w:val="a3"/>
        <w:spacing w:before="360" w:beforeAutospacing="0" w:after="0" w:afterAutospacing="0"/>
        <w:jc w:val="center"/>
        <w:divId w:val="122045047"/>
        <w:rPr>
          <w:sz w:val="20"/>
          <w:szCs w:val="20"/>
        </w:rPr>
      </w:pPr>
      <w:r>
        <w:rPr>
          <w:sz w:val="20"/>
          <w:szCs w:val="20"/>
        </w:rPr>
        <w:t>8</w:t>
      </w:r>
    </w:p>
    <w:p w:rsidR="00000000" w:rsidRDefault="001E618F">
      <w:pPr>
        <w:pStyle w:val="a3"/>
        <w:spacing w:before="0" w:beforeAutospacing="0" w:after="600" w:afterAutospacing="0"/>
        <w:divId w:val="251594300"/>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ind w:firstLine="720"/>
        <w:divId w:val="1858884715"/>
        <w:rPr>
          <w:sz w:val="20"/>
          <w:szCs w:val="20"/>
        </w:rPr>
      </w:pPr>
      <w:r>
        <w:rPr>
          <w:sz w:val="20"/>
          <w:szCs w:val="20"/>
        </w:rPr>
        <w:t xml:space="preserve">The Viatris Agreement is considered to be within the scope of ASC 808 and partially within the scope of ASC 606, as the parties are active participants and exposed to the risks and rewards of </w:t>
      </w:r>
      <w:r>
        <w:rPr>
          <w:sz w:val="20"/>
          <w:szCs w:val="20"/>
        </w:rPr>
        <w:t>the collaborative activity with a unit of account provided to Viatris as a customer. Under the terms of the Viatris Agreement, which included the delivery by the Company of a license to Viatris to develop and commercialize revefenacin in exchange for $15.0</w:t>
      </w:r>
      <w:r>
        <w:rPr>
          <w:sz w:val="20"/>
          <w:szCs w:val="20"/>
        </w:rPr>
        <w:t xml:space="preserve"> million received in 2015, Viatris was responsible for reimbursement of the Company’s costs related to the registrational program up until the approval of the first new drug application in November 2018, thereafter, R&amp;D expenses are shared. Performing R&amp;D </w:t>
      </w:r>
      <w:r>
        <w:rPr>
          <w:sz w:val="20"/>
          <w:szCs w:val="20"/>
        </w:rPr>
        <w:t>services for reimbursement is considered to be a collaborative activity under the scope of ASC 808. Reimbursable program costs are recognized proportionately with the performance of the underlying services and accounted for as reductions to R&amp;D expense. Fo</w:t>
      </w:r>
      <w:r>
        <w:rPr>
          <w:sz w:val="20"/>
          <w:szCs w:val="20"/>
        </w:rPr>
        <w:t xml:space="preserve">r this unit of account, the Company did not recognize revenue or analogize to ASC 606 and, as such, the reimbursable program costs are excluded from the transaction price. The Company determined the license to develop and commercialize revefenacin to be a </w:t>
      </w:r>
      <w:r>
        <w:rPr>
          <w:sz w:val="20"/>
          <w:szCs w:val="20"/>
        </w:rPr>
        <w:t>unit of account and a separate performance obligation, for which Viatris is a customer, with the $15.0 million for the delivery of the license representing the transaction price.</w:t>
      </w:r>
    </w:p>
    <w:p w:rsidR="00000000" w:rsidRDefault="001E618F">
      <w:pPr>
        <w:pStyle w:val="a3"/>
        <w:spacing w:before="0" w:beforeAutospacing="0" w:after="0" w:afterAutospacing="0"/>
        <w:divId w:val="1858884715"/>
        <w:rPr>
          <w:sz w:val="20"/>
          <w:szCs w:val="20"/>
        </w:rPr>
      </w:pPr>
      <w:r>
        <w:rPr>
          <w:sz w:val="20"/>
          <w:szCs w:val="20"/>
        </w:rPr>
        <w:t>​</w:t>
      </w:r>
    </w:p>
    <w:p w:rsidR="00000000" w:rsidRDefault="001E618F">
      <w:pPr>
        <w:pStyle w:val="a3"/>
        <w:spacing w:before="0" w:beforeAutospacing="0" w:after="0" w:afterAutospacing="0"/>
        <w:ind w:firstLine="720"/>
        <w:divId w:val="1858884715"/>
        <w:rPr>
          <w:sz w:val="20"/>
          <w:szCs w:val="20"/>
        </w:rPr>
      </w:pPr>
      <w:r>
        <w:rPr>
          <w:sz w:val="20"/>
          <w:szCs w:val="20"/>
        </w:rPr>
        <w:t>The future potential milestone amounts for</w:t>
      </w:r>
      <w:r>
        <w:rPr>
          <w:color w:val="FF0000"/>
          <w:sz w:val="20"/>
          <w:szCs w:val="20"/>
        </w:rPr>
        <w:t xml:space="preserve"> </w:t>
      </w:r>
      <w:r>
        <w:rPr>
          <w:sz w:val="20"/>
          <w:szCs w:val="20"/>
        </w:rPr>
        <w:t>the Viatris Agreement were not i</w:t>
      </w:r>
      <w:r>
        <w:rPr>
          <w:sz w:val="20"/>
          <w:szCs w:val="20"/>
        </w:rPr>
        <w:t>ncluded in the transaction price, as they were all determined to be fully constrained following the concepts of ASC 606. As part of the Company’s evaluation of the development and regulatory milestones constraint, the Company determined that the achievemen</w:t>
      </w:r>
      <w:r>
        <w:rPr>
          <w:sz w:val="20"/>
          <w:szCs w:val="20"/>
        </w:rPr>
        <w:t>t of such milestones is contingent upon success in future clinical trials and regulatory approvals which are not within its control and uncertain at this stage. The Company expects that the sales-based milestone payments and royalty arrangements will be re</w:t>
      </w:r>
      <w:r>
        <w:rPr>
          <w:sz w:val="20"/>
          <w:szCs w:val="20"/>
        </w:rPr>
        <w:t xml:space="preserve">cognized when the sales occur or the milestone is achieved. </w:t>
      </w:r>
    </w:p>
    <w:p w:rsidR="00000000" w:rsidRDefault="001E618F">
      <w:pPr>
        <w:pStyle w:val="a3"/>
        <w:spacing w:before="0" w:beforeAutospacing="0" w:after="0" w:afterAutospacing="0"/>
        <w:divId w:val="1858884715"/>
        <w:rPr>
          <w:sz w:val="20"/>
          <w:szCs w:val="20"/>
        </w:rPr>
      </w:pPr>
      <w:r>
        <w:rPr>
          <w:sz w:val="20"/>
          <w:szCs w:val="20"/>
        </w:rPr>
        <w:t>​</w:t>
      </w:r>
    </w:p>
    <w:p w:rsidR="00000000" w:rsidRDefault="001E618F">
      <w:pPr>
        <w:pStyle w:val="a3"/>
        <w:spacing w:before="0" w:beforeAutospacing="0" w:after="0" w:afterAutospacing="0"/>
        <w:ind w:firstLine="720"/>
        <w:divId w:val="1858884715"/>
        <w:rPr>
          <w:sz w:val="20"/>
          <w:szCs w:val="20"/>
        </w:rPr>
      </w:pPr>
      <w:r>
        <w:rPr>
          <w:sz w:val="20"/>
          <w:szCs w:val="20"/>
        </w:rPr>
        <w:t>Following the US Food and Drug Administration (“FDA”) approval of YUPELRI in November 2018, net amounts payable to or receivable from Viatris each quarter under the profit-sharing structure are</w:t>
      </w:r>
      <w:r>
        <w:rPr>
          <w:sz w:val="20"/>
          <w:szCs w:val="20"/>
        </w:rPr>
        <w:t xml:space="preserve"> disaggregated according to their individual components. </w:t>
      </w:r>
      <w:r>
        <w:rPr>
          <w:sz w:val="20"/>
          <w:szCs w:val="20"/>
          <w:shd w:val="clear" w:color="auto" w:fill="FFFFFF"/>
        </w:rPr>
        <w:t>In accordance with the applicable accounting guidance, amounts receivable</w:t>
      </w:r>
      <w:r>
        <w:rPr>
          <w:sz w:val="20"/>
          <w:szCs w:val="20"/>
        </w:rPr>
        <w:t xml:space="preserve"> from Viatris in connection with the commercialization of YUPELRI are recorded within the condensed consolidated statements of</w:t>
      </w:r>
      <w:r>
        <w:rPr>
          <w:sz w:val="20"/>
          <w:szCs w:val="20"/>
        </w:rPr>
        <w:t xml:space="preserve"> operations as revenue from “Viatris collaboration agreement” irrespective of whether the overall collaboration is profitable. A</w:t>
      </w:r>
      <w:r>
        <w:rPr>
          <w:sz w:val="20"/>
          <w:szCs w:val="20"/>
          <w:shd w:val="clear" w:color="auto" w:fill="FFFFFF"/>
        </w:rPr>
        <w:t>mounts payable to Viatris, if any, in connection with the commercialization of YUPELRI are recorded within the condensed consoli</w:t>
      </w:r>
      <w:r>
        <w:rPr>
          <w:sz w:val="20"/>
          <w:szCs w:val="20"/>
          <w:shd w:val="clear" w:color="auto" w:fill="FFFFFF"/>
        </w:rPr>
        <w:t>dated statements of operations as a collaboration loss within selling, general and administrative expenses. Any reimbursement from Viatris attributed to the 65% cost-sharing of the Company’s R&amp;D expenses is characterized as a reduction of R&amp;D expense, as t</w:t>
      </w:r>
      <w:r>
        <w:rPr>
          <w:sz w:val="20"/>
          <w:szCs w:val="20"/>
          <w:shd w:val="clear" w:color="auto" w:fill="FFFFFF"/>
        </w:rPr>
        <w:t xml:space="preserve">he Company does not consider performing research and development services for reimbursement to be a part of its ordinary activities. </w:t>
      </w:r>
      <w:r>
        <w:rPr>
          <w:sz w:val="20"/>
          <w:szCs w:val="20"/>
        </w:rPr>
        <w:t>For the three months ended March 31, 2022, YUPELRI continued to be profitable for the Company.</w:t>
      </w:r>
    </w:p>
    <w:p w:rsidR="00000000" w:rsidRDefault="001E618F">
      <w:pPr>
        <w:pStyle w:val="a3"/>
        <w:spacing w:before="0" w:beforeAutospacing="0" w:after="0" w:afterAutospacing="0"/>
        <w:divId w:val="1858884715"/>
        <w:rPr>
          <w:sz w:val="20"/>
          <w:szCs w:val="20"/>
        </w:rPr>
      </w:pPr>
      <w:r>
        <w:rPr>
          <w:sz w:val="20"/>
          <w:szCs w:val="20"/>
          <w:shd w:val="clear" w:color="auto" w:fill="FFFFFF"/>
        </w:rPr>
        <w:t>​</w:t>
      </w:r>
    </w:p>
    <w:p w:rsidR="00000000" w:rsidRDefault="001E618F">
      <w:pPr>
        <w:pStyle w:val="a3"/>
        <w:spacing w:before="0" w:beforeAutospacing="0" w:after="0" w:afterAutospacing="0"/>
        <w:ind w:firstLine="720"/>
        <w:divId w:val="1858884715"/>
        <w:rPr>
          <w:sz w:val="20"/>
          <w:szCs w:val="20"/>
        </w:rPr>
      </w:pPr>
      <w:r>
        <w:rPr>
          <w:sz w:val="20"/>
          <w:szCs w:val="20"/>
        </w:rPr>
        <w:t>The following YUPELRI-rela</w:t>
      </w:r>
      <w:r>
        <w:rPr>
          <w:sz w:val="20"/>
          <w:szCs w:val="20"/>
        </w:rPr>
        <w:t>ted amounts were recognized within revenue in the Company’s condensed consolidated statements of operations:</w:t>
      </w:r>
    </w:p>
    <w:p w:rsidR="00000000" w:rsidRDefault="001E618F">
      <w:pPr>
        <w:pStyle w:val="a3"/>
        <w:spacing w:before="0" w:beforeAutospacing="0" w:after="0" w:afterAutospacing="0"/>
        <w:ind w:firstLine="720"/>
        <w:divId w:val="185888471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31"/>
        <w:gridCol w:w="192"/>
        <w:gridCol w:w="191"/>
        <w:gridCol w:w="754"/>
        <w:gridCol w:w="191"/>
        <w:gridCol w:w="191"/>
        <w:gridCol w:w="756"/>
      </w:tblGrid>
      <w:tr w:rsidR="00000000">
        <w:trPr>
          <w:divId w:val="1858884715"/>
          <w:trHeight w:val="20"/>
        </w:trPr>
        <w:tc>
          <w:tcPr>
            <w:tcW w:w="3629" w:type="pct"/>
            <w:tcMar>
              <w:top w:w="0" w:type="dxa"/>
              <w:left w:w="0" w:type="dxa"/>
              <w:bottom w:w="0" w:type="dxa"/>
              <w:right w:w="0" w:type="dxa"/>
            </w:tcMar>
            <w:vAlign w:val="center"/>
            <w:hideMark/>
          </w:tcPr>
          <w:p w:rsidR="00000000" w:rsidRDefault="001E618F">
            <w:pPr>
              <w:pStyle w:val="a3"/>
              <w:spacing w:before="0" w:beforeAutospacing="0" w:after="0" w:afterAutospacing="0"/>
              <w:divId w:val="743575979"/>
              <w:rPr>
                <w:sz w:val="20"/>
                <w:szCs w:val="20"/>
              </w:rPr>
            </w:pPr>
            <w:r>
              <w:rPr>
                <w:sz w:val="2"/>
                <w:szCs w:val="2"/>
              </w:rPr>
              <w:t>​</w:t>
            </w:r>
          </w:p>
        </w:tc>
        <w:tc>
          <w:tcPr>
            <w:tcW w:w="115" w:type="pct"/>
            <w:tcMar>
              <w:top w:w="0" w:type="dxa"/>
              <w:left w:w="0" w:type="dxa"/>
              <w:bottom w:w="0" w:type="dxa"/>
              <w:right w:w="0" w:type="dxa"/>
            </w:tcMar>
            <w:vAlign w:val="bottom"/>
            <w:hideMark/>
          </w:tcPr>
          <w:p w:rsidR="00000000" w:rsidRDefault="001E618F">
            <w:pPr>
              <w:pStyle w:val="a3"/>
              <w:spacing w:before="0" w:beforeAutospacing="0" w:after="0" w:afterAutospacing="0"/>
              <w:divId w:val="570431644"/>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820146277"/>
              <w:rPr>
                <w:sz w:val="20"/>
                <w:szCs w:val="20"/>
              </w:rPr>
            </w:pPr>
            <w:r>
              <w:rPr>
                <w:sz w:val="2"/>
                <w:szCs w:val="2"/>
              </w:rPr>
              <w:t>​</w:t>
            </w:r>
          </w:p>
        </w:tc>
        <w:tc>
          <w:tcPr>
            <w:tcW w:w="45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548031133"/>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768543557"/>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0230424"/>
              <w:rPr>
                <w:sz w:val="20"/>
                <w:szCs w:val="20"/>
              </w:rPr>
            </w:pPr>
            <w:r>
              <w:rPr>
                <w:sz w:val="2"/>
                <w:szCs w:val="2"/>
              </w:rPr>
              <w:t>​</w:t>
            </w:r>
          </w:p>
        </w:tc>
        <w:tc>
          <w:tcPr>
            <w:tcW w:w="45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751658991"/>
              <w:rPr>
                <w:sz w:val="20"/>
                <w:szCs w:val="20"/>
              </w:rPr>
            </w:pPr>
            <w:r>
              <w:rPr>
                <w:sz w:val="2"/>
                <w:szCs w:val="2"/>
              </w:rPr>
              <w:t>​</w:t>
            </w:r>
          </w:p>
        </w:tc>
      </w:tr>
      <w:tr w:rsidR="00000000">
        <w:trPr>
          <w:divId w:val="1858884715"/>
        </w:trPr>
        <w:tc>
          <w:tcPr>
            <w:tcW w:w="3629"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1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54" w:type="pct"/>
            <w:gridSpan w:val="5"/>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xml:space="preserve">Three Months Ended </w:t>
            </w:r>
          </w:p>
        </w:tc>
      </w:tr>
      <w:tr w:rsidR="00000000">
        <w:trPr>
          <w:divId w:val="1858884715"/>
        </w:trPr>
        <w:tc>
          <w:tcPr>
            <w:tcW w:w="3629"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1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54" w:type="pct"/>
            <w:gridSpan w:val="5"/>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w:t>
            </w:r>
          </w:p>
        </w:tc>
      </w:tr>
      <w:tr w:rsidR="00000000">
        <w:trPr>
          <w:divId w:val="1858884715"/>
        </w:trPr>
        <w:tc>
          <w:tcPr>
            <w:tcW w:w="3629"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2021</w:t>
            </w:r>
          </w:p>
        </w:tc>
      </w:tr>
      <w:tr w:rsidR="00000000">
        <w:trPr>
          <w:divId w:val="1858884715"/>
        </w:trPr>
        <w:tc>
          <w:tcPr>
            <w:tcW w:w="3629" w:type="pct"/>
            <w:shd w:val="clear" w:color="auto" w:fill="CCEEFF"/>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 xml:space="preserve">Viatris collaboration agreement - </w:t>
            </w:r>
            <w:r>
              <w:rPr>
                <w:i/>
                <w:iCs/>
                <w:sz w:val="20"/>
                <w:szCs w:val="20"/>
              </w:rPr>
              <w:t>Amounts receivable from Viatris</w:t>
            </w:r>
          </w:p>
        </w:tc>
        <w:tc>
          <w:tcPr>
            <w:tcW w:w="115"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10,687</w:t>
            </w:r>
          </w:p>
        </w:tc>
        <w:tc>
          <w:tcPr>
            <w:tcW w:w="1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10,385</w:t>
            </w:r>
          </w:p>
        </w:tc>
      </w:tr>
    </w:tbl>
    <w:p w:rsidR="00000000" w:rsidRDefault="001E618F">
      <w:pPr>
        <w:pStyle w:val="a3"/>
        <w:spacing w:before="0" w:beforeAutospacing="0" w:after="0" w:afterAutospacing="0"/>
        <w:divId w:val="1858884715"/>
        <w:rPr>
          <w:sz w:val="20"/>
          <w:szCs w:val="20"/>
        </w:rPr>
      </w:pPr>
      <w:r>
        <w:rPr>
          <w:sz w:val="20"/>
          <w:szCs w:val="20"/>
        </w:rPr>
        <w:t>​</w:t>
      </w:r>
    </w:p>
    <w:p w:rsidR="00000000" w:rsidRDefault="001E618F">
      <w:pPr>
        <w:pStyle w:val="a3"/>
        <w:spacing w:before="0" w:beforeAutospacing="0" w:after="0" w:afterAutospacing="0"/>
        <w:ind w:firstLine="720"/>
        <w:divId w:val="1858884715"/>
        <w:rPr>
          <w:sz w:val="20"/>
          <w:szCs w:val="20"/>
        </w:rPr>
      </w:pPr>
      <w:r>
        <w:rPr>
          <w:sz w:val="20"/>
          <w:szCs w:val="20"/>
        </w:rPr>
        <w:t>While Viatris records the total net sales of YUPELRI within its consolidated financial statements, Viatris collaboration agreement revenue includes the Company’s implied 35</w:t>
      </w:r>
      <w:r>
        <w:rPr>
          <w:sz w:val="20"/>
          <w:szCs w:val="20"/>
        </w:rPr>
        <w:t>%</w:t>
      </w:r>
      <w:r>
        <w:rPr>
          <w:sz w:val="20"/>
          <w:szCs w:val="20"/>
        </w:rPr>
        <w:t xml:space="preserve"> share of net sales of YUPELRI for the three months ended March 31, 2022 and 2021 o</w:t>
      </w:r>
      <w:r>
        <w:rPr>
          <w:sz w:val="20"/>
          <w:szCs w:val="20"/>
        </w:rPr>
        <w:t>f $15.3 million and $12.</w:t>
      </w:r>
      <w:r>
        <w:rPr>
          <w:sz w:val="20"/>
          <w:szCs w:val="20"/>
        </w:rPr>
        <w:t>9</w:t>
      </w:r>
      <w:r>
        <w:rPr>
          <w:sz w:val="20"/>
          <w:szCs w:val="20"/>
        </w:rPr>
        <w:t xml:space="preserve"> million, respectively, before deducting shared expenses.</w:t>
      </w:r>
      <w:r>
        <w:rPr>
          <w:sz w:val="20"/>
          <w:szCs w:val="20"/>
        </w:rPr>
        <w:t xml:space="preserve"> </w:t>
      </w:r>
    </w:p>
    <w:p w:rsidR="00000000" w:rsidRDefault="001E618F">
      <w:pPr>
        <w:pStyle w:val="a3"/>
        <w:spacing w:before="0" w:beforeAutospacing="0" w:after="0" w:afterAutospacing="0"/>
        <w:divId w:val="1858884715"/>
        <w:rPr>
          <w:sz w:val="20"/>
          <w:szCs w:val="20"/>
        </w:rPr>
      </w:pPr>
      <w:r>
        <w:rPr>
          <w:sz w:val="20"/>
          <w:szCs w:val="20"/>
        </w:rPr>
        <w:t>​</w:t>
      </w:r>
    </w:p>
    <w:p w:rsidR="00000000" w:rsidRDefault="001E618F">
      <w:pPr>
        <w:pStyle w:val="a3"/>
        <w:shd w:val="clear" w:color="auto" w:fill="FFFFFF"/>
        <w:spacing w:before="0" w:beforeAutospacing="0" w:after="0" w:afterAutospacing="0"/>
        <w:divId w:val="1858884715"/>
        <w:rPr>
          <w:sz w:val="20"/>
          <w:szCs w:val="20"/>
        </w:rPr>
      </w:pPr>
      <w:r>
        <w:rPr>
          <w:b/>
          <w:bCs/>
          <w:i/>
          <w:iCs/>
          <w:sz w:val="20"/>
          <w:szCs w:val="20"/>
        </w:rPr>
        <w:t>Other Collaborative Arrangements</w:t>
      </w:r>
    </w:p>
    <w:p w:rsidR="00000000" w:rsidRDefault="001E618F">
      <w:pPr>
        <w:pStyle w:val="a3"/>
        <w:spacing w:before="0" w:beforeAutospacing="0" w:after="0" w:afterAutospacing="0"/>
        <w:divId w:val="1858884715"/>
        <w:rPr>
          <w:sz w:val="20"/>
          <w:szCs w:val="20"/>
        </w:rPr>
      </w:pPr>
      <w:r>
        <w:rPr>
          <w:sz w:val="10"/>
          <w:szCs w:val="10"/>
        </w:rPr>
        <w:t>​</w:t>
      </w:r>
    </w:p>
    <w:p w:rsidR="00000000" w:rsidRDefault="001E618F">
      <w:pPr>
        <w:pStyle w:val="a3"/>
        <w:spacing w:before="0" w:beforeAutospacing="0" w:after="0" w:afterAutospacing="0"/>
        <w:ind w:firstLine="720"/>
        <w:divId w:val="1858884715"/>
        <w:rPr>
          <w:sz w:val="20"/>
          <w:szCs w:val="20"/>
        </w:rPr>
      </w:pPr>
      <w:r>
        <w:rPr>
          <w:sz w:val="20"/>
          <w:szCs w:val="20"/>
        </w:rPr>
        <w:t>The Company recognized revenues from its other collaborative arrangements as follows:</w:t>
      </w:r>
    </w:p>
    <w:p w:rsidR="00000000" w:rsidRDefault="001E618F">
      <w:pPr>
        <w:pStyle w:val="a3"/>
        <w:spacing w:before="0" w:beforeAutospacing="0" w:after="0" w:afterAutospacing="0"/>
        <w:divId w:val="185888471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31"/>
        <w:gridCol w:w="192"/>
        <w:gridCol w:w="191"/>
        <w:gridCol w:w="754"/>
        <w:gridCol w:w="191"/>
        <w:gridCol w:w="191"/>
        <w:gridCol w:w="756"/>
      </w:tblGrid>
      <w:tr w:rsidR="00000000">
        <w:trPr>
          <w:divId w:val="1858884715"/>
          <w:trHeight w:val="20"/>
        </w:trPr>
        <w:tc>
          <w:tcPr>
            <w:tcW w:w="3629" w:type="pct"/>
            <w:tcMar>
              <w:top w:w="0" w:type="dxa"/>
              <w:left w:w="0" w:type="dxa"/>
              <w:bottom w:w="0" w:type="dxa"/>
              <w:right w:w="0" w:type="dxa"/>
            </w:tcMar>
            <w:hideMark/>
          </w:tcPr>
          <w:p w:rsidR="00000000" w:rsidRDefault="001E618F">
            <w:pPr>
              <w:pStyle w:val="a3"/>
              <w:spacing w:before="0" w:beforeAutospacing="0" w:after="0" w:afterAutospacing="0"/>
              <w:divId w:val="213479123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722411568"/>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124109615"/>
              <w:rPr>
                <w:sz w:val="20"/>
                <w:szCs w:val="20"/>
              </w:rPr>
            </w:pPr>
            <w:r>
              <w:rPr>
                <w:sz w:val="2"/>
                <w:szCs w:val="2"/>
              </w:rPr>
              <w:t>​</w:t>
            </w:r>
          </w:p>
        </w:tc>
        <w:tc>
          <w:tcPr>
            <w:tcW w:w="45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922987727"/>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970400745"/>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322003207"/>
              <w:rPr>
                <w:sz w:val="20"/>
                <w:szCs w:val="20"/>
              </w:rPr>
            </w:pPr>
            <w:r>
              <w:rPr>
                <w:sz w:val="2"/>
                <w:szCs w:val="2"/>
              </w:rPr>
              <w:t>​</w:t>
            </w:r>
          </w:p>
        </w:tc>
        <w:tc>
          <w:tcPr>
            <w:tcW w:w="45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143694511"/>
              <w:rPr>
                <w:sz w:val="20"/>
                <w:szCs w:val="20"/>
              </w:rPr>
            </w:pPr>
            <w:r>
              <w:rPr>
                <w:sz w:val="2"/>
                <w:szCs w:val="2"/>
              </w:rPr>
              <w:t>​</w:t>
            </w:r>
          </w:p>
        </w:tc>
      </w:tr>
      <w:tr w:rsidR="00000000">
        <w:trPr>
          <w:divId w:val="1858884715"/>
        </w:trPr>
        <w:tc>
          <w:tcPr>
            <w:tcW w:w="3629"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54" w:type="pct"/>
            <w:gridSpan w:val="5"/>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xml:space="preserve">Three Months Ended </w:t>
            </w:r>
          </w:p>
        </w:tc>
      </w:tr>
      <w:tr w:rsidR="00000000">
        <w:trPr>
          <w:divId w:val="1858884715"/>
        </w:trPr>
        <w:tc>
          <w:tcPr>
            <w:tcW w:w="3629"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54" w:type="pct"/>
            <w:gridSpan w:val="5"/>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w:t>
            </w:r>
          </w:p>
        </w:tc>
      </w:tr>
      <w:tr w:rsidR="00000000">
        <w:trPr>
          <w:divId w:val="1858884715"/>
        </w:trPr>
        <w:tc>
          <w:tcPr>
            <w:tcW w:w="3629"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2021</w:t>
            </w:r>
          </w:p>
        </w:tc>
      </w:tr>
      <w:tr w:rsidR="00000000">
        <w:trPr>
          <w:divId w:val="1858884715"/>
        </w:trPr>
        <w:tc>
          <w:tcPr>
            <w:tcW w:w="362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20"/>
                <w:szCs w:val="20"/>
              </w:rPr>
              <w:t>Other</w:t>
            </w:r>
          </w:p>
        </w:tc>
        <w:tc>
          <w:tcPr>
            <w:tcW w:w="1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9</w:t>
            </w:r>
          </w:p>
        </w:tc>
        <w:tc>
          <w:tcPr>
            <w:tcW w:w="1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10</w:t>
            </w:r>
          </w:p>
        </w:tc>
      </w:tr>
      <w:tr w:rsidR="00000000">
        <w:trPr>
          <w:divId w:val="1858884715"/>
        </w:trPr>
        <w:tc>
          <w:tcPr>
            <w:tcW w:w="3629" w:type="pct"/>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20"/>
                <w:szCs w:val="20"/>
              </w:rPr>
              <w:t>Janssen</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54"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54"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3,862</w:t>
            </w:r>
          </w:p>
        </w:tc>
      </w:tr>
      <w:tr w:rsidR="00000000">
        <w:trPr>
          <w:divId w:val="1858884715"/>
        </w:trPr>
        <w:tc>
          <w:tcPr>
            <w:tcW w:w="3629" w:type="pct"/>
            <w:shd w:val="clear" w:color="auto" w:fill="CCEEFF"/>
            <w:tcMar>
              <w:top w:w="0" w:type="dxa"/>
              <w:left w:w="0" w:type="dxa"/>
              <w:bottom w:w="0" w:type="dxa"/>
              <w:right w:w="0" w:type="dxa"/>
            </w:tcMar>
            <w:hideMark/>
          </w:tcPr>
          <w:p w:rsidR="00000000" w:rsidRDefault="001E618F">
            <w:pPr>
              <w:pStyle w:val="a3"/>
              <w:spacing w:before="0" w:beforeAutospacing="0" w:after="0" w:afterAutospacing="0"/>
              <w:ind w:left="240"/>
              <w:rPr>
                <w:sz w:val="20"/>
                <w:szCs w:val="20"/>
              </w:rPr>
            </w:pPr>
            <w:r>
              <w:rPr>
                <w:sz w:val="20"/>
                <w:szCs w:val="20"/>
              </w:rPr>
              <w:t>Total collaboration revenue</w:t>
            </w:r>
          </w:p>
        </w:tc>
        <w:tc>
          <w:tcPr>
            <w:tcW w:w="1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9</w:t>
            </w:r>
          </w:p>
        </w:tc>
        <w:tc>
          <w:tcPr>
            <w:tcW w:w="1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3,872</w:t>
            </w:r>
          </w:p>
        </w:tc>
      </w:tr>
    </w:tbl>
    <w:p w:rsidR="00000000" w:rsidRDefault="001E618F">
      <w:pPr>
        <w:pStyle w:val="a3"/>
        <w:spacing w:before="0" w:beforeAutospacing="0" w:after="0" w:afterAutospacing="0"/>
        <w:divId w:val="1858884715"/>
        <w:rPr>
          <w:sz w:val="20"/>
          <w:szCs w:val="20"/>
        </w:rPr>
      </w:pPr>
      <w:r>
        <w:rPr>
          <w:sz w:val="20"/>
          <w:szCs w:val="20"/>
        </w:rPr>
        <w:t>​</w:t>
      </w:r>
    </w:p>
    <w:p w:rsidR="00000000" w:rsidRDefault="001E618F">
      <w:pPr>
        <w:pStyle w:val="a3"/>
        <w:spacing w:before="360" w:beforeAutospacing="0" w:after="0" w:afterAutospacing="0"/>
        <w:jc w:val="center"/>
        <w:divId w:val="664548157"/>
        <w:rPr>
          <w:sz w:val="20"/>
          <w:szCs w:val="20"/>
        </w:rPr>
      </w:pPr>
      <w:r>
        <w:rPr>
          <w:sz w:val="20"/>
          <w:szCs w:val="20"/>
        </w:rPr>
        <w:t>9</w:t>
      </w:r>
    </w:p>
    <w:p w:rsidR="00000000" w:rsidRDefault="001E618F">
      <w:pPr>
        <w:pStyle w:val="a3"/>
        <w:spacing w:before="0" w:beforeAutospacing="0" w:after="600" w:afterAutospacing="0"/>
        <w:divId w:val="117602141"/>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ind w:firstLine="720"/>
        <w:divId w:val="79764908"/>
        <w:rPr>
          <w:sz w:val="20"/>
          <w:szCs w:val="20"/>
        </w:rPr>
      </w:pPr>
      <w:r>
        <w:rPr>
          <w:sz w:val="20"/>
          <w:szCs w:val="20"/>
        </w:rPr>
        <w:t>All of the recognized revenues from the Company’s other collaborative arrangements presented in the table above were included in deferred revenue at the beginning of the respective periods.</w:t>
      </w:r>
    </w:p>
    <w:p w:rsidR="00000000" w:rsidRDefault="001E618F">
      <w:pPr>
        <w:pStyle w:val="a3"/>
        <w:spacing w:before="0" w:beforeAutospacing="0" w:after="0" w:afterAutospacing="0"/>
        <w:divId w:val="79764908"/>
        <w:rPr>
          <w:sz w:val="20"/>
          <w:szCs w:val="20"/>
        </w:rPr>
      </w:pPr>
      <w:r>
        <w:rPr>
          <w:sz w:val="20"/>
          <w:szCs w:val="20"/>
        </w:rPr>
        <w:t>​</w:t>
      </w:r>
    </w:p>
    <w:p w:rsidR="00000000" w:rsidRDefault="001E618F">
      <w:pPr>
        <w:pStyle w:val="a3"/>
        <w:spacing w:before="0" w:beforeAutospacing="0" w:after="0" w:afterAutospacing="0"/>
        <w:divId w:val="79764908"/>
        <w:rPr>
          <w:sz w:val="20"/>
          <w:szCs w:val="20"/>
        </w:rPr>
      </w:pPr>
      <w:r>
        <w:rPr>
          <w:b/>
          <w:bCs/>
          <w:i/>
          <w:iCs/>
          <w:sz w:val="20"/>
          <w:szCs w:val="20"/>
        </w:rPr>
        <w:t>Janssen Biotech</w:t>
      </w:r>
    </w:p>
    <w:p w:rsidR="00000000" w:rsidRDefault="001E618F">
      <w:pPr>
        <w:pStyle w:val="a3"/>
        <w:spacing w:before="0" w:beforeAutospacing="0" w:after="0" w:afterAutospacing="0"/>
        <w:divId w:val="79764908"/>
        <w:rPr>
          <w:sz w:val="20"/>
          <w:szCs w:val="20"/>
        </w:rPr>
      </w:pPr>
      <w:r>
        <w:rPr>
          <w:sz w:val="10"/>
          <w:szCs w:val="10"/>
        </w:rPr>
        <w:t>​</w:t>
      </w:r>
    </w:p>
    <w:p w:rsidR="00000000" w:rsidRDefault="001E618F">
      <w:pPr>
        <w:pStyle w:val="a3"/>
        <w:spacing w:before="0" w:beforeAutospacing="0" w:after="0" w:afterAutospacing="0"/>
        <w:ind w:firstLine="720"/>
        <w:divId w:val="79764908"/>
        <w:rPr>
          <w:sz w:val="20"/>
          <w:szCs w:val="20"/>
        </w:rPr>
      </w:pPr>
      <w:r>
        <w:rPr>
          <w:sz w:val="20"/>
          <w:szCs w:val="20"/>
        </w:rPr>
        <w:t>In February 2018, the Company entered into a global co-development and commercialization agreement with Janssen Biotech, Inc. (“Janssen”) for izencitinib and related back-up compounds for inflammatory intestinal diseases, including ulcerative colitis and C</w:t>
      </w:r>
      <w:r>
        <w:rPr>
          <w:sz w:val="20"/>
          <w:szCs w:val="20"/>
        </w:rPr>
        <w:t>rohn’s disease (the “Janssen Agreement”). The Company received an upfront payment of $100.0 million related to the Janssen Agreement. Following unfavorable Phase 3 clinical trial results for izencitinib announced in August 2021, Janssen terminated the Jans</w:t>
      </w:r>
      <w:r>
        <w:rPr>
          <w:sz w:val="20"/>
          <w:szCs w:val="20"/>
        </w:rPr>
        <w:t>sen Agreement effective January 16, 2022. As a result, the Company did not recognize any collaboration revenue related to the Janssen Agreement for the three months ended March 31, 2022. For three months ended March 31, 2021, the Company recognized $3.9 mi</w:t>
      </w:r>
      <w:r>
        <w:rPr>
          <w:sz w:val="20"/>
          <w:szCs w:val="20"/>
        </w:rPr>
        <w:t>llion in collaboration revenue related to the Janssen Agreement.</w:t>
      </w:r>
    </w:p>
    <w:p w:rsidR="00000000" w:rsidRDefault="001E618F">
      <w:pPr>
        <w:pStyle w:val="a3"/>
        <w:spacing w:before="0" w:beforeAutospacing="0" w:after="0" w:afterAutospacing="0"/>
        <w:divId w:val="79764908"/>
        <w:rPr>
          <w:sz w:val="20"/>
          <w:szCs w:val="20"/>
        </w:rPr>
      </w:pPr>
      <w:r>
        <w:rPr>
          <w:color w:val="FF0000"/>
          <w:sz w:val="20"/>
          <w:szCs w:val="20"/>
        </w:rPr>
        <w:t>​</w:t>
      </w:r>
    </w:p>
    <w:p w:rsidR="00000000" w:rsidRDefault="001E618F">
      <w:pPr>
        <w:pStyle w:val="a3"/>
        <w:spacing w:before="0" w:beforeAutospacing="0" w:after="0" w:afterAutospacing="0"/>
        <w:divId w:val="79764908"/>
        <w:rPr>
          <w:sz w:val="20"/>
          <w:szCs w:val="20"/>
        </w:rPr>
      </w:pPr>
      <w:r>
        <w:rPr>
          <w:b/>
          <w:bCs/>
          <w:i/>
          <w:iCs/>
          <w:sz w:val="20"/>
          <w:szCs w:val="20"/>
        </w:rPr>
        <w:t>Reimbursement of R&amp;D Expenses</w:t>
      </w:r>
    </w:p>
    <w:p w:rsidR="00000000" w:rsidRDefault="001E618F">
      <w:pPr>
        <w:pStyle w:val="a3"/>
        <w:spacing w:before="0" w:beforeAutospacing="0" w:after="0" w:afterAutospacing="0"/>
        <w:divId w:val="79764908"/>
        <w:rPr>
          <w:sz w:val="20"/>
          <w:szCs w:val="20"/>
        </w:rPr>
      </w:pPr>
      <w:r>
        <w:rPr>
          <w:sz w:val="10"/>
          <w:szCs w:val="10"/>
        </w:rPr>
        <w:t>​</w:t>
      </w:r>
    </w:p>
    <w:p w:rsidR="00000000" w:rsidRDefault="001E618F">
      <w:pPr>
        <w:pStyle w:val="a3"/>
        <w:spacing w:before="0" w:beforeAutospacing="0" w:after="0" w:afterAutospacing="0"/>
        <w:ind w:firstLine="720"/>
        <w:divId w:val="79764908"/>
        <w:rPr>
          <w:sz w:val="20"/>
          <w:szCs w:val="20"/>
        </w:rPr>
      </w:pPr>
      <w:r>
        <w:rPr>
          <w:sz w:val="20"/>
          <w:szCs w:val="20"/>
        </w:rPr>
        <w:t>As noted above, under certain collaborative arrangements the Company is entitled to reimbursement of certain R&amp;D expenses. Activities under collaborative arr</w:t>
      </w:r>
      <w:r>
        <w:rPr>
          <w:sz w:val="20"/>
          <w:szCs w:val="20"/>
        </w:rPr>
        <w:t>angements for which the Company is entitled to reimbursement are considered to be collaborative activities under the scope of ASC 808. For these units of account, the Company does not analogize to ASC 606 or recognize revenue. The Company records reimburse</w:t>
      </w:r>
      <w:r>
        <w:rPr>
          <w:sz w:val="20"/>
          <w:szCs w:val="20"/>
        </w:rPr>
        <w:t>ment payments received from its collaboration partners as reductions to R&amp;D expense.</w:t>
      </w:r>
    </w:p>
    <w:p w:rsidR="00000000" w:rsidRDefault="001E618F">
      <w:pPr>
        <w:pStyle w:val="a3"/>
        <w:spacing w:before="0" w:beforeAutospacing="0" w:after="0" w:afterAutospacing="0"/>
        <w:divId w:val="79764908"/>
        <w:rPr>
          <w:sz w:val="20"/>
          <w:szCs w:val="20"/>
        </w:rPr>
      </w:pPr>
      <w:r>
        <w:rPr>
          <w:sz w:val="20"/>
          <w:szCs w:val="20"/>
        </w:rPr>
        <w:t>​</w:t>
      </w:r>
    </w:p>
    <w:p w:rsidR="00000000" w:rsidRDefault="001E618F">
      <w:pPr>
        <w:pStyle w:val="a3"/>
        <w:spacing w:before="0" w:beforeAutospacing="0" w:after="0" w:afterAutospacing="0"/>
        <w:ind w:firstLine="720"/>
        <w:divId w:val="79764908"/>
        <w:rPr>
          <w:sz w:val="20"/>
          <w:szCs w:val="20"/>
        </w:rPr>
      </w:pPr>
      <w:r>
        <w:rPr>
          <w:sz w:val="20"/>
          <w:szCs w:val="20"/>
        </w:rPr>
        <w:t>The following table summarizes the reductions to R&amp;D expense related to the reimbursement payments:</w:t>
      </w:r>
    </w:p>
    <w:p w:rsidR="00000000" w:rsidRDefault="001E618F">
      <w:pPr>
        <w:pStyle w:val="a3"/>
        <w:spacing w:before="0" w:beforeAutospacing="0" w:after="0" w:afterAutospacing="0"/>
        <w:ind w:firstLine="720"/>
        <w:divId w:val="79764908"/>
        <w:rPr>
          <w:sz w:val="20"/>
          <w:szCs w:val="20"/>
        </w:rPr>
      </w:pPr>
      <w:r>
        <w:rPr>
          <w:sz w:val="20"/>
          <w:szCs w:val="20"/>
        </w:rPr>
        <w:t>​</w:t>
      </w:r>
    </w:p>
    <w:p w:rsidR="00000000" w:rsidRDefault="001E618F">
      <w:pPr>
        <w:pStyle w:val="a3"/>
        <w:spacing w:before="0" w:beforeAutospacing="0" w:after="0" w:afterAutospacing="0"/>
        <w:ind w:firstLine="720"/>
        <w:divId w:val="7976490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031"/>
        <w:gridCol w:w="192"/>
        <w:gridCol w:w="191"/>
        <w:gridCol w:w="754"/>
        <w:gridCol w:w="191"/>
        <w:gridCol w:w="191"/>
        <w:gridCol w:w="756"/>
      </w:tblGrid>
      <w:tr w:rsidR="00000000">
        <w:trPr>
          <w:divId w:val="79764908"/>
          <w:trHeight w:val="20"/>
        </w:trPr>
        <w:tc>
          <w:tcPr>
            <w:tcW w:w="3629" w:type="pct"/>
            <w:tcMar>
              <w:top w:w="0" w:type="dxa"/>
              <w:left w:w="0" w:type="dxa"/>
              <w:bottom w:w="0" w:type="dxa"/>
              <w:right w:w="0" w:type="dxa"/>
            </w:tcMar>
            <w:vAlign w:val="bottom"/>
            <w:hideMark/>
          </w:tcPr>
          <w:p w:rsidR="00000000" w:rsidRDefault="001E618F">
            <w:pPr>
              <w:pStyle w:val="a3"/>
              <w:spacing w:before="0" w:beforeAutospacing="0" w:after="0" w:afterAutospacing="0"/>
              <w:divId w:val="1678147055"/>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586526414"/>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670478322"/>
              <w:rPr>
                <w:sz w:val="20"/>
                <w:szCs w:val="20"/>
              </w:rPr>
            </w:pPr>
            <w:r>
              <w:rPr>
                <w:sz w:val="2"/>
                <w:szCs w:val="2"/>
              </w:rPr>
              <w:t>​</w:t>
            </w:r>
          </w:p>
        </w:tc>
        <w:tc>
          <w:tcPr>
            <w:tcW w:w="454"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717627354"/>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84108265"/>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061440925"/>
              <w:rPr>
                <w:sz w:val="20"/>
                <w:szCs w:val="20"/>
              </w:rPr>
            </w:pPr>
            <w:r>
              <w:rPr>
                <w:sz w:val="2"/>
                <w:szCs w:val="2"/>
              </w:rPr>
              <w:t>​</w:t>
            </w:r>
          </w:p>
        </w:tc>
        <w:tc>
          <w:tcPr>
            <w:tcW w:w="454"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892817243"/>
              <w:rPr>
                <w:sz w:val="20"/>
                <w:szCs w:val="20"/>
              </w:rPr>
            </w:pPr>
            <w:r>
              <w:rPr>
                <w:sz w:val="2"/>
                <w:szCs w:val="2"/>
              </w:rPr>
              <w:t>​</w:t>
            </w:r>
          </w:p>
        </w:tc>
      </w:tr>
      <w:tr w:rsidR="00000000">
        <w:trPr>
          <w:divId w:val="79764908"/>
        </w:trPr>
        <w:tc>
          <w:tcPr>
            <w:tcW w:w="3629"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54" w:type="pct"/>
            <w:gridSpan w:val="5"/>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xml:space="preserve">Three Months Ended </w:t>
            </w:r>
          </w:p>
        </w:tc>
      </w:tr>
      <w:tr w:rsidR="00000000">
        <w:trPr>
          <w:divId w:val="79764908"/>
        </w:trPr>
        <w:tc>
          <w:tcPr>
            <w:tcW w:w="3629"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54" w:type="pct"/>
            <w:gridSpan w:val="5"/>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w:t>
            </w:r>
          </w:p>
        </w:tc>
      </w:tr>
      <w:tr w:rsidR="00000000">
        <w:trPr>
          <w:divId w:val="79764908"/>
        </w:trPr>
        <w:tc>
          <w:tcPr>
            <w:tcW w:w="3629"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2021</w:t>
            </w:r>
          </w:p>
        </w:tc>
      </w:tr>
      <w:tr w:rsidR="00000000">
        <w:trPr>
          <w:divId w:val="79764908"/>
        </w:trPr>
        <w:tc>
          <w:tcPr>
            <w:tcW w:w="3629"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Viatris</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20"/>
                <w:szCs w:val="20"/>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54"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1,536</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20"/>
                <w:szCs w:val="20"/>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54"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94</w:t>
            </w:r>
          </w:p>
        </w:tc>
      </w:tr>
      <w:tr w:rsidR="00000000">
        <w:trPr>
          <w:divId w:val="79764908"/>
        </w:trPr>
        <w:tc>
          <w:tcPr>
            <w:tcW w:w="3629"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Janssen</w:t>
            </w:r>
          </w:p>
        </w:tc>
        <w:tc>
          <w:tcPr>
            <w:tcW w:w="1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20"/>
                <w:szCs w:val="20"/>
              </w:rPr>
              <w:t>​</w:t>
            </w:r>
          </w:p>
        </w:tc>
        <w:tc>
          <w:tcPr>
            <w:tcW w:w="1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45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20"/>
                <w:szCs w:val="20"/>
              </w:rPr>
              <w:t>​</w:t>
            </w:r>
          </w:p>
        </w:tc>
        <w:tc>
          <w:tcPr>
            <w:tcW w:w="1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45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1,332</w:t>
            </w:r>
          </w:p>
        </w:tc>
      </w:tr>
      <w:tr w:rsidR="00000000">
        <w:trPr>
          <w:divId w:val="79764908"/>
        </w:trPr>
        <w:tc>
          <w:tcPr>
            <w:tcW w:w="3629" w:type="pct"/>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20"/>
                <w:szCs w:val="20"/>
              </w:rPr>
            </w:pPr>
            <w:r>
              <w:rPr>
                <w:sz w:val="20"/>
                <w:szCs w:val="20"/>
              </w:rPr>
              <w:t>Total reduction to R&amp;D expense, net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5"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54" w:type="pct"/>
            <w:tcBorders>
              <w:bottom w:val="doub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1,536</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5"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54" w:type="pct"/>
            <w:tcBorders>
              <w:bottom w:val="doub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1,426</w:t>
            </w:r>
          </w:p>
        </w:tc>
      </w:tr>
    </w:tbl>
    <w:p w:rsidR="00000000" w:rsidRDefault="001E618F">
      <w:pPr>
        <w:pStyle w:val="a3"/>
        <w:spacing w:before="0" w:beforeAutospacing="0" w:after="0" w:afterAutospacing="0"/>
        <w:divId w:val="79764908"/>
        <w:rPr>
          <w:sz w:val="20"/>
          <w:szCs w:val="20"/>
        </w:rPr>
      </w:pPr>
      <w:r>
        <w:rPr>
          <w:sz w:val="20"/>
          <w:szCs w:val="20"/>
        </w:rPr>
        <w:t>​</w:t>
      </w:r>
    </w:p>
    <w:p w:rsidR="00000000" w:rsidRDefault="001E618F">
      <w:pPr>
        <w:pStyle w:val="a3"/>
        <w:spacing w:before="0" w:beforeAutospacing="0" w:after="0" w:afterAutospacing="0"/>
        <w:divId w:val="79764908"/>
        <w:rPr>
          <w:sz w:val="20"/>
          <w:szCs w:val="20"/>
        </w:rPr>
      </w:pPr>
      <w:r>
        <w:rPr>
          <w:b/>
          <w:bCs/>
          <w:i/>
          <w:iCs/>
          <w:sz w:val="20"/>
          <w:szCs w:val="20"/>
        </w:rPr>
        <w:t>Revenue from Licensing Arrangements</w:t>
      </w:r>
    </w:p>
    <w:p w:rsidR="00000000" w:rsidRDefault="001E618F">
      <w:pPr>
        <w:pStyle w:val="a3"/>
        <w:spacing w:before="0" w:beforeAutospacing="0" w:after="0" w:afterAutospacing="0"/>
        <w:divId w:val="79764908"/>
        <w:rPr>
          <w:sz w:val="20"/>
          <w:szCs w:val="20"/>
        </w:rPr>
      </w:pPr>
      <w:r>
        <w:rPr>
          <w:b/>
          <w:bCs/>
          <w:i/>
          <w:iCs/>
          <w:sz w:val="10"/>
          <w:szCs w:val="10"/>
        </w:rPr>
        <w:t>​</w:t>
      </w:r>
    </w:p>
    <w:p w:rsidR="00000000" w:rsidRDefault="001E618F">
      <w:pPr>
        <w:pStyle w:val="a3"/>
        <w:shd w:val="clear" w:color="auto" w:fill="FFFFFF"/>
        <w:spacing w:before="0" w:beforeAutospacing="0" w:after="120" w:afterAutospacing="0"/>
        <w:divId w:val="79764908"/>
        <w:rPr>
          <w:sz w:val="20"/>
          <w:szCs w:val="20"/>
        </w:rPr>
      </w:pPr>
      <w:r>
        <w:rPr>
          <w:b/>
          <w:bCs/>
          <w:i/>
          <w:iCs/>
          <w:sz w:val="20"/>
          <w:szCs w:val="20"/>
        </w:rPr>
        <w:t>Pfizer</w:t>
      </w:r>
    </w:p>
    <w:p w:rsidR="00000000" w:rsidRDefault="001E618F">
      <w:pPr>
        <w:pStyle w:val="a3"/>
        <w:spacing w:before="0" w:beforeAutospacing="0" w:after="0" w:afterAutospacing="0"/>
        <w:ind w:firstLine="720"/>
        <w:divId w:val="79764908"/>
        <w:rPr>
          <w:sz w:val="20"/>
          <w:szCs w:val="20"/>
        </w:rPr>
      </w:pPr>
      <w:r>
        <w:rPr>
          <w:sz w:val="20"/>
          <w:szCs w:val="20"/>
        </w:rPr>
        <w:t>In December 2019, the Company entered into a global license agreement with Pfizer Inc. (“Pfizer”) for our preclinical skin-selective, locally-acting pan-JAK inhibitor program (the “Pfizer Agreement”). The compounds in this program are designed to target va</w:t>
      </w:r>
      <w:r>
        <w:rPr>
          <w:sz w:val="20"/>
          <w:szCs w:val="20"/>
        </w:rPr>
        <w:t>lidated pro-inflammatory pathways and are specifically designed to possess skin-selective activity with minimal systemic exposure.</w:t>
      </w:r>
    </w:p>
    <w:p w:rsidR="00000000" w:rsidRDefault="001E618F">
      <w:pPr>
        <w:pStyle w:val="a3"/>
        <w:spacing w:before="0" w:beforeAutospacing="0" w:after="0" w:afterAutospacing="0"/>
        <w:divId w:val="79764908"/>
        <w:rPr>
          <w:sz w:val="20"/>
          <w:szCs w:val="20"/>
        </w:rPr>
      </w:pPr>
      <w:r>
        <w:rPr>
          <w:sz w:val="20"/>
          <w:szCs w:val="20"/>
        </w:rPr>
        <w:t>​</w:t>
      </w:r>
    </w:p>
    <w:p w:rsidR="00000000" w:rsidRDefault="001E618F">
      <w:pPr>
        <w:pStyle w:val="a3"/>
        <w:spacing w:before="0" w:beforeAutospacing="0" w:after="0" w:afterAutospacing="0"/>
        <w:ind w:firstLine="720"/>
        <w:divId w:val="79764908"/>
        <w:rPr>
          <w:sz w:val="20"/>
          <w:szCs w:val="20"/>
        </w:rPr>
      </w:pPr>
      <w:r>
        <w:rPr>
          <w:sz w:val="20"/>
          <w:szCs w:val="20"/>
        </w:rPr>
        <w:t>Under the Pfizer Agreement, Pfizer has an exclusive license to develop, manufacture and commercialize certain compounds for</w:t>
      </w:r>
      <w:r>
        <w:rPr>
          <w:sz w:val="20"/>
          <w:szCs w:val="20"/>
        </w:rPr>
        <w:t xml:space="preserve"> all uses other than gastrointestinal, ophthalmic, and respiratory applications. The Company received an upfront cash payment of $10.0 million in 2019, and in March 2022, the Company </w:t>
      </w:r>
      <w:r>
        <w:rPr>
          <w:sz w:val="20"/>
          <w:szCs w:val="20"/>
          <w:shd w:val="clear" w:color="auto" w:fill="FFFFFF"/>
        </w:rPr>
        <w:t>recognized $2.5 million in licensing revenue related to a development mil</w:t>
      </w:r>
      <w:r>
        <w:rPr>
          <w:sz w:val="20"/>
          <w:szCs w:val="20"/>
          <w:shd w:val="clear" w:color="auto" w:fill="FFFFFF"/>
        </w:rPr>
        <w:t xml:space="preserve">estone payment from Pfizer for the dosing of the first patient in the Phase 1 clinical trial. </w:t>
      </w:r>
    </w:p>
    <w:p w:rsidR="00000000" w:rsidRDefault="001E618F">
      <w:pPr>
        <w:pStyle w:val="a3"/>
        <w:spacing w:before="0" w:beforeAutospacing="0" w:after="0" w:afterAutospacing="0"/>
        <w:ind w:firstLine="720"/>
        <w:divId w:val="79764908"/>
        <w:rPr>
          <w:sz w:val="20"/>
          <w:szCs w:val="20"/>
        </w:rPr>
      </w:pPr>
      <w:r>
        <w:rPr>
          <w:sz w:val="20"/>
          <w:szCs w:val="20"/>
          <w:shd w:val="clear" w:color="auto" w:fill="FFFFFF"/>
        </w:rPr>
        <w:t>​</w:t>
      </w:r>
    </w:p>
    <w:p w:rsidR="00000000" w:rsidRDefault="001E618F">
      <w:pPr>
        <w:pStyle w:val="a3"/>
        <w:spacing w:before="0" w:beforeAutospacing="0" w:after="0" w:afterAutospacing="0"/>
        <w:ind w:firstLine="720"/>
        <w:divId w:val="79764908"/>
        <w:rPr>
          <w:sz w:val="20"/>
          <w:szCs w:val="20"/>
        </w:rPr>
      </w:pPr>
      <w:r>
        <w:rPr>
          <w:sz w:val="20"/>
          <w:szCs w:val="20"/>
          <w:shd w:val="clear" w:color="auto" w:fill="FFFFFF"/>
        </w:rPr>
        <w:t xml:space="preserve">As of March 31, 2022, the Company is </w:t>
      </w:r>
      <w:r>
        <w:rPr>
          <w:sz w:val="20"/>
          <w:szCs w:val="20"/>
        </w:rPr>
        <w:t>eligible to receive up to an additional $237.5 million in development and sales milestone payments from Pfizer. In additio</w:t>
      </w:r>
      <w:r>
        <w:rPr>
          <w:sz w:val="20"/>
          <w:szCs w:val="20"/>
        </w:rPr>
        <w:t>n, the Company is eligible to receive a tiered royalty on worldwide net sales of any potential products under the license at percentage royalty rates ranging from middle single-digits to low double-digits.</w:t>
      </w:r>
    </w:p>
    <w:p w:rsidR="00000000" w:rsidRDefault="001E618F">
      <w:pPr>
        <w:pStyle w:val="a3"/>
        <w:spacing w:before="0" w:beforeAutospacing="0" w:after="0" w:afterAutospacing="0"/>
        <w:divId w:val="79764908"/>
        <w:rPr>
          <w:sz w:val="20"/>
          <w:szCs w:val="20"/>
        </w:rPr>
      </w:pPr>
      <w:r>
        <w:rPr>
          <w:sz w:val="20"/>
          <w:szCs w:val="20"/>
        </w:rPr>
        <w:t>​</w:t>
      </w:r>
    </w:p>
    <w:p w:rsidR="00000000" w:rsidRDefault="001E618F">
      <w:pPr>
        <w:pStyle w:val="a3"/>
        <w:spacing w:before="360" w:beforeAutospacing="0" w:after="0" w:afterAutospacing="0"/>
        <w:jc w:val="center"/>
        <w:divId w:val="1489706791"/>
        <w:rPr>
          <w:sz w:val="20"/>
          <w:szCs w:val="20"/>
        </w:rPr>
      </w:pPr>
      <w:r>
        <w:rPr>
          <w:sz w:val="20"/>
          <w:szCs w:val="20"/>
        </w:rPr>
        <w:t>10</w:t>
      </w:r>
    </w:p>
    <w:p w:rsidR="00000000" w:rsidRDefault="001E618F">
      <w:pPr>
        <w:pStyle w:val="a3"/>
        <w:spacing w:before="0" w:beforeAutospacing="0" w:after="600" w:afterAutospacing="0"/>
        <w:divId w:val="188372123"/>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divId w:val="1042633948"/>
        <w:rPr>
          <w:sz w:val="20"/>
          <w:szCs w:val="20"/>
        </w:rPr>
      </w:pPr>
      <w:r>
        <w:rPr>
          <w:b/>
          <w:bCs/>
          <w:sz w:val="20"/>
          <w:szCs w:val="20"/>
        </w:rPr>
        <w:t>4. Cash, Cash Equivalents, and Restricted Cash</w:t>
      </w:r>
    </w:p>
    <w:p w:rsidR="00000000" w:rsidRDefault="001E618F">
      <w:pPr>
        <w:pStyle w:val="a3"/>
        <w:spacing w:before="0" w:beforeAutospacing="0" w:after="0" w:afterAutospacing="0"/>
        <w:divId w:val="1042633948"/>
        <w:rPr>
          <w:sz w:val="20"/>
          <w:szCs w:val="20"/>
        </w:rPr>
      </w:pPr>
      <w:r>
        <w:rPr>
          <w:b/>
          <w:bCs/>
          <w:sz w:val="10"/>
          <w:szCs w:val="10"/>
        </w:rPr>
        <w:t>​</w:t>
      </w:r>
    </w:p>
    <w:p w:rsidR="00000000" w:rsidRDefault="001E618F">
      <w:pPr>
        <w:pStyle w:val="a3"/>
        <w:spacing w:before="0" w:beforeAutospacing="0" w:after="0" w:afterAutospacing="0"/>
        <w:ind w:firstLine="720"/>
        <w:divId w:val="1042633948"/>
        <w:rPr>
          <w:sz w:val="20"/>
          <w:szCs w:val="20"/>
        </w:rPr>
      </w:pPr>
      <w:r>
        <w:rPr>
          <w:sz w:val="20"/>
          <w:szCs w:val="20"/>
        </w:rPr>
        <w:t>The following table provides a reconciliation of cash, cash equivalents, and restricted cash reported within the current period and comparable prior year period condensed consolidated balan</w:t>
      </w:r>
      <w:r>
        <w:rPr>
          <w:sz w:val="20"/>
          <w:szCs w:val="20"/>
        </w:rPr>
        <w:t>ce sheets that sum to the total of the same such amounts shown on the condensed consolidated statements of cash flows.</w:t>
      </w:r>
    </w:p>
    <w:p w:rsidR="00000000" w:rsidRDefault="001E618F">
      <w:pPr>
        <w:pStyle w:val="a3"/>
        <w:spacing w:before="0" w:beforeAutospacing="0" w:after="0" w:afterAutospacing="0"/>
        <w:ind w:firstLine="720"/>
        <w:divId w:val="104263394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137"/>
        <w:gridCol w:w="195"/>
        <w:gridCol w:w="121"/>
        <w:gridCol w:w="767"/>
        <w:gridCol w:w="194"/>
        <w:gridCol w:w="121"/>
        <w:gridCol w:w="771"/>
      </w:tblGrid>
      <w:tr w:rsidR="00000000">
        <w:trPr>
          <w:divId w:val="1042633948"/>
          <w:trHeight w:val="20"/>
        </w:trPr>
        <w:tc>
          <w:tcPr>
            <w:tcW w:w="3693" w:type="pct"/>
            <w:tcMar>
              <w:top w:w="0" w:type="dxa"/>
              <w:left w:w="0" w:type="dxa"/>
              <w:bottom w:w="0" w:type="dxa"/>
              <w:right w:w="0" w:type="dxa"/>
            </w:tcMar>
            <w:vAlign w:val="center"/>
            <w:hideMark/>
          </w:tcPr>
          <w:p w:rsidR="00000000" w:rsidRDefault="001E618F">
            <w:pPr>
              <w:pStyle w:val="a3"/>
              <w:spacing w:before="0" w:beforeAutospacing="0" w:after="0" w:afterAutospacing="0"/>
              <w:divId w:val="1818643655"/>
              <w:rPr>
                <w:sz w:val="20"/>
                <w:szCs w:val="20"/>
              </w:rPr>
            </w:pPr>
            <w:r>
              <w:rPr>
                <w:sz w:val="2"/>
                <w:szCs w:val="2"/>
              </w:rPr>
              <w:t>​</w:t>
            </w:r>
          </w:p>
        </w:tc>
        <w:tc>
          <w:tcPr>
            <w:tcW w:w="117" w:type="pct"/>
            <w:tcMar>
              <w:top w:w="0" w:type="dxa"/>
              <w:left w:w="0" w:type="dxa"/>
              <w:bottom w:w="0" w:type="dxa"/>
              <w:right w:w="0" w:type="dxa"/>
            </w:tcMar>
            <w:vAlign w:val="center"/>
            <w:hideMark/>
          </w:tcPr>
          <w:p w:rsidR="00000000" w:rsidRDefault="001E618F">
            <w:pPr>
              <w:pStyle w:val="a3"/>
              <w:spacing w:before="0" w:beforeAutospacing="0" w:after="0" w:afterAutospacing="0"/>
              <w:divId w:val="242955382"/>
              <w:rPr>
                <w:sz w:val="20"/>
                <w:szCs w:val="20"/>
              </w:rPr>
            </w:pPr>
            <w:r>
              <w:rPr>
                <w:sz w:val="2"/>
                <w:szCs w:val="2"/>
              </w:rPr>
              <w:t>​</w:t>
            </w:r>
          </w:p>
        </w:tc>
        <w:tc>
          <w:tcPr>
            <w:tcW w:w="73" w:type="pct"/>
            <w:tcMar>
              <w:top w:w="0" w:type="dxa"/>
              <w:left w:w="0" w:type="dxa"/>
              <w:bottom w:w="0" w:type="dxa"/>
              <w:right w:w="0" w:type="dxa"/>
            </w:tcMar>
            <w:vAlign w:val="center"/>
            <w:hideMark/>
          </w:tcPr>
          <w:p w:rsidR="00000000" w:rsidRDefault="001E618F">
            <w:pPr>
              <w:pStyle w:val="a3"/>
              <w:spacing w:before="0" w:beforeAutospacing="0" w:after="0" w:afterAutospacing="0"/>
              <w:divId w:val="1488400301"/>
              <w:rPr>
                <w:sz w:val="20"/>
                <w:szCs w:val="20"/>
              </w:rPr>
            </w:pPr>
            <w:r>
              <w:rPr>
                <w:sz w:val="2"/>
                <w:szCs w:val="2"/>
              </w:rPr>
              <w:t>​</w:t>
            </w:r>
          </w:p>
        </w:tc>
        <w:tc>
          <w:tcPr>
            <w:tcW w:w="461"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1223518048"/>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821048742"/>
              <w:rPr>
                <w:sz w:val="20"/>
                <w:szCs w:val="20"/>
              </w:rPr>
            </w:pPr>
            <w:r>
              <w:rPr>
                <w:sz w:val="2"/>
                <w:szCs w:val="2"/>
              </w:rPr>
              <w:t>​</w:t>
            </w:r>
          </w:p>
        </w:tc>
        <w:tc>
          <w:tcPr>
            <w:tcW w:w="73" w:type="pct"/>
            <w:tcMar>
              <w:top w:w="0" w:type="dxa"/>
              <w:left w:w="0" w:type="dxa"/>
              <w:bottom w:w="0" w:type="dxa"/>
              <w:right w:w="0" w:type="dxa"/>
            </w:tcMar>
            <w:vAlign w:val="center"/>
            <w:hideMark/>
          </w:tcPr>
          <w:p w:rsidR="00000000" w:rsidRDefault="001E618F">
            <w:pPr>
              <w:pStyle w:val="a3"/>
              <w:spacing w:before="0" w:beforeAutospacing="0" w:after="0" w:afterAutospacing="0"/>
              <w:divId w:val="223640557"/>
              <w:rPr>
                <w:sz w:val="20"/>
                <w:szCs w:val="20"/>
              </w:rPr>
            </w:pPr>
            <w:r>
              <w:rPr>
                <w:sz w:val="2"/>
                <w:szCs w:val="2"/>
              </w:rPr>
              <w:t>​</w:t>
            </w:r>
          </w:p>
        </w:tc>
        <w:tc>
          <w:tcPr>
            <w:tcW w:w="462"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694044517"/>
              <w:rPr>
                <w:sz w:val="20"/>
                <w:szCs w:val="20"/>
              </w:rPr>
            </w:pPr>
            <w:r>
              <w:rPr>
                <w:sz w:val="2"/>
                <w:szCs w:val="2"/>
              </w:rPr>
              <w:t>​</w:t>
            </w:r>
          </w:p>
        </w:tc>
      </w:tr>
      <w:tr w:rsidR="00000000">
        <w:trPr>
          <w:divId w:val="1042633948"/>
        </w:trPr>
        <w:tc>
          <w:tcPr>
            <w:tcW w:w="3693" w:type="pct"/>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b/>
                <w:bCs/>
                <w:sz w:val="16"/>
                <w:szCs w:val="16"/>
              </w:rPr>
              <w:t>​</w:t>
            </w:r>
          </w:p>
        </w:tc>
        <w:tc>
          <w:tcPr>
            <w:tcW w:w="117" w:type="pct"/>
            <w:tcMar>
              <w:top w:w="0" w:type="dxa"/>
              <w:left w:w="0" w:type="dxa"/>
              <w:bottom w:w="0" w:type="dxa"/>
              <w:right w:w="0" w:type="dxa"/>
            </w:tcMar>
            <w:vAlign w:val="center"/>
            <w:hideMark/>
          </w:tcPr>
          <w:p w:rsidR="00000000" w:rsidRDefault="001E618F">
            <w:pPr>
              <w:pStyle w:val="a3"/>
              <w:spacing w:before="0" w:beforeAutospacing="0" w:after="0" w:afterAutospacing="0"/>
              <w:jc w:val="center"/>
              <w:rPr>
                <w:sz w:val="20"/>
                <w:szCs w:val="20"/>
              </w:rPr>
            </w:pPr>
            <w:r>
              <w:rPr>
                <w:b/>
                <w:bCs/>
                <w:sz w:val="16"/>
                <w:szCs w:val="16"/>
              </w:rPr>
              <w:t>​</w:t>
            </w:r>
          </w:p>
        </w:tc>
        <w:tc>
          <w:tcPr>
            <w:tcW w:w="1189" w:type="pct"/>
            <w:gridSpan w:val="5"/>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w:t>
            </w:r>
          </w:p>
        </w:tc>
      </w:tr>
      <w:tr w:rsidR="00000000">
        <w:trPr>
          <w:divId w:val="1042633948"/>
        </w:trPr>
        <w:tc>
          <w:tcPr>
            <w:tcW w:w="3693" w:type="pct"/>
            <w:tcBorders>
              <w:bottom w:val="single" w:sz="6" w:space="0" w:color="000000"/>
            </w:tcBorders>
            <w:tcMar>
              <w:top w:w="0" w:type="dxa"/>
              <w:left w:w="0" w:type="dxa"/>
              <w:bottom w:w="0" w:type="dxa"/>
              <w:right w:w="0" w:type="dxa"/>
            </w:tcMar>
            <w:vAlign w:val="center"/>
            <w:hideMark/>
          </w:tcPr>
          <w:p w:rsidR="00000000" w:rsidRDefault="001E618F">
            <w:pPr>
              <w:pStyle w:val="a3"/>
              <w:spacing w:before="0" w:beforeAutospacing="0" w:after="0" w:afterAutospacing="0"/>
              <w:rPr>
                <w:sz w:val="16"/>
                <w:szCs w:val="16"/>
              </w:rPr>
            </w:pPr>
            <w:r>
              <w:rPr>
                <w:b/>
                <w:bCs/>
                <w:sz w:val="16"/>
                <w:szCs w:val="16"/>
              </w:rPr>
              <w:t>(In thousands)</w:t>
            </w:r>
          </w:p>
        </w:tc>
        <w:tc>
          <w:tcPr>
            <w:tcW w:w="117" w:type="pct"/>
            <w:tcMar>
              <w:top w:w="0" w:type="dxa"/>
              <w:left w:w="0" w:type="dxa"/>
              <w:bottom w:w="0" w:type="dxa"/>
              <w:right w:w="0" w:type="dxa"/>
            </w:tcMar>
            <w:vAlign w:val="center"/>
            <w:hideMark/>
          </w:tcPr>
          <w:p w:rsidR="00000000" w:rsidRDefault="001E618F">
            <w:pPr>
              <w:pStyle w:val="a3"/>
              <w:spacing w:before="0" w:beforeAutospacing="0" w:after="0" w:afterAutospacing="0"/>
              <w:jc w:val="center"/>
              <w:rPr>
                <w:sz w:val="20"/>
                <w:szCs w:val="20"/>
              </w:rPr>
            </w:pPr>
            <w:r>
              <w:rPr>
                <w:b/>
                <w:bCs/>
                <w:sz w:val="16"/>
                <w:szCs w:val="16"/>
              </w:rPr>
              <w:t>​</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c>
          <w:tcPr>
            <w:tcW w:w="117" w:type="pct"/>
            <w:tcMar>
              <w:top w:w="0" w:type="dxa"/>
              <w:left w:w="0" w:type="dxa"/>
              <w:bottom w:w="0" w:type="dxa"/>
              <w:right w:w="0" w:type="dxa"/>
            </w:tcMar>
            <w:vAlign w:val="center"/>
            <w:hideMark/>
          </w:tcPr>
          <w:p w:rsidR="00000000" w:rsidRDefault="001E618F">
            <w:pPr>
              <w:pStyle w:val="a3"/>
              <w:spacing w:before="0" w:beforeAutospacing="0" w:after="0" w:afterAutospacing="0"/>
              <w:jc w:val="center"/>
              <w:rPr>
                <w:sz w:val="20"/>
                <w:szCs w:val="20"/>
              </w:rPr>
            </w:pPr>
            <w:r>
              <w:rPr>
                <w:b/>
                <w:bCs/>
                <w:sz w:val="16"/>
                <w:szCs w:val="16"/>
              </w:rPr>
              <w:t>​</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2021</w:t>
            </w:r>
          </w:p>
        </w:tc>
      </w:tr>
      <w:tr w:rsidR="00000000">
        <w:trPr>
          <w:divId w:val="1042633948"/>
        </w:trPr>
        <w:tc>
          <w:tcPr>
            <w:tcW w:w="3693" w:type="pct"/>
            <w:shd w:val="clear" w:color="auto" w:fill="CCEEFF"/>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Cash and cash equivalents</w:t>
            </w:r>
          </w:p>
        </w:tc>
        <w:tc>
          <w:tcPr>
            <w:tcW w:w="117" w:type="pct"/>
            <w:shd w:val="clear" w:color="auto" w:fill="CCEEFF"/>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w:t>
            </w:r>
          </w:p>
        </w:tc>
        <w:tc>
          <w:tcPr>
            <w:tcW w:w="73" w:type="pct"/>
            <w:shd w:val="clear" w:color="auto" w:fill="CCEEFF"/>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94,367</w:t>
            </w:r>
          </w:p>
        </w:tc>
        <w:tc>
          <w:tcPr>
            <w:tcW w:w="11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73" w:type="pct"/>
            <w:shd w:val="clear" w:color="auto" w:fill="CCEEFF"/>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114,011</w:t>
            </w:r>
          </w:p>
        </w:tc>
      </w:tr>
      <w:tr w:rsidR="00000000">
        <w:trPr>
          <w:divId w:val="1042633948"/>
        </w:trPr>
        <w:tc>
          <w:tcPr>
            <w:tcW w:w="3693" w:type="pct"/>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Restricted cash</w:t>
            </w:r>
          </w:p>
        </w:tc>
        <w:tc>
          <w:tcPr>
            <w:tcW w:w="117" w:type="pct"/>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w:t>
            </w:r>
          </w:p>
        </w:tc>
        <w:tc>
          <w:tcPr>
            <w:tcW w:w="73" w:type="pct"/>
            <w:tcBorders>
              <w:bottom w:val="single" w:sz="6" w:space="0" w:color="000000"/>
            </w:tcBorders>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w:t>
            </w:r>
          </w:p>
        </w:tc>
        <w:tc>
          <w:tcPr>
            <w:tcW w:w="461" w:type="pct"/>
            <w:tcBorders>
              <w:bottom w:val="sing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836</w:t>
            </w:r>
          </w:p>
        </w:tc>
        <w:tc>
          <w:tcPr>
            <w:tcW w:w="11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73" w:type="pct"/>
            <w:tcBorders>
              <w:bottom w:val="single" w:sz="6" w:space="0" w:color="000000"/>
            </w:tcBorders>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w:t>
            </w:r>
          </w:p>
        </w:tc>
        <w:tc>
          <w:tcPr>
            <w:tcW w:w="462" w:type="pct"/>
            <w:tcBorders>
              <w:bottom w:val="sing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833</w:t>
            </w:r>
          </w:p>
        </w:tc>
      </w:tr>
      <w:tr w:rsidR="00000000">
        <w:trPr>
          <w:divId w:val="1042633948"/>
        </w:trPr>
        <w:tc>
          <w:tcPr>
            <w:tcW w:w="3693" w:type="pct"/>
            <w:shd w:val="clear" w:color="auto" w:fill="CCEEFF"/>
            <w:tcMar>
              <w:top w:w="0" w:type="dxa"/>
              <w:left w:w="0" w:type="dxa"/>
              <w:bottom w:w="0" w:type="dxa"/>
              <w:right w:w="0" w:type="dxa"/>
            </w:tcMar>
            <w:vAlign w:val="center"/>
            <w:hideMark/>
          </w:tcPr>
          <w:p w:rsidR="00000000" w:rsidRDefault="001E618F">
            <w:pPr>
              <w:pStyle w:val="a3"/>
              <w:spacing w:before="0" w:beforeAutospacing="0" w:after="0" w:afterAutospacing="0"/>
              <w:ind w:left="240" w:hanging="120"/>
              <w:rPr>
                <w:sz w:val="20"/>
                <w:szCs w:val="20"/>
              </w:rPr>
            </w:pPr>
            <w:r>
              <w:rPr>
                <w:sz w:val="20"/>
                <w:szCs w:val="20"/>
              </w:rPr>
              <w:t>Total cash, cash equivalents, and restricted cash shown on the condensed consolidated</w:t>
            </w:r>
            <w:r>
              <w:rPr>
                <w:sz w:val="20"/>
                <w:szCs w:val="20"/>
              </w:rPr>
              <w:br/>
              <w:t>statements of cash flows</w:t>
            </w:r>
          </w:p>
        </w:tc>
        <w:tc>
          <w:tcPr>
            <w:tcW w:w="117" w:type="pct"/>
            <w:shd w:val="clear" w:color="auto" w:fill="CCEEFF"/>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95,203</w:t>
            </w:r>
          </w:p>
        </w:tc>
        <w:tc>
          <w:tcPr>
            <w:tcW w:w="11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114,844</w:t>
            </w:r>
          </w:p>
        </w:tc>
      </w:tr>
    </w:tbl>
    <w:p w:rsidR="00000000" w:rsidRDefault="001E618F">
      <w:pPr>
        <w:pStyle w:val="a3"/>
        <w:spacing w:before="0" w:beforeAutospacing="0" w:after="0" w:afterAutospacing="0"/>
        <w:ind w:firstLine="720"/>
        <w:divId w:val="1042633948"/>
        <w:rPr>
          <w:sz w:val="20"/>
          <w:szCs w:val="20"/>
        </w:rPr>
      </w:pPr>
      <w:r>
        <w:rPr>
          <w:sz w:val="20"/>
          <w:szCs w:val="20"/>
        </w:rPr>
        <w:t>​</w:t>
      </w:r>
    </w:p>
    <w:p w:rsidR="00000000" w:rsidRDefault="001E618F">
      <w:pPr>
        <w:pStyle w:val="a3"/>
        <w:spacing w:before="0" w:beforeAutospacing="0" w:after="0" w:afterAutospacing="0"/>
        <w:ind w:firstLine="720"/>
        <w:divId w:val="1042633948"/>
        <w:rPr>
          <w:sz w:val="20"/>
          <w:szCs w:val="20"/>
        </w:rPr>
      </w:pPr>
      <w:r>
        <w:rPr>
          <w:sz w:val="20"/>
          <w:szCs w:val="20"/>
        </w:rPr>
        <w:t>The Company maintains restricted cash for certain lease agreements and letters of credit by which the Company has pledged cash and cash equivalents as collateral. Separately, the Company also maintains restricted cash for debt servicing of its 9.5% non-rec</w:t>
      </w:r>
      <w:r>
        <w:rPr>
          <w:sz w:val="20"/>
          <w:szCs w:val="20"/>
        </w:rPr>
        <w:t xml:space="preserve">ourse 2035 notes. See </w:t>
      </w:r>
      <w:r>
        <w:rPr>
          <w:i/>
          <w:iCs/>
          <w:sz w:val="20"/>
          <w:szCs w:val="20"/>
        </w:rPr>
        <w:t>“Note 6. Debt”</w:t>
      </w:r>
      <w:r>
        <w:rPr>
          <w:sz w:val="20"/>
          <w:szCs w:val="20"/>
        </w:rPr>
        <w:t xml:space="preserve"> for further information regarding the 9.5% non-recourse 2035 notes. The cash-related amounts reported in the table above exclude the Company’s investments in any short and long-term marketable securities that are report</w:t>
      </w:r>
      <w:r>
        <w:rPr>
          <w:sz w:val="20"/>
          <w:szCs w:val="20"/>
        </w:rPr>
        <w:t>ed separately on the condensed consolidated balance sheets.</w:t>
      </w:r>
    </w:p>
    <w:p w:rsidR="00000000" w:rsidRDefault="001E618F">
      <w:pPr>
        <w:pStyle w:val="a3"/>
        <w:spacing w:before="0" w:beforeAutospacing="0" w:after="0" w:afterAutospacing="0"/>
        <w:divId w:val="1042633948"/>
        <w:rPr>
          <w:sz w:val="20"/>
          <w:szCs w:val="20"/>
        </w:rPr>
      </w:pPr>
      <w:r>
        <w:rPr>
          <w:sz w:val="20"/>
          <w:szCs w:val="20"/>
        </w:rPr>
        <w:t>​</w:t>
      </w:r>
    </w:p>
    <w:p w:rsidR="00000000" w:rsidRDefault="001E618F">
      <w:pPr>
        <w:pStyle w:val="a3"/>
        <w:spacing w:before="0" w:beforeAutospacing="0" w:after="0" w:afterAutospacing="0"/>
        <w:divId w:val="1042633948"/>
        <w:rPr>
          <w:sz w:val="20"/>
          <w:szCs w:val="20"/>
        </w:rPr>
      </w:pPr>
      <w:r>
        <w:rPr>
          <w:b/>
          <w:bCs/>
          <w:sz w:val="20"/>
          <w:szCs w:val="20"/>
        </w:rPr>
        <w:t>5.</w:t>
      </w:r>
      <w:r>
        <w:rPr>
          <w:sz w:val="20"/>
          <w:szCs w:val="20"/>
        </w:rPr>
        <w:t xml:space="preserve"> </w:t>
      </w:r>
      <w:r>
        <w:rPr>
          <w:b/>
          <w:bCs/>
          <w:sz w:val="20"/>
          <w:szCs w:val="20"/>
        </w:rPr>
        <w:t>Investments and Fair Value Measurements</w:t>
      </w:r>
    </w:p>
    <w:p w:rsidR="00000000" w:rsidRDefault="001E618F">
      <w:pPr>
        <w:pStyle w:val="a3"/>
        <w:spacing w:before="0" w:beforeAutospacing="0" w:after="0" w:afterAutospacing="0"/>
        <w:divId w:val="1042633948"/>
        <w:rPr>
          <w:sz w:val="20"/>
          <w:szCs w:val="20"/>
        </w:rPr>
      </w:pPr>
      <w:r>
        <w:rPr>
          <w:sz w:val="10"/>
          <w:szCs w:val="10"/>
        </w:rPr>
        <w:t>​</w:t>
      </w:r>
    </w:p>
    <w:p w:rsidR="00000000" w:rsidRDefault="001E618F">
      <w:pPr>
        <w:pStyle w:val="a3"/>
        <w:spacing w:before="0" w:beforeAutospacing="0" w:after="0" w:afterAutospacing="0"/>
        <w:divId w:val="1042633948"/>
        <w:rPr>
          <w:sz w:val="20"/>
          <w:szCs w:val="20"/>
        </w:rPr>
      </w:pPr>
      <w:r>
        <w:rPr>
          <w:b/>
          <w:bCs/>
          <w:i/>
          <w:iCs/>
          <w:sz w:val="20"/>
          <w:szCs w:val="20"/>
        </w:rPr>
        <w:t>Available-for-Sale Securities</w:t>
      </w:r>
    </w:p>
    <w:p w:rsidR="00000000" w:rsidRDefault="001E618F">
      <w:pPr>
        <w:pStyle w:val="a3"/>
        <w:spacing w:before="0" w:beforeAutospacing="0" w:after="0" w:afterAutospacing="0"/>
        <w:divId w:val="1042633948"/>
        <w:rPr>
          <w:sz w:val="20"/>
          <w:szCs w:val="20"/>
        </w:rPr>
      </w:pPr>
      <w:r>
        <w:rPr>
          <w:sz w:val="10"/>
          <w:szCs w:val="10"/>
        </w:rPr>
        <w:t>​</w:t>
      </w:r>
    </w:p>
    <w:p w:rsidR="00000000" w:rsidRDefault="001E618F">
      <w:pPr>
        <w:pStyle w:val="a3"/>
        <w:spacing w:before="0" w:beforeAutospacing="0" w:after="0" w:afterAutospacing="0"/>
        <w:ind w:firstLine="720"/>
        <w:divId w:val="1042633948"/>
        <w:rPr>
          <w:sz w:val="20"/>
          <w:szCs w:val="20"/>
        </w:rPr>
      </w:pPr>
      <w:r>
        <w:rPr>
          <w:sz w:val="20"/>
          <w:szCs w:val="20"/>
        </w:rPr>
        <w:t>The estimated fair value of marketable securities is based on quoted market prices for these or similar investments obtained from a commercial pricing service. The fair market value of marketable securities classified within Level 1 is based on quoted pric</w:t>
      </w:r>
      <w:r>
        <w:rPr>
          <w:sz w:val="20"/>
          <w:szCs w:val="20"/>
        </w:rPr>
        <w:t>es for identical instruments in active markets. The fair value of marketable securities classified within Level 2 is based on quoted prices for similar instruments in active markets; quoted prices for identical or similar instruments in markets that are no</w:t>
      </w:r>
      <w:r>
        <w:rPr>
          <w:sz w:val="20"/>
          <w:szCs w:val="20"/>
        </w:rPr>
        <w:t>t active; or model-driven valuations whose inputs are observable or whose significant value drivers are observable. Observable inputs may include benchmark yields, reported trades, broker/dealer quotes, issuer spreads, two-sided markets, benchmark securiti</w:t>
      </w:r>
      <w:r>
        <w:rPr>
          <w:sz w:val="20"/>
          <w:szCs w:val="20"/>
        </w:rPr>
        <w:t xml:space="preserve">es, bids, offers and reference data including market research publications. </w:t>
      </w:r>
    </w:p>
    <w:p w:rsidR="00000000" w:rsidRDefault="001E618F">
      <w:pPr>
        <w:pStyle w:val="a3"/>
        <w:spacing w:before="0" w:beforeAutospacing="0" w:after="0" w:afterAutospacing="0"/>
        <w:divId w:val="1042633948"/>
        <w:rPr>
          <w:sz w:val="20"/>
          <w:szCs w:val="20"/>
        </w:rPr>
      </w:pPr>
      <w:r>
        <w:rPr>
          <w:sz w:val="20"/>
          <w:szCs w:val="20"/>
        </w:rPr>
        <w:t>​</w:t>
      </w:r>
    </w:p>
    <w:p w:rsidR="00000000" w:rsidRDefault="001E618F">
      <w:pPr>
        <w:pStyle w:val="a3"/>
        <w:spacing w:before="0" w:beforeAutospacing="0" w:after="0" w:afterAutospacing="0"/>
        <w:ind w:firstLine="720"/>
        <w:divId w:val="1042633948"/>
        <w:rPr>
          <w:sz w:val="20"/>
          <w:szCs w:val="20"/>
        </w:rPr>
      </w:pPr>
      <w:r>
        <w:rPr>
          <w:sz w:val="20"/>
          <w:szCs w:val="20"/>
        </w:rPr>
        <w:t>Available-for-sale securities are summarized below:</w:t>
      </w:r>
    </w:p>
    <w:p w:rsidR="00000000" w:rsidRDefault="001E618F">
      <w:pPr>
        <w:pStyle w:val="a3"/>
        <w:spacing w:before="0" w:beforeAutospacing="0" w:after="0" w:afterAutospacing="0"/>
        <w:divId w:val="104263394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726"/>
        <w:gridCol w:w="160"/>
        <w:gridCol w:w="646"/>
        <w:gridCol w:w="160"/>
        <w:gridCol w:w="100"/>
        <w:gridCol w:w="720"/>
        <w:gridCol w:w="160"/>
        <w:gridCol w:w="103"/>
        <w:gridCol w:w="644"/>
        <w:gridCol w:w="160"/>
        <w:gridCol w:w="103"/>
        <w:gridCol w:w="644"/>
        <w:gridCol w:w="160"/>
        <w:gridCol w:w="100"/>
        <w:gridCol w:w="720"/>
      </w:tblGrid>
      <w:tr w:rsidR="00000000">
        <w:trPr>
          <w:divId w:val="1042633948"/>
          <w:trHeight w:val="20"/>
        </w:trPr>
        <w:tc>
          <w:tcPr>
            <w:tcW w:w="2250" w:type="pct"/>
            <w:tcMar>
              <w:top w:w="0" w:type="dxa"/>
              <w:left w:w="0" w:type="dxa"/>
              <w:bottom w:w="0" w:type="dxa"/>
              <w:right w:w="0" w:type="dxa"/>
            </w:tcMar>
            <w:vAlign w:val="center"/>
            <w:hideMark/>
          </w:tcPr>
          <w:p w:rsidR="00000000" w:rsidRDefault="001E618F">
            <w:pPr>
              <w:pStyle w:val="a3"/>
              <w:spacing w:before="0" w:beforeAutospacing="0" w:after="0" w:afterAutospacing="0"/>
              <w:divId w:val="1737628550"/>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864056990"/>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1394545014"/>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855419494"/>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346182093"/>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299383828"/>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623728986"/>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650477531"/>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2033454375"/>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43144410"/>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916822489"/>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1154957632"/>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896162127"/>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420685096"/>
              <w:rPr>
                <w:sz w:val="20"/>
                <w:szCs w:val="20"/>
              </w:rPr>
            </w:pPr>
            <w:r>
              <w:rPr>
                <w:sz w:val="2"/>
                <w:szCs w:val="2"/>
              </w:rPr>
              <w:t>​</w:t>
            </w:r>
          </w:p>
        </w:tc>
        <w:tc>
          <w:tcPr>
            <w:tcW w:w="395"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138572822"/>
              <w:rPr>
                <w:sz w:val="20"/>
                <w:szCs w:val="20"/>
              </w:rPr>
            </w:pPr>
            <w:r>
              <w:rPr>
                <w:sz w:val="2"/>
                <w:szCs w:val="2"/>
              </w:rPr>
              <w:t>​</w:t>
            </w:r>
          </w:p>
        </w:tc>
      </w:tr>
      <w:tr w:rsidR="00000000">
        <w:trPr>
          <w:divId w:val="1042633948"/>
        </w:trPr>
        <w:tc>
          <w:tcPr>
            <w:tcW w:w="225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397"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2148" w:type="pct"/>
            <w:gridSpan w:val="11"/>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2022</w:t>
            </w:r>
          </w:p>
        </w:tc>
      </w:tr>
      <w:tr w:rsidR="00000000">
        <w:trPr>
          <w:divId w:val="1042633948"/>
        </w:trPr>
        <w:tc>
          <w:tcPr>
            <w:tcW w:w="225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397"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397"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61"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Gross</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61"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Gross</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39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r>
      <w:tr w:rsidR="00000000">
        <w:trPr>
          <w:divId w:val="1042633948"/>
        </w:trPr>
        <w:tc>
          <w:tcPr>
            <w:tcW w:w="225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397"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61"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Amortized</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61"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Unrealized</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61"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Unrealized</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59"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Estimated</w:t>
            </w:r>
          </w:p>
        </w:tc>
      </w:tr>
      <w:tr w:rsidR="00000000">
        <w:trPr>
          <w:divId w:val="1042633948"/>
        </w:trPr>
        <w:tc>
          <w:tcPr>
            <w:tcW w:w="2250"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10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397"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61"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Cost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61"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Gains</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61"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Losses</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59"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Fair Value</w:t>
            </w:r>
          </w:p>
        </w:tc>
      </w:tr>
      <w:tr w:rsidR="00000000">
        <w:trPr>
          <w:divId w:val="1042633948"/>
        </w:trPr>
        <w:tc>
          <w:tcPr>
            <w:tcW w:w="2250" w:type="pct"/>
            <w:shd w:val="clear" w:color="auto" w:fill="CCEEFF"/>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US government securities</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center"/>
              <w:rPr>
                <w:sz w:val="20"/>
                <w:szCs w:val="20"/>
              </w:rPr>
            </w:pPr>
            <w:r>
              <w:rPr>
                <w:sz w:val="20"/>
                <w:szCs w:val="20"/>
              </w:rPr>
              <w:t>Level 1</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44,982</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(27)</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44,955</w:t>
            </w:r>
          </w:p>
        </w:tc>
      </w:tr>
      <w:tr w:rsidR="00000000">
        <w:trPr>
          <w:divId w:val="1042633948"/>
        </w:trPr>
        <w:tc>
          <w:tcPr>
            <w:tcW w:w="2250" w:type="pct"/>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Corporate notes</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jc w:val="center"/>
              <w:rPr>
                <w:sz w:val="20"/>
                <w:szCs w:val="20"/>
              </w:rPr>
            </w:pPr>
            <w:r>
              <w:rPr>
                <w:sz w:val="20"/>
                <w:szCs w:val="20"/>
              </w:rPr>
              <w:t>Level 2</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5,004</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(2)</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395"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5,002</w:t>
            </w:r>
          </w:p>
        </w:tc>
      </w:tr>
      <w:tr w:rsidR="00000000">
        <w:trPr>
          <w:divId w:val="1042633948"/>
        </w:trPr>
        <w:tc>
          <w:tcPr>
            <w:tcW w:w="2250"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Commercial paper</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center"/>
              <w:rPr>
                <w:sz w:val="20"/>
                <w:szCs w:val="20"/>
              </w:rPr>
            </w:pPr>
            <w:r>
              <w:rPr>
                <w:sz w:val="20"/>
                <w:szCs w:val="20"/>
              </w:rPr>
              <w:t>Level 2</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18,194</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(5)</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18,189</w:t>
            </w:r>
          </w:p>
        </w:tc>
      </w:tr>
      <w:tr w:rsidR="00000000">
        <w:trPr>
          <w:divId w:val="1042633948"/>
        </w:trPr>
        <w:tc>
          <w:tcPr>
            <w:tcW w:w="2250" w:type="pct"/>
            <w:tcMar>
              <w:top w:w="0" w:type="dxa"/>
              <w:left w:w="0" w:type="dxa"/>
              <w:bottom w:w="0" w:type="dxa"/>
              <w:right w:w="0" w:type="dxa"/>
            </w:tcMar>
            <w:vAlign w:val="bottom"/>
            <w:hideMark/>
          </w:tcPr>
          <w:p w:rsidR="00000000" w:rsidRDefault="001E618F">
            <w:pPr>
              <w:pStyle w:val="a3"/>
              <w:spacing w:before="0" w:beforeAutospacing="0" w:after="0" w:afterAutospacing="0"/>
              <w:ind w:left="120"/>
              <w:rPr>
                <w:sz w:val="20"/>
                <w:szCs w:val="20"/>
              </w:rPr>
            </w:pPr>
            <w:r>
              <w:rPr>
                <w:sz w:val="20"/>
                <w:szCs w:val="20"/>
              </w:rPr>
              <w:t>Marketable securities</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jc w:val="center"/>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68,180</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(34)</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5"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68,146</w:t>
            </w:r>
          </w:p>
        </w:tc>
      </w:tr>
      <w:tr w:rsidR="00000000">
        <w:trPr>
          <w:divId w:val="1042633948"/>
        </w:trPr>
        <w:tc>
          <w:tcPr>
            <w:tcW w:w="2250"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xml:space="preserve">Money market funds </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center"/>
              <w:rPr>
                <w:sz w:val="20"/>
                <w:szCs w:val="20"/>
              </w:rPr>
            </w:pPr>
            <w:r>
              <w:rPr>
                <w:sz w:val="20"/>
                <w:szCs w:val="20"/>
              </w:rPr>
              <w:t>Level 1</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38,250</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38,250</w:t>
            </w:r>
          </w:p>
        </w:tc>
      </w:tr>
      <w:tr w:rsidR="00000000">
        <w:trPr>
          <w:divId w:val="1042633948"/>
        </w:trPr>
        <w:tc>
          <w:tcPr>
            <w:tcW w:w="2250" w:type="pct"/>
            <w:tcMar>
              <w:top w:w="0" w:type="dxa"/>
              <w:left w:w="0" w:type="dxa"/>
              <w:bottom w:w="0" w:type="dxa"/>
              <w:right w:w="0" w:type="dxa"/>
            </w:tcMar>
            <w:vAlign w:val="center"/>
            <w:hideMark/>
          </w:tcPr>
          <w:p w:rsidR="00000000" w:rsidRDefault="001E618F">
            <w:pPr>
              <w:pStyle w:val="a3"/>
              <w:spacing w:before="0" w:beforeAutospacing="0" w:after="0" w:afterAutospacing="0"/>
              <w:ind w:left="240"/>
              <w:rPr>
                <w:sz w:val="20"/>
                <w:szCs w:val="20"/>
              </w:rPr>
            </w:pPr>
            <w:r>
              <w:rPr>
                <w:sz w:val="20"/>
                <w:szCs w:val="20"/>
              </w:rPr>
              <w:t xml:space="preserve">Total </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106,430</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(34)</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5" w:type="pct"/>
            <w:tcBorders>
              <w:bottom w:val="doub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106,396</w:t>
            </w:r>
          </w:p>
        </w:tc>
      </w:tr>
    </w:tbl>
    <w:p w:rsidR="00000000" w:rsidRDefault="001E618F">
      <w:pPr>
        <w:pStyle w:val="a3"/>
        <w:spacing w:before="0" w:beforeAutospacing="0" w:after="0" w:afterAutospacing="0"/>
        <w:divId w:val="104263394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726"/>
        <w:gridCol w:w="160"/>
        <w:gridCol w:w="646"/>
        <w:gridCol w:w="160"/>
        <w:gridCol w:w="100"/>
        <w:gridCol w:w="720"/>
        <w:gridCol w:w="160"/>
        <w:gridCol w:w="103"/>
        <w:gridCol w:w="644"/>
        <w:gridCol w:w="160"/>
        <w:gridCol w:w="103"/>
        <w:gridCol w:w="644"/>
        <w:gridCol w:w="160"/>
        <w:gridCol w:w="100"/>
        <w:gridCol w:w="720"/>
      </w:tblGrid>
      <w:tr w:rsidR="00000000">
        <w:trPr>
          <w:divId w:val="1042633948"/>
          <w:trHeight w:val="20"/>
        </w:trPr>
        <w:tc>
          <w:tcPr>
            <w:tcW w:w="2250" w:type="pct"/>
            <w:tcMar>
              <w:top w:w="0" w:type="dxa"/>
              <w:left w:w="0" w:type="dxa"/>
              <w:bottom w:w="0" w:type="dxa"/>
              <w:right w:w="0" w:type="dxa"/>
            </w:tcMar>
            <w:vAlign w:val="center"/>
            <w:hideMark/>
          </w:tcPr>
          <w:p w:rsidR="00000000" w:rsidRDefault="001E618F">
            <w:pPr>
              <w:pStyle w:val="a3"/>
              <w:spacing w:before="0" w:beforeAutospacing="0" w:after="0" w:afterAutospacing="0"/>
              <w:divId w:val="261648962"/>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81549284"/>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865951240"/>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07895909"/>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90936661"/>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1554074432"/>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357044466"/>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724261430"/>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430396977"/>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31468051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362445332"/>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2099016817"/>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91720838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536962479"/>
              <w:rPr>
                <w:sz w:val="20"/>
                <w:szCs w:val="20"/>
              </w:rPr>
            </w:pPr>
            <w:r>
              <w:rPr>
                <w:sz w:val="2"/>
                <w:szCs w:val="2"/>
              </w:rPr>
              <w:t>​</w:t>
            </w:r>
          </w:p>
        </w:tc>
        <w:tc>
          <w:tcPr>
            <w:tcW w:w="395"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1475026471"/>
              <w:rPr>
                <w:sz w:val="20"/>
                <w:szCs w:val="20"/>
              </w:rPr>
            </w:pPr>
            <w:r>
              <w:rPr>
                <w:sz w:val="2"/>
                <w:szCs w:val="2"/>
              </w:rPr>
              <w:t>​</w:t>
            </w:r>
          </w:p>
        </w:tc>
      </w:tr>
      <w:tr w:rsidR="00000000">
        <w:trPr>
          <w:divId w:val="1042633948"/>
        </w:trPr>
        <w:tc>
          <w:tcPr>
            <w:tcW w:w="225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397"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2148" w:type="pct"/>
            <w:gridSpan w:val="11"/>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December 31, 2021</w:t>
            </w:r>
          </w:p>
        </w:tc>
      </w:tr>
      <w:tr w:rsidR="00000000">
        <w:trPr>
          <w:divId w:val="1042633948"/>
        </w:trPr>
        <w:tc>
          <w:tcPr>
            <w:tcW w:w="225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397"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397"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61"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Gross</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61"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Gross</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39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r>
      <w:tr w:rsidR="00000000">
        <w:trPr>
          <w:divId w:val="1042633948"/>
        </w:trPr>
        <w:tc>
          <w:tcPr>
            <w:tcW w:w="225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397"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61"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Amortized</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61"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Unrealized</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61"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Unrealized</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59"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Estimated</w:t>
            </w:r>
          </w:p>
        </w:tc>
      </w:tr>
      <w:tr w:rsidR="00000000">
        <w:trPr>
          <w:divId w:val="1042633948"/>
        </w:trPr>
        <w:tc>
          <w:tcPr>
            <w:tcW w:w="2250"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101"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397"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61"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Cost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61"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Gains</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61"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Losses</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59"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Fair Value</w:t>
            </w:r>
          </w:p>
        </w:tc>
      </w:tr>
      <w:tr w:rsidR="00000000">
        <w:trPr>
          <w:divId w:val="1042633948"/>
        </w:trPr>
        <w:tc>
          <w:tcPr>
            <w:tcW w:w="2250" w:type="pct"/>
            <w:shd w:val="clear" w:color="auto" w:fill="CCEEFF"/>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US government securities</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center"/>
              <w:rPr>
                <w:sz w:val="20"/>
                <w:szCs w:val="20"/>
              </w:rPr>
            </w:pPr>
            <w:r>
              <w:rPr>
                <w:sz w:val="20"/>
                <w:szCs w:val="20"/>
              </w:rPr>
              <w:t>Level 1</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29,986</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(2)</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29,984</w:t>
            </w:r>
          </w:p>
        </w:tc>
      </w:tr>
      <w:tr w:rsidR="00000000">
        <w:trPr>
          <w:divId w:val="1042633948"/>
        </w:trPr>
        <w:tc>
          <w:tcPr>
            <w:tcW w:w="2250" w:type="pct"/>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Corporate notes</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jc w:val="center"/>
              <w:rPr>
                <w:sz w:val="20"/>
                <w:szCs w:val="20"/>
              </w:rPr>
            </w:pPr>
            <w:r>
              <w:rPr>
                <w:sz w:val="20"/>
                <w:szCs w:val="20"/>
              </w:rPr>
              <w:t>Level 2</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5,034</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(2)</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395"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5,032</w:t>
            </w:r>
          </w:p>
        </w:tc>
      </w:tr>
      <w:tr w:rsidR="00000000">
        <w:trPr>
          <w:divId w:val="1042633948"/>
        </w:trPr>
        <w:tc>
          <w:tcPr>
            <w:tcW w:w="2250"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Commercial paper</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center"/>
              <w:rPr>
                <w:sz w:val="20"/>
                <w:szCs w:val="20"/>
              </w:rPr>
            </w:pPr>
            <w:r>
              <w:rPr>
                <w:sz w:val="20"/>
                <w:szCs w:val="20"/>
              </w:rPr>
              <w:t>Level 2</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48,490</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(1)</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48,490</w:t>
            </w:r>
          </w:p>
        </w:tc>
      </w:tr>
      <w:tr w:rsidR="00000000">
        <w:trPr>
          <w:divId w:val="1042633948"/>
        </w:trPr>
        <w:tc>
          <w:tcPr>
            <w:tcW w:w="2250" w:type="pct"/>
            <w:tcMar>
              <w:top w:w="0" w:type="dxa"/>
              <w:left w:w="0" w:type="dxa"/>
              <w:bottom w:w="0" w:type="dxa"/>
              <w:right w:w="0" w:type="dxa"/>
            </w:tcMar>
            <w:vAlign w:val="bottom"/>
            <w:hideMark/>
          </w:tcPr>
          <w:p w:rsidR="00000000" w:rsidRDefault="001E618F">
            <w:pPr>
              <w:pStyle w:val="a3"/>
              <w:spacing w:before="0" w:beforeAutospacing="0" w:after="0" w:afterAutospacing="0"/>
              <w:ind w:left="120"/>
              <w:rPr>
                <w:sz w:val="20"/>
                <w:szCs w:val="20"/>
              </w:rPr>
            </w:pPr>
            <w:r>
              <w:rPr>
                <w:sz w:val="20"/>
                <w:szCs w:val="20"/>
              </w:rPr>
              <w:t>Marketable securities</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jc w:val="center"/>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83,510</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(5)</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5"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83,506</w:t>
            </w:r>
          </w:p>
        </w:tc>
      </w:tr>
      <w:tr w:rsidR="00000000">
        <w:trPr>
          <w:divId w:val="1042633948"/>
        </w:trPr>
        <w:tc>
          <w:tcPr>
            <w:tcW w:w="2250"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xml:space="preserve">Money market funds </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center"/>
              <w:rPr>
                <w:sz w:val="20"/>
                <w:szCs w:val="20"/>
              </w:rPr>
            </w:pPr>
            <w:r>
              <w:rPr>
                <w:sz w:val="20"/>
                <w:szCs w:val="20"/>
              </w:rPr>
              <w:t>Level 1</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50,228</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50,228</w:t>
            </w:r>
          </w:p>
        </w:tc>
      </w:tr>
      <w:tr w:rsidR="00000000">
        <w:trPr>
          <w:divId w:val="1042633948"/>
        </w:trPr>
        <w:tc>
          <w:tcPr>
            <w:tcW w:w="2250" w:type="pct"/>
            <w:tcMar>
              <w:top w:w="0" w:type="dxa"/>
              <w:left w:w="0" w:type="dxa"/>
              <w:bottom w:w="0" w:type="dxa"/>
              <w:right w:w="0" w:type="dxa"/>
            </w:tcMar>
            <w:vAlign w:val="center"/>
            <w:hideMark/>
          </w:tcPr>
          <w:p w:rsidR="00000000" w:rsidRDefault="001E618F">
            <w:pPr>
              <w:pStyle w:val="a3"/>
              <w:spacing w:before="0" w:beforeAutospacing="0" w:after="0" w:afterAutospacing="0"/>
              <w:ind w:left="240"/>
              <w:rPr>
                <w:sz w:val="20"/>
                <w:szCs w:val="20"/>
              </w:rPr>
            </w:pPr>
            <w:r>
              <w:rPr>
                <w:sz w:val="20"/>
                <w:szCs w:val="20"/>
              </w:rPr>
              <w:t xml:space="preserve">Total </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133,738</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(5)</w:t>
            </w:r>
          </w:p>
        </w:tc>
        <w:tc>
          <w:tcPr>
            <w:tcW w:w="101"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5" w:type="pct"/>
            <w:tcBorders>
              <w:bottom w:val="doub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133,734</w:t>
            </w:r>
          </w:p>
        </w:tc>
      </w:tr>
    </w:tbl>
    <w:p w:rsidR="00000000" w:rsidRDefault="001E618F">
      <w:pPr>
        <w:pStyle w:val="a3"/>
        <w:spacing w:before="0" w:beforeAutospacing="0" w:after="0" w:afterAutospacing="0"/>
        <w:divId w:val="1042633948"/>
        <w:rPr>
          <w:sz w:val="20"/>
          <w:szCs w:val="20"/>
        </w:rPr>
      </w:pPr>
      <w:r>
        <w:rPr>
          <w:sz w:val="20"/>
          <w:szCs w:val="20"/>
        </w:rPr>
        <w:t>​</w:t>
      </w:r>
    </w:p>
    <w:p w:rsidR="00000000" w:rsidRDefault="001E618F">
      <w:pPr>
        <w:pStyle w:val="a3"/>
        <w:spacing w:before="0" w:beforeAutospacing="0" w:after="0" w:afterAutospacing="0"/>
        <w:ind w:firstLine="720"/>
        <w:divId w:val="1042633948"/>
        <w:rPr>
          <w:sz w:val="20"/>
          <w:szCs w:val="20"/>
        </w:rPr>
      </w:pPr>
      <w:r>
        <w:rPr>
          <w:sz w:val="20"/>
          <w:szCs w:val="20"/>
        </w:rPr>
        <w:t>As of March 31, 2022, all of the Company’</w:t>
      </w:r>
      <w:r>
        <w:rPr>
          <w:sz w:val="20"/>
          <w:szCs w:val="20"/>
        </w:rPr>
        <w:t xml:space="preserve">s available-for-sale securities had contractual maturities within five months, and the weighted-average maturity of marketable securities was approximately one month. There were no transfers </w:t>
      </w:r>
    </w:p>
    <w:p w:rsidR="00000000" w:rsidRDefault="001E618F">
      <w:pPr>
        <w:pStyle w:val="a3"/>
        <w:spacing w:before="360" w:beforeAutospacing="0" w:after="0" w:afterAutospacing="0"/>
        <w:jc w:val="center"/>
        <w:divId w:val="732122504"/>
        <w:rPr>
          <w:sz w:val="20"/>
          <w:szCs w:val="20"/>
        </w:rPr>
      </w:pPr>
      <w:r>
        <w:rPr>
          <w:sz w:val="20"/>
          <w:szCs w:val="20"/>
        </w:rPr>
        <w:t>11</w:t>
      </w:r>
    </w:p>
    <w:p w:rsidR="00000000" w:rsidRDefault="001E618F">
      <w:pPr>
        <w:pStyle w:val="a3"/>
        <w:spacing w:before="0" w:beforeAutospacing="0" w:after="600" w:afterAutospacing="0"/>
        <w:divId w:val="1425221469"/>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divId w:val="1212770458"/>
        <w:rPr>
          <w:sz w:val="20"/>
          <w:szCs w:val="20"/>
        </w:rPr>
      </w:pPr>
      <w:r>
        <w:rPr>
          <w:sz w:val="20"/>
          <w:szCs w:val="20"/>
        </w:rPr>
        <w:t>between Level 1 a</w:t>
      </w:r>
      <w:r>
        <w:rPr>
          <w:sz w:val="20"/>
          <w:szCs w:val="20"/>
        </w:rPr>
        <w:t>nd</w:t>
      </w:r>
      <w:r>
        <w:rPr>
          <w:sz w:val="20"/>
          <w:szCs w:val="20"/>
        </w:rPr>
        <w:t xml:space="preserve"> </w:t>
      </w:r>
      <w:r>
        <w:rPr>
          <w:sz w:val="20"/>
          <w:szCs w:val="20"/>
        </w:rPr>
        <w:t>Leve</w:t>
      </w:r>
      <w:r>
        <w:rPr>
          <w:sz w:val="20"/>
          <w:szCs w:val="20"/>
        </w:rPr>
        <w:t>l</w:t>
      </w:r>
      <w:r>
        <w:rPr>
          <w:sz w:val="20"/>
          <w:szCs w:val="20"/>
        </w:rPr>
        <w:t xml:space="preserve"> 2 during the periods presented, and there have been no material changes to the Company’s valuation techniques during the three months ended March 31, 2022. </w:t>
      </w:r>
    </w:p>
    <w:p w:rsidR="00000000" w:rsidRDefault="001E618F">
      <w:pPr>
        <w:pStyle w:val="a3"/>
        <w:spacing w:before="0" w:beforeAutospacing="0" w:after="0" w:afterAutospacing="0"/>
        <w:divId w:val="1212770458"/>
        <w:rPr>
          <w:sz w:val="20"/>
          <w:szCs w:val="20"/>
        </w:rPr>
      </w:pPr>
      <w:r>
        <w:rPr>
          <w:sz w:val="20"/>
          <w:szCs w:val="20"/>
        </w:rPr>
        <w:t>​</w:t>
      </w:r>
    </w:p>
    <w:p w:rsidR="00000000" w:rsidRDefault="001E618F">
      <w:pPr>
        <w:pStyle w:val="a3"/>
        <w:spacing w:before="0" w:beforeAutospacing="0" w:after="0" w:afterAutospacing="0"/>
        <w:ind w:firstLine="720"/>
        <w:divId w:val="1212770458"/>
        <w:rPr>
          <w:sz w:val="20"/>
          <w:szCs w:val="20"/>
        </w:rPr>
      </w:pPr>
      <w:r>
        <w:rPr>
          <w:sz w:val="20"/>
          <w:szCs w:val="20"/>
        </w:rPr>
        <w:t>Available-for-sale debt securities with unrealized losses are summarized below:</w:t>
      </w:r>
    </w:p>
    <w:p w:rsidR="00000000" w:rsidRDefault="001E618F">
      <w:pPr>
        <w:pStyle w:val="a3"/>
        <w:spacing w:before="0" w:beforeAutospacing="0" w:after="0" w:afterAutospacing="0"/>
        <w:divId w:val="121277045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84"/>
        <w:gridCol w:w="160"/>
        <w:gridCol w:w="103"/>
        <w:gridCol w:w="631"/>
        <w:gridCol w:w="161"/>
        <w:gridCol w:w="104"/>
        <w:gridCol w:w="643"/>
        <w:gridCol w:w="10"/>
        <w:gridCol w:w="104"/>
        <w:gridCol w:w="644"/>
        <w:gridCol w:w="163"/>
        <w:gridCol w:w="103"/>
        <w:gridCol w:w="644"/>
        <w:gridCol w:w="160"/>
        <w:gridCol w:w="103"/>
        <w:gridCol w:w="631"/>
        <w:gridCol w:w="11"/>
        <w:gridCol w:w="104"/>
        <w:gridCol w:w="643"/>
      </w:tblGrid>
      <w:tr w:rsidR="00000000">
        <w:trPr>
          <w:divId w:val="1212770458"/>
          <w:trHeight w:val="20"/>
        </w:trPr>
        <w:tc>
          <w:tcPr>
            <w:tcW w:w="2000" w:type="pct"/>
            <w:tcMar>
              <w:top w:w="0" w:type="dxa"/>
              <w:left w:w="0" w:type="dxa"/>
              <w:bottom w:w="0" w:type="dxa"/>
              <w:right w:w="0" w:type="dxa"/>
            </w:tcMar>
            <w:vAlign w:val="center"/>
            <w:hideMark/>
          </w:tcPr>
          <w:p w:rsidR="00000000" w:rsidRDefault="001E618F">
            <w:pPr>
              <w:pStyle w:val="a3"/>
              <w:spacing w:before="0" w:beforeAutospacing="0" w:after="0" w:afterAutospacing="0"/>
              <w:divId w:val="108542218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49369124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717827683"/>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776103651"/>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01753765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082147258"/>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1817916740"/>
              <w:rPr>
                <w:sz w:val="20"/>
                <w:szCs w:val="20"/>
              </w:rPr>
            </w:pPr>
            <w:r>
              <w:rPr>
                <w:sz w:val="2"/>
                <w:szCs w:val="2"/>
              </w:rPr>
              <w:t>​</w:t>
            </w:r>
          </w:p>
        </w:tc>
        <w:tc>
          <w:tcPr>
            <w:tcW w:w="89"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118582112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57216039"/>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197817946"/>
              <w:rPr>
                <w:sz w:val="20"/>
                <w:szCs w:val="20"/>
              </w:rPr>
            </w:pPr>
            <w:r>
              <w:rPr>
                <w:sz w:val="2"/>
                <w:szCs w:val="2"/>
              </w:rPr>
              <w:t>​</w:t>
            </w:r>
          </w:p>
        </w:tc>
        <w:tc>
          <w:tcPr>
            <w:tcW w:w="89"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144522616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628513292"/>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202913850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44961978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062677865"/>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470252316"/>
              <w:rPr>
                <w:sz w:val="20"/>
                <w:szCs w:val="20"/>
              </w:rPr>
            </w:pPr>
            <w:r>
              <w:rPr>
                <w:sz w:val="2"/>
                <w:szCs w:val="2"/>
              </w:rPr>
              <w:t>​</w:t>
            </w:r>
          </w:p>
        </w:tc>
        <w:tc>
          <w:tcPr>
            <w:tcW w:w="89"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137245662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793093489"/>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190532021"/>
              <w:rPr>
                <w:sz w:val="20"/>
                <w:szCs w:val="20"/>
              </w:rPr>
            </w:pPr>
            <w:r>
              <w:rPr>
                <w:sz w:val="2"/>
                <w:szCs w:val="2"/>
              </w:rPr>
              <w:t>​</w:t>
            </w:r>
          </w:p>
        </w:tc>
      </w:tr>
      <w:tr w:rsidR="00000000">
        <w:trPr>
          <w:divId w:val="1212770458"/>
        </w:trPr>
        <w:tc>
          <w:tcPr>
            <w:tcW w:w="200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color w:val="0563C1"/>
                <w:sz w:val="28"/>
                <w:szCs w:val="28"/>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2910" w:type="pct"/>
            <w:gridSpan w:val="17"/>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2022</w:t>
            </w:r>
          </w:p>
        </w:tc>
      </w:tr>
      <w:tr w:rsidR="00000000">
        <w:trPr>
          <w:divId w:val="1212770458"/>
        </w:trPr>
        <w:tc>
          <w:tcPr>
            <w:tcW w:w="200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10" w:type="pct"/>
            <w:gridSpan w:val="5"/>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Less than 12 Months</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10" w:type="pct"/>
            <w:gridSpan w:val="5"/>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Greater than 12 Months</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10" w:type="pct"/>
            <w:gridSpan w:val="5"/>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Total</w:t>
            </w:r>
          </w:p>
        </w:tc>
      </w:tr>
      <w:tr w:rsidR="00000000">
        <w:trPr>
          <w:divId w:val="1212770458"/>
        </w:trPr>
        <w:tc>
          <w:tcPr>
            <w:tcW w:w="200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35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10"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Gross</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35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r>
              <w:rPr>
                <w:b/>
                <w:bCs/>
                <w:sz w:val="16"/>
                <w:szCs w:val="16"/>
              </w:rPr>
              <w:t>   </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Gross</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35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Gross</w:t>
            </w:r>
          </w:p>
        </w:tc>
      </w:tr>
      <w:tr w:rsidR="00000000">
        <w:trPr>
          <w:divId w:val="1212770458"/>
        </w:trPr>
        <w:tc>
          <w:tcPr>
            <w:tcW w:w="2000"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Estimated</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Unrealized</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Estimated</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Unrealized</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Estimated</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Unrealized</w:t>
            </w:r>
          </w:p>
        </w:tc>
      </w:tr>
      <w:tr w:rsidR="00000000">
        <w:trPr>
          <w:divId w:val="1212770458"/>
        </w:trPr>
        <w:tc>
          <w:tcPr>
            <w:tcW w:w="2000"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89"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Fair Value</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Losses</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Fair Value</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Losses</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Fair Value</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Losses</w:t>
            </w:r>
          </w:p>
        </w:tc>
      </w:tr>
      <w:tr w:rsidR="00000000">
        <w:trPr>
          <w:divId w:val="1212770458"/>
        </w:trPr>
        <w:tc>
          <w:tcPr>
            <w:tcW w:w="2000" w:type="pct"/>
            <w:shd w:val="clear" w:color="auto" w:fill="CCEEFF"/>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US government securities</w:t>
            </w:r>
          </w:p>
        </w:tc>
        <w:tc>
          <w:tcPr>
            <w:tcW w:w="89"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39,956</w:t>
            </w:r>
          </w:p>
        </w:tc>
        <w:tc>
          <w:tcPr>
            <w:tcW w:w="89"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(27)</w:t>
            </w:r>
          </w:p>
        </w:tc>
        <w:tc>
          <w:tcPr>
            <w:tcW w:w="89"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39,956</w:t>
            </w:r>
          </w:p>
        </w:tc>
        <w:tc>
          <w:tcPr>
            <w:tcW w:w="89"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(27)</w:t>
            </w:r>
          </w:p>
        </w:tc>
      </w:tr>
      <w:tr w:rsidR="00000000">
        <w:trPr>
          <w:divId w:val="1212770458"/>
        </w:trPr>
        <w:tc>
          <w:tcPr>
            <w:tcW w:w="2000" w:type="pct"/>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Corporate notes</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5,002</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(2)</w:t>
            </w:r>
          </w:p>
        </w:tc>
        <w:tc>
          <w:tcPr>
            <w:tcW w:w="89"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5,002</w:t>
            </w:r>
          </w:p>
        </w:tc>
        <w:tc>
          <w:tcPr>
            <w:tcW w:w="89"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(2)</w:t>
            </w:r>
          </w:p>
        </w:tc>
      </w:tr>
      <w:tr w:rsidR="00000000">
        <w:trPr>
          <w:divId w:val="1212770458"/>
        </w:trPr>
        <w:tc>
          <w:tcPr>
            <w:tcW w:w="2000"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Commercial paper</w:t>
            </w:r>
          </w:p>
        </w:tc>
        <w:tc>
          <w:tcPr>
            <w:tcW w:w="89"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18,189</w:t>
            </w:r>
          </w:p>
        </w:tc>
        <w:tc>
          <w:tcPr>
            <w:tcW w:w="89"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(5)</w:t>
            </w:r>
          </w:p>
        </w:tc>
        <w:tc>
          <w:tcPr>
            <w:tcW w:w="89"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18,189</w:t>
            </w:r>
          </w:p>
        </w:tc>
        <w:tc>
          <w:tcPr>
            <w:tcW w:w="89"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(5)</w:t>
            </w:r>
          </w:p>
        </w:tc>
      </w:tr>
      <w:tr w:rsidR="00000000">
        <w:trPr>
          <w:divId w:val="1212770458"/>
        </w:trPr>
        <w:tc>
          <w:tcPr>
            <w:tcW w:w="2000" w:type="pct"/>
            <w:tcMar>
              <w:top w:w="0" w:type="dxa"/>
              <w:left w:w="0" w:type="dxa"/>
              <w:bottom w:w="0" w:type="dxa"/>
              <w:right w:w="0" w:type="dxa"/>
            </w:tcMar>
            <w:vAlign w:val="center"/>
            <w:hideMark/>
          </w:tcPr>
          <w:p w:rsidR="00000000" w:rsidRDefault="001E618F">
            <w:pPr>
              <w:pStyle w:val="a3"/>
              <w:spacing w:before="0" w:beforeAutospacing="0" w:after="0" w:afterAutospacing="0"/>
              <w:ind w:left="240"/>
              <w:rPr>
                <w:sz w:val="20"/>
                <w:szCs w:val="20"/>
              </w:rPr>
            </w:pPr>
            <w:r>
              <w:rPr>
                <w:sz w:val="20"/>
                <w:szCs w:val="20"/>
              </w:rPr>
              <w:t xml:space="preserve">Total </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doub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63,147</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doub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(34)</w:t>
            </w:r>
          </w:p>
        </w:tc>
        <w:tc>
          <w:tcPr>
            <w:tcW w:w="89"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doub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doub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doub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63,147</w:t>
            </w:r>
          </w:p>
        </w:tc>
        <w:tc>
          <w:tcPr>
            <w:tcW w:w="89"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doub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(34)</w:t>
            </w:r>
          </w:p>
        </w:tc>
      </w:tr>
    </w:tbl>
    <w:p w:rsidR="00000000" w:rsidRDefault="001E618F">
      <w:pPr>
        <w:pStyle w:val="a3"/>
        <w:spacing w:before="0" w:beforeAutospacing="0" w:after="0" w:afterAutospacing="0"/>
        <w:divId w:val="121277045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84"/>
        <w:gridCol w:w="160"/>
        <w:gridCol w:w="103"/>
        <w:gridCol w:w="631"/>
        <w:gridCol w:w="161"/>
        <w:gridCol w:w="104"/>
        <w:gridCol w:w="643"/>
        <w:gridCol w:w="10"/>
        <w:gridCol w:w="104"/>
        <w:gridCol w:w="644"/>
        <w:gridCol w:w="163"/>
        <w:gridCol w:w="103"/>
        <w:gridCol w:w="644"/>
        <w:gridCol w:w="160"/>
        <w:gridCol w:w="103"/>
        <w:gridCol w:w="631"/>
        <w:gridCol w:w="11"/>
        <w:gridCol w:w="104"/>
        <w:gridCol w:w="643"/>
      </w:tblGrid>
      <w:tr w:rsidR="00000000">
        <w:trPr>
          <w:divId w:val="1212770458"/>
          <w:trHeight w:val="20"/>
        </w:trPr>
        <w:tc>
          <w:tcPr>
            <w:tcW w:w="2000" w:type="pct"/>
            <w:tcMar>
              <w:top w:w="0" w:type="dxa"/>
              <w:left w:w="0" w:type="dxa"/>
              <w:bottom w:w="0" w:type="dxa"/>
              <w:right w:w="0" w:type="dxa"/>
            </w:tcMar>
            <w:vAlign w:val="center"/>
            <w:hideMark/>
          </w:tcPr>
          <w:p w:rsidR="00000000" w:rsidRDefault="001E618F">
            <w:pPr>
              <w:pStyle w:val="a3"/>
              <w:spacing w:before="0" w:beforeAutospacing="0" w:after="0" w:afterAutospacing="0"/>
              <w:divId w:val="6862303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39828407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515730371"/>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134023799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74517968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17909549"/>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1526483943"/>
              <w:rPr>
                <w:sz w:val="20"/>
                <w:szCs w:val="20"/>
              </w:rPr>
            </w:pPr>
            <w:r>
              <w:rPr>
                <w:sz w:val="2"/>
                <w:szCs w:val="2"/>
              </w:rPr>
              <w:t>​</w:t>
            </w:r>
          </w:p>
        </w:tc>
        <w:tc>
          <w:tcPr>
            <w:tcW w:w="89"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72961418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103380646"/>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1632975860"/>
              <w:rPr>
                <w:sz w:val="20"/>
                <w:szCs w:val="20"/>
              </w:rPr>
            </w:pPr>
            <w:r>
              <w:rPr>
                <w:sz w:val="2"/>
                <w:szCs w:val="2"/>
              </w:rPr>
              <w:t>​</w:t>
            </w:r>
          </w:p>
        </w:tc>
        <w:tc>
          <w:tcPr>
            <w:tcW w:w="89"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20421832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845167091"/>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194761280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12114327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650330320"/>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1251232585"/>
              <w:rPr>
                <w:sz w:val="20"/>
                <w:szCs w:val="20"/>
              </w:rPr>
            </w:pPr>
            <w:r>
              <w:rPr>
                <w:sz w:val="2"/>
                <w:szCs w:val="2"/>
              </w:rPr>
              <w:t>​</w:t>
            </w:r>
          </w:p>
        </w:tc>
        <w:tc>
          <w:tcPr>
            <w:tcW w:w="89"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163132503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59218506"/>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617034256"/>
              <w:rPr>
                <w:sz w:val="20"/>
                <w:szCs w:val="20"/>
              </w:rPr>
            </w:pPr>
            <w:r>
              <w:rPr>
                <w:sz w:val="2"/>
                <w:szCs w:val="2"/>
              </w:rPr>
              <w:t>​</w:t>
            </w:r>
          </w:p>
        </w:tc>
      </w:tr>
      <w:tr w:rsidR="00000000">
        <w:trPr>
          <w:divId w:val="1212770458"/>
        </w:trPr>
        <w:tc>
          <w:tcPr>
            <w:tcW w:w="200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2910" w:type="pct"/>
            <w:gridSpan w:val="17"/>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December 31, 2021</w:t>
            </w:r>
          </w:p>
        </w:tc>
      </w:tr>
      <w:tr w:rsidR="00000000">
        <w:trPr>
          <w:divId w:val="1212770458"/>
        </w:trPr>
        <w:tc>
          <w:tcPr>
            <w:tcW w:w="200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10" w:type="pct"/>
            <w:gridSpan w:val="5"/>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Less than 12 Months</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10" w:type="pct"/>
            <w:gridSpan w:val="5"/>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Greater than 12 Months</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10" w:type="pct"/>
            <w:gridSpan w:val="5"/>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Total</w:t>
            </w:r>
          </w:p>
        </w:tc>
      </w:tr>
      <w:tr w:rsidR="00000000">
        <w:trPr>
          <w:divId w:val="1212770458"/>
        </w:trPr>
        <w:tc>
          <w:tcPr>
            <w:tcW w:w="200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35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10"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Gross</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35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Gross</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35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Gross</w:t>
            </w:r>
          </w:p>
        </w:tc>
      </w:tr>
      <w:tr w:rsidR="00000000">
        <w:trPr>
          <w:divId w:val="1212770458"/>
        </w:trPr>
        <w:tc>
          <w:tcPr>
            <w:tcW w:w="2000"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Estimated</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Unrealized</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Estimated</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Unrealized</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Estimated</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Unrealized</w:t>
            </w:r>
          </w:p>
        </w:tc>
      </w:tr>
      <w:tr w:rsidR="00000000">
        <w:trPr>
          <w:divId w:val="1212770458"/>
        </w:trPr>
        <w:tc>
          <w:tcPr>
            <w:tcW w:w="2000"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89"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Fair Value</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Losses</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Fair Value</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Losses</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Fair Value</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Losses</w:t>
            </w:r>
          </w:p>
        </w:tc>
      </w:tr>
      <w:tr w:rsidR="00000000">
        <w:trPr>
          <w:divId w:val="1212770458"/>
        </w:trPr>
        <w:tc>
          <w:tcPr>
            <w:tcW w:w="2000" w:type="pct"/>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US government securities</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19,991</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(2)</w:t>
            </w:r>
          </w:p>
        </w:tc>
        <w:tc>
          <w:tcPr>
            <w:tcW w:w="89"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19,991</w:t>
            </w:r>
          </w:p>
        </w:tc>
        <w:tc>
          <w:tcPr>
            <w:tcW w:w="89"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(2)</w:t>
            </w:r>
          </w:p>
        </w:tc>
      </w:tr>
      <w:tr w:rsidR="00000000">
        <w:trPr>
          <w:divId w:val="1212770458"/>
        </w:trPr>
        <w:tc>
          <w:tcPr>
            <w:tcW w:w="2000" w:type="pct"/>
            <w:shd w:val="clear" w:color="auto" w:fill="CCEEFF"/>
            <w:tcMar>
              <w:top w:w="0" w:type="dxa"/>
              <w:left w:w="0" w:type="dxa"/>
              <w:bottom w:w="0" w:type="dxa"/>
              <w:right w:w="0" w:type="dxa"/>
            </w:tcMar>
            <w:vAlign w:val="center"/>
            <w:hideMark/>
          </w:tcPr>
          <w:p w:rsidR="00000000" w:rsidRDefault="001E618F">
            <w:pPr>
              <w:pStyle w:val="a3"/>
              <w:spacing w:before="0" w:beforeAutospacing="0" w:after="0" w:afterAutospacing="0"/>
              <w:rPr>
                <w:sz w:val="20"/>
                <w:szCs w:val="20"/>
              </w:rPr>
            </w:pPr>
            <w:r>
              <w:rPr>
                <w:sz w:val="20"/>
                <w:szCs w:val="20"/>
              </w:rPr>
              <w:t>Corporate notes</w:t>
            </w:r>
          </w:p>
        </w:tc>
        <w:tc>
          <w:tcPr>
            <w:tcW w:w="89"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5,031</w:t>
            </w:r>
          </w:p>
        </w:tc>
        <w:tc>
          <w:tcPr>
            <w:tcW w:w="89"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(2)</w:t>
            </w:r>
          </w:p>
        </w:tc>
        <w:tc>
          <w:tcPr>
            <w:tcW w:w="89"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5,031</w:t>
            </w:r>
          </w:p>
        </w:tc>
        <w:tc>
          <w:tcPr>
            <w:tcW w:w="89"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(2)</w:t>
            </w:r>
          </w:p>
        </w:tc>
      </w:tr>
      <w:tr w:rsidR="00000000">
        <w:trPr>
          <w:divId w:val="1212770458"/>
        </w:trPr>
        <w:tc>
          <w:tcPr>
            <w:tcW w:w="200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Commercial paper</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sing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9,995</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sing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(1)</w:t>
            </w:r>
          </w:p>
        </w:tc>
        <w:tc>
          <w:tcPr>
            <w:tcW w:w="89"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sing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sing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353" w:type="pct"/>
            <w:tcBorders>
              <w:bottom w:val="sing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9,995</w:t>
            </w:r>
          </w:p>
        </w:tc>
        <w:tc>
          <w:tcPr>
            <w:tcW w:w="89" w:type="pct"/>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353" w:type="pct"/>
            <w:tcBorders>
              <w:bottom w:val="sing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(1)</w:t>
            </w:r>
          </w:p>
        </w:tc>
      </w:tr>
      <w:tr w:rsidR="00000000">
        <w:trPr>
          <w:divId w:val="1212770458"/>
        </w:trPr>
        <w:tc>
          <w:tcPr>
            <w:tcW w:w="2000" w:type="pct"/>
            <w:shd w:val="clear" w:color="auto" w:fill="CCEEFF"/>
            <w:tcMar>
              <w:top w:w="0" w:type="dxa"/>
              <w:left w:w="0" w:type="dxa"/>
              <w:bottom w:w="0" w:type="dxa"/>
              <w:right w:w="0" w:type="dxa"/>
            </w:tcMar>
            <w:vAlign w:val="center"/>
            <w:hideMark/>
          </w:tcPr>
          <w:p w:rsidR="00000000" w:rsidRDefault="001E618F">
            <w:pPr>
              <w:pStyle w:val="a3"/>
              <w:spacing w:before="0" w:beforeAutospacing="0" w:after="0" w:afterAutospacing="0"/>
              <w:ind w:left="240"/>
              <w:rPr>
                <w:sz w:val="20"/>
                <w:szCs w:val="20"/>
              </w:rPr>
            </w:pPr>
            <w:r>
              <w:rPr>
                <w:sz w:val="20"/>
                <w:szCs w:val="20"/>
              </w:rPr>
              <w:t>Total</w:t>
            </w:r>
          </w:p>
        </w:tc>
        <w:tc>
          <w:tcPr>
            <w:tcW w:w="89"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35,017</w:t>
            </w:r>
          </w:p>
        </w:tc>
        <w:tc>
          <w:tcPr>
            <w:tcW w:w="89"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(5)</w:t>
            </w:r>
          </w:p>
        </w:tc>
        <w:tc>
          <w:tcPr>
            <w:tcW w:w="89"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w:t>
            </w:r>
          </w:p>
        </w:tc>
        <w:tc>
          <w:tcPr>
            <w:tcW w:w="89"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35,017</w:t>
            </w:r>
          </w:p>
        </w:tc>
        <w:tc>
          <w:tcPr>
            <w:tcW w:w="89"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jc w:val="right"/>
              <w:rPr>
                <w:sz w:val="20"/>
                <w:szCs w:val="20"/>
              </w:rPr>
            </w:pPr>
            <w:r>
              <w:rPr>
                <w:sz w:val="20"/>
                <w:szCs w:val="20"/>
              </w:rPr>
              <w:t>(5)</w:t>
            </w:r>
          </w:p>
        </w:tc>
      </w:tr>
    </w:tbl>
    <w:p w:rsidR="00000000" w:rsidRDefault="001E618F">
      <w:pPr>
        <w:pStyle w:val="a3"/>
        <w:spacing w:before="0" w:beforeAutospacing="0" w:after="0" w:afterAutospacing="0"/>
        <w:divId w:val="1212770458"/>
        <w:rPr>
          <w:sz w:val="20"/>
          <w:szCs w:val="20"/>
        </w:rPr>
      </w:pPr>
      <w:r>
        <w:rPr>
          <w:sz w:val="20"/>
          <w:szCs w:val="20"/>
        </w:rPr>
        <w:t>​</w:t>
      </w:r>
    </w:p>
    <w:p w:rsidR="00000000" w:rsidRDefault="001E618F">
      <w:pPr>
        <w:pStyle w:val="a3"/>
        <w:spacing w:before="0" w:beforeAutospacing="0" w:after="0" w:afterAutospacing="0"/>
        <w:ind w:firstLine="720"/>
        <w:divId w:val="1212770458"/>
        <w:rPr>
          <w:sz w:val="20"/>
          <w:szCs w:val="20"/>
        </w:rPr>
      </w:pPr>
      <w:r>
        <w:rPr>
          <w:sz w:val="20"/>
          <w:szCs w:val="20"/>
        </w:rPr>
        <w:t xml:space="preserve">The Company invests primarily in </w:t>
      </w:r>
      <w:r>
        <w:rPr>
          <w:sz w:val="20"/>
          <w:szCs w:val="20"/>
          <w:shd w:val="clear" w:color="auto" w:fill="FFFFFF"/>
        </w:rPr>
        <w:t xml:space="preserve">high credit quality and short-term maturity </w:t>
      </w:r>
      <w:r>
        <w:rPr>
          <w:sz w:val="20"/>
          <w:szCs w:val="20"/>
        </w:rPr>
        <w:t xml:space="preserve">debt securities with the intent to hold such securities until maturity at par value. The Company does not intend to sell the investments that are currently in an unrealized loss position, and it is unlikely that it will be required to sell the investments </w:t>
      </w:r>
      <w:r>
        <w:rPr>
          <w:sz w:val="20"/>
          <w:szCs w:val="20"/>
        </w:rPr>
        <w:t xml:space="preserve">before recovery of their amortized cost basis, which may be at maturity. </w:t>
      </w:r>
      <w:r>
        <w:rPr>
          <w:sz w:val="20"/>
          <w:szCs w:val="20"/>
          <w:shd w:val="clear" w:color="auto" w:fill="FFFFFF"/>
        </w:rPr>
        <w:t>T</w:t>
      </w:r>
      <w:r>
        <w:rPr>
          <w:sz w:val="20"/>
          <w:szCs w:val="20"/>
        </w:rPr>
        <w:t>he Company reviewed its available-for-sale debt securities and determined that there were n</w:t>
      </w:r>
      <w:r>
        <w:rPr>
          <w:sz w:val="20"/>
          <w:szCs w:val="20"/>
        </w:rPr>
        <w:t>o</w:t>
      </w:r>
      <w:r>
        <w:rPr>
          <w:sz w:val="20"/>
          <w:szCs w:val="20"/>
        </w:rPr>
        <w:t xml:space="preserve"> credit-related losses to be recognized as of March 31, 2022.</w:t>
      </w:r>
      <w:r>
        <w:rPr>
          <w:sz w:val="20"/>
          <w:szCs w:val="20"/>
        </w:rPr>
        <w:t xml:space="preserve"> </w:t>
      </w:r>
    </w:p>
    <w:p w:rsidR="00000000" w:rsidRDefault="001E618F">
      <w:pPr>
        <w:pStyle w:val="a3"/>
        <w:spacing w:before="0" w:beforeAutospacing="0" w:after="0" w:afterAutospacing="0"/>
        <w:divId w:val="1212770458"/>
        <w:rPr>
          <w:sz w:val="20"/>
          <w:szCs w:val="20"/>
        </w:rPr>
      </w:pPr>
      <w:r>
        <w:rPr>
          <w:sz w:val="20"/>
          <w:szCs w:val="20"/>
        </w:rPr>
        <w:t>​</w:t>
      </w:r>
    </w:p>
    <w:p w:rsidR="00000000" w:rsidRDefault="001E618F">
      <w:pPr>
        <w:pStyle w:val="a3"/>
        <w:spacing w:before="0" w:beforeAutospacing="0" w:after="0" w:afterAutospacing="0"/>
        <w:ind w:firstLine="720"/>
        <w:divId w:val="1212770458"/>
        <w:rPr>
          <w:sz w:val="20"/>
          <w:szCs w:val="20"/>
        </w:rPr>
      </w:pPr>
      <w:r>
        <w:rPr>
          <w:sz w:val="20"/>
          <w:szCs w:val="20"/>
        </w:rPr>
        <w:t>As of March 31, 2022, the</w:t>
      </w:r>
      <w:r>
        <w:rPr>
          <w:sz w:val="20"/>
          <w:szCs w:val="20"/>
        </w:rPr>
        <w:t xml:space="preserve"> Company’s accumulated other comprehensive income (loss) on its condensed consolidated balance sheets consisted of net unrealized gains (losses) on available-for-sale investments. For the three months ended March 31, 2022 and 2021, the Company did not</w:t>
      </w:r>
      <w:r>
        <w:rPr>
          <w:color w:val="FF0000"/>
          <w:sz w:val="20"/>
          <w:szCs w:val="20"/>
        </w:rPr>
        <w:t xml:space="preserve"> </w:t>
      </w:r>
      <w:r>
        <w:rPr>
          <w:sz w:val="20"/>
          <w:szCs w:val="20"/>
        </w:rPr>
        <w:t>sell</w:t>
      </w:r>
      <w:r>
        <w:rPr>
          <w:sz w:val="20"/>
          <w:szCs w:val="20"/>
        </w:rPr>
        <w:t xml:space="preserve"> any marketable securities.</w:t>
      </w:r>
    </w:p>
    <w:p w:rsidR="00000000" w:rsidRDefault="001E618F">
      <w:pPr>
        <w:pStyle w:val="a3"/>
        <w:spacing w:before="0" w:beforeAutospacing="0" w:after="0" w:afterAutospacing="0"/>
        <w:divId w:val="1212770458"/>
        <w:rPr>
          <w:sz w:val="20"/>
          <w:szCs w:val="20"/>
        </w:rPr>
      </w:pPr>
      <w:r>
        <w:rPr>
          <w:sz w:val="20"/>
          <w:szCs w:val="20"/>
        </w:rPr>
        <w:t>​</w:t>
      </w:r>
    </w:p>
    <w:p w:rsidR="00000000" w:rsidRDefault="001E618F">
      <w:pPr>
        <w:pStyle w:val="a3"/>
        <w:spacing w:before="0" w:beforeAutospacing="0" w:after="0" w:afterAutospacing="0"/>
        <w:divId w:val="1212770458"/>
        <w:rPr>
          <w:sz w:val="20"/>
          <w:szCs w:val="20"/>
        </w:rPr>
      </w:pPr>
      <w:r>
        <w:rPr>
          <w:b/>
          <w:bCs/>
          <w:sz w:val="20"/>
          <w:szCs w:val="20"/>
        </w:rPr>
        <w:t xml:space="preserve">6. Debt </w:t>
      </w:r>
    </w:p>
    <w:p w:rsidR="00000000" w:rsidRDefault="001E618F">
      <w:pPr>
        <w:pStyle w:val="a3"/>
        <w:spacing w:before="0" w:beforeAutospacing="0" w:after="0" w:afterAutospacing="0"/>
        <w:divId w:val="1212770458"/>
        <w:rPr>
          <w:sz w:val="20"/>
          <w:szCs w:val="20"/>
        </w:rPr>
      </w:pPr>
      <w:r>
        <w:rPr>
          <w:b/>
          <w:bCs/>
          <w:sz w:val="10"/>
          <w:szCs w:val="10"/>
        </w:rPr>
        <w:t>​</w:t>
      </w:r>
    </w:p>
    <w:p w:rsidR="00000000" w:rsidRDefault="001E618F">
      <w:pPr>
        <w:pStyle w:val="a3"/>
        <w:shd w:val="clear" w:color="auto" w:fill="FFFFFF"/>
        <w:spacing w:before="0" w:beforeAutospacing="0" w:after="0" w:afterAutospacing="0"/>
        <w:ind w:left="720"/>
        <w:divId w:val="1212770458"/>
        <w:rPr>
          <w:sz w:val="20"/>
          <w:szCs w:val="20"/>
        </w:rPr>
      </w:pPr>
      <w:r>
        <w:rPr>
          <w:sz w:val="20"/>
          <w:szCs w:val="20"/>
        </w:rPr>
        <w:t>Debt consisted of the following:</w:t>
      </w:r>
    </w:p>
    <w:p w:rsidR="00000000" w:rsidRDefault="001E618F">
      <w:pPr>
        <w:pStyle w:val="a3"/>
        <w:shd w:val="clear" w:color="auto" w:fill="FFFFFF"/>
        <w:spacing w:before="0" w:beforeAutospacing="0" w:after="0" w:afterAutospacing="0"/>
        <w:divId w:val="1212770458"/>
        <w:rPr>
          <w:sz w:val="20"/>
          <w:szCs w:val="20"/>
        </w:rPr>
      </w:pPr>
      <w:r>
        <w:rPr>
          <w:b/>
          <w:bCs/>
          <w:i/>
          <w:i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063"/>
        <w:gridCol w:w="223"/>
        <w:gridCol w:w="141"/>
        <w:gridCol w:w="879"/>
      </w:tblGrid>
      <w:tr w:rsidR="00000000">
        <w:trPr>
          <w:divId w:val="1212770458"/>
          <w:trHeight w:val="20"/>
        </w:trPr>
        <w:tc>
          <w:tcPr>
            <w:tcW w:w="4250" w:type="pct"/>
            <w:tcMar>
              <w:top w:w="0" w:type="dxa"/>
              <w:left w:w="0" w:type="dxa"/>
              <w:bottom w:w="0" w:type="dxa"/>
              <w:right w:w="0" w:type="dxa"/>
            </w:tcMar>
            <w:vAlign w:val="bottom"/>
            <w:hideMark/>
          </w:tcPr>
          <w:p w:rsidR="00000000" w:rsidRDefault="001E618F">
            <w:pPr>
              <w:pStyle w:val="a3"/>
              <w:spacing w:before="0" w:beforeAutospacing="0" w:after="0" w:afterAutospacing="0"/>
              <w:divId w:val="781461320"/>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085831222"/>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964191413"/>
              <w:rPr>
                <w:sz w:val="20"/>
                <w:szCs w:val="20"/>
              </w:rPr>
            </w:pPr>
            <w:r>
              <w:rPr>
                <w:sz w:val="2"/>
                <w:szCs w:val="2"/>
              </w:rPr>
              <w:t>​</w:t>
            </w:r>
          </w:p>
        </w:tc>
        <w:tc>
          <w:tcPr>
            <w:tcW w:w="528"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767775512"/>
              <w:rPr>
                <w:sz w:val="20"/>
                <w:szCs w:val="20"/>
              </w:rPr>
            </w:pPr>
            <w:r>
              <w:rPr>
                <w:sz w:val="2"/>
                <w:szCs w:val="2"/>
              </w:rPr>
              <w:t>​</w:t>
            </w:r>
          </w:p>
        </w:tc>
      </w:tr>
      <w:tr w:rsidR="00000000">
        <w:trPr>
          <w:divId w:val="1212770458"/>
        </w:trPr>
        <w:tc>
          <w:tcPr>
            <w:tcW w:w="425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3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614"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w:t>
            </w:r>
          </w:p>
        </w:tc>
      </w:tr>
      <w:tr w:rsidR="00000000">
        <w:trPr>
          <w:divId w:val="1212770458"/>
        </w:trPr>
        <w:tc>
          <w:tcPr>
            <w:tcW w:w="4250"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13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614"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r>
      <w:tr w:rsidR="00000000">
        <w:trPr>
          <w:divId w:val="1212770458"/>
        </w:trPr>
        <w:tc>
          <w:tcPr>
            <w:tcW w:w="4250"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9.5</w:t>
            </w:r>
            <w:r>
              <w:rPr>
                <w:sz w:val="20"/>
                <w:szCs w:val="20"/>
              </w:rPr>
              <w:t>%</w:t>
            </w:r>
            <w:r>
              <w:rPr>
                <w:sz w:val="20"/>
                <w:szCs w:val="20"/>
              </w:rPr>
              <w:t xml:space="preserve"> Non-Recourse 2035 Notes</w:t>
            </w:r>
            <w:r>
              <w:rPr>
                <w:sz w:val="20"/>
                <w:szCs w:val="20"/>
              </w:rPr>
              <w:t>:</w:t>
            </w:r>
          </w:p>
        </w:tc>
        <w:tc>
          <w:tcPr>
            <w:tcW w:w="13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5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1212770458"/>
        </w:trPr>
        <w:tc>
          <w:tcPr>
            <w:tcW w:w="425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Principal amoun</w:t>
            </w:r>
            <w:r>
              <w:rPr>
                <w:sz w:val="20"/>
                <w:szCs w:val="20"/>
              </w:rPr>
              <w:t>t</w:t>
            </w:r>
          </w:p>
        </w:tc>
        <w:tc>
          <w:tcPr>
            <w:tcW w:w="13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28"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418,251</w:t>
            </w:r>
          </w:p>
        </w:tc>
      </w:tr>
      <w:tr w:rsidR="00000000">
        <w:trPr>
          <w:divId w:val="1212770458"/>
        </w:trPr>
        <w:tc>
          <w:tcPr>
            <w:tcW w:w="4250"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Less:</w:t>
            </w:r>
            <w:r>
              <w:rPr>
                <w:sz w:val="20"/>
                <w:szCs w:val="20"/>
              </w:rPr>
              <w:t xml:space="preserve"> </w:t>
            </w:r>
            <w:r>
              <w:rPr>
                <w:sz w:val="20"/>
                <w:szCs w:val="20"/>
              </w:rPr>
              <w:t>5% retained by the Company</w:t>
            </w:r>
          </w:p>
        </w:tc>
        <w:tc>
          <w:tcPr>
            <w:tcW w:w="13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5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(20,913)</w:t>
            </w:r>
          </w:p>
        </w:tc>
      </w:tr>
      <w:tr w:rsidR="00000000">
        <w:trPr>
          <w:divId w:val="1212770458"/>
        </w:trPr>
        <w:tc>
          <w:tcPr>
            <w:tcW w:w="425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Unamortized debt issuance costs -</w:t>
            </w:r>
            <w:r>
              <w:rPr>
                <w:sz w:val="20"/>
                <w:szCs w:val="20"/>
              </w:rPr>
              <w:t xml:space="preserve"> </w:t>
            </w:r>
            <w:r>
              <w:rPr>
                <w:sz w:val="20"/>
                <w:szCs w:val="20"/>
              </w:rPr>
              <w:t>9.5% Non-Recourse 2035 Notes</w:t>
            </w:r>
          </w:p>
        </w:tc>
        <w:tc>
          <w:tcPr>
            <w:tcW w:w="13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 </w:t>
            </w:r>
          </w:p>
        </w:tc>
        <w:tc>
          <w:tcPr>
            <w:tcW w:w="528"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(2,949)</w:t>
            </w:r>
          </w:p>
        </w:tc>
      </w:tr>
      <w:tr w:rsidR="00000000">
        <w:trPr>
          <w:divId w:val="1212770458"/>
        </w:trPr>
        <w:tc>
          <w:tcPr>
            <w:tcW w:w="4250"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Unamortized debt issuance costs - Modified</w:t>
            </w:r>
            <w:r>
              <w:rPr>
                <w:sz w:val="20"/>
                <w:szCs w:val="20"/>
              </w:rPr>
              <w:t xml:space="preserve"> </w:t>
            </w:r>
            <w:r>
              <w:rPr>
                <w:sz w:val="20"/>
                <w:szCs w:val="20"/>
              </w:rPr>
              <w:t>9.0% Non-Recourse 2033 Notes</w:t>
            </w:r>
          </w:p>
        </w:tc>
        <w:tc>
          <w:tcPr>
            <w:tcW w:w="13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5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(1,216)</w:t>
            </w:r>
          </w:p>
        </w:tc>
      </w:tr>
      <w:tr w:rsidR="00000000">
        <w:trPr>
          <w:divId w:val="1212770458"/>
        </w:trPr>
        <w:tc>
          <w:tcPr>
            <w:tcW w:w="425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3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528"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393,173</w:t>
            </w:r>
          </w:p>
        </w:tc>
      </w:tr>
      <w:tr w:rsidR="00000000">
        <w:trPr>
          <w:divId w:val="1212770458"/>
        </w:trPr>
        <w:tc>
          <w:tcPr>
            <w:tcW w:w="4250"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3.25</w:t>
            </w:r>
            <w:r>
              <w:rPr>
                <w:sz w:val="20"/>
                <w:szCs w:val="20"/>
              </w:rPr>
              <w:t>%</w:t>
            </w:r>
            <w:r>
              <w:rPr>
                <w:sz w:val="20"/>
                <w:szCs w:val="20"/>
              </w:rPr>
              <w:t xml:space="preserve"> Convertible 2023 Notes</w:t>
            </w:r>
            <w:r>
              <w:rPr>
                <w:sz w:val="20"/>
                <w:szCs w:val="20"/>
              </w:rPr>
              <w:t>:</w:t>
            </w:r>
          </w:p>
        </w:tc>
        <w:tc>
          <w:tcPr>
            <w:tcW w:w="13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5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1212770458"/>
        </w:trPr>
        <w:tc>
          <w:tcPr>
            <w:tcW w:w="425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Principal amoun</w:t>
            </w:r>
            <w:r>
              <w:rPr>
                <w:sz w:val="20"/>
                <w:szCs w:val="20"/>
              </w:rPr>
              <w:t>t</w:t>
            </w:r>
          </w:p>
        </w:tc>
        <w:tc>
          <w:tcPr>
            <w:tcW w:w="13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28"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230,000</w:t>
            </w:r>
          </w:p>
        </w:tc>
      </w:tr>
      <w:tr w:rsidR="00000000">
        <w:trPr>
          <w:divId w:val="1212770458"/>
        </w:trPr>
        <w:tc>
          <w:tcPr>
            <w:tcW w:w="4250"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Unamortized debt issuance cost</w:t>
            </w:r>
            <w:r>
              <w:rPr>
                <w:sz w:val="20"/>
                <w:szCs w:val="20"/>
              </w:rPr>
              <w:t>s</w:t>
            </w:r>
          </w:p>
        </w:tc>
        <w:tc>
          <w:tcPr>
            <w:tcW w:w="13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(1,697)</w:t>
            </w:r>
          </w:p>
        </w:tc>
      </w:tr>
      <w:tr w:rsidR="00000000">
        <w:trPr>
          <w:divId w:val="1212770458"/>
        </w:trPr>
        <w:tc>
          <w:tcPr>
            <w:tcW w:w="425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3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28"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228,303</w:t>
            </w:r>
          </w:p>
        </w:tc>
      </w:tr>
      <w:tr w:rsidR="00000000">
        <w:trPr>
          <w:divId w:val="1212770458"/>
        </w:trPr>
        <w:tc>
          <w:tcPr>
            <w:tcW w:w="4250"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3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1212770458"/>
        </w:trPr>
        <w:tc>
          <w:tcPr>
            <w:tcW w:w="4250" w:type="pct"/>
            <w:noWrap/>
            <w:tcMar>
              <w:top w:w="0" w:type="dxa"/>
              <w:left w:w="0" w:type="dxa"/>
              <w:bottom w:w="0" w:type="dxa"/>
              <w:right w:w="0" w:type="dxa"/>
            </w:tcMar>
            <w:vAlign w:val="bottom"/>
            <w:hideMark/>
          </w:tcPr>
          <w:p w:rsidR="00000000" w:rsidRDefault="001E618F">
            <w:pPr>
              <w:pStyle w:val="a3"/>
              <w:spacing w:before="0" w:beforeAutospacing="0" w:after="0" w:afterAutospacing="0"/>
              <w:ind w:left="240"/>
              <w:rPr>
                <w:sz w:val="20"/>
                <w:szCs w:val="20"/>
              </w:rPr>
            </w:pPr>
            <w:r>
              <w:rPr>
                <w:sz w:val="20"/>
                <w:szCs w:val="20"/>
              </w:rPr>
              <w:t>Total debt</w:t>
            </w:r>
          </w:p>
        </w:tc>
        <w:tc>
          <w:tcPr>
            <w:tcW w:w="13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85"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28" w:type="pct"/>
            <w:tcBorders>
              <w:bottom w:val="double" w:sz="6" w:space="0" w:color="000000"/>
            </w:tcBorders>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621,476</w:t>
            </w:r>
          </w:p>
        </w:tc>
      </w:tr>
    </w:tbl>
    <w:p w:rsidR="00000000" w:rsidRDefault="001E618F">
      <w:pPr>
        <w:pStyle w:val="a3"/>
        <w:shd w:val="clear" w:color="auto" w:fill="FFFFFF"/>
        <w:spacing w:before="0" w:beforeAutospacing="0" w:after="0" w:afterAutospacing="0"/>
        <w:jc w:val="center"/>
        <w:divId w:val="1212770458"/>
        <w:rPr>
          <w:sz w:val="20"/>
          <w:szCs w:val="20"/>
        </w:rPr>
      </w:pPr>
      <w:r>
        <w:rPr>
          <w:b/>
          <w:bCs/>
          <w:i/>
          <w:iCs/>
          <w:sz w:val="20"/>
          <w:szCs w:val="20"/>
        </w:rPr>
        <w:t>​</w:t>
      </w:r>
    </w:p>
    <w:p w:rsidR="00000000" w:rsidRDefault="001E618F">
      <w:pPr>
        <w:pStyle w:val="a3"/>
        <w:spacing w:before="360" w:beforeAutospacing="0" w:after="0" w:afterAutospacing="0"/>
        <w:jc w:val="center"/>
        <w:divId w:val="55248191"/>
        <w:rPr>
          <w:sz w:val="20"/>
          <w:szCs w:val="20"/>
        </w:rPr>
      </w:pPr>
      <w:r>
        <w:rPr>
          <w:sz w:val="20"/>
          <w:szCs w:val="20"/>
        </w:rPr>
        <w:t>12</w:t>
      </w:r>
    </w:p>
    <w:p w:rsidR="00000000" w:rsidRDefault="001E618F">
      <w:pPr>
        <w:pStyle w:val="a3"/>
        <w:spacing w:before="0" w:beforeAutospacing="0" w:after="600" w:afterAutospacing="0"/>
        <w:divId w:val="2089424253"/>
        <w:rPr>
          <w:sz w:val="20"/>
          <w:szCs w:val="20"/>
        </w:rPr>
      </w:pPr>
      <w:hyperlink w:anchor="TOC" w:history="1">
        <w:r>
          <w:rPr>
            <w:rStyle w:val="a4"/>
            <w:sz w:val="20"/>
            <w:szCs w:val="20"/>
          </w:rPr>
          <w:t>Table of Contents</w:t>
        </w:r>
      </w:hyperlink>
    </w:p>
    <w:p w:rsidR="00000000" w:rsidRDefault="001E618F">
      <w:pPr>
        <w:pStyle w:val="a3"/>
        <w:shd w:val="clear" w:color="auto" w:fill="FFFFFF"/>
        <w:spacing w:before="0" w:beforeAutospacing="0" w:after="0" w:afterAutospacing="0"/>
        <w:divId w:val="1921212470"/>
        <w:rPr>
          <w:sz w:val="20"/>
          <w:szCs w:val="20"/>
        </w:rPr>
      </w:pPr>
      <w:r>
        <w:rPr>
          <w:b/>
          <w:bCs/>
          <w:i/>
          <w:iCs/>
          <w:sz w:val="20"/>
          <w:szCs w:val="20"/>
        </w:rPr>
        <w:t>9.5% Non-Recourse Notes Due 2035</w:t>
      </w:r>
    </w:p>
    <w:p w:rsidR="00000000" w:rsidRDefault="001E618F">
      <w:pPr>
        <w:pStyle w:val="a3"/>
        <w:shd w:val="clear" w:color="auto" w:fill="FFFFFF"/>
        <w:spacing w:before="0" w:beforeAutospacing="0" w:after="0" w:afterAutospacing="0"/>
        <w:divId w:val="1921212470"/>
        <w:rPr>
          <w:sz w:val="20"/>
          <w:szCs w:val="20"/>
        </w:rPr>
      </w:pPr>
      <w:r>
        <w:rPr>
          <w:sz w:val="10"/>
          <w:szCs w:val="10"/>
        </w:rPr>
        <w:t>​</w:t>
      </w:r>
    </w:p>
    <w:p w:rsidR="00000000" w:rsidRDefault="001E618F">
      <w:pPr>
        <w:pStyle w:val="a3"/>
        <w:shd w:val="clear" w:color="auto" w:fill="FFFFFF"/>
        <w:spacing w:before="0" w:beforeAutospacing="0" w:after="0" w:afterAutospacing="0"/>
        <w:ind w:firstLine="720"/>
        <w:divId w:val="1921212470"/>
        <w:rPr>
          <w:sz w:val="20"/>
          <w:szCs w:val="20"/>
        </w:rPr>
      </w:pPr>
      <w:r>
        <w:rPr>
          <w:sz w:val="20"/>
          <w:szCs w:val="20"/>
        </w:rPr>
        <w:t>On February 21, 2020, Theravance Biopharma R&amp;D, Inc. (“Theravance R&amp;D”), a wholly-owned subsidiary of the Company, and Triple Royalty Sub II LLC (the “Issuer II” or “Triple II”), a wholly-owned subsidiary of Theravance Biopharma R&amp;D, entered into certain n</w:t>
      </w:r>
      <w:r>
        <w:rPr>
          <w:sz w:val="20"/>
          <w:szCs w:val="20"/>
        </w:rPr>
        <w:t>ote purchase agreements (“Note Purchase Agreements”) with certain note purchasers (“Note Purchasers”), relating to the private placement by Issuer II of $400.0 million 9.5% Fixed Rate Term Notes due on or before 2035 (the “Non-Recourse 2035 Notes”). Ninety</w:t>
      </w:r>
      <w:r>
        <w:rPr>
          <w:sz w:val="20"/>
          <w:szCs w:val="20"/>
        </w:rPr>
        <w:t>-five percent of the Non-Recourse 2035 Notes were sold to the Note Purchasers pursuant to the Note Purchase Agreements. The remaining 5% of the Non-Recourse 2035 Notes (the “Retained Notes”) were retained by the Company to comply with Regulation RR — Credi</w:t>
      </w:r>
      <w:r>
        <w:rPr>
          <w:sz w:val="20"/>
          <w:szCs w:val="20"/>
        </w:rPr>
        <w:t>t Risk Retention (17 C.F.R. Part 246). The Retained Notes are eliminated in the Company’s condensed consolidated financial statements.</w:t>
      </w:r>
    </w:p>
    <w:p w:rsidR="00000000" w:rsidRDefault="001E618F">
      <w:pPr>
        <w:pStyle w:val="a3"/>
        <w:shd w:val="clear" w:color="auto" w:fill="FFFFFF"/>
        <w:spacing w:before="0" w:beforeAutospacing="0" w:after="0" w:afterAutospacing="0"/>
        <w:ind w:firstLine="720"/>
        <w:divId w:val="1921212470"/>
        <w:rPr>
          <w:sz w:val="20"/>
          <w:szCs w:val="20"/>
        </w:rPr>
      </w:pPr>
      <w:r>
        <w:rPr>
          <w:sz w:val="20"/>
          <w:szCs w:val="20"/>
        </w:rPr>
        <w:t>​</w:t>
      </w:r>
    </w:p>
    <w:p w:rsidR="00000000" w:rsidRDefault="001E618F">
      <w:pPr>
        <w:pStyle w:val="a3"/>
        <w:shd w:val="clear" w:color="auto" w:fill="FFFFFF"/>
        <w:spacing w:before="0" w:beforeAutospacing="0" w:after="0" w:afterAutospacing="0"/>
        <w:ind w:firstLine="720"/>
        <w:divId w:val="1921212470"/>
        <w:rPr>
          <w:sz w:val="20"/>
          <w:szCs w:val="20"/>
        </w:rPr>
      </w:pPr>
      <w:r>
        <w:rPr>
          <w:sz w:val="20"/>
          <w:szCs w:val="20"/>
        </w:rPr>
        <w:t>The Non-Recourse 2035 Notes are secured by all of Issuer II’s right, title and interest as a holder of certain membersh</w:t>
      </w:r>
      <w:r>
        <w:rPr>
          <w:sz w:val="20"/>
          <w:szCs w:val="20"/>
        </w:rPr>
        <w:t xml:space="preserve">ip interests (the “Issuer II Class C Units”) in Theravance Respiratory Company, LLC (“TRC”). TRC holds the right to receive upward-tiering royalties ranging from 6.5% to 10% on worldwide net sales of TRELEGY, and the Company holds an 85% economic interest </w:t>
      </w:r>
      <w:r>
        <w:rPr>
          <w:sz w:val="20"/>
          <w:szCs w:val="20"/>
        </w:rPr>
        <w:t xml:space="preserve">in TRC. The Issuer II Class C Units represent 75% of the Company's 85% economic interest, which equates to 63.75% of the economic interests in TRC. </w:t>
      </w:r>
    </w:p>
    <w:p w:rsidR="00000000" w:rsidRDefault="001E618F">
      <w:pPr>
        <w:pStyle w:val="a3"/>
        <w:shd w:val="clear" w:color="auto" w:fill="FFFFFF"/>
        <w:spacing w:before="0" w:beforeAutospacing="0" w:after="0" w:afterAutospacing="0"/>
        <w:ind w:firstLine="720"/>
        <w:divId w:val="1921212470"/>
        <w:rPr>
          <w:sz w:val="20"/>
          <w:szCs w:val="20"/>
        </w:rPr>
      </w:pPr>
      <w:r>
        <w:rPr>
          <w:sz w:val="20"/>
          <w:szCs w:val="20"/>
        </w:rPr>
        <w:t>​</w:t>
      </w:r>
    </w:p>
    <w:p w:rsidR="00000000" w:rsidRDefault="001E618F">
      <w:pPr>
        <w:pStyle w:val="a3"/>
        <w:spacing w:before="0" w:beforeAutospacing="0" w:after="0" w:afterAutospacing="0"/>
        <w:ind w:firstLine="720"/>
        <w:divId w:val="1921212470"/>
        <w:rPr>
          <w:sz w:val="20"/>
          <w:szCs w:val="20"/>
        </w:rPr>
      </w:pPr>
      <w:r>
        <w:rPr>
          <w:sz w:val="20"/>
          <w:szCs w:val="20"/>
        </w:rPr>
        <w:t>The source of principal and interest payments for the Non-Recourse 2035 Notes are the future royalty paym</w:t>
      </w:r>
      <w:r>
        <w:rPr>
          <w:sz w:val="20"/>
          <w:szCs w:val="20"/>
        </w:rPr>
        <w:t>ents generated from the TRELEGY program, and as a result, the holders of the Non-Recourse 2035 Notes have no recourse against the Company even if the TRELEGY payments are insufficient to cover the principal and interest payments for the Non-Recourse 2035 N</w:t>
      </w:r>
      <w:r>
        <w:rPr>
          <w:sz w:val="20"/>
          <w:szCs w:val="20"/>
        </w:rPr>
        <w:t>otes. Prior to and including the December 5, 2024 payment date, in the event that the distributions received by the Issuer II from TRC in a quarter are less than the interest accrued for that quarter, the principal amount of the Non-Recourse 2035 Notes wil</w:t>
      </w:r>
      <w:r>
        <w:rPr>
          <w:sz w:val="20"/>
          <w:szCs w:val="20"/>
        </w:rPr>
        <w:t>l increase by the interest shortfall amount for that quarter. While the holders of the Non-Recourse 2035 Notes have no recourse against the Company, the terms of the Non-Recourse 2035 Notes also provide that the Company, at its option, may satisfy the quar</w:t>
      </w:r>
      <w:r>
        <w:rPr>
          <w:sz w:val="20"/>
          <w:szCs w:val="20"/>
        </w:rPr>
        <w:t xml:space="preserve">terly interest payment obligations by making a capital contribution to the Issuer II. </w:t>
      </w:r>
    </w:p>
    <w:p w:rsidR="00000000" w:rsidRDefault="001E618F">
      <w:pPr>
        <w:pStyle w:val="a3"/>
        <w:spacing w:before="0" w:beforeAutospacing="0" w:after="0" w:afterAutospacing="0"/>
        <w:ind w:firstLine="720"/>
        <w:divId w:val="1921212470"/>
        <w:rPr>
          <w:sz w:val="20"/>
          <w:szCs w:val="20"/>
        </w:rPr>
      </w:pPr>
      <w:r>
        <w:rPr>
          <w:sz w:val="20"/>
          <w:szCs w:val="20"/>
        </w:rPr>
        <w:t>​</w:t>
      </w:r>
    </w:p>
    <w:p w:rsidR="00000000" w:rsidRDefault="001E618F">
      <w:pPr>
        <w:pStyle w:val="a3"/>
        <w:spacing w:before="0" w:beforeAutospacing="0" w:after="0" w:afterAutospacing="0"/>
        <w:ind w:firstLine="720"/>
        <w:divId w:val="1921212470"/>
        <w:rPr>
          <w:sz w:val="20"/>
          <w:szCs w:val="20"/>
        </w:rPr>
      </w:pPr>
      <w:r>
        <w:rPr>
          <w:sz w:val="20"/>
          <w:szCs w:val="20"/>
        </w:rPr>
        <w:t xml:space="preserve">For the three months ended March 2022, $4.7 </w:t>
      </w:r>
      <w:r>
        <w:rPr>
          <w:sz w:val="20"/>
          <w:szCs w:val="20"/>
        </w:rPr>
        <w:t>million of net interest shortfall was added to the Non-Recourse 2035 Notes. As of March 31, 2022, the Non-Recourse 2035 Notes’ issuance-to-date net interest shortfall was $28.0 million and the issuance-to-date net principal paydown was $10.7 million.</w:t>
      </w:r>
    </w:p>
    <w:p w:rsidR="00000000" w:rsidRDefault="001E618F">
      <w:pPr>
        <w:pStyle w:val="a3"/>
        <w:spacing w:before="0" w:beforeAutospacing="0" w:after="0" w:afterAutospacing="0"/>
        <w:ind w:firstLine="720"/>
        <w:divId w:val="1921212470"/>
        <w:rPr>
          <w:sz w:val="20"/>
          <w:szCs w:val="20"/>
        </w:rPr>
      </w:pPr>
      <w:r>
        <w:rPr>
          <w:i/>
          <w:iCs/>
          <w:color w:val="FF0000"/>
          <w:sz w:val="20"/>
          <w:szCs w:val="20"/>
        </w:rPr>
        <w:t>​</w:t>
      </w:r>
    </w:p>
    <w:p w:rsidR="00000000" w:rsidRDefault="001E618F">
      <w:pPr>
        <w:pStyle w:val="a3"/>
        <w:spacing w:before="0" w:beforeAutospacing="0" w:after="0" w:afterAutospacing="0"/>
        <w:ind w:firstLine="720"/>
        <w:divId w:val="1921212470"/>
        <w:rPr>
          <w:sz w:val="20"/>
          <w:szCs w:val="20"/>
        </w:rPr>
      </w:pPr>
      <w:r>
        <w:rPr>
          <w:sz w:val="20"/>
          <w:szCs w:val="20"/>
        </w:rPr>
        <w:t>The</w:t>
      </w:r>
      <w:r>
        <w:rPr>
          <w:sz w:val="20"/>
          <w:szCs w:val="20"/>
        </w:rPr>
        <w:t xml:space="preserve"> Non-Recourse 2035 Notes are not convertible into Company equity and have no security interest in nor rights under any agreement with GSK. The Non-Recourse 2035 Notes may be redeemed by Issuer II on and after February 28, 2022, in whole or in part, at spec</w:t>
      </w:r>
      <w:r>
        <w:rPr>
          <w:sz w:val="20"/>
          <w:szCs w:val="20"/>
        </w:rPr>
        <w:t>ified redemption premiums. The Non-Recourse 2035 Notes bear an annual interest rate of 9.5%, with interest and principal paid quarterly beginning June 5, 2020. Since the principal and interest payments on the Non-Recourse 2035 Notes are ultimately based on</w:t>
      </w:r>
      <w:r>
        <w:rPr>
          <w:sz w:val="20"/>
          <w:szCs w:val="20"/>
        </w:rPr>
        <w:t xml:space="preserve"> royalties from </w:t>
      </w:r>
      <w:r>
        <w:rPr>
          <w:caps/>
          <w:sz w:val="20"/>
          <w:szCs w:val="20"/>
        </w:rPr>
        <w:t>TRELEGY</w:t>
      </w:r>
      <w:r>
        <w:rPr>
          <w:sz w:val="20"/>
          <w:szCs w:val="20"/>
        </w:rPr>
        <w:t xml:space="preserve"> product sales, which will vary from quarter to quarter, the Non-Recourse 2035 Notes may be repaid prior to the final maturity date in 2035. Following the redemption or repayment of the Non-Recourse 2035 Notes, all </w:t>
      </w:r>
      <w:r>
        <w:rPr>
          <w:caps/>
          <w:sz w:val="20"/>
          <w:szCs w:val="20"/>
        </w:rPr>
        <w:t>TRELEGY</w:t>
      </w:r>
      <w:r>
        <w:rPr>
          <w:sz w:val="20"/>
          <w:szCs w:val="20"/>
        </w:rPr>
        <w:t>-related pl</w:t>
      </w:r>
      <w:r>
        <w:rPr>
          <w:sz w:val="20"/>
          <w:szCs w:val="20"/>
        </w:rPr>
        <w:t>edged cash flows will revert to the Company.</w:t>
      </w:r>
    </w:p>
    <w:p w:rsidR="00000000" w:rsidRDefault="001E618F">
      <w:pPr>
        <w:pStyle w:val="a3"/>
        <w:spacing w:before="0" w:beforeAutospacing="0" w:after="0" w:afterAutospacing="0"/>
        <w:divId w:val="1921212470"/>
        <w:rPr>
          <w:sz w:val="20"/>
          <w:szCs w:val="20"/>
        </w:rPr>
      </w:pPr>
      <w:r>
        <w:rPr>
          <w:color w:val="FF0000"/>
          <w:sz w:val="20"/>
          <w:szCs w:val="20"/>
        </w:rPr>
        <w:t>​</w:t>
      </w:r>
    </w:p>
    <w:p w:rsidR="00000000" w:rsidRDefault="001E618F">
      <w:pPr>
        <w:pStyle w:val="a3"/>
        <w:spacing w:before="0" w:beforeAutospacing="0" w:after="0" w:afterAutospacing="0"/>
        <w:ind w:firstLine="720"/>
        <w:divId w:val="1921212470"/>
        <w:rPr>
          <w:sz w:val="20"/>
          <w:szCs w:val="20"/>
        </w:rPr>
      </w:pPr>
      <w:r>
        <w:rPr>
          <w:sz w:val="20"/>
          <w:szCs w:val="20"/>
        </w:rPr>
        <w:t>As of March 31, 2022, the net principal and estimated fair value of the Non-Recourse 2035 Notes were $397.3 million and $377.5 million, respectively. The inputs to determine fair value of the Non-Recourse 2035</w:t>
      </w:r>
      <w:r>
        <w:rPr>
          <w:sz w:val="20"/>
          <w:szCs w:val="20"/>
        </w:rPr>
        <w:t xml:space="preserve"> Notes are categorized as Level 2 inputs. Level 2 inputs include quoted prices for similar instruments in active markets; quoted prices for identical or similar instruments in markets that are not active; and model-derived valuations whose inputs are obser</w:t>
      </w:r>
      <w:r>
        <w:rPr>
          <w:sz w:val="20"/>
          <w:szCs w:val="20"/>
        </w:rPr>
        <w:t>vable or whose significant value drivers are observable.</w:t>
      </w:r>
    </w:p>
    <w:p w:rsidR="00000000" w:rsidRDefault="001E618F">
      <w:pPr>
        <w:pStyle w:val="a3"/>
        <w:spacing w:before="0" w:beforeAutospacing="0" w:after="0" w:afterAutospacing="0"/>
        <w:divId w:val="1921212470"/>
        <w:rPr>
          <w:sz w:val="20"/>
          <w:szCs w:val="20"/>
        </w:rPr>
      </w:pPr>
      <w:r>
        <w:rPr>
          <w:sz w:val="20"/>
          <w:szCs w:val="20"/>
        </w:rPr>
        <w:t>​</w:t>
      </w:r>
    </w:p>
    <w:p w:rsidR="00000000" w:rsidRDefault="001E618F">
      <w:pPr>
        <w:pStyle w:val="a3"/>
        <w:spacing w:before="0" w:beforeAutospacing="0" w:after="120" w:afterAutospacing="0"/>
        <w:divId w:val="1921212470"/>
        <w:rPr>
          <w:sz w:val="20"/>
          <w:szCs w:val="20"/>
        </w:rPr>
      </w:pPr>
      <w:r>
        <w:rPr>
          <w:b/>
          <w:bCs/>
          <w:i/>
          <w:iCs/>
          <w:sz w:val="20"/>
          <w:szCs w:val="20"/>
        </w:rPr>
        <w:t>3.25% Convertible Senior Notes Due 2023</w:t>
      </w:r>
    </w:p>
    <w:p w:rsidR="00000000" w:rsidRDefault="001E618F">
      <w:pPr>
        <w:pStyle w:val="a3"/>
        <w:spacing w:before="0" w:beforeAutospacing="0" w:after="0" w:afterAutospacing="0"/>
        <w:ind w:firstLine="720"/>
        <w:divId w:val="1921212470"/>
        <w:rPr>
          <w:sz w:val="20"/>
          <w:szCs w:val="20"/>
        </w:rPr>
      </w:pPr>
      <w:r>
        <w:rPr>
          <w:sz w:val="20"/>
          <w:szCs w:val="20"/>
        </w:rPr>
        <w:t xml:space="preserve">The Company had $230.0 million of 3.25% convertible senior notes due in 2023 (“Convertible Senior 2023 Notes”) outstanding as of March 31, 2022. For each of </w:t>
      </w:r>
      <w:r>
        <w:rPr>
          <w:sz w:val="20"/>
          <w:szCs w:val="20"/>
        </w:rPr>
        <w:t xml:space="preserve">the three months ended March 31, 2022 and 2021, the Company recognized $1.9 million in contractual interest expense and $0.3 million in amortization of debt issuance costs related to the Convertible Senior 2023 Notes. As of March 31, 2022, the Convertible </w:t>
      </w:r>
      <w:r>
        <w:rPr>
          <w:sz w:val="20"/>
          <w:szCs w:val="20"/>
        </w:rPr>
        <w:t>Senior 2023 Notes had an estimated fair value of $223.7 million. The estimated fair value was primarily based upon the underlying price of Theravance Biopharma’s publicly traded shares and other observable inputs as of March 31, 2022. The inputs to determi</w:t>
      </w:r>
      <w:r>
        <w:rPr>
          <w:sz w:val="20"/>
          <w:szCs w:val="20"/>
        </w:rPr>
        <w:t xml:space="preserve">ne fair value of the Convertible Senior 2023 Notes are categorized as Level 2 inputs. Level 2 inputs include quoted prices for similar instruments in active markets; quoted </w:t>
      </w:r>
    </w:p>
    <w:p w:rsidR="00000000" w:rsidRDefault="001E618F">
      <w:pPr>
        <w:pStyle w:val="a3"/>
        <w:spacing w:before="360" w:beforeAutospacing="0" w:after="0" w:afterAutospacing="0"/>
        <w:jc w:val="center"/>
        <w:divId w:val="544097886"/>
        <w:rPr>
          <w:sz w:val="20"/>
          <w:szCs w:val="20"/>
        </w:rPr>
      </w:pPr>
      <w:r>
        <w:rPr>
          <w:sz w:val="20"/>
          <w:szCs w:val="20"/>
        </w:rPr>
        <w:t>13</w:t>
      </w:r>
    </w:p>
    <w:p w:rsidR="00000000" w:rsidRDefault="001E618F">
      <w:pPr>
        <w:pStyle w:val="a3"/>
        <w:spacing w:before="0" w:beforeAutospacing="0" w:after="600" w:afterAutospacing="0"/>
        <w:divId w:val="935988401"/>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divId w:val="811365166"/>
        <w:rPr>
          <w:sz w:val="20"/>
          <w:szCs w:val="20"/>
        </w:rPr>
      </w:pPr>
      <w:r>
        <w:rPr>
          <w:sz w:val="20"/>
          <w:szCs w:val="20"/>
        </w:rPr>
        <w:t>prices for identical or similar ins</w:t>
      </w:r>
      <w:r>
        <w:rPr>
          <w:sz w:val="20"/>
          <w:szCs w:val="20"/>
        </w:rPr>
        <w:t>truments in markets that are not active; and model-derived valuations whose inputs are observable or whose significant value drivers are observable</w:t>
      </w:r>
      <w:r>
        <w:rPr>
          <w:sz w:val="20"/>
          <w:szCs w:val="20"/>
        </w:rPr>
        <w:t>.</w:t>
      </w:r>
    </w:p>
    <w:p w:rsidR="00000000" w:rsidRDefault="001E618F">
      <w:pPr>
        <w:pStyle w:val="a3"/>
        <w:spacing w:before="0" w:beforeAutospacing="0" w:after="0" w:afterAutospacing="0"/>
        <w:divId w:val="811365166"/>
        <w:rPr>
          <w:sz w:val="20"/>
          <w:szCs w:val="20"/>
        </w:rPr>
      </w:pPr>
      <w:r>
        <w:rPr>
          <w:sz w:val="20"/>
          <w:szCs w:val="20"/>
        </w:rPr>
        <w:t>​</w:t>
      </w:r>
    </w:p>
    <w:p w:rsidR="00000000" w:rsidRDefault="001E618F">
      <w:pPr>
        <w:pStyle w:val="a3"/>
        <w:spacing w:before="0" w:beforeAutospacing="0" w:after="0" w:afterAutospacing="0"/>
        <w:divId w:val="811365166"/>
        <w:rPr>
          <w:sz w:val="20"/>
          <w:szCs w:val="20"/>
        </w:rPr>
      </w:pPr>
      <w:r>
        <w:rPr>
          <w:b/>
          <w:bCs/>
          <w:sz w:val="20"/>
          <w:szCs w:val="20"/>
        </w:rPr>
        <w:t>7. Theravance Respiratory Company, LLC</w:t>
      </w:r>
    </w:p>
    <w:p w:rsidR="00000000" w:rsidRDefault="001E618F">
      <w:pPr>
        <w:pStyle w:val="a3"/>
        <w:spacing w:before="0" w:beforeAutospacing="0" w:after="0" w:afterAutospacing="0"/>
        <w:divId w:val="811365166"/>
        <w:rPr>
          <w:sz w:val="20"/>
          <w:szCs w:val="20"/>
        </w:rPr>
      </w:pPr>
      <w:r>
        <w:rPr>
          <w:sz w:val="10"/>
          <w:szCs w:val="10"/>
        </w:rPr>
        <w:t>​</w:t>
      </w:r>
    </w:p>
    <w:p w:rsidR="00000000" w:rsidRDefault="001E618F">
      <w:pPr>
        <w:pStyle w:val="a3"/>
        <w:spacing w:before="0" w:beforeAutospacing="0" w:after="0" w:afterAutospacing="0"/>
        <w:ind w:firstLine="720"/>
        <w:divId w:val="811365166"/>
        <w:rPr>
          <w:sz w:val="20"/>
          <w:szCs w:val="20"/>
        </w:rPr>
      </w:pPr>
      <w:r>
        <w:rPr>
          <w:sz w:val="20"/>
          <w:szCs w:val="20"/>
        </w:rPr>
        <w:t>Through the Company’s 85% equity interest in TRC, the Company is</w:t>
      </w:r>
      <w:r>
        <w:rPr>
          <w:sz w:val="20"/>
          <w:szCs w:val="20"/>
        </w:rPr>
        <w:t xml:space="preserve"> entitled to receive an 85% economic interest in any future payments made by GSK under the strategic alliance agreement and under the portion of the collaboration agreement assigned to TRC (net of TRC expenses paid and the amount of cash, if any, expected </w:t>
      </w:r>
      <w:r>
        <w:rPr>
          <w:sz w:val="20"/>
          <w:szCs w:val="20"/>
        </w:rPr>
        <w:t xml:space="preserve">to be used by TRC pursuant to the TRC LLC Agreement over the next four fiscal quarters). The primary drug program assigned to TRC is </w:t>
      </w:r>
      <w:r>
        <w:rPr>
          <w:caps/>
          <w:sz w:val="20"/>
          <w:szCs w:val="20"/>
        </w:rPr>
        <w:t>Trelegy</w:t>
      </w:r>
      <w:r>
        <w:rPr>
          <w:sz w:val="20"/>
          <w:szCs w:val="20"/>
        </w:rPr>
        <w:t xml:space="preserve">. </w:t>
      </w:r>
    </w:p>
    <w:p w:rsidR="00000000" w:rsidRDefault="001E618F">
      <w:pPr>
        <w:pStyle w:val="a3"/>
        <w:spacing w:before="0" w:beforeAutospacing="0" w:after="0" w:afterAutospacing="0"/>
        <w:ind w:firstLine="720"/>
        <w:divId w:val="811365166"/>
        <w:rPr>
          <w:sz w:val="20"/>
          <w:szCs w:val="20"/>
        </w:rPr>
      </w:pPr>
      <w:r>
        <w:rPr>
          <w:sz w:val="20"/>
          <w:szCs w:val="20"/>
        </w:rPr>
        <w:t>​</w:t>
      </w:r>
    </w:p>
    <w:p w:rsidR="00000000" w:rsidRDefault="001E618F">
      <w:pPr>
        <w:pStyle w:val="a3"/>
        <w:spacing w:before="0" w:beforeAutospacing="0" w:after="0" w:afterAutospacing="0"/>
        <w:ind w:firstLine="720"/>
        <w:divId w:val="811365166"/>
        <w:rPr>
          <w:sz w:val="20"/>
          <w:szCs w:val="20"/>
        </w:rPr>
      </w:pPr>
      <w:r>
        <w:rPr>
          <w:sz w:val="20"/>
          <w:szCs w:val="20"/>
        </w:rPr>
        <w:t>In May 2014, the Company entered into the TRC </w:t>
      </w:r>
      <w:r>
        <w:rPr>
          <w:sz w:val="20"/>
          <w:szCs w:val="20"/>
        </w:rPr>
        <w:t>LLC Agreement with Innoviva, Inc. (“Innoviva”) that governs the operation of TRC. Under the TRC LLC Agreement, Innoviva is the manager of TRC, and the business and affairs of TRC are managed exclusively by the manager, including (i) day to day management o</w:t>
      </w:r>
      <w:r>
        <w:rPr>
          <w:sz w:val="20"/>
          <w:szCs w:val="20"/>
        </w:rPr>
        <w:t>f the drug programs in accordance with the existing GSK agreements; (ii) preparing an annual operating plan for TRC; and (iii) taking all actions necessary to ensure that the formation, structure and operation of TRC complies with applicable law and partne</w:t>
      </w:r>
      <w:r>
        <w:rPr>
          <w:sz w:val="20"/>
          <w:szCs w:val="20"/>
        </w:rPr>
        <w:t>r agreements. The Company is responsible for its proportionate share of TRC’s administrative expenses incurred, and communicated to the Company, by Innoviva.</w:t>
      </w:r>
    </w:p>
    <w:p w:rsidR="00000000" w:rsidRDefault="001E618F">
      <w:pPr>
        <w:pStyle w:val="a3"/>
        <w:spacing w:before="0" w:beforeAutospacing="0" w:after="0" w:afterAutospacing="0"/>
        <w:divId w:val="811365166"/>
        <w:rPr>
          <w:sz w:val="20"/>
          <w:szCs w:val="20"/>
        </w:rPr>
      </w:pPr>
      <w:r>
        <w:rPr>
          <w:sz w:val="20"/>
          <w:szCs w:val="20"/>
        </w:rPr>
        <w:t>​</w:t>
      </w:r>
    </w:p>
    <w:p w:rsidR="00000000" w:rsidRDefault="001E618F">
      <w:pPr>
        <w:pStyle w:val="a3"/>
        <w:spacing w:before="0" w:beforeAutospacing="0" w:after="0" w:afterAutospacing="0"/>
        <w:ind w:firstLine="720"/>
        <w:divId w:val="811365166"/>
        <w:rPr>
          <w:sz w:val="20"/>
          <w:szCs w:val="20"/>
        </w:rPr>
      </w:pPr>
      <w:r>
        <w:rPr>
          <w:sz w:val="20"/>
          <w:szCs w:val="20"/>
        </w:rPr>
        <w:t>The Company analyzed its ownership, contractual and other interests in TRC to determine if it is</w:t>
      </w:r>
      <w:r>
        <w:rPr>
          <w:sz w:val="20"/>
          <w:szCs w:val="20"/>
        </w:rPr>
        <w:t xml:space="preserve"> a variable-interest entity (“VIE”), whether the Company has a variable interest in TRC and the nature and extent of that interest. The Company determined that TRC is a VIE. The party with the controlling financial interest, the primary beneficiary, is req</w:t>
      </w:r>
      <w:r>
        <w:rPr>
          <w:sz w:val="20"/>
          <w:szCs w:val="20"/>
        </w:rPr>
        <w:t>uired to consolidate the entity determined to be a VIE. Therefore, the Company also assessed whether it is the primary beneficiary of TRC based on the power to direct TRC’s activities that most significantly impact TRC’s economic performance and its obliga</w:t>
      </w:r>
      <w:r>
        <w:rPr>
          <w:sz w:val="20"/>
          <w:szCs w:val="20"/>
        </w:rPr>
        <w:t xml:space="preserve">tion to absorb TRC’s losses or the right to receive benefits from TRC that could potentially be significant to TRC. Based on the Company’s assessment, the Company determined that it is not the primary beneficiary of TRC, and, as a result, the Company does </w:t>
      </w:r>
      <w:r>
        <w:rPr>
          <w:sz w:val="20"/>
          <w:szCs w:val="20"/>
        </w:rPr>
        <w:t>not consolidate TRC in its condensed consolidated financial statements. The Company’s maximum exposure to loss, as a result of its involvement with TRC, are the amounts recorded in the condensed consolidated balance sheets within “Amounts due from TRC, LLC</w:t>
      </w:r>
      <w:r>
        <w:rPr>
          <w:sz w:val="20"/>
          <w:szCs w:val="20"/>
        </w:rPr>
        <w:t>” and “Equity in net assets of TRC, LLC”, as noted below.</w:t>
      </w:r>
      <w:r>
        <w:rPr>
          <w:color w:val="FF0000"/>
          <w:sz w:val="20"/>
          <w:szCs w:val="20"/>
        </w:rPr>
        <w:t xml:space="preserve"> </w:t>
      </w:r>
      <w:r>
        <w:rPr>
          <w:sz w:val="20"/>
          <w:szCs w:val="20"/>
        </w:rPr>
        <w:t>TRC is recognized in the Company’s condensed consolidated financial statements under the equity method of accounting.</w:t>
      </w:r>
    </w:p>
    <w:p w:rsidR="00000000" w:rsidRDefault="001E618F">
      <w:pPr>
        <w:pStyle w:val="a3"/>
        <w:spacing w:before="0" w:beforeAutospacing="0" w:after="0" w:afterAutospacing="0"/>
        <w:divId w:val="811365166"/>
        <w:rPr>
          <w:sz w:val="20"/>
          <w:szCs w:val="20"/>
        </w:rPr>
      </w:pPr>
      <w:r>
        <w:rPr>
          <w:sz w:val="20"/>
          <w:szCs w:val="20"/>
        </w:rPr>
        <w:t>​</w:t>
      </w:r>
    </w:p>
    <w:p w:rsidR="00000000" w:rsidRDefault="001E618F">
      <w:pPr>
        <w:pStyle w:val="a3"/>
        <w:spacing w:before="0" w:beforeAutospacing="0" w:after="0" w:afterAutospacing="0"/>
        <w:ind w:firstLine="720"/>
        <w:divId w:val="811365166"/>
        <w:rPr>
          <w:sz w:val="20"/>
          <w:szCs w:val="20"/>
        </w:rPr>
      </w:pPr>
      <w:r>
        <w:rPr>
          <w:sz w:val="20"/>
          <w:szCs w:val="20"/>
        </w:rPr>
        <w:t xml:space="preserve">For the three months ended March 31, 2022, the Company recognized net royalty </w:t>
      </w:r>
      <w:r>
        <w:rPr>
          <w:sz w:val="20"/>
          <w:szCs w:val="20"/>
        </w:rPr>
        <w:t xml:space="preserve">income of $25.1 million in the condensed consolidated statements of operations within “Income from investment in TRC, LLC”. This amount was recorded net of the Company’s share of TRC’s expenses of $0.2 million for the three months ended March 31, 2022. </w:t>
      </w:r>
    </w:p>
    <w:p w:rsidR="00000000" w:rsidRDefault="001E618F">
      <w:pPr>
        <w:pStyle w:val="a3"/>
        <w:spacing w:before="0" w:beforeAutospacing="0" w:after="0" w:afterAutospacing="0"/>
        <w:ind w:firstLine="720"/>
        <w:divId w:val="811365166"/>
        <w:rPr>
          <w:sz w:val="20"/>
          <w:szCs w:val="20"/>
        </w:rPr>
      </w:pPr>
      <w:r>
        <w:rPr>
          <w:sz w:val="20"/>
          <w:szCs w:val="20"/>
        </w:rPr>
        <w:t>​</w:t>
      </w:r>
    </w:p>
    <w:p w:rsidR="00000000" w:rsidRDefault="001E618F">
      <w:pPr>
        <w:pStyle w:val="a3"/>
        <w:spacing w:before="0" w:beforeAutospacing="0" w:after="0" w:afterAutospacing="0"/>
        <w:ind w:firstLine="720"/>
        <w:divId w:val="811365166"/>
        <w:rPr>
          <w:sz w:val="20"/>
          <w:szCs w:val="20"/>
        </w:rPr>
      </w:pPr>
      <w:r>
        <w:rPr>
          <w:sz w:val="20"/>
          <w:szCs w:val="20"/>
        </w:rPr>
        <w:t>For the three months ended March 31, 2021, the Company recognized net royalty income of $16.5 million. This amount was recorded net of the Company’s share of TRC’s expenses of $2.8 million for the three months ended March 31, 2021 and was primarily compris</w:t>
      </w:r>
      <w:r>
        <w:rPr>
          <w:sz w:val="20"/>
          <w:szCs w:val="20"/>
        </w:rPr>
        <w:t>ed of TRC legal and related fees associated with the arbitration between Innoviva, as the manager of TRC, and TRC and the Company (</w:t>
      </w:r>
      <w:r>
        <w:rPr>
          <w:i/>
          <w:iCs/>
          <w:sz w:val="20"/>
          <w:szCs w:val="20"/>
        </w:rPr>
        <w:t>see below for more information regarding the arbitration</w:t>
      </w:r>
      <w:r>
        <w:rPr>
          <w:sz w:val="20"/>
          <w:szCs w:val="20"/>
        </w:rPr>
        <w:t xml:space="preserve">). </w:t>
      </w:r>
    </w:p>
    <w:p w:rsidR="00000000" w:rsidRDefault="001E618F">
      <w:pPr>
        <w:pStyle w:val="a3"/>
        <w:spacing w:before="0" w:beforeAutospacing="0" w:after="0" w:afterAutospacing="0"/>
        <w:ind w:firstLine="720"/>
        <w:divId w:val="811365166"/>
        <w:rPr>
          <w:sz w:val="20"/>
          <w:szCs w:val="20"/>
        </w:rPr>
      </w:pPr>
      <w:r>
        <w:rPr>
          <w:sz w:val="20"/>
          <w:szCs w:val="20"/>
        </w:rPr>
        <w:t>​</w:t>
      </w:r>
    </w:p>
    <w:p w:rsidR="00000000" w:rsidRDefault="001E618F">
      <w:pPr>
        <w:pStyle w:val="a3"/>
        <w:spacing w:before="0" w:beforeAutospacing="0" w:after="0" w:afterAutospacing="0"/>
        <w:ind w:firstLine="720"/>
        <w:divId w:val="811365166"/>
        <w:rPr>
          <w:sz w:val="20"/>
          <w:szCs w:val="20"/>
        </w:rPr>
      </w:pPr>
      <w:r>
        <w:rPr>
          <w:sz w:val="20"/>
          <w:szCs w:val="20"/>
        </w:rPr>
        <w:t>For the three months ended March 31, 2022, the Company received</w:t>
      </w:r>
      <w:r>
        <w:rPr>
          <w:sz w:val="20"/>
          <w:szCs w:val="20"/>
        </w:rPr>
        <w:t xml:space="preserve"> $6.5 million from TRC related to TRELEGY royalties, and as of March 31, 2022, the amounts due from TRC of $35.6 million were recorded as a current asset in the condensed consolidated balance sheets within “Amounts due from TRC, LLC”. The Company has also </w:t>
      </w:r>
      <w:r>
        <w:rPr>
          <w:sz w:val="20"/>
          <w:szCs w:val="20"/>
        </w:rPr>
        <w:t>recorded $94.1 million as a long-term asset within “Equity in net assets of TRC, LLC” in the condensed consolidated balance sheets, which represented its share of TRC’s net assets which included funds withheld by TRC for future investments. For the three m</w:t>
      </w:r>
      <w:r>
        <w:rPr>
          <w:sz w:val="20"/>
          <w:szCs w:val="20"/>
        </w:rPr>
        <w:t>onths ended March 31, 2022, the Company recognized a net unrealized gain of $0.4 million associated with the estimated fair market value of certain equity investments previously made by TRC which TRC reports as non-operating income.</w:t>
      </w:r>
    </w:p>
    <w:p w:rsidR="00000000" w:rsidRDefault="001E618F">
      <w:pPr>
        <w:pStyle w:val="a3"/>
        <w:spacing w:before="0" w:beforeAutospacing="0" w:after="0" w:afterAutospacing="0"/>
        <w:divId w:val="811365166"/>
        <w:rPr>
          <w:sz w:val="20"/>
          <w:szCs w:val="20"/>
        </w:rPr>
      </w:pPr>
      <w:r>
        <w:rPr>
          <w:sz w:val="20"/>
          <w:szCs w:val="20"/>
        </w:rPr>
        <w:t>​</w:t>
      </w:r>
    </w:p>
    <w:p w:rsidR="00000000" w:rsidRDefault="001E618F">
      <w:pPr>
        <w:pStyle w:val="a3"/>
        <w:spacing w:before="0" w:beforeAutospacing="0" w:after="0" w:afterAutospacing="0"/>
        <w:ind w:firstLine="720"/>
        <w:divId w:val="811365166"/>
        <w:rPr>
          <w:sz w:val="20"/>
          <w:szCs w:val="20"/>
        </w:rPr>
      </w:pPr>
      <w:r>
        <w:rPr>
          <w:sz w:val="20"/>
          <w:szCs w:val="20"/>
        </w:rPr>
        <w:t>TRC’s summarized inco</w:t>
      </w:r>
      <w:r>
        <w:rPr>
          <w:sz w:val="20"/>
          <w:szCs w:val="20"/>
        </w:rPr>
        <w:t>me statement information is presented below:</w:t>
      </w:r>
    </w:p>
    <w:p w:rsidR="00000000" w:rsidRDefault="001E618F">
      <w:pPr>
        <w:pStyle w:val="a3"/>
        <w:spacing w:before="0" w:beforeAutospacing="0" w:after="0" w:afterAutospacing="0"/>
        <w:ind w:firstLine="720"/>
        <w:divId w:val="811365166"/>
        <w:rPr>
          <w:sz w:val="20"/>
          <w:szCs w:val="20"/>
        </w:rPr>
      </w:pPr>
      <w:r>
        <w:rPr>
          <w:sz w:val="20"/>
          <w:szCs w:val="20"/>
        </w:rPr>
        <w:t>​</w:t>
      </w:r>
    </w:p>
    <w:tbl>
      <w:tblPr>
        <w:tblW w:w="4979" w:type="pct"/>
        <w:tblCellMar>
          <w:top w:w="15" w:type="dxa"/>
          <w:left w:w="0" w:type="dxa"/>
          <w:bottom w:w="15" w:type="dxa"/>
          <w:right w:w="0" w:type="dxa"/>
        </w:tblCellMar>
        <w:tblLook w:val="04A0" w:firstRow="1" w:lastRow="0" w:firstColumn="1" w:lastColumn="0" w:noHBand="0" w:noVBand="1"/>
      </w:tblPr>
      <w:tblGrid>
        <w:gridCol w:w="6007"/>
        <w:gridCol w:w="190"/>
        <w:gridCol w:w="190"/>
        <w:gridCol w:w="751"/>
        <w:gridCol w:w="190"/>
        <w:gridCol w:w="190"/>
        <w:gridCol w:w="753"/>
      </w:tblGrid>
      <w:tr w:rsidR="00000000">
        <w:trPr>
          <w:divId w:val="811365166"/>
          <w:trHeight w:val="20"/>
        </w:trPr>
        <w:tc>
          <w:tcPr>
            <w:tcW w:w="3630" w:type="pct"/>
            <w:tcMar>
              <w:top w:w="0" w:type="dxa"/>
              <w:left w:w="0" w:type="dxa"/>
              <w:bottom w:w="0" w:type="dxa"/>
              <w:right w:w="0" w:type="dxa"/>
            </w:tcMar>
            <w:vAlign w:val="bottom"/>
            <w:hideMark/>
          </w:tcPr>
          <w:p w:rsidR="00000000" w:rsidRDefault="001E618F">
            <w:pPr>
              <w:pStyle w:val="a3"/>
              <w:spacing w:before="0" w:beforeAutospacing="0" w:after="0" w:afterAutospacing="0"/>
              <w:divId w:val="1917665597"/>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94875036"/>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895576945"/>
              <w:rPr>
                <w:sz w:val="20"/>
                <w:szCs w:val="20"/>
              </w:rPr>
            </w:pPr>
            <w:r>
              <w:rPr>
                <w:sz w:val="2"/>
                <w:szCs w:val="2"/>
              </w:rPr>
              <w:t>​</w:t>
            </w:r>
          </w:p>
        </w:tc>
        <w:tc>
          <w:tcPr>
            <w:tcW w:w="454"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50157959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500996588"/>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932595033"/>
              <w:rPr>
                <w:sz w:val="20"/>
                <w:szCs w:val="20"/>
              </w:rPr>
            </w:pPr>
            <w:r>
              <w:rPr>
                <w:sz w:val="2"/>
                <w:szCs w:val="2"/>
              </w:rPr>
              <w:t>​</w:t>
            </w:r>
          </w:p>
        </w:tc>
        <w:tc>
          <w:tcPr>
            <w:tcW w:w="454" w:type="pct"/>
            <w:noWrap/>
            <w:tcMar>
              <w:top w:w="0" w:type="dxa"/>
              <w:left w:w="0" w:type="dxa"/>
              <w:bottom w:w="0" w:type="dxa"/>
              <w:right w:w="0" w:type="dxa"/>
            </w:tcMar>
            <w:vAlign w:val="center"/>
            <w:hideMark/>
          </w:tcPr>
          <w:p w:rsidR="00000000" w:rsidRDefault="001E618F">
            <w:pPr>
              <w:pStyle w:val="a3"/>
              <w:spacing w:before="0" w:beforeAutospacing="0" w:after="0" w:afterAutospacing="0"/>
              <w:divId w:val="824973962"/>
              <w:rPr>
                <w:sz w:val="20"/>
                <w:szCs w:val="20"/>
              </w:rPr>
            </w:pPr>
            <w:r>
              <w:rPr>
                <w:sz w:val="2"/>
                <w:szCs w:val="2"/>
              </w:rPr>
              <w:t>​</w:t>
            </w:r>
          </w:p>
        </w:tc>
      </w:tr>
      <w:tr w:rsidR="00000000">
        <w:trPr>
          <w:divId w:val="811365166"/>
        </w:trPr>
        <w:tc>
          <w:tcPr>
            <w:tcW w:w="363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54" w:type="pct"/>
            <w:gridSpan w:val="5"/>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xml:space="preserve">Three Months Ended </w:t>
            </w:r>
          </w:p>
        </w:tc>
      </w:tr>
      <w:tr w:rsidR="00000000">
        <w:trPr>
          <w:divId w:val="811365166"/>
        </w:trPr>
        <w:tc>
          <w:tcPr>
            <w:tcW w:w="363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54" w:type="pct"/>
            <w:gridSpan w:val="5"/>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w:t>
            </w:r>
          </w:p>
        </w:tc>
      </w:tr>
      <w:tr w:rsidR="00000000">
        <w:trPr>
          <w:divId w:val="811365166"/>
        </w:trPr>
        <w:tc>
          <w:tcPr>
            <w:tcW w:w="3630"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2021</w:t>
            </w:r>
          </w:p>
        </w:tc>
      </w:tr>
      <w:tr w:rsidR="00000000">
        <w:trPr>
          <w:divId w:val="811365166"/>
        </w:trPr>
        <w:tc>
          <w:tcPr>
            <w:tcW w:w="3630"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Royalty revenue and gross profit</w:t>
            </w:r>
          </w:p>
        </w:tc>
        <w:tc>
          <w:tcPr>
            <w:tcW w:w="1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29,309</w:t>
            </w:r>
          </w:p>
        </w:tc>
        <w:tc>
          <w:tcPr>
            <w:tcW w:w="1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22,084</w:t>
            </w:r>
          </w:p>
        </w:tc>
      </w:tr>
      <w:tr w:rsidR="00000000">
        <w:trPr>
          <w:divId w:val="811365166"/>
        </w:trPr>
        <w:tc>
          <w:tcPr>
            <w:tcW w:w="363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Income from continuing operations</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454"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29,112</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454" w:type="pct"/>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18,803</w:t>
            </w:r>
          </w:p>
        </w:tc>
      </w:tr>
      <w:tr w:rsidR="00000000">
        <w:trPr>
          <w:divId w:val="811365166"/>
        </w:trPr>
        <w:tc>
          <w:tcPr>
            <w:tcW w:w="3630"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Net income</w:t>
            </w:r>
          </w:p>
        </w:tc>
        <w:tc>
          <w:tcPr>
            <w:tcW w:w="1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29,541</w:t>
            </w:r>
          </w:p>
        </w:tc>
        <w:tc>
          <w:tcPr>
            <w:tcW w:w="1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454" w:type="pct"/>
            <w:shd w:val="clear" w:color="auto" w:fill="CCEEFF"/>
            <w:noWrap/>
            <w:tcMar>
              <w:top w:w="0" w:type="dxa"/>
              <w:left w:w="0" w:type="dxa"/>
              <w:bottom w:w="0" w:type="dxa"/>
              <w:right w:w="0" w:type="dxa"/>
            </w:tcMar>
            <w:vAlign w:val="center"/>
            <w:hideMark/>
          </w:tcPr>
          <w:p w:rsidR="00000000" w:rsidRDefault="001E618F">
            <w:pPr>
              <w:pStyle w:val="a3"/>
              <w:spacing w:before="0" w:beforeAutospacing="0" w:after="0" w:afterAutospacing="0"/>
              <w:ind w:right="70"/>
              <w:jc w:val="right"/>
              <w:rPr>
                <w:sz w:val="20"/>
                <w:szCs w:val="20"/>
              </w:rPr>
            </w:pPr>
            <w:r>
              <w:rPr>
                <w:sz w:val="20"/>
                <w:szCs w:val="20"/>
              </w:rPr>
              <w:t>18,320</w:t>
            </w:r>
          </w:p>
        </w:tc>
      </w:tr>
    </w:tbl>
    <w:p w:rsidR="00000000" w:rsidRDefault="001E618F">
      <w:pPr>
        <w:pStyle w:val="a3"/>
        <w:spacing w:before="0" w:beforeAutospacing="0" w:after="0" w:afterAutospacing="0"/>
        <w:divId w:val="811365166"/>
        <w:rPr>
          <w:sz w:val="20"/>
          <w:szCs w:val="20"/>
        </w:rPr>
      </w:pPr>
      <w:r>
        <w:rPr>
          <w:sz w:val="2"/>
          <w:szCs w:val="2"/>
        </w:rPr>
        <w:t>​</w:t>
      </w:r>
    </w:p>
    <w:p w:rsidR="00000000" w:rsidRDefault="001E618F">
      <w:pPr>
        <w:pStyle w:val="a3"/>
        <w:spacing w:before="360" w:beforeAutospacing="0" w:after="0" w:afterAutospacing="0"/>
        <w:jc w:val="center"/>
        <w:divId w:val="1728988403"/>
        <w:rPr>
          <w:sz w:val="20"/>
          <w:szCs w:val="20"/>
        </w:rPr>
      </w:pPr>
      <w:r>
        <w:rPr>
          <w:sz w:val="20"/>
          <w:szCs w:val="20"/>
        </w:rPr>
        <w:t>14</w:t>
      </w:r>
    </w:p>
    <w:p w:rsidR="00000000" w:rsidRDefault="001E618F">
      <w:pPr>
        <w:pStyle w:val="a3"/>
        <w:spacing w:before="0" w:beforeAutospacing="0" w:after="600" w:afterAutospacing="0"/>
        <w:divId w:val="809979646"/>
        <w:rPr>
          <w:sz w:val="20"/>
          <w:szCs w:val="20"/>
        </w:rPr>
      </w:pPr>
      <w:hyperlink w:anchor="TOC" w:history="1">
        <w:r>
          <w:rPr>
            <w:rStyle w:val="a4"/>
            <w:sz w:val="20"/>
            <w:szCs w:val="20"/>
          </w:rPr>
          <w:t>Table of Contents</w:t>
        </w:r>
      </w:hyperlink>
    </w:p>
    <w:p w:rsidR="00000000" w:rsidRDefault="001E618F">
      <w:pPr>
        <w:pStyle w:val="a3"/>
        <w:spacing w:before="0" w:beforeAutospacing="0" w:after="120" w:afterAutospacing="0"/>
        <w:divId w:val="205677034"/>
        <w:rPr>
          <w:sz w:val="20"/>
          <w:szCs w:val="20"/>
        </w:rPr>
      </w:pPr>
      <w:r>
        <w:rPr>
          <w:b/>
          <w:bCs/>
          <w:i/>
          <w:iCs/>
          <w:sz w:val="20"/>
          <w:szCs w:val="20"/>
        </w:rPr>
        <w:t>TRC Arbitration</w:t>
      </w:r>
    </w:p>
    <w:p w:rsidR="00000000" w:rsidRDefault="001E618F">
      <w:pPr>
        <w:pStyle w:val="a3"/>
        <w:spacing w:before="0" w:beforeAutospacing="0" w:after="0" w:afterAutospacing="0"/>
        <w:ind w:firstLine="720"/>
        <w:divId w:val="205677034"/>
        <w:rPr>
          <w:sz w:val="20"/>
          <w:szCs w:val="20"/>
        </w:rPr>
      </w:pPr>
      <w:r>
        <w:rPr>
          <w:sz w:val="20"/>
          <w:szCs w:val="20"/>
        </w:rPr>
        <w:t>The Company initiated an arbitration proceeding in October 2020 against Innoviva and TRC, challenging the authority of Innoviva and TRC to pursue a business plan to use TRELEGY royalties to invest in certain privately-held companies, rather than distribute</w:t>
      </w:r>
      <w:r>
        <w:rPr>
          <w:sz w:val="20"/>
          <w:szCs w:val="20"/>
        </w:rPr>
        <w:t xml:space="preserve"> such funds that would otherwise be available for distribution to the Company under the terms of the TRC LLC Agreement in a manner that it believes is consistent with the TRC LLC Agreement and its 85% economic interest in TRC. </w:t>
      </w:r>
    </w:p>
    <w:p w:rsidR="00000000" w:rsidRDefault="001E618F">
      <w:pPr>
        <w:pStyle w:val="a3"/>
        <w:spacing w:before="0" w:beforeAutospacing="0" w:after="0" w:afterAutospacing="0"/>
        <w:ind w:firstLine="720"/>
        <w:divId w:val="205677034"/>
        <w:rPr>
          <w:sz w:val="20"/>
          <w:szCs w:val="20"/>
        </w:rPr>
      </w:pPr>
      <w:r>
        <w:rPr>
          <w:sz w:val="20"/>
          <w:szCs w:val="20"/>
        </w:rPr>
        <w:t>​</w:t>
      </w:r>
    </w:p>
    <w:p w:rsidR="00000000" w:rsidRDefault="001E618F">
      <w:pPr>
        <w:pStyle w:val="a3"/>
        <w:spacing w:before="0" w:beforeAutospacing="0" w:after="0" w:afterAutospacing="0"/>
        <w:ind w:firstLine="720"/>
        <w:divId w:val="205677034"/>
        <w:rPr>
          <w:sz w:val="20"/>
          <w:szCs w:val="20"/>
        </w:rPr>
      </w:pPr>
      <w:r>
        <w:rPr>
          <w:sz w:val="20"/>
          <w:szCs w:val="20"/>
        </w:rPr>
        <w:t>On March 30, 2021, the arb</w:t>
      </w:r>
      <w:r>
        <w:rPr>
          <w:sz w:val="20"/>
          <w:szCs w:val="20"/>
        </w:rPr>
        <w:t>itrator ruled that the Company had not shown that, at the then current levels of investment, Innoviva and TRC had breached the TRC LLC Agreement as of the date of the arbitration. The arbitrator further ruled that Innoviva and TRC had not breached the impl</w:t>
      </w:r>
      <w:r>
        <w:rPr>
          <w:sz w:val="20"/>
          <w:szCs w:val="20"/>
        </w:rPr>
        <w:t>ied covenant of good faith and fair dealing or their fiduciary duties. The arbitrator also ruled that (i) Innoviva is entitled to indemnification from TRC for all legal fees and expenses reasonably incurred in the arbitration and (ii) the Company is entitl</w:t>
      </w:r>
      <w:r>
        <w:rPr>
          <w:sz w:val="20"/>
          <w:szCs w:val="20"/>
        </w:rPr>
        <w:t>ed to indemnification from TRC for legal fees and costs incurred in defending an action Innoviva brought against it in the Delaware Court of Chancery. The arbitrator noted in the ruling that although the Company failed to show that Innoviva’s investment ac</w:t>
      </w:r>
      <w:r>
        <w:rPr>
          <w:sz w:val="20"/>
          <w:szCs w:val="20"/>
        </w:rPr>
        <w:t>tivities, at the then current levels of investment, have or will have a material and adverse effect on its economic interest in TRC, this does not mean that any future investments or actions will not require the Company’s consent. The arbitrator noted in t</w:t>
      </w:r>
      <w:r>
        <w:rPr>
          <w:sz w:val="20"/>
          <w:szCs w:val="20"/>
        </w:rPr>
        <w:t>he ruling that the Company may, in the future, have a consent right over the decision to continue this investment strategy or whether to make a particular investment if, for example, Innoviva develops a track record of poor investments, over allocates roya</w:t>
      </w:r>
      <w:r>
        <w:rPr>
          <w:sz w:val="20"/>
          <w:szCs w:val="20"/>
        </w:rPr>
        <w:t>lties to these investment activities, or fails to distribute sufficient investment returns, and such facts cause the strategy or investment to have a material adverse effect on the Company’s economic interest in TRC.</w:t>
      </w:r>
    </w:p>
    <w:p w:rsidR="00000000" w:rsidRDefault="001E618F">
      <w:pPr>
        <w:pStyle w:val="a3"/>
        <w:spacing w:before="0" w:beforeAutospacing="0" w:after="0" w:afterAutospacing="0"/>
        <w:ind w:firstLine="720"/>
        <w:divId w:val="205677034"/>
        <w:rPr>
          <w:sz w:val="20"/>
          <w:szCs w:val="20"/>
        </w:rPr>
      </w:pPr>
      <w:r>
        <w:rPr>
          <w:sz w:val="20"/>
          <w:szCs w:val="20"/>
        </w:rPr>
        <w:t>​</w:t>
      </w:r>
    </w:p>
    <w:p w:rsidR="00000000" w:rsidRDefault="001E618F">
      <w:pPr>
        <w:pStyle w:val="a3"/>
        <w:spacing w:before="0" w:beforeAutospacing="0" w:after="0" w:afterAutospacing="0"/>
        <w:ind w:firstLine="720"/>
        <w:divId w:val="205677034"/>
        <w:rPr>
          <w:sz w:val="20"/>
          <w:szCs w:val="20"/>
        </w:rPr>
      </w:pPr>
      <w:r>
        <w:rPr>
          <w:sz w:val="20"/>
          <w:szCs w:val="20"/>
        </w:rPr>
        <w:t xml:space="preserve">Pursuant to the terms of the TRC LLC </w:t>
      </w:r>
      <w:r>
        <w:rPr>
          <w:sz w:val="20"/>
          <w:szCs w:val="20"/>
        </w:rPr>
        <w:t xml:space="preserve">Agreement, Innoviva is required to deliver to the Company a draft quarterly financial plan 30 days prior to the end of each fiscal quarter covering the next fiscal quarter. While the TRC LLC Agreement provides that Innoviva must consider in good faith any </w:t>
      </w:r>
      <w:r>
        <w:rPr>
          <w:sz w:val="20"/>
          <w:szCs w:val="20"/>
        </w:rPr>
        <w:t>comments the Company provides, an applicable financial plan becomes effective 30 days after the draft plan is provided to the Company. The Company has objected to the proposed investments in private companies presented in draft TRC quarterly financial plan</w:t>
      </w:r>
      <w:r>
        <w:rPr>
          <w:sz w:val="20"/>
          <w:szCs w:val="20"/>
        </w:rPr>
        <w:t>s to date. If TRC identifies and consummates investments and incurs associated fees identified in a TRC quarterly plan, even over the Company’s objections, distributions by TRC to its members in subsequent</w:t>
      </w:r>
      <w:r>
        <w:rPr>
          <w:b/>
          <w:bCs/>
          <w:sz w:val="20"/>
          <w:szCs w:val="20"/>
        </w:rPr>
        <w:t xml:space="preserve"> </w:t>
      </w:r>
      <w:r>
        <w:rPr>
          <w:sz w:val="20"/>
          <w:szCs w:val="20"/>
        </w:rPr>
        <w:t>quarters will be reduced.</w:t>
      </w:r>
      <w:r>
        <w:rPr>
          <w:color w:val="FF0000"/>
          <w:sz w:val="20"/>
          <w:szCs w:val="20"/>
        </w:rPr>
        <w:t xml:space="preserve"> </w:t>
      </w:r>
    </w:p>
    <w:p w:rsidR="00000000" w:rsidRDefault="001E618F">
      <w:pPr>
        <w:pStyle w:val="a3"/>
        <w:spacing w:before="0" w:beforeAutospacing="0" w:after="0" w:afterAutospacing="0"/>
        <w:divId w:val="205677034"/>
        <w:rPr>
          <w:sz w:val="20"/>
          <w:szCs w:val="20"/>
        </w:rPr>
      </w:pPr>
      <w:r>
        <w:rPr>
          <w:sz w:val="20"/>
          <w:szCs w:val="20"/>
        </w:rPr>
        <w:t>​</w:t>
      </w:r>
    </w:p>
    <w:p w:rsidR="00000000" w:rsidRDefault="001E618F">
      <w:pPr>
        <w:pStyle w:val="a3"/>
        <w:spacing w:before="0" w:beforeAutospacing="0" w:after="0" w:afterAutospacing="0"/>
        <w:ind w:firstLine="720"/>
        <w:divId w:val="205677034"/>
        <w:rPr>
          <w:sz w:val="20"/>
          <w:szCs w:val="20"/>
        </w:rPr>
      </w:pPr>
      <w:r>
        <w:rPr>
          <w:sz w:val="20"/>
          <w:szCs w:val="20"/>
        </w:rPr>
        <w:t>The Company’s objecti</w:t>
      </w:r>
      <w:r>
        <w:rPr>
          <w:sz w:val="20"/>
          <w:szCs w:val="20"/>
        </w:rPr>
        <w:t xml:space="preserve">ons with regard to a TRC quarterly plan or other actions by TRC could result in additional legal proceedings between the Company, TRC and Innoviva, as was the case when the Company initiated arbitration proceedings against Innoviva and TRC in May 2019 and </w:t>
      </w:r>
      <w:r>
        <w:rPr>
          <w:sz w:val="20"/>
          <w:szCs w:val="20"/>
        </w:rPr>
        <w:t>again in October 2020. Any such legal proceedings could divert the attention of management and cause the Company to incur significant costs, regardless of the outcome, which the Company cannot predict. If such proceedings were pursued, there can be no assu</w:t>
      </w:r>
      <w:r>
        <w:rPr>
          <w:sz w:val="20"/>
          <w:szCs w:val="20"/>
        </w:rPr>
        <w:t>rance that they would result in the Company receiving additional distributions from TRC. An adverse result could materially and adversely affect the funds that the Company would otherwise expect to receive from TRC in the future.</w:t>
      </w:r>
    </w:p>
    <w:p w:rsidR="00000000" w:rsidRDefault="001E618F">
      <w:pPr>
        <w:pStyle w:val="a3"/>
        <w:spacing w:before="0" w:beforeAutospacing="0" w:after="0" w:afterAutospacing="0"/>
        <w:ind w:firstLine="720"/>
        <w:divId w:val="205677034"/>
        <w:rPr>
          <w:sz w:val="20"/>
          <w:szCs w:val="20"/>
        </w:rPr>
      </w:pPr>
      <w:r>
        <w:rPr>
          <w:color w:val="FF0000"/>
          <w:sz w:val="20"/>
          <w:szCs w:val="20"/>
        </w:rPr>
        <w:t>​</w:t>
      </w:r>
    </w:p>
    <w:p w:rsidR="00000000" w:rsidRDefault="001E618F">
      <w:pPr>
        <w:pStyle w:val="a3"/>
        <w:spacing w:before="0" w:beforeAutospacing="0" w:after="0" w:afterAutospacing="0"/>
        <w:divId w:val="205677034"/>
        <w:rPr>
          <w:sz w:val="20"/>
          <w:szCs w:val="20"/>
        </w:rPr>
      </w:pPr>
      <w:r>
        <w:rPr>
          <w:b/>
          <w:bCs/>
          <w:sz w:val="20"/>
          <w:szCs w:val="20"/>
        </w:rPr>
        <w:t>8</w:t>
      </w:r>
      <w:r>
        <w:rPr>
          <w:b/>
          <w:bCs/>
          <w:i/>
          <w:iCs/>
          <w:sz w:val="20"/>
          <w:szCs w:val="20"/>
        </w:rPr>
        <w:t xml:space="preserve">. </w:t>
      </w:r>
      <w:r>
        <w:rPr>
          <w:b/>
          <w:bCs/>
          <w:sz w:val="20"/>
          <w:szCs w:val="20"/>
        </w:rPr>
        <w:t>Share-Based Compensation</w:t>
      </w:r>
    </w:p>
    <w:p w:rsidR="00000000" w:rsidRDefault="001E618F">
      <w:pPr>
        <w:pStyle w:val="a3"/>
        <w:spacing w:before="0" w:beforeAutospacing="0" w:after="0" w:afterAutospacing="0"/>
        <w:divId w:val="205677034"/>
        <w:rPr>
          <w:sz w:val="20"/>
          <w:szCs w:val="20"/>
        </w:rPr>
      </w:pPr>
      <w:r>
        <w:rPr>
          <w:sz w:val="10"/>
          <w:szCs w:val="10"/>
        </w:rPr>
        <w:t>​</w:t>
      </w:r>
    </w:p>
    <w:p w:rsidR="00000000" w:rsidRDefault="001E618F">
      <w:pPr>
        <w:pStyle w:val="a3"/>
        <w:spacing w:before="0" w:beforeAutospacing="0" w:after="120" w:afterAutospacing="0"/>
        <w:divId w:val="205677034"/>
        <w:rPr>
          <w:sz w:val="20"/>
          <w:szCs w:val="20"/>
        </w:rPr>
      </w:pPr>
      <w:r>
        <w:rPr>
          <w:b/>
          <w:bCs/>
          <w:i/>
          <w:iCs/>
          <w:sz w:val="20"/>
          <w:szCs w:val="20"/>
        </w:rPr>
        <w:t>Performance-Contingent Awards</w:t>
      </w:r>
    </w:p>
    <w:p w:rsidR="00000000" w:rsidRDefault="001E618F">
      <w:pPr>
        <w:pStyle w:val="a3"/>
        <w:spacing w:before="0" w:beforeAutospacing="0" w:after="0" w:afterAutospacing="0"/>
        <w:ind w:firstLine="720"/>
        <w:divId w:val="205677034"/>
        <w:rPr>
          <w:sz w:val="20"/>
          <w:szCs w:val="20"/>
        </w:rPr>
      </w:pPr>
      <w:r>
        <w:rPr>
          <w:sz w:val="20"/>
          <w:szCs w:val="20"/>
        </w:rPr>
        <w:t>The Company periodically grants performance-contingent share-based awards to employees. For the three months ended March 31, 2022, the Company recognized $0.1 million of share-based compensation expe</w:t>
      </w:r>
      <w:r>
        <w:rPr>
          <w:sz w:val="20"/>
          <w:szCs w:val="20"/>
        </w:rPr>
        <w:t>nse related to these types of awards. As of March 31, 2022, there were 305,000 shares of performance-contingent restricted share units (“RSUs”) outstanding that have a maximum remaining share-based compensation expense of $2.6 million with performance expi</w:t>
      </w:r>
      <w:r>
        <w:rPr>
          <w:sz w:val="20"/>
          <w:szCs w:val="20"/>
        </w:rPr>
        <w:t>ration dates through December 2025. For the three months ended March 31, 2021, the Company recognized $0.5 million of share-based compensation expense related to performance-contingent share-based awards.</w:t>
      </w:r>
    </w:p>
    <w:p w:rsidR="00000000" w:rsidRDefault="001E618F">
      <w:pPr>
        <w:pStyle w:val="a3"/>
        <w:spacing w:before="0" w:beforeAutospacing="0" w:after="0" w:afterAutospacing="0"/>
        <w:ind w:firstLine="720"/>
        <w:divId w:val="205677034"/>
        <w:rPr>
          <w:sz w:val="20"/>
          <w:szCs w:val="20"/>
        </w:rPr>
      </w:pPr>
      <w:r>
        <w:rPr>
          <w:sz w:val="20"/>
          <w:szCs w:val="20"/>
        </w:rPr>
        <w:t>​</w:t>
      </w:r>
    </w:p>
    <w:p w:rsidR="00000000" w:rsidRDefault="001E618F">
      <w:pPr>
        <w:pStyle w:val="a3"/>
        <w:spacing w:before="0" w:beforeAutospacing="0" w:after="120" w:afterAutospacing="0"/>
        <w:divId w:val="205677034"/>
        <w:rPr>
          <w:sz w:val="20"/>
          <w:szCs w:val="20"/>
        </w:rPr>
      </w:pPr>
      <w:r>
        <w:rPr>
          <w:b/>
          <w:bCs/>
          <w:i/>
          <w:iCs/>
          <w:sz w:val="20"/>
          <w:szCs w:val="20"/>
        </w:rPr>
        <w:t>Share-Based Compensation Modification Due to Corp</w:t>
      </w:r>
      <w:r>
        <w:rPr>
          <w:b/>
          <w:bCs/>
          <w:i/>
          <w:iCs/>
          <w:sz w:val="20"/>
          <w:szCs w:val="20"/>
        </w:rPr>
        <w:t>orate Restructuring</w:t>
      </w:r>
    </w:p>
    <w:p w:rsidR="00000000" w:rsidRDefault="001E618F">
      <w:pPr>
        <w:pStyle w:val="a3"/>
        <w:spacing w:before="0" w:beforeAutospacing="0" w:after="0" w:afterAutospacing="0"/>
        <w:ind w:firstLine="720"/>
        <w:divId w:val="205677034"/>
        <w:rPr>
          <w:sz w:val="20"/>
          <w:szCs w:val="20"/>
        </w:rPr>
      </w:pPr>
      <w:r>
        <w:rPr>
          <w:sz w:val="20"/>
          <w:szCs w:val="20"/>
        </w:rPr>
        <w:t>As a result of the Company’s corporate restructuring announcement in September 2021 (see</w:t>
      </w:r>
      <w:r>
        <w:rPr>
          <w:i/>
          <w:iCs/>
          <w:sz w:val="20"/>
          <w:szCs w:val="20"/>
        </w:rPr>
        <w:t xml:space="preserve"> “Note 10. Corporate Restructuring”</w:t>
      </w:r>
      <w:r>
        <w:rPr>
          <w:sz w:val="20"/>
          <w:szCs w:val="20"/>
        </w:rPr>
        <w:t>), the Board of Directors’ Compensation Committee approved the acceleration of certain equity awards for employee</w:t>
      </w:r>
      <w:r>
        <w:rPr>
          <w:sz w:val="20"/>
          <w:szCs w:val="20"/>
        </w:rPr>
        <w:t>s affected by the restructuring. The Company accounted for this acceleration as a Type III modification (improbable to probable) which resulted in a fair value of $1.6 million, as of the modification date, that was recorded in “Restructuring and related ex</w:t>
      </w:r>
      <w:r>
        <w:rPr>
          <w:sz w:val="20"/>
          <w:szCs w:val="20"/>
        </w:rPr>
        <w:t xml:space="preserve">penses” within the condensed consolidated statements of operations. The total cumulative compensation cost </w:t>
      </w:r>
    </w:p>
    <w:p w:rsidR="00000000" w:rsidRDefault="001E618F">
      <w:pPr>
        <w:pStyle w:val="a3"/>
        <w:spacing w:before="360" w:beforeAutospacing="0" w:after="0" w:afterAutospacing="0"/>
        <w:jc w:val="center"/>
        <w:divId w:val="1677002965"/>
        <w:rPr>
          <w:sz w:val="20"/>
          <w:szCs w:val="20"/>
        </w:rPr>
      </w:pPr>
      <w:r>
        <w:rPr>
          <w:sz w:val="20"/>
          <w:szCs w:val="20"/>
        </w:rPr>
        <w:t>15</w:t>
      </w:r>
    </w:p>
    <w:p w:rsidR="00000000" w:rsidRDefault="001E618F">
      <w:pPr>
        <w:pStyle w:val="a3"/>
        <w:spacing w:before="0" w:beforeAutospacing="0" w:after="600" w:afterAutospacing="0"/>
        <w:divId w:val="1683320851"/>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divId w:val="1100761655"/>
        <w:rPr>
          <w:sz w:val="20"/>
          <w:szCs w:val="20"/>
        </w:rPr>
      </w:pPr>
      <w:r>
        <w:rPr>
          <w:sz w:val="20"/>
          <w:szCs w:val="20"/>
        </w:rPr>
        <w:t>previously recognized for these awards of $0.3 million within “Research and development” and “Selling</w:t>
      </w:r>
      <w:r>
        <w:rPr>
          <w:sz w:val="20"/>
          <w:szCs w:val="20"/>
        </w:rPr>
        <w:t>, general and administrative” through the modification date, was reversed. The acceleration resulted in a net incremental share-based compensation expense of $1.3 million for the three months ended March 31, 2022 and impacted approximately 40 terminated em</w:t>
      </w:r>
      <w:r>
        <w:rPr>
          <w:sz w:val="20"/>
          <w:szCs w:val="20"/>
        </w:rPr>
        <w:t>ployees who met the conditions of the acceleration and departed the Company at the end of February 2022.</w:t>
      </w:r>
    </w:p>
    <w:p w:rsidR="00000000" w:rsidRDefault="001E618F">
      <w:pPr>
        <w:pStyle w:val="a3"/>
        <w:spacing w:before="0" w:beforeAutospacing="0" w:after="0" w:afterAutospacing="0"/>
        <w:ind w:firstLine="720"/>
        <w:divId w:val="1100761655"/>
        <w:rPr>
          <w:sz w:val="20"/>
          <w:szCs w:val="20"/>
        </w:rPr>
      </w:pPr>
      <w:r>
        <w:rPr>
          <w:sz w:val="20"/>
          <w:szCs w:val="20"/>
        </w:rPr>
        <w:t>​</w:t>
      </w:r>
    </w:p>
    <w:p w:rsidR="00000000" w:rsidRDefault="001E618F">
      <w:pPr>
        <w:pStyle w:val="a3"/>
        <w:spacing w:before="0" w:beforeAutospacing="0" w:after="0" w:afterAutospacing="0"/>
        <w:divId w:val="1100761655"/>
        <w:rPr>
          <w:sz w:val="20"/>
          <w:szCs w:val="20"/>
        </w:rPr>
      </w:pPr>
      <w:r>
        <w:rPr>
          <w:b/>
          <w:bCs/>
          <w:sz w:val="20"/>
          <w:szCs w:val="20"/>
        </w:rPr>
        <w:t>9. Income Taxes</w:t>
      </w:r>
    </w:p>
    <w:p w:rsidR="00000000" w:rsidRDefault="001E618F">
      <w:pPr>
        <w:pStyle w:val="a3"/>
        <w:spacing w:before="0" w:beforeAutospacing="0" w:after="0" w:afterAutospacing="0"/>
        <w:divId w:val="1100761655"/>
        <w:rPr>
          <w:sz w:val="20"/>
          <w:szCs w:val="20"/>
        </w:rPr>
      </w:pPr>
      <w:r>
        <w:rPr>
          <w:sz w:val="10"/>
          <w:szCs w:val="10"/>
        </w:rPr>
        <w:t>​</w:t>
      </w:r>
    </w:p>
    <w:p w:rsidR="00000000" w:rsidRDefault="001E618F">
      <w:pPr>
        <w:pStyle w:val="a3"/>
        <w:spacing w:before="0" w:beforeAutospacing="0" w:after="0" w:afterAutospacing="0"/>
        <w:ind w:firstLine="720"/>
        <w:divId w:val="1100761655"/>
        <w:rPr>
          <w:sz w:val="20"/>
          <w:szCs w:val="20"/>
        </w:rPr>
      </w:pPr>
      <w:r>
        <w:rPr>
          <w:sz w:val="20"/>
          <w:szCs w:val="20"/>
        </w:rPr>
        <w:t>For the three months ended March 31, 2022, the Company recognized an income tax expense of $0.5 million. The income tax provision f</w:t>
      </w:r>
      <w:r>
        <w:rPr>
          <w:sz w:val="20"/>
          <w:szCs w:val="20"/>
        </w:rPr>
        <w:t>or the three months ended March 31, 2022 was primarily attributed to the Company’s estimate of contingent liabilities for uncertain tax positions taken with respect to transfer pricing for the reporting period. No provision for income taxes has been recogn</w:t>
      </w:r>
      <w:r>
        <w:rPr>
          <w:sz w:val="20"/>
          <w:szCs w:val="20"/>
        </w:rPr>
        <w:t xml:space="preserve">ized on undistributed earnings of the Company’s foreign subsidiaries because it considers such earnings to be indefinitely reinvested. </w:t>
      </w:r>
    </w:p>
    <w:p w:rsidR="00000000" w:rsidRDefault="001E618F">
      <w:pPr>
        <w:pStyle w:val="a3"/>
        <w:spacing w:before="0" w:beforeAutospacing="0" w:after="0" w:afterAutospacing="0"/>
        <w:divId w:val="1100761655"/>
        <w:rPr>
          <w:sz w:val="20"/>
          <w:szCs w:val="20"/>
        </w:rPr>
      </w:pPr>
      <w:r>
        <w:rPr>
          <w:sz w:val="20"/>
          <w:szCs w:val="20"/>
        </w:rPr>
        <w:t>​</w:t>
      </w:r>
    </w:p>
    <w:p w:rsidR="00000000" w:rsidRDefault="001E618F">
      <w:pPr>
        <w:pStyle w:val="a3"/>
        <w:spacing w:before="0" w:beforeAutospacing="0" w:after="0" w:afterAutospacing="0"/>
        <w:ind w:firstLine="720"/>
        <w:divId w:val="1100761655"/>
        <w:rPr>
          <w:sz w:val="20"/>
          <w:szCs w:val="20"/>
        </w:rPr>
      </w:pPr>
      <w:r>
        <w:rPr>
          <w:sz w:val="20"/>
          <w:szCs w:val="20"/>
        </w:rPr>
        <w:t>The Company follows the accounting guidance related to accounting for income taxes which requires that a company reduc</w:t>
      </w:r>
      <w:r>
        <w:rPr>
          <w:sz w:val="20"/>
          <w:szCs w:val="20"/>
        </w:rPr>
        <w:t>e its deferred tax assets by a valuation allowance if, based on the weight of available evidence, it is more likely than not that some portion or all of its deferred tax assets will not be realized. As of March 31, 2022, the Company’s deferred tax assets w</w:t>
      </w:r>
      <w:r>
        <w:rPr>
          <w:sz w:val="20"/>
          <w:szCs w:val="20"/>
        </w:rPr>
        <w:t xml:space="preserve">ere offset in full by a valuation allowance. </w:t>
      </w:r>
    </w:p>
    <w:p w:rsidR="00000000" w:rsidRDefault="001E618F">
      <w:pPr>
        <w:pStyle w:val="a3"/>
        <w:spacing w:before="0" w:beforeAutospacing="0" w:after="0" w:afterAutospacing="0"/>
        <w:divId w:val="1100761655"/>
        <w:rPr>
          <w:sz w:val="20"/>
          <w:szCs w:val="20"/>
        </w:rPr>
      </w:pPr>
      <w:r>
        <w:rPr>
          <w:sz w:val="20"/>
          <w:szCs w:val="20"/>
        </w:rPr>
        <w:t>​</w:t>
      </w:r>
    </w:p>
    <w:p w:rsidR="00000000" w:rsidRDefault="001E618F">
      <w:pPr>
        <w:pStyle w:val="a3"/>
        <w:spacing w:before="0" w:beforeAutospacing="0" w:after="0" w:afterAutospacing="0"/>
        <w:ind w:firstLine="720"/>
        <w:divId w:val="1100761655"/>
        <w:rPr>
          <w:sz w:val="20"/>
          <w:szCs w:val="20"/>
        </w:rPr>
      </w:pPr>
      <w:r>
        <w:rPr>
          <w:sz w:val="20"/>
          <w:szCs w:val="20"/>
        </w:rPr>
        <w:t>The Company records liabilities related to uncertain tax positions in accordance with the income tax guidance which clarifies the accounting for uncertainty in income taxes recognized in an enterprise’s finan</w:t>
      </w:r>
      <w:r>
        <w:rPr>
          <w:sz w:val="20"/>
          <w:szCs w:val="20"/>
        </w:rPr>
        <w:t>cial statements by prescribing a minimum recognition threshold and measurement attribute for the financial statement recognition and measurement of a tax position taken or expected to be taken in a tax return. Resolution of one or more of these uncertain t</w:t>
      </w:r>
      <w:r>
        <w:rPr>
          <w:sz w:val="20"/>
          <w:szCs w:val="20"/>
        </w:rPr>
        <w:t>ax positions in any period may have a material impact on the results of operations for that period. The Company includes any applicable interest and penalties within the provision for income taxes in the condensed consolidated statements of operations</w:t>
      </w:r>
      <w:r>
        <w:rPr>
          <w:sz w:val="20"/>
          <w:szCs w:val="20"/>
        </w:rPr>
        <w:t>.</w:t>
      </w:r>
    </w:p>
    <w:p w:rsidR="00000000" w:rsidRDefault="001E618F">
      <w:pPr>
        <w:pStyle w:val="a3"/>
        <w:spacing w:before="0" w:beforeAutospacing="0" w:after="0" w:afterAutospacing="0"/>
        <w:ind w:firstLine="720"/>
        <w:divId w:val="1100761655"/>
        <w:rPr>
          <w:sz w:val="20"/>
          <w:szCs w:val="20"/>
        </w:rPr>
      </w:pPr>
      <w:r>
        <w:rPr>
          <w:sz w:val="20"/>
          <w:szCs w:val="20"/>
        </w:rPr>
        <w:t>​</w:t>
      </w:r>
    </w:p>
    <w:p w:rsidR="00000000" w:rsidRDefault="001E618F">
      <w:pPr>
        <w:pStyle w:val="a3"/>
        <w:spacing w:before="0" w:beforeAutospacing="0" w:after="0" w:afterAutospacing="0"/>
        <w:ind w:firstLine="720"/>
        <w:divId w:val="1100761655"/>
        <w:rPr>
          <w:sz w:val="20"/>
          <w:szCs w:val="20"/>
        </w:rPr>
      </w:pPr>
      <w:r>
        <w:rPr>
          <w:sz w:val="20"/>
          <w:szCs w:val="20"/>
        </w:rPr>
        <w:t>T</w:t>
      </w:r>
      <w:r>
        <w:rPr>
          <w:sz w:val="20"/>
          <w:szCs w:val="20"/>
        </w:rPr>
        <w:t xml:space="preserve">he Company is currently under Internal Revenue Service (“IRS”) examination for the tax year ended December 31, 2018. The Company believes that an adequate provision has been made for any material adjustments that may result from the tax examination. </w:t>
      </w:r>
    </w:p>
    <w:p w:rsidR="00000000" w:rsidRDefault="001E618F">
      <w:pPr>
        <w:pStyle w:val="a3"/>
        <w:spacing w:before="0" w:beforeAutospacing="0" w:after="0" w:afterAutospacing="0"/>
        <w:ind w:firstLine="720"/>
        <w:divId w:val="1100761655"/>
        <w:rPr>
          <w:sz w:val="20"/>
          <w:szCs w:val="20"/>
        </w:rPr>
      </w:pPr>
      <w:r>
        <w:rPr>
          <w:sz w:val="20"/>
          <w:szCs w:val="20"/>
        </w:rPr>
        <w:t>​</w:t>
      </w:r>
    </w:p>
    <w:p w:rsidR="00000000" w:rsidRDefault="001E618F">
      <w:pPr>
        <w:pStyle w:val="a3"/>
        <w:spacing w:before="0" w:beforeAutospacing="0" w:after="0" w:afterAutospacing="0"/>
        <w:ind w:firstLine="720"/>
        <w:divId w:val="1100761655"/>
        <w:rPr>
          <w:sz w:val="20"/>
          <w:szCs w:val="20"/>
        </w:rPr>
      </w:pPr>
      <w:r>
        <w:rPr>
          <w:sz w:val="20"/>
          <w:szCs w:val="20"/>
        </w:rPr>
        <w:t>The</w:t>
      </w:r>
      <w:r>
        <w:rPr>
          <w:sz w:val="20"/>
          <w:szCs w:val="20"/>
        </w:rPr>
        <w:t xml:space="preserve"> Company’s future income tax expense may be affected by such factors as changes in tax laws, its business, regulations, tax rates, interpretation of existing laws or regulations, the impact of accounting for share-based compensation, the impact of accounti</w:t>
      </w:r>
      <w:r>
        <w:rPr>
          <w:sz w:val="20"/>
          <w:szCs w:val="20"/>
        </w:rPr>
        <w:t>ng for business combinations, its international organization, shifts in the amount of income before tax earned in the US as compared with other regions in the world, and changes in overall levels of income before tax.</w:t>
      </w:r>
    </w:p>
    <w:p w:rsidR="00000000" w:rsidRDefault="001E618F">
      <w:pPr>
        <w:pStyle w:val="a3"/>
        <w:spacing w:before="0" w:beforeAutospacing="0" w:after="0" w:afterAutospacing="0"/>
        <w:divId w:val="1100761655"/>
        <w:rPr>
          <w:sz w:val="20"/>
          <w:szCs w:val="20"/>
        </w:rPr>
      </w:pPr>
      <w:r>
        <w:rPr>
          <w:sz w:val="20"/>
          <w:szCs w:val="20"/>
        </w:rPr>
        <w:t>​</w:t>
      </w:r>
    </w:p>
    <w:p w:rsidR="00000000" w:rsidRDefault="001E618F">
      <w:pPr>
        <w:pStyle w:val="a3"/>
        <w:spacing w:before="0" w:beforeAutospacing="0" w:after="0" w:afterAutospacing="0"/>
        <w:divId w:val="1100761655"/>
        <w:rPr>
          <w:sz w:val="20"/>
          <w:szCs w:val="20"/>
        </w:rPr>
      </w:pPr>
      <w:r>
        <w:rPr>
          <w:b/>
          <w:bCs/>
          <w:sz w:val="20"/>
          <w:szCs w:val="20"/>
        </w:rPr>
        <w:t>10. Corporate Restructuring</w:t>
      </w:r>
    </w:p>
    <w:p w:rsidR="00000000" w:rsidRDefault="001E618F">
      <w:pPr>
        <w:pStyle w:val="a3"/>
        <w:spacing w:before="0" w:beforeAutospacing="0" w:after="0" w:afterAutospacing="0"/>
        <w:divId w:val="1100761655"/>
        <w:rPr>
          <w:sz w:val="20"/>
          <w:szCs w:val="20"/>
        </w:rPr>
      </w:pPr>
      <w:r>
        <w:rPr>
          <w:b/>
          <w:bCs/>
          <w:sz w:val="10"/>
          <w:szCs w:val="10"/>
        </w:rPr>
        <w:t>​</w:t>
      </w:r>
    </w:p>
    <w:p w:rsidR="00000000" w:rsidRDefault="001E618F">
      <w:pPr>
        <w:pStyle w:val="a3"/>
        <w:spacing w:before="0" w:beforeAutospacing="0" w:after="0" w:afterAutospacing="0"/>
        <w:ind w:firstLine="720"/>
        <w:divId w:val="1100761655"/>
        <w:rPr>
          <w:sz w:val="20"/>
          <w:szCs w:val="20"/>
        </w:rPr>
      </w:pPr>
      <w:r>
        <w:rPr>
          <w:sz w:val="20"/>
          <w:szCs w:val="20"/>
        </w:rPr>
        <w:t xml:space="preserve">On September 15, 2021, the Company announced a strategic update and corporate restructuring (the “Restructuring”) to focus on leveraging its expertise in developing and commercializing respiratory therapeutics. As part of the </w:t>
      </w:r>
      <w:r>
        <w:rPr>
          <w:sz w:val="20"/>
          <w:szCs w:val="20"/>
        </w:rPr>
        <w:t>Restructuring, the Company initiated a reduction in workforce of approximately 75%. Approximately 75% of the total reduction in workforce occurred in November 2021,</w:t>
      </w:r>
      <w:r>
        <w:rPr>
          <w:color w:val="FF0000"/>
          <w:sz w:val="20"/>
          <w:szCs w:val="20"/>
        </w:rPr>
        <w:t xml:space="preserve"> </w:t>
      </w:r>
      <w:r>
        <w:rPr>
          <w:sz w:val="20"/>
          <w:szCs w:val="20"/>
        </w:rPr>
        <w:t xml:space="preserve">and the remainder was completed in February 2022. </w:t>
      </w:r>
    </w:p>
    <w:p w:rsidR="00000000" w:rsidRDefault="001E618F">
      <w:pPr>
        <w:pStyle w:val="a3"/>
        <w:spacing w:before="0" w:beforeAutospacing="0" w:after="0" w:afterAutospacing="0"/>
        <w:divId w:val="1100761655"/>
        <w:rPr>
          <w:sz w:val="20"/>
          <w:szCs w:val="20"/>
        </w:rPr>
      </w:pPr>
      <w:r>
        <w:rPr>
          <w:sz w:val="20"/>
          <w:szCs w:val="20"/>
        </w:rPr>
        <w:t>​</w:t>
      </w:r>
    </w:p>
    <w:p w:rsidR="00000000" w:rsidRDefault="001E618F">
      <w:pPr>
        <w:pStyle w:val="a3"/>
        <w:spacing w:before="0" w:beforeAutospacing="0" w:after="0" w:afterAutospacing="0"/>
        <w:ind w:firstLine="720"/>
        <w:divId w:val="1100761655"/>
        <w:rPr>
          <w:sz w:val="20"/>
          <w:szCs w:val="20"/>
        </w:rPr>
      </w:pPr>
      <w:r>
        <w:rPr>
          <w:sz w:val="20"/>
          <w:szCs w:val="20"/>
          <w:shd w:val="clear" w:color="auto" w:fill="FFFFFF"/>
        </w:rPr>
        <w:t>For the three months ended March 31, 2</w:t>
      </w:r>
      <w:r>
        <w:rPr>
          <w:sz w:val="20"/>
          <w:szCs w:val="20"/>
          <w:shd w:val="clear" w:color="auto" w:fill="FFFFFF"/>
        </w:rPr>
        <w:t xml:space="preserve">022, the Company incurred Restructuring and related expenses of $9.3 million of which </w:t>
      </w:r>
      <w:r>
        <w:rPr>
          <w:sz w:val="20"/>
          <w:szCs w:val="20"/>
        </w:rPr>
        <w:t>$4.7 million was related to R&amp;D expenses and $4.6 million was related to selling, general and administrative expenses. Of the total $9.3 million, cash-related expenses we</w:t>
      </w:r>
      <w:r>
        <w:rPr>
          <w:sz w:val="20"/>
          <w:szCs w:val="20"/>
        </w:rPr>
        <w:t xml:space="preserve">re $4.8 million and non-cash expenses were $4.5 million which were primarily related to the modification of equity-based awards for employees affected by the Restructuring and certain related awards for other employees. </w:t>
      </w:r>
    </w:p>
    <w:p w:rsidR="00000000" w:rsidRDefault="001E618F">
      <w:pPr>
        <w:pStyle w:val="a3"/>
        <w:spacing w:before="0" w:beforeAutospacing="0" w:after="0" w:afterAutospacing="0"/>
        <w:ind w:firstLine="720"/>
        <w:divId w:val="1100761655"/>
        <w:rPr>
          <w:sz w:val="20"/>
          <w:szCs w:val="20"/>
        </w:rPr>
      </w:pPr>
      <w:r>
        <w:rPr>
          <w:sz w:val="20"/>
          <w:szCs w:val="20"/>
          <w:shd w:val="clear" w:color="auto" w:fill="FFFFFF"/>
        </w:rPr>
        <w:t>​</w:t>
      </w:r>
    </w:p>
    <w:p w:rsidR="00000000" w:rsidRDefault="001E618F">
      <w:pPr>
        <w:pStyle w:val="a3"/>
        <w:spacing w:before="0" w:beforeAutospacing="0" w:after="0" w:afterAutospacing="0"/>
        <w:ind w:firstLine="720"/>
        <w:divId w:val="1100761655"/>
        <w:rPr>
          <w:sz w:val="20"/>
          <w:szCs w:val="20"/>
        </w:rPr>
      </w:pPr>
      <w:r>
        <w:rPr>
          <w:sz w:val="20"/>
          <w:szCs w:val="20"/>
          <w:shd w:val="clear" w:color="auto" w:fill="FFFFFF"/>
        </w:rPr>
        <w:t>Since the Restructuring announcem</w:t>
      </w:r>
      <w:r>
        <w:rPr>
          <w:sz w:val="20"/>
          <w:szCs w:val="20"/>
          <w:shd w:val="clear" w:color="auto" w:fill="FFFFFF"/>
        </w:rPr>
        <w:t xml:space="preserve">ent in September 2021, the Company has incurred total Restructuring and related expenses of $29.5 million of which </w:t>
      </w:r>
      <w:r>
        <w:rPr>
          <w:sz w:val="20"/>
          <w:szCs w:val="20"/>
        </w:rPr>
        <w:t>$15.3 million was related to R&amp;D expenses and $14.2 million was related to selling, general and administrative expenses. Of the total $29.5 m</w:t>
      </w:r>
      <w:r>
        <w:rPr>
          <w:sz w:val="20"/>
          <w:szCs w:val="20"/>
        </w:rPr>
        <w:t xml:space="preserve">illion, cash-related expenses were $16.3 million and non-cash expenses were $13.2 million, which were primarily related to the modification of equity-based awards. </w:t>
      </w:r>
    </w:p>
    <w:p w:rsidR="00000000" w:rsidRDefault="001E618F">
      <w:pPr>
        <w:pStyle w:val="a3"/>
        <w:spacing w:before="0" w:beforeAutospacing="0" w:after="0" w:afterAutospacing="0"/>
        <w:ind w:firstLine="720"/>
        <w:divId w:val="1100761655"/>
        <w:rPr>
          <w:sz w:val="20"/>
          <w:szCs w:val="20"/>
        </w:rPr>
      </w:pPr>
      <w:r>
        <w:rPr>
          <w:sz w:val="20"/>
          <w:szCs w:val="20"/>
        </w:rPr>
        <w:t>​</w:t>
      </w:r>
    </w:p>
    <w:p w:rsidR="00000000" w:rsidRDefault="001E618F">
      <w:pPr>
        <w:pStyle w:val="a3"/>
        <w:spacing w:before="360" w:beforeAutospacing="0" w:after="0" w:afterAutospacing="0"/>
        <w:jc w:val="center"/>
        <w:divId w:val="1154644392"/>
        <w:rPr>
          <w:sz w:val="20"/>
          <w:szCs w:val="20"/>
        </w:rPr>
      </w:pPr>
      <w:r>
        <w:rPr>
          <w:sz w:val="20"/>
          <w:szCs w:val="20"/>
        </w:rPr>
        <w:t>16</w:t>
      </w:r>
    </w:p>
    <w:p w:rsidR="00000000" w:rsidRDefault="001E618F">
      <w:pPr>
        <w:pStyle w:val="a3"/>
        <w:spacing w:before="0" w:beforeAutospacing="0" w:after="600" w:afterAutospacing="0"/>
        <w:divId w:val="496268121"/>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ind w:firstLine="720"/>
        <w:divId w:val="1975482348"/>
        <w:rPr>
          <w:sz w:val="20"/>
          <w:szCs w:val="20"/>
        </w:rPr>
      </w:pPr>
      <w:r>
        <w:rPr>
          <w:sz w:val="20"/>
          <w:szCs w:val="20"/>
        </w:rPr>
        <w:t>The Company estimates that it will incur t</w:t>
      </w:r>
      <w:r>
        <w:rPr>
          <w:sz w:val="20"/>
          <w:szCs w:val="20"/>
        </w:rPr>
        <w:t xml:space="preserve">otal Restructuring and related expenses of approximately $33.0 million comprised of $17.1 million in cash expenses and $15.9 million in non-cash expenses. These expenses are </w:t>
      </w:r>
      <w:r>
        <w:rPr>
          <w:sz w:val="20"/>
          <w:szCs w:val="20"/>
          <w:shd w:val="clear" w:color="auto" w:fill="FFFFFF"/>
        </w:rPr>
        <w:t>primarily comprised of severance and other related costs</w:t>
      </w:r>
      <w:r>
        <w:rPr>
          <w:sz w:val="20"/>
          <w:szCs w:val="20"/>
        </w:rPr>
        <w:t xml:space="preserve"> </w:t>
      </w:r>
      <w:r>
        <w:rPr>
          <w:sz w:val="20"/>
          <w:szCs w:val="20"/>
          <w:shd w:val="clear" w:color="auto" w:fill="FFFFFF"/>
        </w:rPr>
        <w:t xml:space="preserve">which are being </w:t>
      </w:r>
      <w:r>
        <w:rPr>
          <w:sz w:val="20"/>
          <w:szCs w:val="20"/>
        </w:rPr>
        <w:t>recognize</w:t>
      </w:r>
      <w:r>
        <w:rPr>
          <w:sz w:val="20"/>
          <w:szCs w:val="20"/>
        </w:rPr>
        <w:t xml:space="preserve">d ratably over the future service period. </w:t>
      </w:r>
    </w:p>
    <w:p w:rsidR="00000000" w:rsidRDefault="001E618F">
      <w:pPr>
        <w:pStyle w:val="a3"/>
        <w:spacing w:before="0" w:beforeAutospacing="0" w:after="0" w:afterAutospacing="0"/>
        <w:divId w:val="1975482348"/>
        <w:rPr>
          <w:sz w:val="20"/>
          <w:szCs w:val="20"/>
        </w:rPr>
      </w:pPr>
      <w:r>
        <w:rPr>
          <w:color w:val="FF0000"/>
          <w:sz w:val="20"/>
          <w:szCs w:val="20"/>
        </w:rPr>
        <w:t>​</w:t>
      </w:r>
    </w:p>
    <w:p w:rsidR="00000000" w:rsidRDefault="001E618F">
      <w:pPr>
        <w:pStyle w:val="a3"/>
        <w:spacing w:before="0" w:beforeAutospacing="0" w:after="0" w:afterAutospacing="0"/>
        <w:ind w:firstLine="720"/>
        <w:jc w:val="both"/>
        <w:divId w:val="1975482348"/>
        <w:rPr>
          <w:sz w:val="20"/>
          <w:szCs w:val="20"/>
        </w:rPr>
      </w:pPr>
      <w:r>
        <w:rPr>
          <w:sz w:val="20"/>
          <w:szCs w:val="20"/>
        </w:rPr>
        <w:t>Selected information relating to accrued cash-related Restructuring expenses was as follows:</w:t>
      </w:r>
    </w:p>
    <w:p w:rsidR="00000000" w:rsidRDefault="001E618F">
      <w:pPr>
        <w:pStyle w:val="a3"/>
        <w:spacing w:before="0" w:beforeAutospacing="0" w:after="0" w:afterAutospacing="0"/>
        <w:ind w:firstLine="720"/>
        <w:divId w:val="1975482348"/>
        <w:rPr>
          <w:sz w:val="20"/>
          <w:szCs w:val="20"/>
        </w:rPr>
      </w:pPr>
      <w:r>
        <w:rPr>
          <w:color w:val="FF0000"/>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065"/>
        <w:gridCol w:w="223"/>
        <w:gridCol w:w="141"/>
        <w:gridCol w:w="877"/>
      </w:tblGrid>
      <w:tr w:rsidR="00000000">
        <w:trPr>
          <w:divId w:val="1975482348"/>
          <w:trHeight w:val="20"/>
        </w:trPr>
        <w:tc>
          <w:tcPr>
            <w:tcW w:w="4250" w:type="pct"/>
            <w:tcMar>
              <w:top w:w="0" w:type="dxa"/>
              <w:left w:w="0" w:type="dxa"/>
              <w:bottom w:w="0" w:type="dxa"/>
              <w:right w:w="0" w:type="dxa"/>
            </w:tcMar>
            <w:vAlign w:val="bottom"/>
            <w:hideMark/>
          </w:tcPr>
          <w:p w:rsidR="00000000" w:rsidRDefault="001E618F">
            <w:pPr>
              <w:pStyle w:val="a3"/>
              <w:spacing w:before="0" w:beforeAutospacing="0" w:after="0" w:afterAutospacing="0"/>
              <w:divId w:val="1430657747"/>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945724653"/>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737167223"/>
              <w:rPr>
                <w:sz w:val="20"/>
                <w:szCs w:val="20"/>
              </w:rPr>
            </w:pPr>
            <w:r>
              <w:rPr>
                <w:sz w:val="2"/>
                <w:szCs w:val="2"/>
              </w:rPr>
              <w:t>​</w:t>
            </w:r>
          </w:p>
        </w:tc>
        <w:tc>
          <w:tcPr>
            <w:tcW w:w="528"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841891949"/>
              <w:rPr>
                <w:sz w:val="20"/>
                <w:szCs w:val="20"/>
              </w:rPr>
            </w:pPr>
            <w:r>
              <w:rPr>
                <w:sz w:val="2"/>
                <w:szCs w:val="2"/>
              </w:rPr>
              <w:t>​</w:t>
            </w:r>
          </w:p>
        </w:tc>
      </w:tr>
      <w:tr w:rsidR="00000000">
        <w:trPr>
          <w:divId w:val="1975482348"/>
        </w:trPr>
        <w:tc>
          <w:tcPr>
            <w:tcW w:w="4250"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13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8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528"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r>
      <w:tr w:rsidR="00000000">
        <w:trPr>
          <w:divId w:val="1975482348"/>
        </w:trPr>
        <w:tc>
          <w:tcPr>
            <w:tcW w:w="4250"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Balance at December 31, 2021</w:t>
            </w:r>
          </w:p>
        </w:tc>
        <w:tc>
          <w:tcPr>
            <w:tcW w:w="13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28"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9,550</w:t>
            </w:r>
          </w:p>
        </w:tc>
      </w:tr>
      <w:tr w:rsidR="00000000">
        <w:trPr>
          <w:divId w:val="1975482348"/>
        </w:trPr>
        <w:tc>
          <w:tcPr>
            <w:tcW w:w="425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Net accrual</w:t>
            </w:r>
            <w:r>
              <w:rPr>
                <w:sz w:val="20"/>
                <w:szCs w:val="20"/>
              </w:rPr>
              <w:t>s</w:t>
            </w:r>
          </w:p>
        </w:tc>
        <w:tc>
          <w:tcPr>
            <w:tcW w:w="13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528"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5,131</w:t>
            </w:r>
          </w:p>
        </w:tc>
      </w:tr>
      <w:tr w:rsidR="00000000">
        <w:trPr>
          <w:divId w:val="1975482348"/>
        </w:trPr>
        <w:tc>
          <w:tcPr>
            <w:tcW w:w="4250"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Cash pai</w:t>
            </w:r>
            <w:r>
              <w:rPr>
                <w:sz w:val="20"/>
                <w:szCs w:val="20"/>
              </w:rPr>
              <w:t>d</w:t>
            </w:r>
          </w:p>
        </w:tc>
        <w:tc>
          <w:tcPr>
            <w:tcW w:w="13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 </w:t>
            </w:r>
          </w:p>
        </w:tc>
        <w:tc>
          <w:tcPr>
            <w:tcW w:w="5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r>
              <w:rPr>
                <w:sz w:val="20"/>
                <w:szCs w:val="20"/>
              </w:rPr>
              <w:t>11,276)</w:t>
            </w:r>
          </w:p>
        </w:tc>
      </w:tr>
      <w:tr w:rsidR="00000000">
        <w:trPr>
          <w:divId w:val="1975482348"/>
        </w:trPr>
        <w:tc>
          <w:tcPr>
            <w:tcW w:w="425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Balance at March 31, 2022</w:t>
            </w:r>
          </w:p>
        </w:tc>
        <w:tc>
          <w:tcPr>
            <w:tcW w:w="134"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85"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28"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3,405</w:t>
            </w:r>
          </w:p>
        </w:tc>
      </w:tr>
    </w:tbl>
    <w:p w:rsidR="00000000" w:rsidRDefault="001E618F">
      <w:pPr>
        <w:pStyle w:val="a3"/>
        <w:spacing w:before="0" w:beforeAutospacing="0" w:after="0" w:afterAutospacing="0"/>
        <w:divId w:val="1975482348"/>
        <w:rPr>
          <w:sz w:val="20"/>
          <w:szCs w:val="20"/>
        </w:rPr>
      </w:pPr>
      <w:r>
        <w:rPr>
          <w:color w:val="FF0000"/>
          <w:sz w:val="20"/>
          <w:szCs w:val="20"/>
        </w:rPr>
        <w:t>​</w:t>
      </w:r>
    </w:p>
    <w:p w:rsidR="00000000" w:rsidRDefault="001E618F">
      <w:pPr>
        <w:pStyle w:val="a3"/>
        <w:spacing w:before="0" w:beforeAutospacing="0" w:after="0" w:afterAutospacing="0"/>
        <w:ind w:firstLine="720"/>
        <w:divId w:val="1975482348"/>
        <w:rPr>
          <w:sz w:val="20"/>
          <w:szCs w:val="20"/>
        </w:rPr>
      </w:pPr>
      <w:r>
        <w:rPr>
          <w:sz w:val="20"/>
          <w:szCs w:val="20"/>
        </w:rPr>
        <w:t>The Company expects to recognize the remaining Restructuring and related expenses of approximately $3.5 million, comprised of $0.8 million in cash-related expenses and $2.7 million in non-cash expenses by the</w:t>
      </w:r>
      <w:r>
        <w:rPr>
          <w:sz w:val="20"/>
          <w:szCs w:val="20"/>
        </w:rPr>
        <w:t xml:space="preserve"> third quarter of 2022. The remaining Restructuring and related expense estimates are subject to a number of assumptions, and actual amounts may differ. The Company may also incur additional costs not currently contemplated due to events that may occur as </w:t>
      </w:r>
      <w:r>
        <w:rPr>
          <w:sz w:val="20"/>
          <w:szCs w:val="20"/>
        </w:rPr>
        <w:t>a result of, or that are associated with, the Restructuring.</w:t>
      </w:r>
    </w:p>
    <w:p w:rsidR="00000000" w:rsidRDefault="001E618F">
      <w:pPr>
        <w:pStyle w:val="a3"/>
        <w:spacing w:before="0" w:beforeAutospacing="0" w:after="0" w:afterAutospacing="0"/>
        <w:divId w:val="1975482348"/>
        <w:rPr>
          <w:sz w:val="20"/>
          <w:szCs w:val="20"/>
        </w:rPr>
      </w:pPr>
      <w:r>
        <w:rPr>
          <w:sz w:val="20"/>
          <w:szCs w:val="20"/>
        </w:rPr>
        <w:t>​</w:t>
      </w:r>
    </w:p>
    <w:p w:rsidR="00000000" w:rsidRDefault="001E618F">
      <w:pPr>
        <w:pStyle w:val="a3"/>
        <w:spacing w:before="0" w:beforeAutospacing="0" w:after="0" w:afterAutospacing="0"/>
        <w:ind w:firstLine="720"/>
        <w:divId w:val="1975482348"/>
        <w:rPr>
          <w:sz w:val="20"/>
          <w:szCs w:val="20"/>
        </w:rPr>
      </w:pPr>
      <w:r>
        <w:rPr>
          <w:sz w:val="20"/>
          <w:szCs w:val="20"/>
        </w:rPr>
        <w:t>The Company also evaluated the impact of the Restructuring on the carrying value of its long-lived assets, such as property and equipment and operating lease assets. This process included evalu</w:t>
      </w:r>
      <w:r>
        <w:rPr>
          <w:sz w:val="20"/>
          <w:szCs w:val="20"/>
        </w:rPr>
        <w:t>ating the estimated remaining lives, significant changes in the use, and potential impairment charges related to its long-lived assets. Based on its evaluation, the Company determined that its long-lived assets were not impaired as of March 31, 2022, and i</w:t>
      </w:r>
      <w:r>
        <w:rPr>
          <w:sz w:val="20"/>
          <w:szCs w:val="20"/>
        </w:rPr>
        <w:t>t has not recognized any impairment charges related to its long-lived assets since the Restructuring announcement.</w:t>
      </w:r>
    </w:p>
    <w:p w:rsidR="00000000" w:rsidRDefault="001E618F">
      <w:pPr>
        <w:pStyle w:val="a3"/>
        <w:spacing w:before="0" w:beforeAutospacing="0" w:after="0" w:afterAutospacing="0"/>
        <w:divId w:val="1975482348"/>
        <w:rPr>
          <w:sz w:val="20"/>
          <w:szCs w:val="20"/>
        </w:rPr>
      </w:pPr>
      <w:r>
        <w:rPr>
          <w:sz w:val="20"/>
          <w:szCs w:val="20"/>
        </w:rPr>
        <w:t>​</w:t>
      </w:r>
    </w:p>
    <w:p w:rsidR="00000000" w:rsidRDefault="001E618F">
      <w:pPr>
        <w:pStyle w:val="a3"/>
        <w:spacing w:before="0" w:beforeAutospacing="0" w:after="0" w:afterAutospacing="0"/>
        <w:divId w:val="1975482348"/>
        <w:rPr>
          <w:sz w:val="20"/>
          <w:szCs w:val="20"/>
        </w:rPr>
      </w:pPr>
      <w:r>
        <w:rPr>
          <w:sz w:val="20"/>
          <w:szCs w:val="20"/>
        </w:rPr>
        <w:t>​</w:t>
      </w:r>
    </w:p>
    <w:p w:rsidR="00000000" w:rsidRDefault="001E618F">
      <w:pPr>
        <w:pStyle w:val="a3"/>
        <w:spacing w:before="0" w:beforeAutospacing="0" w:after="0" w:afterAutospacing="0"/>
        <w:ind w:hanging="900"/>
        <w:divId w:val="1975482348"/>
        <w:rPr>
          <w:sz w:val="20"/>
          <w:szCs w:val="20"/>
        </w:rPr>
      </w:pPr>
      <w:r>
        <w:rPr>
          <w:b/>
          <w:bCs/>
          <w:sz w:val="20"/>
          <w:szCs w:val="20"/>
        </w:rPr>
        <w:t>ITEM 2.   MANAGEMENT’S DISCUSSION AND ANALYSIS OF FINANCIAL CONDITION AND RESULTS OF OPERATIONS</w:t>
      </w:r>
    </w:p>
    <w:p w:rsidR="00000000" w:rsidRDefault="001E618F">
      <w:pPr>
        <w:pStyle w:val="a3"/>
        <w:spacing w:before="0" w:beforeAutospacing="0" w:after="0" w:afterAutospacing="0"/>
        <w:divId w:val="1975482348"/>
        <w:rPr>
          <w:sz w:val="20"/>
          <w:szCs w:val="20"/>
        </w:rPr>
      </w:pPr>
      <w:r>
        <w:rPr>
          <w:b/>
          <w:bCs/>
          <w:sz w:val="20"/>
          <w:szCs w:val="20"/>
        </w:rPr>
        <w:t>​</w:t>
      </w:r>
    </w:p>
    <w:p w:rsidR="00000000" w:rsidRDefault="001E618F">
      <w:pPr>
        <w:pStyle w:val="a3"/>
        <w:spacing w:before="0" w:beforeAutospacing="0" w:after="0" w:afterAutospacing="0"/>
        <w:divId w:val="1975482348"/>
        <w:rPr>
          <w:sz w:val="20"/>
          <w:szCs w:val="20"/>
        </w:rPr>
      </w:pPr>
      <w:r>
        <w:rPr>
          <w:b/>
          <w:bCs/>
          <w:sz w:val="20"/>
          <w:szCs w:val="20"/>
        </w:rPr>
        <w:t>Forward-Looking Statements</w:t>
      </w:r>
    </w:p>
    <w:p w:rsidR="00000000" w:rsidRDefault="001E618F">
      <w:pPr>
        <w:pStyle w:val="a3"/>
        <w:spacing w:before="0" w:beforeAutospacing="0" w:after="0" w:afterAutospacing="0"/>
        <w:divId w:val="1975482348"/>
        <w:rPr>
          <w:sz w:val="20"/>
          <w:szCs w:val="20"/>
        </w:rPr>
      </w:pPr>
      <w:r>
        <w:rPr>
          <w:sz w:val="10"/>
          <w:szCs w:val="10"/>
        </w:rPr>
        <w:t>​</w:t>
      </w:r>
    </w:p>
    <w:p w:rsidR="00000000" w:rsidRDefault="001E618F">
      <w:pPr>
        <w:pStyle w:val="a3"/>
        <w:spacing w:before="0" w:beforeAutospacing="0" w:after="0" w:afterAutospacing="0"/>
        <w:ind w:firstLine="720"/>
        <w:divId w:val="1975482348"/>
        <w:rPr>
          <w:sz w:val="20"/>
          <w:szCs w:val="20"/>
        </w:rPr>
      </w:pPr>
      <w:r>
        <w:rPr>
          <w:i/>
          <w:iCs/>
          <w:sz w:val="20"/>
          <w:szCs w:val="20"/>
        </w:rPr>
        <w:t>You should read the following discussion in conjunction with our condensed consolidated financial statements (unaudited) and related notes included elsewhere in this report. This report includes “forward-looking statements” wit</w:t>
      </w:r>
      <w:r>
        <w:rPr>
          <w:i/>
          <w:iCs/>
          <w:sz w:val="20"/>
          <w:szCs w:val="20"/>
        </w:rPr>
        <w:t>hin the meaning of Section 27A of the Securities Act of 1933, as amended (the “Securities Act”), and Section 21E of the Securities Exchange Act of 1934, as amended (the “Exchange Act”). Such forward-looking statements involve risks, uncertainties, and assu</w:t>
      </w:r>
      <w:r>
        <w:rPr>
          <w:i/>
          <w:iCs/>
          <w:sz w:val="20"/>
          <w:szCs w:val="20"/>
        </w:rPr>
        <w:t>mptions. All statements in this report, other than statements of historical facts, including statements regarding our strategy, future operations, future financial position, future revenues, projected costs, prospects, plans, intentions, designs, expectati</w:t>
      </w:r>
      <w:r>
        <w:rPr>
          <w:i/>
          <w:iCs/>
          <w:sz w:val="20"/>
          <w:szCs w:val="20"/>
        </w:rPr>
        <w:t xml:space="preserve">ons, and objectives are forward-looking statements. The words “aim,” “anticipate,” “assume,” “believe,” “contemplate,” “continue,” “could,” “designed,” “developed,” “drive,” “estimate,” “expect,” “forecast,” “goal,” “indicate,” “intend,” “may,” “mission,” </w:t>
      </w:r>
      <w:r>
        <w:rPr>
          <w:i/>
          <w:iCs/>
          <w:sz w:val="20"/>
          <w:szCs w:val="20"/>
        </w:rPr>
        <w:t>“opportunities,” “plan,” “possible,” “potential,” “predict,” “project,” “pursue,” “represent,” “seek,” “suggest,” “should,” “target,” “will,” “would,” and similar expressions (including the negatives thereof) are intended to identify forward-looking statem</w:t>
      </w:r>
      <w:r>
        <w:rPr>
          <w:i/>
          <w:iCs/>
          <w:sz w:val="20"/>
          <w:szCs w:val="20"/>
        </w:rPr>
        <w:t xml:space="preserve">ents, although not all forward-looking statements contain these identifying words. These statements reflect our current views with respect to future events or our future financial performance, are based on assumptions, and involve known and unknown risks, </w:t>
      </w:r>
      <w:r>
        <w:rPr>
          <w:i/>
          <w:iCs/>
          <w:sz w:val="20"/>
          <w:szCs w:val="20"/>
        </w:rPr>
        <w:t>uncertainties and other factors which may cause our actual results, performance or achievements to be materially different from any future results, performance or achievements expressed or implied by the forward-looking statements. We may not actually achi</w:t>
      </w:r>
      <w:r>
        <w:rPr>
          <w:i/>
          <w:iCs/>
          <w:sz w:val="20"/>
          <w:szCs w:val="20"/>
        </w:rPr>
        <w:t>eve the plans, intentions, expectations or objectives disclosed in our forward-looking statements and the assumptions underlying our forward-looking statements may prove incorrect. Therefore, you should not place undue reliance on our forward-looking state</w:t>
      </w:r>
      <w:r>
        <w:rPr>
          <w:i/>
          <w:iCs/>
          <w:sz w:val="20"/>
          <w:szCs w:val="20"/>
        </w:rPr>
        <w:t>ments. Actual results or events could differ materially from the plans, intentions, expectations and objectives disclosed in the forward-looking statements that we make. Factors that we believe could cause actual results or events to differ materially from</w:t>
      </w:r>
      <w:r>
        <w:rPr>
          <w:i/>
          <w:iCs/>
          <w:sz w:val="20"/>
          <w:szCs w:val="20"/>
        </w:rPr>
        <w:t xml:space="preserve"> our forward-looking statements include, but are not limited to, those discussed in “Risk Factors,” “Management’s Discussion and Analysis of Financial Condition and Results of Operations” and elsewhere in this report and in our Annual Report on Form 10-K f</w:t>
      </w:r>
      <w:r>
        <w:rPr>
          <w:i/>
          <w:iCs/>
          <w:sz w:val="20"/>
          <w:szCs w:val="20"/>
        </w:rPr>
        <w:t>or the year ended December 31, 2021. Our forward-looking statements in this report are based on current expectations and we do not assume any obligation to update any forward-looking statements for any reason, even if new information becomes available in t</w:t>
      </w:r>
      <w:r>
        <w:rPr>
          <w:i/>
          <w:iCs/>
          <w:sz w:val="20"/>
          <w:szCs w:val="20"/>
        </w:rPr>
        <w:t xml:space="preserve">he future. In addition, while we expect the effects of COVID-19, including new variants, to </w:t>
      </w:r>
    </w:p>
    <w:p w:rsidR="00000000" w:rsidRDefault="001E618F">
      <w:pPr>
        <w:pStyle w:val="a3"/>
        <w:spacing w:before="360" w:beforeAutospacing="0" w:after="0" w:afterAutospacing="0"/>
        <w:jc w:val="center"/>
        <w:divId w:val="841432778"/>
        <w:rPr>
          <w:sz w:val="20"/>
          <w:szCs w:val="20"/>
        </w:rPr>
      </w:pPr>
      <w:r>
        <w:rPr>
          <w:sz w:val="20"/>
          <w:szCs w:val="20"/>
        </w:rPr>
        <w:t>17</w:t>
      </w:r>
    </w:p>
    <w:p w:rsidR="00000000" w:rsidRDefault="001E618F">
      <w:pPr>
        <w:pStyle w:val="a3"/>
        <w:spacing w:before="0" w:beforeAutospacing="0" w:after="600" w:afterAutospacing="0"/>
        <w:divId w:val="517963676"/>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divId w:val="527181867"/>
        <w:rPr>
          <w:sz w:val="20"/>
          <w:szCs w:val="20"/>
        </w:rPr>
      </w:pPr>
      <w:r>
        <w:rPr>
          <w:i/>
          <w:iCs/>
          <w:sz w:val="20"/>
          <w:szCs w:val="20"/>
        </w:rPr>
        <w:t xml:space="preserve">continue to adversely impact our business operations and financial results, the extent of the impact on our ability </w:t>
      </w:r>
      <w:r>
        <w:rPr>
          <w:i/>
          <w:iCs/>
          <w:sz w:val="20"/>
          <w:szCs w:val="20"/>
        </w:rPr>
        <w:t>to generate revenue from YUPELR</w:t>
      </w:r>
      <w:r>
        <w:rPr>
          <w:i/>
          <w:iCs/>
          <w:sz w:val="20"/>
          <w:szCs w:val="20"/>
        </w:rPr>
        <w:t>I</w:t>
      </w:r>
      <w:r>
        <w:rPr>
          <w:i/>
          <w:iCs/>
          <w:sz w:val="15"/>
          <w:szCs w:val="15"/>
          <w:vertAlign w:val="superscript"/>
        </w:rPr>
        <w:t>®</w:t>
      </w:r>
      <w:r>
        <w:rPr>
          <w:i/>
          <w:iCs/>
          <w:sz w:val="20"/>
          <w:szCs w:val="20"/>
        </w:rPr>
        <w:t xml:space="preserve"> (revefenacin), our clinical development programs, and the value of and market for our ordinary shares, will depend on future developments that are highly uncertain and cannot be predicted with confidence at this time. Thes</w:t>
      </w:r>
      <w:r>
        <w:rPr>
          <w:i/>
          <w:iCs/>
          <w:sz w:val="20"/>
          <w:szCs w:val="20"/>
        </w:rPr>
        <w:t>e potential future developments include, but are not limited to, the ultimate duration of the COVID-19 pandemic, travel restrictions, quarantines, vaccination levels, social distancing and business closure requirements in the United States and in other cou</w:t>
      </w:r>
      <w:r>
        <w:rPr>
          <w:i/>
          <w:iCs/>
          <w:sz w:val="20"/>
          <w:szCs w:val="20"/>
        </w:rPr>
        <w:t xml:space="preserve">ntries, other measures taken by us and those we work with to help protect individuals from contracting COVID-19, and the effectiveness of actions taken globally to contain and treat the disease, including vaccine availability, distribution, acceptance and </w:t>
      </w:r>
      <w:r>
        <w:rPr>
          <w:i/>
          <w:iCs/>
          <w:sz w:val="20"/>
          <w:szCs w:val="20"/>
        </w:rPr>
        <w:t>effectiveness. When used in this report, all references to “Theravance Biopharma”, the “Company”, or “we” and other similar pronouns refer to Theravance Biopharma, Inc. collectively with its subsidiaries.</w:t>
      </w:r>
    </w:p>
    <w:p w:rsidR="00000000" w:rsidRDefault="001E618F">
      <w:pPr>
        <w:pStyle w:val="a3"/>
        <w:spacing w:before="0" w:beforeAutospacing="0" w:after="0" w:afterAutospacing="0"/>
        <w:divId w:val="527181867"/>
        <w:rPr>
          <w:sz w:val="20"/>
          <w:szCs w:val="20"/>
        </w:rPr>
      </w:pPr>
      <w:r>
        <w:rPr>
          <w:sz w:val="20"/>
          <w:szCs w:val="20"/>
        </w:rPr>
        <w:t>​</w:t>
      </w:r>
    </w:p>
    <w:p w:rsidR="00000000" w:rsidRDefault="001E618F">
      <w:pPr>
        <w:pStyle w:val="a3"/>
        <w:spacing w:before="0" w:beforeAutospacing="0" w:after="120" w:afterAutospacing="0"/>
        <w:divId w:val="527181867"/>
        <w:rPr>
          <w:sz w:val="20"/>
          <w:szCs w:val="20"/>
        </w:rPr>
      </w:pPr>
      <w:r>
        <w:rPr>
          <w:b/>
          <w:bCs/>
          <w:sz w:val="20"/>
          <w:szCs w:val="20"/>
        </w:rPr>
        <w:t>Management Overview</w:t>
      </w:r>
    </w:p>
    <w:p w:rsidR="00000000" w:rsidRDefault="001E618F">
      <w:pPr>
        <w:pStyle w:val="a3"/>
        <w:spacing w:before="0" w:beforeAutospacing="0" w:after="0" w:afterAutospacing="0"/>
        <w:ind w:firstLine="720"/>
        <w:divId w:val="527181867"/>
        <w:rPr>
          <w:sz w:val="20"/>
          <w:szCs w:val="20"/>
        </w:rPr>
      </w:pPr>
      <w:r>
        <w:rPr>
          <w:sz w:val="20"/>
          <w:szCs w:val="20"/>
        </w:rPr>
        <w:t>Theravance Biopharma, Inc. (“</w:t>
      </w:r>
      <w:r>
        <w:rPr>
          <w:sz w:val="20"/>
          <w:szCs w:val="20"/>
        </w:rPr>
        <w:t xml:space="preserve">we,” “our,” “Theravance Biopharma” or the “Company”) is a biopharmaceutical company primarily focused on the discovery, development, and commercialization of respiratory medicines. Our core purpose is to create </w:t>
      </w:r>
      <w:r>
        <w:rPr>
          <w:i/>
          <w:iCs/>
          <w:sz w:val="20"/>
          <w:szCs w:val="20"/>
        </w:rPr>
        <w:t>medicines that make a difference</w:t>
      </w:r>
      <w:r>
        <w:rPr>
          <w:sz w:val="20"/>
          <w:szCs w:val="20"/>
        </w:rPr>
        <w:t>® in people's</w:t>
      </w:r>
      <w:r>
        <w:rPr>
          <w:sz w:val="20"/>
          <w:szCs w:val="20"/>
        </w:rPr>
        <w:t xml:space="preserve"> lives.</w:t>
      </w:r>
    </w:p>
    <w:p w:rsidR="00000000" w:rsidRDefault="001E618F">
      <w:pPr>
        <w:pStyle w:val="a3"/>
        <w:spacing w:before="0" w:beforeAutospacing="0" w:after="0" w:afterAutospacing="0"/>
        <w:ind w:firstLine="720"/>
        <w:divId w:val="527181867"/>
        <w:rPr>
          <w:sz w:val="20"/>
          <w:szCs w:val="20"/>
        </w:rPr>
      </w:pPr>
      <w:r>
        <w:rPr>
          <w:sz w:val="20"/>
          <w:szCs w:val="20"/>
        </w:rPr>
        <w:t>​</w:t>
      </w:r>
    </w:p>
    <w:p w:rsidR="00000000" w:rsidRDefault="001E618F">
      <w:pPr>
        <w:pStyle w:val="a3"/>
        <w:spacing w:before="0" w:beforeAutospacing="0" w:after="0" w:afterAutospacing="0"/>
        <w:ind w:firstLine="720"/>
        <w:divId w:val="527181867"/>
        <w:rPr>
          <w:sz w:val="20"/>
          <w:szCs w:val="20"/>
        </w:rPr>
      </w:pPr>
      <w:r>
        <w:rPr>
          <w:sz w:val="20"/>
          <w:szCs w:val="20"/>
        </w:rPr>
        <w:t xml:space="preserve">In pursuit of our purpose, we leverage decades of respiratory expertise to discover and develop transformational medicines that make a difference. These efforts have led to the development of the United States (“US”) Food and Drug Administration </w:t>
      </w:r>
      <w:r>
        <w:rPr>
          <w:sz w:val="20"/>
          <w:szCs w:val="20"/>
        </w:rPr>
        <w:t>(the “FDA”) approved YUPELR</w:t>
      </w:r>
      <w:r>
        <w:rPr>
          <w:sz w:val="20"/>
          <w:szCs w:val="20"/>
        </w:rPr>
        <w:t>I</w:t>
      </w:r>
      <w:r>
        <w:rPr>
          <w:sz w:val="15"/>
          <w:szCs w:val="15"/>
          <w:vertAlign w:val="superscript"/>
        </w:rPr>
        <w:t>®</w:t>
      </w:r>
      <w:r>
        <w:rPr>
          <w:sz w:val="20"/>
          <w:szCs w:val="20"/>
        </w:rPr>
        <w:t xml:space="preserve"> (revefenacin) inhalation solution indicated for the maintenance treatment of patients with chronic obstructive pulmonary disease (“COPD”). Our respiratory pipeline of internally discovered programs is targeted to address signi</w:t>
      </w:r>
      <w:r>
        <w:rPr>
          <w:sz w:val="20"/>
          <w:szCs w:val="20"/>
        </w:rPr>
        <w:t>ficant patient respiratory needs.</w:t>
      </w:r>
    </w:p>
    <w:p w:rsidR="00000000" w:rsidRDefault="001E618F">
      <w:pPr>
        <w:pStyle w:val="a3"/>
        <w:spacing w:before="0" w:beforeAutospacing="0" w:after="0" w:afterAutospacing="0"/>
        <w:divId w:val="527181867"/>
        <w:rPr>
          <w:sz w:val="20"/>
          <w:szCs w:val="20"/>
        </w:rPr>
      </w:pPr>
      <w:r>
        <w:rPr>
          <w:sz w:val="20"/>
          <w:szCs w:val="20"/>
        </w:rPr>
        <w:t>​</w:t>
      </w:r>
    </w:p>
    <w:p w:rsidR="00000000" w:rsidRDefault="001E618F">
      <w:pPr>
        <w:pStyle w:val="a3"/>
        <w:spacing w:before="0" w:beforeAutospacing="0" w:after="0" w:afterAutospacing="0"/>
        <w:divId w:val="527181867"/>
        <w:rPr>
          <w:sz w:val="20"/>
          <w:szCs w:val="20"/>
        </w:rPr>
      </w:pPr>
      <w:r>
        <w:rPr>
          <w:sz w:val="20"/>
          <w:szCs w:val="20"/>
        </w:rPr>
        <w:t>We have an economic interest in potential future payments from Glaxo Group or one of its affiliates (“GSK”) pursuant to our agreements with Innoviva, Inc. (“Innoviva”) relating primarily to TRELEGY.</w:t>
      </w:r>
    </w:p>
    <w:p w:rsidR="00000000" w:rsidRDefault="001E618F">
      <w:pPr>
        <w:pStyle w:val="a3"/>
        <w:spacing w:before="0" w:beforeAutospacing="0" w:after="0" w:afterAutospacing="0"/>
        <w:divId w:val="527181867"/>
        <w:rPr>
          <w:sz w:val="20"/>
          <w:szCs w:val="20"/>
        </w:rPr>
      </w:pPr>
      <w:r>
        <w:rPr>
          <w:sz w:val="20"/>
          <w:szCs w:val="20"/>
        </w:rPr>
        <w:t>​</w:t>
      </w:r>
    </w:p>
    <w:p w:rsidR="00000000" w:rsidRDefault="001E618F">
      <w:pPr>
        <w:pStyle w:val="a3"/>
        <w:spacing w:before="0" w:beforeAutospacing="0" w:after="120" w:afterAutospacing="0"/>
        <w:divId w:val="527181867"/>
        <w:rPr>
          <w:sz w:val="20"/>
          <w:szCs w:val="20"/>
        </w:rPr>
      </w:pPr>
      <w:r>
        <w:rPr>
          <w:b/>
          <w:bCs/>
          <w:sz w:val="20"/>
          <w:szCs w:val="20"/>
        </w:rPr>
        <w:t>Corporate Restructu</w:t>
      </w:r>
      <w:r>
        <w:rPr>
          <w:b/>
          <w:bCs/>
          <w:sz w:val="20"/>
          <w:szCs w:val="20"/>
        </w:rPr>
        <w:t xml:space="preserve">ring </w:t>
      </w:r>
    </w:p>
    <w:p w:rsidR="00000000" w:rsidRDefault="001E618F">
      <w:pPr>
        <w:pStyle w:val="a3"/>
        <w:spacing w:before="0" w:beforeAutospacing="0" w:after="0" w:afterAutospacing="0"/>
        <w:ind w:firstLine="720"/>
        <w:divId w:val="527181867"/>
        <w:rPr>
          <w:sz w:val="20"/>
          <w:szCs w:val="20"/>
        </w:rPr>
      </w:pPr>
      <w:r>
        <w:rPr>
          <w:sz w:val="20"/>
          <w:szCs w:val="20"/>
        </w:rPr>
        <w:t>As previously announced in September 2021</w:t>
      </w:r>
      <w:r>
        <w:rPr>
          <w:sz w:val="20"/>
          <w:szCs w:val="20"/>
        </w:rPr>
        <w:t>,</w:t>
      </w:r>
      <w:r>
        <w:rPr>
          <w:sz w:val="20"/>
          <w:szCs w:val="20"/>
        </w:rPr>
        <w:t xml:space="preserve"> our board of directors approved a plan to focus our resources on our most promising respiratory programs and reduce the size of the Company in order to maximize shareholder value. The corporate restructuring</w:t>
      </w:r>
      <w:r>
        <w:rPr>
          <w:sz w:val="20"/>
          <w:szCs w:val="20"/>
        </w:rPr>
        <w:t xml:space="preserve"> (the “Restructuring”) resulted in us reducing headcount by approximately 75%. Approximately 75% of the total reduction in workforce occurred at the end of November 2021, and the remainder was completed at the end of February 2022.</w:t>
      </w:r>
      <w:r>
        <w:rPr>
          <w:sz w:val="20"/>
          <w:szCs w:val="20"/>
        </w:rPr>
        <w:t xml:space="preserve"> </w:t>
      </w:r>
    </w:p>
    <w:p w:rsidR="00000000" w:rsidRDefault="001E618F">
      <w:pPr>
        <w:pStyle w:val="a3"/>
        <w:spacing w:before="0" w:beforeAutospacing="0" w:after="0" w:afterAutospacing="0"/>
        <w:divId w:val="527181867"/>
        <w:rPr>
          <w:sz w:val="20"/>
          <w:szCs w:val="20"/>
        </w:rPr>
      </w:pPr>
      <w:r>
        <w:rPr>
          <w:sz w:val="20"/>
          <w:szCs w:val="20"/>
        </w:rPr>
        <w:t>​</w:t>
      </w:r>
    </w:p>
    <w:p w:rsidR="00000000" w:rsidRDefault="001E618F">
      <w:pPr>
        <w:pStyle w:val="a3"/>
        <w:spacing w:before="0" w:beforeAutospacing="0" w:after="0" w:afterAutospacing="0"/>
        <w:ind w:firstLine="720"/>
        <w:divId w:val="527181867"/>
        <w:rPr>
          <w:sz w:val="20"/>
          <w:szCs w:val="20"/>
        </w:rPr>
      </w:pPr>
      <w:r>
        <w:rPr>
          <w:sz w:val="20"/>
          <w:szCs w:val="20"/>
        </w:rPr>
        <w:t>Since the Restructuri</w:t>
      </w:r>
      <w:r>
        <w:rPr>
          <w:sz w:val="20"/>
          <w:szCs w:val="20"/>
        </w:rPr>
        <w:t>ng was announced, we incurred $29.5 million in Restructuring and related expenses through the first quarter of 2022, and we expect to recognize the remaining Restructuring and related expenses of approximately $3.5 million, comprised of $0.8 million in cas</w:t>
      </w:r>
      <w:r>
        <w:rPr>
          <w:sz w:val="20"/>
          <w:szCs w:val="20"/>
        </w:rPr>
        <w:t>h-related expenses and $2.7 million in non-cash expenses, by the third quarter of 2022. The remaining Restructuring expense estimates are subject to a number of assumptions, and actual final amounts may differ.</w:t>
      </w:r>
      <w:r>
        <w:rPr>
          <w:sz w:val="20"/>
          <w:szCs w:val="20"/>
        </w:rPr>
        <w:t xml:space="preserve"> </w:t>
      </w:r>
    </w:p>
    <w:p w:rsidR="00000000" w:rsidRDefault="001E618F">
      <w:pPr>
        <w:pStyle w:val="a3"/>
        <w:spacing w:before="0" w:beforeAutospacing="0" w:after="0" w:afterAutospacing="0"/>
        <w:divId w:val="527181867"/>
        <w:rPr>
          <w:sz w:val="20"/>
          <w:szCs w:val="20"/>
        </w:rPr>
      </w:pPr>
      <w:r>
        <w:rPr>
          <w:sz w:val="20"/>
          <w:szCs w:val="20"/>
        </w:rPr>
        <w:t>​</w:t>
      </w:r>
    </w:p>
    <w:p w:rsidR="00000000" w:rsidRDefault="001E618F">
      <w:pPr>
        <w:pStyle w:val="a3"/>
        <w:spacing w:before="0" w:beforeAutospacing="0" w:after="0" w:afterAutospacing="0"/>
        <w:ind w:firstLine="720"/>
        <w:divId w:val="527181867"/>
        <w:rPr>
          <w:sz w:val="20"/>
          <w:szCs w:val="20"/>
        </w:rPr>
      </w:pPr>
      <w:r>
        <w:rPr>
          <w:sz w:val="20"/>
          <w:szCs w:val="20"/>
        </w:rPr>
        <w:t xml:space="preserve">As a result of the Restructuring, we plan </w:t>
      </w:r>
      <w:r>
        <w:rPr>
          <w:sz w:val="20"/>
          <w:szCs w:val="20"/>
        </w:rPr>
        <w:t>to become sustainably cash-flow positive beginning in the second half of 2022 and going forward on an annual basis.</w:t>
      </w:r>
    </w:p>
    <w:p w:rsidR="00000000" w:rsidRDefault="001E618F">
      <w:pPr>
        <w:pStyle w:val="a3"/>
        <w:spacing w:before="0" w:beforeAutospacing="0" w:after="0" w:afterAutospacing="0"/>
        <w:divId w:val="527181867"/>
        <w:rPr>
          <w:sz w:val="20"/>
          <w:szCs w:val="20"/>
        </w:rPr>
      </w:pPr>
      <w:r>
        <w:rPr>
          <w:sz w:val="20"/>
          <w:szCs w:val="20"/>
        </w:rPr>
        <w:t>​</w:t>
      </w:r>
    </w:p>
    <w:p w:rsidR="00000000" w:rsidRDefault="001E618F">
      <w:pPr>
        <w:pStyle w:val="a3"/>
        <w:spacing w:before="0" w:beforeAutospacing="0" w:after="120" w:afterAutospacing="0"/>
        <w:divId w:val="527181867"/>
        <w:rPr>
          <w:sz w:val="20"/>
          <w:szCs w:val="20"/>
        </w:rPr>
      </w:pPr>
      <w:r>
        <w:rPr>
          <w:b/>
          <w:bCs/>
          <w:sz w:val="20"/>
          <w:szCs w:val="20"/>
        </w:rPr>
        <w:t>Ongoing Impact of COVID-19 Pandemic</w:t>
      </w:r>
    </w:p>
    <w:p w:rsidR="00000000" w:rsidRDefault="001E618F">
      <w:pPr>
        <w:pStyle w:val="a3"/>
        <w:spacing w:before="0" w:beforeAutospacing="0" w:after="0" w:afterAutospacing="0"/>
        <w:ind w:firstLine="720"/>
        <w:divId w:val="527181867"/>
        <w:rPr>
          <w:sz w:val="20"/>
          <w:szCs w:val="20"/>
        </w:rPr>
      </w:pPr>
      <w:r>
        <w:rPr>
          <w:sz w:val="20"/>
          <w:szCs w:val="20"/>
        </w:rPr>
        <w:t>The effects of the COVID-19 pandemic and the related actions by governments, companies, and individual</w:t>
      </w:r>
      <w:r>
        <w:rPr>
          <w:sz w:val="20"/>
          <w:szCs w:val="20"/>
        </w:rPr>
        <w:t xml:space="preserve">s around the world in an attempt to contain the spread of the virus </w:t>
      </w:r>
      <w:r>
        <w:rPr>
          <w:sz w:val="20"/>
          <w:szCs w:val="20"/>
          <w:shd w:val="clear" w:color="auto" w:fill="FFFFFF"/>
        </w:rPr>
        <w:t xml:space="preserve">(including new variants of COVID-19) </w:t>
      </w:r>
      <w:r>
        <w:rPr>
          <w:sz w:val="20"/>
          <w:szCs w:val="20"/>
        </w:rPr>
        <w:t>continue to present a substantial public health and economic challenge and are affecting our employees, patients, communities, clinical trial sites, su</w:t>
      </w:r>
      <w:r>
        <w:rPr>
          <w:sz w:val="20"/>
          <w:szCs w:val="20"/>
        </w:rPr>
        <w:t xml:space="preserve">ppliers, business partners and business operations. The full extent to which the COVID-19 pandemic will continue to directly or indirectly impact our business, results of operations and financial condition, including revenue, expenses, clinical trials and </w:t>
      </w:r>
      <w:r>
        <w:rPr>
          <w:sz w:val="20"/>
          <w:szCs w:val="20"/>
        </w:rPr>
        <w:t>research and development costs, will depend on future developments that are highly uncertain and may be impacted by the emergence of new information concerning the COVID-19 pandemic, ongoing spread of the disease across the US and the globe, and the action</w:t>
      </w:r>
      <w:r>
        <w:rPr>
          <w:sz w:val="20"/>
          <w:szCs w:val="20"/>
        </w:rPr>
        <w:t>s taken to contain or treat the disease, including vaccine availability, distribution, acceptance and effectiveness.</w:t>
      </w:r>
    </w:p>
    <w:p w:rsidR="00000000" w:rsidRDefault="001E618F">
      <w:pPr>
        <w:pStyle w:val="a3"/>
        <w:spacing w:before="0" w:beforeAutospacing="0" w:after="0" w:afterAutospacing="0"/>
        <w:jc w:val="both"/>
        <w:divId w:val="527181867"/>
        <w:rPr>
          <w:sz w:val="20"/>
          <w:szCs w:val="20"/>
        </w:rPr>
      </w:pPr>
      <w:r>
        <w:rPr>
          <w:i/>
          <w:iCs/>
          <w:sz w:val="20"/>
          <w:szCs w:val="20"/>
        </w:rPr>
        <w:t>​</w:t>
      </w:r>
    </w:p>
    <w:p w:rsidR="00000000" w:rsidRDefault="001E618F">
      <w:pPr>
        <w:pStyle w:val="a3"/>
        <w:spacing w:before="0" w:beforeAutospacing="0" w:after="0" w:afterAutospacing="0"/>
        <w:ind w:firstLine="720"/>
        <w:divId w:val="527181867"/>
        <w:rPr>
          <w:sz w:val="20"/>
          <w:szCs w:val="20"/>
        </w:rPr>
      </w:pPr>
      <w:r>
        <w:rPr>
          <w:sz w:val="20"/>
          <w:szCs w:val="20"/>
        </w:rPr>
        <w:t xml:space="preserve">As part of our response to the ongoing COVID-19 pandemic, we have taken steps to identify and mitigate the adverse impacts on, and risks to, our business posed by its spread and actions taken by governmental and health authorities to </w:t>
      </w:r>
    </w:p>
    <w:p w:rsidR="00000000" w:rsidRDefault="001E618F">
      <w:pPr>
        <w:pStyle w:val="a3"/>
        <w:spacing w:before="360" w:beforeAutospacing="0" w:after="0" w:afterAutospacing="0"/>
        <w:jc w:val="center"/>
        <w:divId w:val="395591165"/>
        <w:rPr>
          <w:sz w:val="20"/>
          <w:szCs w:val="20"/>
        </w:rPr>
      </w:pPr>
      <w:r>
        <w:rPr>
          <w:sz w:val="20"/>
          <w:szCs w:val="20"/>
        </w:rPr>
        <w:t>18</w:t>
      </w:r>
    </w:p>
    <w:p w:rsidR="00000000" w:rsidRDefault="001E618F">
      <w:pPr>
        <w:pStyle w:val="a3"/>
        <w:spacing w:before="0" w:beforeAutospacing="0" w:after="600" w:afterAutospacing="0"/>
        <w:divId w:val="115682748"/>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divId w:val="545872713"/>
        <w:rPr>
          <w:sz w:val="20"/>
          <w:szCs w:val="20"/>
        </w:rPr>
      </w:pPr>
      <w:r>
        <w:rPr>
          <w:sz w:val="20"/>
          <w:szCs w:val="20"/>
        </w:rPr>
        <w:t>address the COVID-19 pandemic. We expect to continue to implement measures as may be required or recommended by government authorities or as we determine are in the best interests of our employees, clinical trial sites and partici</w:t>
      </w:r>
      <w:r>
        <w:rPr>
          <w:sz w:val="20"/>
          <w:szCs w:val="20"/>
        </w:rPr>
        <w:t>pants, the patients we serve, and other stakeholders in light of COVID-19.</w:t>
      </w:r>
    </w:p>
    <w:p w:rsidR="00000000" w:rsidRDefault="001E618F">
      <w:pPr>
        <w:pStyle w:val="a3"/>
        <w:spacing w:before="0" w:beforeAutospacing="0" w:after="0" w:afterAutospacing="0"/>
        <w:divId w:val="545872713"/>
        <w:rPr>
          <w:sz w:val="20"/>
          <w:szCs w:val="20"/>
        </w:rPr>
      </w:pPr>
      <w:r>
        <w:rPr>
          <w:sz w:val="20"/>
          <w:szCs w:val="20"/>
        </w:rPr>
        <w:t>​</w:t>
      </w:r>
    </w:p>
    <w:p w:rsidR="00000000" w:rsidRDefault="001E618F">
      <w:pPr>
        <w:pStyle w:val="a3"/>
        <w:spacing w:before="0" w:beforeAutospacing="0" w:after="0" w:afterAutospacing="0"/>
        <w:divId w:val="545872713"/>
        <w:rPr>
          <w:sz w:val="20"/>
          <w:szCs w:val="20"/>
        </w:rPr>
      </w:pPr>
      <w:r>
        <w:rPr>
          <w:b/>
          <w:bCs/>
          <w:sz w:val="20"/>
          <w:szCs w:val="20"/>
        </w:rPr>
        <w:t>Respiratory Program Highlights</w:t>
      </w:r>
    </w:p>
    <w:p w:rsidR="00000000" w:rsidRDefault="001E618F">
      <w:pPr>
        <w:pStyle w:val="a3"/>
        <w:spacing w:before="0" w:beforeAutospacing="0" w:after="0" w:afterAutospacing="0"/>
        <w:divId w:val="545872713"/>
        <w:rPr>
          <w:sz w:val="20"/>
          <w:szCs w:val="20"/>
        </w:rPr>
      </w:pPr>
      <w:r>
        <w:rPr>
          <w:b/>
          <w:bCs/>
          <w:i/>
          <w:iCs/>
          <w:sz w:val="20"/>
          <w:szCs w:val="20"/>
        </w:rPr>
        <w:t>​</w:t>
      </w:r>
    </w:p>
    <w:p w:rsidR="00000000" w:rsidRDefault="001E618F">
      <w:pPr>
        <w:pStyle w:val="a3"/>
        <w:spacing w:before="0" w:beforeAutospacing="0" w:after="0" w:afterAutospacing="0"/>
        <w:ind w:hanging="200"/>
        <w:divId w:val="545872713"/>
        <w:rPr>
          <w:sz w:val="20"/>
          <w:szCs w:val="20"/>
        </w:rPr>
      </w:pPr>
      <w:r>
        <w:rPr>
          <w:b/>
          <w:bCs/>
          <w:i/>
          <w:iCs/>
          <w:sz w:val="20"/>
          <w:szCs w:val="20"/>
        </w:rPr>
        <w:t>YUPELR</w:t>
      </w:r>
      <w:r>
        <w:rPr>
          <w:b/>
          <w:bCs/>
          <w:i/>
          <w:iCs/>
          <w:sz w:val="20"/>
          <w:szCs w:val="20"/>
        </w:rPr>
        <w:t>I</w:t>
      </w:r>
      <w:r>
        <w:rPr>
          <w:b/>
          <w:bCs/>
          <w:i/>
          <w:iCs/>
          <w:sz w:val="15"/>
          <w:szCs w:val="15"/>
          <w:vertAlign w:val="superscript"/>
        </w:rPr>
        <w:t xml:space="preserve"> </w:t>
      </w:r>
      <w:r>
        <w:rPr>
          <w:b/>
          <w:bCs/>
          <w:i/>
          <w:iCs/>
          <w:sz w:val="20"/>
          <w:szCs w:val="20"/>
        </w:rPr>
        <w:t>(revefenacin) Inhalation Solution</w:t>
      </w:r>
    </w:p>
    <w:p w:rsidR="00000000" w:rsidRDefault="001E618F">
      <w:pPr>
        <w:pStyle w:val="a3"/>
        <w:spacing w:before="0" w:beforeAutospacing="0" w:after="0" w:afterAutospacing="0"/>
        <w:divId w:val="545872713"/>
        <w:rPr>
          <w:sz w:val="20"/>
          <w:szCs w:val="20"/>
        </w:rPr>
      </w:pPr>
      <w:r>
        <w:rPr>
          <w:sz w:val="10"/>
          <w:szCs w:val="10"/>
        </w:rPr>
        <w:t>​</w:t>
      </w:r>
    </w:p>
    <w:p w:rsidR="00000000" w:rsidRDefault="001E618F">
      <w:pPr>
        <w:pStyle w:val="a3"/>
        <w:spacing w:before="0" w:beforeAutospacing="0" w:after="0" w:afterAutospacing="0"/>
        <w:ind w:firstLine="720"/>
        <w:divId w:val="545872713"/>
        <w:rPr>
          <w:sz w:val="20"/>
          <w:szCs w:val="20"/>
        </w:rPr>
      </w:pPr>
      <w:r>
        <w:rPr>
          <w:sz w:val="20"/>
          <w:szCs w:val="20"/>
        </w:rPr>
        <w:t>YUPELRI (revefenacin) inhalation solution is a once-daily, nebulized long-acting muscarinic antagonist (“LAMA”) approved for the maintenance treatment of COPD in the US. LAMAs are recognized by international COPD treatment guidelines as a cornerstone of ma</w:t>
      </w:r>
      <w:r>
        <w:rPr>
          <w:sz w:val="20"/>
          <w:szCs w:val="20"/>
        </w:rPr>
        <w:t>intenance therapy for COPD, regardless of severity of disease. Our market research indicates there is an enduring population of COPD patients in the US that either need or prefer nebulized delivery for maintenance therapy. The stability of revefenacin in b</w:t>
      </w:r>
      <w:r>
        <w:rPr>
          <w:sz w:val="20"/>
          <w:szCs w:val="20"/>
        </w:rPr>
        <w:t xml:space="preserve">oth metered dose inhaler and dry powder inhaler (“MDI/DPI”) formulations suggests that revefenacin could also serve as a foundation for novel handheld combination products. </w:t>
      </w:r>
    </w:p>
    <w:p w:rsidR="00000000" w:rsidRDefault="001E618F">
      <w:pPr>
        <w:pStyle w:val="a3"/>
        <w:spacing w:before="0" w:beforeAutospacing="0" w:after="0" w:afterAutospacing="0"/>
        <w:ind w:firstLine="720"/>
        <w:divId w:val="545872713"/>
        <w:rPr>
          <w:sz w:val="20"/>
          <w:szCs w:val="20"/>
        </w:rPr>
      </w:pPr>
      <w:r>
        <w:rPr>
          <w:sz w:val="20"/>
          <w:szCs w:val="20"/>
        </w:rPr>
        <w:t>​</w:t>
      </w:r>
    </w:p>
    <w:p w:rsidR="00000000" w:rsidRDefault="001E618F">
      <w:pPr>
        <w:pStyle w:val="a3"/>
        <w:spacing w:before="0" w:beforeAutospacing="0" w:after="0" w:afterAutospacing="0"/>
        <w:ind w:firstLine="720"/>
        <w:divId w:val="545872713"/>
        <w:rPr>
          <w:sz w:val="20"/>
          <w:szCs w:val="20"/>
        </w:rPr>
      </w:pPr>
      <w:r>
        <w:rPr>
          <w:sz w:val="20"/>
          <w:szCs w:val="20"/>
        </w:rPr>
        <w:t>We co-developed YUPELRI with our collaboration partner, Viatris, and YUPELRI was</w:t>
      </w:r>
      <w:r>
        <w:rPr>
          <w:sz w:val="20"/>
          <w:szCs w:val="20"/>
        </w:rPr>
        <w:t xml:space="preserve"> approved by the FDA for the maintenance treatment of patients with COPD in November 2018. In the US, Viatris is leading the commercialization of YUPELRI, and we co-promote the product under a profit and loss sharing arrangement (65% to Viatris; 35% to The</w:t>
      </w:r>
      <w:r>
        <w:rPr>
          <w:sz w:val="20"/>
          <w:szCs w:val="20"/>
        </w:rPr>
        <w:t>ravance Biopharma). Outside the US (including China and adjacent territories), Viatris is responsible for development and commercialization and will pay us a tiered royalty on net sales at percentage royalty rates ranging from low double-digits to mid-teen</w:t>
      </w:r>
      <w:r>
        <w:rPr>
          <w:sz w:val="20"/>
          <w:szCs w:val="20"/>
        </w:rPr>
        <w:t xml:space="preserve">s. </w:t>
      </w:r>
    </w:p>
    <w:p w:rsidR="00000000" w:rsidRDefault="001E618F">
      <w:pPr>
        <w:pStyle w:val="a3"/>
        <w:spacing w:before="0" w:beforeAutospacing="0" w:after="0" w:afterAutospacing="0"/>
        <w:divId w:val="545872713"/>
        <w:rPr>
          <w:sz w:val="20"/>
          <w:szCs w:val="20"/>
        </w:rPr>
      </w:pPr>
      <w:r>
        <w:rPr>
          <w:sz w:val="20"/>
          <w:szCs w:val="20"/>
        </w:rPr>
        <w:t>​</w:t>
      </w:r>
    </w:p>
    <w:p w:rsidR="00000000" w:rsidRDefault="001E618F">
      <w:pPr>
        <w:pStyle w:val="a3"/>
        <w:spacing w:before="0" w:beforeAutospacing="0" w:after="0" w:afterAutospacing="0"/>
        <w:ind w:firstLine="720"/>
        <w:divId w:val="545872713"/>
        <w:rPr>
          <w:sz w:val="20"/>
          <w:szCs w:val="20"/>
        </w:rPr>
      </w:pPr>
      <w:r>
        <w:rPr>
          <w:sz w:val="20"/>
          <w:szCs w:val="20"/>
        </w:rPr>
        <w:t>Under the terms of the Viatris Development and Commercialization Agreement, as of March 31, 2022, we are eligible to receive from Viatris potential global development, regulatory and sales milestone payments totaling up to $257.5 million in the aggre</w:t>
      </w:r>
      <w:r>
        <w:rPr>
          <w:sz w:val="20"/>
          <w:szCs w:val="20"/>
        </w:rPr>
        <w:t>gate with $205.0 million associated with YUPELRI monotherapy and $52.5 million associated with future potential combination products. Of the $205.0 million associated with monotherapy, $187.5 million relates to sales milestones based on achieving certain l</w:t>
      </w:r>
      <w:r>
        <w:rPr>
          <w:sz w:val="20"/>
          <w:szCs w:val="20"/>
        </w:rPr>
        <w:t xml:space="preserve">evels of net sales and $17.5 million relates to global development and regulatory actions. The $52.5 million associated with future potential combination products relates solely to global development and regulatory actions. </w:t>
      </w:r>
    </w:p>
    <w:p w:rsidR="00000000" w:rsidRDefault="001E618F">
      <w:pPr>
        <w:pStyle w:val="a3"/>
        <w:spacing w:before="0" w:beforeAutospacing="0" w:after="0" w:afterAutospacing="0"/>
        <w:divId w:val="545872713"/>
        <w:rPr>
          <w:sz w:val="20"/>
          <w:szCs w:val="20"/>
        </w:rPr>
      </w:pPr>
      <w:r>
        <w:rPr>
          <w:sz w:val="20"/>
          <w:szCs w:val="20"/>
        </w:rPr>
        <w:t>​</w:t>
      </w:r>
    </w:p>
    <w:p w:rsidR="00000000" w:rsidRDefault="001E618F">
      <w:pPr>
        <w:pStyle w:val="a3"/>
        <w:spacing w:before="0" w:beforeAutospacing="0" w:after="0" w:afterAutospacing="0"/>
        <w:ind w:firstLine="720"/>
        <w:divId w:val="545872713"/>
        <w:rPr>
          <w:sz w:val="20"/>
          <w:szCs w:val="20"/>
        </w:rPr>
      </w:pPr>
      <w:r>
        <w:rPr>
          <w:sz w:val="20"/>
          <w:szCs w:val="20"/>
        </w:rPr>
        <w:t>Since March 2020, YUPELRI’s g</w:t>
      </w:r>
      <w:r>
        <w:rPr>
          <w:sz w:val="20"/>
          <w:szCs w:val="20"/>
        </w:rPr>
        <w:t>rowth trajectory has been impacted by the COVID-19 respiratory pandemic. However, in late 2021, we began to observe a return to growth in YUPELRI sales. We continue to monitor external factors that are associated with the current healthcare market which ma</w:t>
      </w:r>
      <w:r>
        <w:rPr>
          <w:sz w:val="20"/>
          <w:szCs w:val="20"/>
        </w:rPr>
        <w:t>y be impacting demand for YUPELRI due to the ongoing pandemic. These include the duration of use, the rate of new patients starting on YUPELRI, and the return of customer orders to pre-pandemic utilization levels. Although some pandemic restrictions have e</w:t>
      </w:r>
      <w:r>
        <w:rPr>
          <w:sz w:val="20"/>
          <w:szCs w:val="20"/>
        </w:rPr>
        <w:t>ased in many regions at this time, we are not able to predict with certainty the ultimate disruptive impact of the ongoing pandemic on YUPELRI sales, but it is possible the pandemic may continue to put downward pressure on our sales. As a result, the obser</w:t>
      </w:r>
      <w:r>
        <w:rPr>
          <w:sz w:val="20"/>
          <w:szCs w:val="20"/>
        </w:rPr>
        <w:t>ved sales volatility may continue throughout 2022. As we have throughout the pandemic, we will continue to track key performance metrics to gauge success in continuing to grow market adoption, including formulary inclusion success and the various aspects o</w:t>
      </w:r>
      <w:r>
        <w:rPr>
          <w:sz w:val="20"/>
          <w:szCs w:val="20"/>
        </w:rPr>
        <w:t xml:space="preserve">f market access. We and Viatris continue to supply YUPELRI to our patients and currently do not anticipate any interruptions in supply. </w:t>
      </w:r>
    </w:p>
    <w:p w:rsidR="00000000" w:rsidRDefault="001E618F">
      <w:pPr>
        <w:pStyle w:val="a3"/>
        <w:spacing w:before="0" w:beforeAutospacing="0" w:after="0" w:afterAutospacing="0"/>
        <w:divId w:val="545872713"/>
        <w:rPr>
          <w:sz w:val="20"/>
          <w:szCs w:val="20"/>
        </w:rPr>
      </w:pPr>
      <w:r>
        <w:rPr>
          <w:sz w:val="20"/>
          <w:szCs w:val="20"/>
        </w:rPr>
        <w:t>​</w:t>
      </w:r>
    </w:p>
    <w:p w:rsidR="00000000" w:rsidRDefault="001E618F">
      <w:pPr>
        <w:pStyle w:val="a3"/>
        <w:spacing w:before="0" w:beforeAutospacing="0" w:after="0" w:afterAutospacing="0"/>
        <w:ind w:firstLine="720"/>
        <w:divId w:val="545872713"/>
        <w:rPr>
          <w:sz w:val="20"/>
          <w:szCs w:val="20"/>
        </w:rPr>
      </w:pPr>
      <w:r>
        <w:rPr>
          <w:sz w:val="20"/>
          <w:szCs w:val="20"/>
        </w:rPr>
        <w:t>In August 2021, we announced that in collaboration with our partner Viatris, we were initiating a Phase 4 study compa</w:t>
      </w:r>
      <w:r>
        <w:rPr>
          <w:sz w:val="20"/>
          <w:szCs w:val="20"/>
        </w:rPr>
        <w:t>ring improvements in lung function in adults with severe to very severe COPD and suboptimal inspiratory flow rate following once-daily treatment with either YUPELRI delivered via standard jet nebulizer or tiotropium delivered via a dry powder inhaler (Spir</w:t>
      </w:r>
      <w:r>
        <w:rPr>
          <w:sz w:val="20"/>
          <w:szCs w:val="20"/>
        </w:rPr>
        <w:t>iv</w:t>
      </w:r>
      <w:r>
        <w:rPr>
          <w:sz w:val="20"/>
          <w:szCs w:val="20"/>
        </w:rPr>
        <w:t>a</w:t>
      </w:r>
      <w:r>
        <w:rPr>
          <w:sz w:val="15"/>
          <w:szCs w:val="15"/>
          <w:vertAlign w:val="superscript"/>
        </w:rPr>
        <w:t>®</w:t>
      </w:r>
      <w:r>
        <w:rPr>
          <w:sz w:val="20"/>
          <w:szCs w:val="20"/>
        </w:rPr>
        <w:t xml:space="preserve"> HandiHale</w:t>
      </w:r>
      <w:r>
        <w:rPr>
          <w:sz w:val="20"/>
          <w:szCs w:val="20"/>
        </w:rPr>
        <w:t>r</w:t>
      </w:r>
      <w:r>
        <w:rPr>
          <w:sz w:val="15"/>
          <w:szCs w:val="15"/>
          <w:vertAlign w:val="superscript"/>
        </w:rPr>
        <w:t>®</w:t>
      </w:r>
      <w:r>
        <w:rPr>
          <w:sz w:val="20"/>
          <w:szCs w:val="20"/>
        </w:rPr>
        <w:t>). This study is aimed at helping to better inform decisions when physicians are designing a personalized COPD treatment plan with patients and is intended to support a possible label update for YUPELRI, which would capture more of YUPELRI’</w:t>
      </w:r>
      <w:r>
        <w:rPr>
          <w:sz w:val="20"/>
          <w:szCs w:val="20"/>
        </w:rPr>
        <w:t>s addressable market and further strengthen its competitive advantage. We pay 35% of the Phase 4 study costs, and Viatris pays 65% of the study costs. In January 2022, we announced the enrollment of the first patient in the Phase 4 study.</w:t>
      </w:r>
    </w:p>
    <w:p w:rsidR="00000000" w:rsidRDefault="001E618F">
      <w:pPr>
        <w:pStyle w:val="a3"/>
        <w:spacing w:before="0" w:beforeAutospacing="0" w:after="0" w:afterAutospacing="0"/>
        <w:ind w:firstLine="720"/>
        <w:divId w:val="545872713"/>
        <w:rPr>
          <w:sz w:val="20"/>
          <w:szCs w:val="20"/>
        </w:rPr>
      </w:pPr>
      <w:r>
        <w:rPr>
          <w:sz w:val="20"/>
          <w:szCs w:val="20"/>
        </w:rPr>
        <w:t>​</w:t>
      </w:r>
    </w:p>
    <w:p w:rsidR="00000000" w:rsidRDefault="001E618F">
      <w:pPr>
        <w:pStyle w:val="a3"/>
        <w:spacing w:before="0" w:beforeAutospacing="0" w:after="0" w:afterAutospacing="0"/>
        <w:divId w:val="545872713"/>
        <w:rPr>
          <w:sz w:val="20"/>
          <w:szCs w:val="20"/>
        </w:rPr>
      </w:pPr>
      <w:r>
        <w:rPr>
          <w:b/>
          <w:bCs/>
          <w:i/>
          <w:iCs/>
          <w:sz w:val="20"/>
          <w:szCs w:val="20"/>
        </w:rPr>
        <w:t>Lung-selective,</w:t>
      </w:r>
      <w:r>
        <w:rPr>
          <w:b/>
          <w:bCs/>
          <w:i/>
          <w:iCs/>
          <w:sz w:val="20"/>
          <w:szCs w:val="20"/>
        </w:rPr>
        <w:t xml:space="preserve"> Nebulized Pan-Janus Kinase (JAK) Inhibitor (Nezulcitinib)</w:t>
      </w:r>
    </w:p>
    <w:p w:rsidR="00000000" w:rsidRDefault="001E618F">
      <w:pPr>
        <w:pStyle w:val="a3"/>
        <w:spacing w:before="0" w:beforeAutospacing="0" w:after="0" w:afterAutospacing="0"/>
        <w:divId w:val="545872713"/>
        <w:rPr>
          <w:sz w:val="20"/>
          <w:szCs w:val="20"/>
        </w:rPr>
      </w:pPr>
      <w:r>
        <w:rPr>
          <w:sz w:val="10"/>
          <w:szCs w:val="10"/>
        </w:rPr>
        <w:t>​</w:t>
      </w:r>
    </w:p>
    <w:p w:rsidR="00000000" w:rsidRDefault="001E618F">
      <w:pPr>
        <w:pStyle w:val="a3"/>
        <w:spacing w:before="0" w:beforeAutospacing="0" w:after="0" w:afterAutospacing="0"/>
        <w:ind w:firstLine="720"/>
        <w:divId w:val="545872713"/>
        <w:rPr>
          <w:sz w:val="20"/>
          <w:szCs w:val="20"/>
        </w:rPr>
      </w:pPr>
      <w:r>
        <w:rPr>
          <w:sz w:val="20"/>
          <w:szCs w:val="20"/>
        </w:rPr>
        <w:t>Nezulcitinib (formerly known as TD-0903) is a lung-selective, nebulized JAK inhibitor, in clinical development for the potential treatment of hospitalized patients with Acute Lung Injury (“ALI”) caused by COVID-19. We discovered nezulcitinib, and it has be</w:t>
      </w:r>
      <w:r>
        <w:rPr>
          <w:sz w:val="20"/>
          <w:szCs w:val="20"/>
        </w:rPr>
        <w:t xml:space="preserve">en shown in experimental murine models to have potent, broad inhibition of JAK-STAT signaling </w:t>
      </w:r>
    </w:p>
    <w:p w:rsidR="00000000" w:rsidRDefault="001E618F">
      <w:pPr>
        <w:pStyle w:val="a3"/>
        <w:spacing w:before="360" w:beforeAutospacing="0" w:after="0" w:afterAutospacing="0"/>
        <w:jc w:val="center"/>
        <w:divId w:val="471101927"/>
        <w:rPr>
          <w:sz w:val="20"/>
          <w:szCs w:val="20"/>
        </w:rPr>
      </w:pPr>
      <w:r>
        <w:rPr>
          <w:sz w:val="20"/>
          <w:szCs w:val="20"/>
        </w:rPr>
        <w:t>19</w:t>
      </w:r>
    </w:p>
    <w:p w:rsidR="00000000" w:rsidRDefault="001E618F">
      <w:pPr>
        <w:pStyle w:val="a3"/>
        <w:spacing w:before="0" w:beforeAutospacing="0" w:after="600" w:afterAutospacing="0"/>
        <w:divId w:val="1009722487"/>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divId w:val="23213250"/>
        <w:rPr>
          <w:sz w:val="20"/>
          <w:szCs w:val="20"/>
        </w:rPr>
      </w:pPr>
      <w:r>
        <w:rPr>
          <w:sz w:val="20"/>
          <w:szCs w:val="20"/>
        </w:rPr>
        <w:t>in the airways following challenges with multiple cytokines. Preclinical studies suggest that nezulcitinib has a h</w:t>
      </w:r>
      <w:r>
        <w:rPr>
          <w:sz w:val="20"/>
          <w:szCs w:val="20"/>
        </w:rPr>
        <w:t>igh lung to plasma ratio and rapid metabolic clearance resulting in low systemic exposure, compatible with its lung selectivity. Nezulcitinib is administered via nebulized inhalation solution, which further enhances its lung selectivity. Preclinical pharma</w:t>
      </w:r>
      <w:r>
        <w:rPr>
          <w:sz w:val="20"/>
          <w:szCs w:val="20"/>
        </w:rPr>
        <w:t xml:space="preserve">codynamic studies indicate that nezulcitinib has an extended duration of action that should enable once daily dosing in humans. </w:t>
      </w:r>
    </w:p>
    <w:p w:rsidR="00000000" w:rsidRDefault="001E618F">
      <w:pPr>
        <w:pStyle w:val="a3"/>
        <w:spacing w:before="0" w:beforeAutospacing="0" w:after="0" w:afterAutospacing="0"/>
        <w:ind w:firstLine="720"/>
        <w:divId w:val="23213250"/>
        <w:rPr>
          <w:sz w:val="20"/>
          <w:szCs w:val="20"/>
        </w:rPr>
      </w:pPr>
      <w:r>
        <w:rPr>
          <w:sz w:val="20"/>
          <w:szCs w:val="20"/>
        </w:rPr>
        <w:t>​</w:t>
      </w:r>
    </w:p>
    <w:p w:rsidR="00000000" w:rsidRDefault="001E618F">
      <w:pPr>
        <w:pStyle w:val="a3"/>
        <w:spacing w:before="0" w:beforeAutospacing="0" w:after="0" w:afterAutospacing="0"/>
        <w:ind w:firstLine="720"/>
        <w:divId w:val="23213250"/>
        <w:rPr>
          <w:sz w:val="20"/>
          <w:szCs w:val="20"/>
        </w:rPr>
      </w:pPr>
      <w:r>
        <w:rPr>
          <w:sz w:val="20"/>
          <w:szCs w:val="20"/>
        </w:rPr>
        <w:t xml:space="preserve">We believe nezulcitinib has the potential to inhibit the cytokine storm associated with ALI and prevent progression to Acute </w:t>
      </w:r>
      <w:r>
        <w:rPr>
          <w:sz w:val="20"/>
          <w:szCs w:val="20"/>
        </w:rPr>
        <w:t>Respiratory Distress Syndrome (“ARDS”). The first healthy volunteer was dosed in a Phase 1 study of nezulcitinib in April 2020, and in June 2020, we completed Phase 1 and entered a two-part Phase 2 study. Phase 2 was designed to evaluate the efficacy, safe</w:t>
      </w:r>
      <w:r>
        <w:rPr>
          <w:sz w:val="20"/>
          <w:szCs w:val="20"/>
        </w:rPr>
        <w:t>ty, and tolerability of nezulcitinib in subjects with confirmed symptomatic COVID-19 hospitalized for symptomatic respiratory insufficiency. This study also evaluated the PK of nezulcitinib in these subjects. To expedite enrollment, we opened additional si</w:t>
      </w:r>
      <w:r>
        <w:rPr>
          <w:sz w:val="20"/>
          <w:szCs w:val="20"/>
        </w:rPr>
        <w:t xml:space="preserve">tes in other regions including Europe, the US, and South America. </w:t>
      </w:r>
    </w:p>
    <w:p w:rsidR="00000000" w:rsidRDefault="001E618F">
      <w:pPr>
        <w:pStyle w:val="a3"/>
        <w:spacing w:before="0" w:beforeAutospacing="0" w:after="0" w:afterAutospacing="0"/>
        <w:ind w:firstLine="720"/>
        <w:divId w:val="23213250"/>
        <w:rPr>
          <w:sz w:val="20"/>
          <w:szCs w:val="20"/>
        </w:rPr>
      </w:pPr>
      <w:r>
        <w:rPr>
          <w:sz w:val="20"/>
          <w:szCs w:val="20"/>
        </w:rPr>
        <w:t>​</w:t>
      </w:r>
    </w:p>
    <w:p w:rsidR="00000000" w:rsidRDefault="001E618F">
      <w:pPr>
        <w:pStyle w:val="a3"/>
        <w:spacing w:before="0" w:beforeAutospacing="0" w:after="0" w:afterAutospacing="0"/>
        <w:ind w:firstLine="720"/>
        <w:divId w:val="23213250"/>
        <w:rPr>
          <w:sz w:val="20"/>
          <w:szCs w:val="20"/>
        </w:rPr>
      </w:pPr>
      <w:r>
        <w:rPr>
          <w:sz w:val="20"/>
          <w:szCs w:val="20"/>
        </w:rPr>
        <w:t>We completed Phase 2, Part 1, a small sub-study of 25 patients intended to assess safety, PK and exploratory clinical measures of three doses of nezulcitinib versus placebo. Data showed t</w:t>
      </w:r>
      <w:r>
        <w:rPr>
          <w:sz w:val="20"/>
          <w:szCs w:val="20"/>
        </w:rPr>
        <w:t>hat inhaled administration of nebulized nezulcitinib, once daily over seven days, was generally well-tolerated and showed a numerical trend towards improved clinical status, reduced hospital stay and resulted in fewer deaths compared to placebo during a 28</w:t>
      </w:r>
      <w:r>
        <w:rPr>
          <w:sz w:val="20"/>
          <w:szCs w:val="20"/>
        </w:rPr>
        <w:t>-day observation period. Nezulcitinib also demonstrated evidence of improvements in several relevant inflammatory biomarkers and low systemic exposure at all doses, which we believe demonstrates the lung-selective design features of the molecule.</w:t>
      </w:r>
    </w:p>
    <w:p w:rsidR="00000000" w:rsidRDefault="001E618F">
      <w:pPr>
        <w:pStyle w:val="a3"/>
        <w:spacing w:before="0" w:beforeAutospacing="0" w:after="0" w:afterAutospacing="0"/>
        <w:ind w:firstLine="720"/>
        <w:divId w:val="23213250"/>
        <w:rPr>
          <w:sz w:val="20"/>
          <w:szCs w:val="20"/>
        </w:rPr>
      </w:pPr>
      <w:r>
        <w:rPr>
          <w:sz w:val="20"/>
          <w:szCs w:val="20"/>
        </w:rPr>
        <w:t>​</w:t>
      </w:r>
    </w:p>
    <w:p w:rsidR="00000000" w:rsidRDefault="001E618F">
      <w:pPr>
        <w:pStyle w:val="a3"/>
        <w:spacing w:before="0" w:beforeAutospacing="0" w:after="0" w:afterAutospacing="0"/>
        <w:ind w:firstLine="720"/>
        <w:divId w:val="23213250"/>
        <w:rPr>
          <w:sz w:val="20"/>
          <w:szCs w:val="20"/>
        </w:rPr>
      </w:pPr>
      <w:r>
        <w:rPr>
          <w:sz w:val="20"/>
          <w:szCs w:val="20"/>
        </w:rPr>
        <w:t>The Pha</w:t>
      </w:r>
      <w:r>
        <w:rPr>
          <w:sz w:val="20"/>
          <w:szCs w:val="20"/>
        </w:rPr>
        <w:t>se 2 Dose Finding study was a randomized, double-blind, parallel-group study evaluating efficacy and safety of one dose (3 mg) of nezulcitinib (selected based on the data from Part 1) as compared with placebo in 200 patients. In June 2021, we announced top</w:t>
      </w:r>
      <w:r>
        <w:rPr>
          <w:sz w:val="20"/>
          <w:szCs w:val="20"/>
        </w:rPr>
        <w:t>-line results from our Phase 2 study of 3 mg once-daily nezulcitinib compared to placebo, each in combination with standard of care, which generally included steroids. The study did not meet the primary endpoint of number of Respiratory Failure-Free Days f</w:t>
      </w:r>
      <w:r>
        <w:rPr>
          <w:sz w:val="20"/>
          <w:szCs w:val="20"/>
        </w:rPr>
        <w:t>rom randomization through Day 28 in the intent-to-treat population. The study also did not meet secondary endpoints, with no difference shown in change from baseline at Day 7 in SaO</w:t>
      </w:r>
      <w:r>
        <w:rPr>
          <w:sz w:val="15"/>
          <w:szCs w:val="15"/>
          <w:vertAlign w:val="subscript"/>
        </w:rPr>
        <w:t>2</w:t>
      </w:r>
      <w:r>
        <w:rPr>
          <w:sz w:val="20"/>
          <w:szCs w:val="20"/>
        </w:rPr>
        <w:t>/FiO</w:t>
      </w:r>
      <w:r>
        <w:rPr>
          <w:sz w:val="15"/>
          <w:szCs w:val="15"/>
          <w:vertAlign w:val="subscript"/>
        </w:rPr>
        <w:t>2</w:t>
      </w:r>
      <w:r>
        <w:rPr>
          <w:sz w:val="20"/>
          <w:szCs w:val="20"/>
        </w:rPr>
        <w:t xml:space="preserve"> ratio, proportion of patients in each category of the eight-point Cl</w:t>
      </w:r>
      <w:r>
        <w:rPr>
          <w:sz w:val="20"/>
          <w:szCs w:val="20"/>
        </w:rPr>
        <w:t>inical Status scale, or proportion of patients alive and respiratory failure-free at Day 28. However, nezulcitinib demonstrated a favorable trend in improvement when compared to placebo for 28-day all-cause mortality. In addition, in a post-hoc analysis of</w:t>
      </w:r>
      <w:r>
        <w:rPr>
          <w:sz w:val="20"/>
          <w:szCs w:val="20"/>
        </w:rPr>
        <w:t xml:space="preserve"> patients with C-reactive protein (“CRP”) &lt;150 mg/L, there was an improvement in those treated with nezulcitinib when compared to placebo in 28-day all-cause mortality and in time to recovery while there was no difference in these outcomes in patients with</w:t>
      </w:r>
      <w:r>
        <w:rPr>
          <w:sz w:val="20"/>
          <w:szCs w:val="20"/>
        </w:rPr>
        <w:t xml:space="preserve"> CRP &gt;150 mg/L. Nezulcitinib was generally well-tolerated, and we intend to further investigate its therapeutic potential as part of our newly focused respiratory portfolio.</w:t>
      </w:r>
    </w:p>
    <w:p w:rsidR="00000000" w:rsidRDefault="001E618F">
      <w:pPr>
        <w:pStyle w:val="a3"/>
        <w:spacing w:before="0" w:beforeAutospacing="0" w:after="0" w:afterAutospacing="0"/>
        <w:divId w:val="23213250"/>
        <w:rPr>
          <w:sz w:val="20"/>
          <w:szCs w:val="20"/>
        </w:rPr>
      </w:pPr>
      <w:r>
        <w:rPr>
          <w:b/>
          <w:bCs/>
          <w:i/>
          <w:iCs/>
          <w:sz w:val="20"/>
          <w:szCs w:val="20"/>
        </w:rPr>
        <w:t>​</w:t>
      </w:r>
    </w:p>
    <w:p w:rsidR="00000000" w:rsidRDefault="001E618F">
      <w:pPr>
        <w:pStyle w:val="a3"/>
        <w:spacing w:before="0" w:beforeAutospacing="0" w:after="0" w:afterAutospacing="0"/>
        <w:divId w:val="23213250"/>
        <w:rPr>
          <w:sz w:val="20"/>
          <w:szCs w:val="20"/>
        </w:rPr>
      </w:pPr>
      <w:r>
        <w:rPr>
          <w:b/>
          <w:bCs/>
          <w:i/>
          <w:iCs/>
          <w:sz w:val="20"/>
          <w:szCs w:val="20"/>
        </w:rPr>
        <w:t xml:space="preserve">Lung-selective Pan-JAK Inhibitor Program </w:t>
      </w:r>
    </w:p>
    <w:p w:rsidR="00000000" w:rsidRDefault="001E618F">
      <w:pPr>
        <w:pStyle w:val="a3"/>
        <w:spacing w:before="0" w:beforeAutospacing="0" w:after="0" w:afterAutospacing="0"/>
        <w:divId w:val="23213250"/>
        <w:rPr>
          <w:sz w:val="20"/>
          <w:szCs w:val="20"/>
        </w:rPr>
      </w:pPr>
      <w:r>
        <w:rPr>
          <w:sz w:val="10"/>
          <w:szCs w:val="10"/>
        </w:rPr>
        <w:t>​</w:t>
      </w:r>
    </w:p>
    <w:p w:rsidR="00000000" w:rsidRDefault="001E618F">
      <w:pPr>
        <w:pStyle w:val="a3"/>
        <w:spacing w:before="0" w:beforeAutospacing="0" w:after="0" w:afterAutospacing="0"/>
        <w:ind w:firstLine="720"/>
        <w:divId w:val="23213250"/>
        <w:rPr>
          <w:sz w:val="20"/>
          <w:szCs w:val="20"/>
        </w:rPr>
      </w:pPr>
      <w:r>
        <w:rPr>
          <w:sz w:val="20"/>
          <w:szCs w:val="20"/>
        </w:rPr>
        <w:t>TD-8236, an inhaled lung-selective p</w:t>
      </w:r>
      <w:r>
        <w:rPr>
          <w:sz w:val="20"/>
          <w:szCs w:val="20"/>
        </w:rPr>
        <w:t>an-JAK inhibitor, demonstrated a high affinity for each of the JAK family of enzymes (JAK1, JAK2, JAK3 and TYK2) that play a key role in cytokine signaling. Inhibiting these JAK enzymes interferes with the JAK/STAT signaling pathway and, in turn, modulates</w:t>
      </w:r>
      <w:r>
        <w:rPr>
          <w:sz w:val="20"/>
          <w:szCs w:val="20"/>
        </w:rPr>
        <w:t xml:space="preserve"> the activity of a wide range of pro-inflammatory cytokines. While orally-administered JAK inhibitors are currently approved for the treatment of a range of inflammatory diseases, no inhaled JAK inhibitor is approved for the treatment of airway disease, in</w:t>
      </w:r>
      <w:r>
        <w:rPr>
          <w:sz w:val="20"/>
          <w:szCs w:val="20"/>
        </w:rPr>
        <w:t>cluding asthma. The pan-JAK activity of TD-8236 suggests that it may impact a broad range of cytokines that have been associated both T2-high and T2-low asthma. Many moderate to severe asthma patients comprising both T2 phenotypes remain symptomatic despit</w:t>
      </w:r>
      <w:r>
        <w:rPr>
          <w:sz w:val="20"/>
          <w:szCs w:val="20"/>
        </w:rPr>
        <w:t>e being compliant on high doses of inhaled steroids. Importantly, TD-8236 was designed to distribute and exert its anti-inflammatory effect within the lungs following dry powder inhalation, with the potential to treat inflammation within that organ while m</w:t>
      </w:r>
      <w:r>
        <w:rPr>
          <w:sz w:val="20"/>
          <w:szCs w:val="20"/>
        </w:rPr>
        <w:t>inimizing systemic exposure. In preclinical assessments, TD-8236 has shown to potently inhibit targeted mediators of T2-high and T2-low asthma in human cells.</w:t>
      </w:r>
    </w:p>
    <w:p w:rsidR="00000000" w:rsidRDefault="001E618F">
      <w:pPr>
        <w:pStyle w:val="a3"/>
        <w:spacing w:before="0" w:beforeAutospacing="0" w:after="0" w:afterAutospacing="0"/>
        <w:divId w:val="23213250"/>
        <w:rPr>
          <w:sz w:val="20"/>
          <w:szCs w:val="20"/>
        </w:rPr>
      </w:pPr>
      <w:r>
        <w:rPr>
          <w:sz w:val="20"/>
          <w:szCs w:val="20"/>
        </w:rPr>
        <w:t>​</w:t>
      </w:r>
    </w:p>
    <w:p w:rsidR="00000000" w:rsidRDefault="001E618F">
      <w:pPr>
        <w:pStyle w:val="a3"/>
        <w:spacing w:before="0" w:beforeAutospacing="0" w:after="0" w:afterAutospacing="0"/>
        <w:ind w:firstLine="720"/>
        <w:divId w:val="23213250"/>
        <w:rPr>
          <w:sz w:val="20"/>
          <w:szCs w:val="20"/>
        </w:rPr>
      </w:pPr>
      <w:r>
        <w:rPr>
          <w:sz w:val="20"/>
          <w:szCs w:val="20"/>
        </w:rPr>
        <w:t>In September 2019, we announced positive results from a Phase 1 single-ascending dose and multi</w:t>
      </w:r>
      <w:r>
        <w:rPr>
          <w:sz w:val="20"/>
          <w:szCs w:val="20"/>
        </w:rPr>
        <w:t>ple-ascending dose clinical trial of TD-8236, an investigational, inhaled lung-selective pan-JAK inhibitor that has demonstrated a high affinity for each of the JAK family of enzymes (JAK1, JAK2, JAK3 and TYK2) that play a key role in cytokine signaling. T</w:t>
      </w:r>
      <w:r>
        <w:rPr>
          <w:sz w:val="20"/>
          <w:szCs w:val="20"/>
        </w:rPr>
        <w:t xml:space="preserve">he Part C extension portion of the Phase 1 trial, assessing additional biomarkers in patients with moderate to severe asthma, demonstrated that biomarkers of JAK target engagement (including exhaled nitric oxide and pSTAT1 and pSTAT6 in cellular fractions </w:t>
      </w:r>
      <w:r>
        <w:rPr>
          <w:sz w:val="20"/>
          <w:szCs w:val="20"/>
        </w:rPr>
        <w:t>of bronchoalveolar lavage fluid) were reduced after 7 days of once-daily dosing at a dose level of 1500 µg. In December 2019, we announced the initiation of a Phase 2 allergen challenge study of TD-8236 in mild allergic asthma patients, and we reported res</w:t>
      </w:r>
      <w:r>
        <w:rPr>
          <w:sz w:val="20"/>
          <w:szCs w:val="20"/>
        </w:rPr>
        <w:t xml:space="preserve">ults of the Phase 1C study in the third quarter of 2020. TD-8236 is the first JAK inhibitor to be </w:t>
      </w:r>
    </w:p>
    <w:p w:rsidR="00000000" w:rsidRDefault="001E618F">
      <w:pPr>
        <w:pStyle w:val="a3"/>
        <w:spacing w:before="360" w:beforeAutospacing="0" w:after="0" w:afterAutospacing="0"/>
        <w:jc w:val="center"/>
        <w:divId w:val="189029186"/>
        <w:rPr>
          <w:sz w:val="20"/>
          <w:szCs w:val="20"/>
        </w:rPr>
      </w:pPr>
      <w:r>
        <w:rPr>
          <w:sz w:val="20"/>
          <w:szCs w:val="20"/>
        </w:rPr>
        <w:t>20</w:t>
      </w:r>
    </w:p>
    <w:p w:rsidR="00000000" w:rsidRDefault="001E618F">
      <w:pPr>
        <w:pStyle w:val="a3"/>
        <w:spacing w:before="0" w:beforeAutospacing="0" w:after="600" w:afterAutospacing="0"/>
        <w:divId w:val="1317763410"/>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divId w:val="1757286368"/>
        <w:rPr>
          <w:sz w:val="20"/>
          <w:szCs w:val="20"/>
        </w:rPr>
      </w:pPr>
      <w:r>
        <w:rPr>
          <w:sz w:val="20"/>
          <w:szCs w:val="20"/>
        </w:rPr>
        <w:t>studied in a Phase 2a Lung Allergen Challenge (“LAC”) study, but inconsistent with our expectations, it had no</w:t>
      </w:r>
      <w:r>
        <w:rPr>
          <w:sz w:val="20"/>
          <w:szCs w:val="20"/>
        </w:rPr>
        <w:t xml:space="preserve"> impact on decrease in lung function (FEV1) following allergen inhalation after 14 days of once-daily dosing at dose levels of 150 µg and 1500 µg compared to placebo and did not meet the primary study objective. The collective data set (preclinical, Phase </w:t>
      </w:r>
      <w:r>
        <w:rPr>
          <w:sz w:val="20"/>
          <w:szCs w:val="20"/>
        </w:rPr>
        <w:t xml:space="preserve">1, Phase 2a) demonstrates TD-8236 engages the JAK mechanism at a dose of 1500 µg as evidenced by the reduction in FeNO and reductions in pSTAT, but does not protect against the lung function decline seen after allergen inhalation. </w:t>
      </w:r>
    </w:p>
    <w:p w:rsidR="00000000" w:rsidRDefault="001E618F">
      <w:pPr>
        <w:pStyle w:val="a3"/>
        <w:spacing w:before="0" w:beforeAutospacing="0" w:after="0" w:afterAutospacing="0"/>
        <w:ind w:firstLine="720"/>
        <w:divId w:val="1757286368"/>
        <w:rPr>
          <w:sz w:val="20"/>
          <w:szCs w:val="20"/>
        </w:rPr>
      </w:pPr>
      <w:r>
        <w:rPr>
          <w:sz w:val="20"/>
          <w:szCs w:val="20"/>
        </w:rPr>
        <w:t>​</w:t>
      </w:r>
    </w:p>
    <w:p w:rsidR="00000000" w:rsidRDefault="001E618F">
      <w:pPr>
        <w:pStyle w:val="a3"/>
        <w:spacing w:before="0" w:beforeAutospacing="0" w:after="0" w:afterAutospacing="0"/>
        <w:ind w:firstLine="720"/>
        <w:divId w:val="1757286368"/>
        <w:rPr>
          <w:sz w:val="20"/>
          <w:szCs w:val="20"/>
        </w:rPr>
      </w:pPr>
      <w:r>
        <w:rPr>
          <w:sz w:val="20"/>
          <w:szCs w:val="20"/>
        </w:rPr>
        <w:t>After completing addit</w:t>
      </w:r>
      <w:r>
        <w:rPr>
          <w:sz w:val="20"/>
          <w:szCs w:val="20"/>
        </w:rPr>
        <w:t>ional analysis on TD-8236 gene signature and biomarker data from the Phase 1C study, we found that the data are consistent with target engagement in the lung. However, based on our current understanding of TD-8236, we have decided to pause the clinical pro</w:t>
      </w:r>
      <w:r>
        <w:rPr>
          <w:sz w:val="20"/>
          <w:szCs w:val="20"/>
        </w:rPr>
        <w:t xml:space="preserve">gram for this compound in its current form and apply our learnings to refining and expanding molecules in our portfolio of inhaled JAK inhibitors. </w:t>
      </w:r>
    </w:p>
    <w:p w:rsidR="00000000" w:rsidRDefault="001E618F">
      <w:pPr>
        <w:pStyle w:val="a3"/>
        <w:spacing w:before="0" w:beforeAutospacing="0" w:after="0" w:afterAutospacing="0"/>
        <w:divId w:val="1757286368"/>
        <w:rPr>
          <w:sz w:val="20"/>
          <w:szCs w:val="20"/>
        </w:rPr>
      </w:pPr>
      <w:r>
        <w:rPr>
          <w:b/>
          <w:bCs/>
          <w:i/>
          <w:iCs/>
          <w:sz w:val="20"/>
          <w:szCs w:val="20"/>
        </w:rPr>
        <w:t>​</w:t>
      </w:r>
    </w:p>
    <w:p w:rsidR="00000000" w:rsidRDefault="001E618F">
      <w:pPr>
        <w:pStyle w:val="a3"/>
        <w:spacing w:before="0" w:beforeAutospacing="0" w:after="0" w:afterAutospacing="0"/>
        <w:divId w:val="1757286368"/>
        <w:rPr>
          <w:sz w:val="20"/>
          <w:szCs w:val="20"/>
        </w:rPr>
      </w:pPr>
      <w:r>
        <w:rPr>
          <w:b/>
          <w:bCs/>
          <w:sz w:val="20"/>
          <w:szCs w:val="20"/>
        </w:rPr>
        <w:t>Other Pipeline Asset Highlights</w:t>
      </w:r>
    </w:p>
    <w:p w:rsidR="00000000" w:rsidRDefault="001E618F">
      <w:pPr>
        <w:pStyle w:val="a3"/>
        <w:spacing w:before="0" w:beforeAutospacing="0" w:after="0" w:afterAutospacing="0"/>
        <w:divId w:val="1757286368"/>
        <w:rPr>
          <w:sz w:val="20"/>
          <w:szCs w:val="20"/>
        </w:rPr>
      </w:pPr>
      <w:r>
        <w:rPr>
          <w:b/>
          <w:bCs/>
          <w:sz w:val="20"/>
          <w:szCs w:val="20"/>
        </w:rPr>
        <w:t>​</w:t>
      </w:r>
    </w:p>
    <w:p w:rsidR="00000000" w:rsidRDefault="001E618F">
      <w:pPr>
        <w:pStyle w:val="a3"/>
        <w:spacing w:before="0" w:beforeAutospacing="0" w:after="0" w:afterAutospacing="0"/>
        <w:divId w:val="1757286368"/>
        <w:rPr>
          <w:sz w:val="20"/>
          <w:szCs w:val="20"/>
        </w:rPr>
      </w:pPr>
      <w:r>
        <w:rPr>
          <w:b/>
          <w:bCs/>
          <w:i/>
          <w:iCs/>
          <w:sz w:val="20"/>
          <w:szCs w:val="20"/>
        </w:rPr>
        <w:t xml:space="preserve">Ampreloxetine (TD-9855) </w:t>
      </w:r>
    </w:p>
    <w:p w:rsidR="00000000" w:rsidRDefault="001E618F">
      <w:pPr>
        <w:pStyle w:val="a3"/>
        <w:spacing w:before="0" w:beforeAutospacing="0" w:after="0" w:afterAutospacing="0"/>
        <w:divId w:val="1757286368"/>
        <w:rPr>
          <w:sz w:val="20"/>
          <w:szCs w:val="20"/>
        </w:rPr>
      </w:pPr>
      <w:r>
        <w:rPr>
          <w:sz w:val="10"/>
          <w:szCs w:val="10"/>
        </w:rPr>
        <w:t>​</w:t>
      </w:r>
    </w:p>
    <w:p w:rsidR="00000000" w:rsidRDefault="001E618F">
      <w:pPr>
        <w:pStyle w:val="a3"/>
        <w:spacing w:before="0" w:beforeAutospacing="0" w:after="0" w:afterAutospacing="0"/>
        <w:ind w:firstLine="720"/>
        <w:divId w:val="1757286368"/>
        <w:rPr>
          <w:sz w:val="20"/>
          <w:szCs w:val="20"/>
        </w:rPr>
      </w:pPr>
      <w:r>
        <w:rPr>
          <w:sz w:val="20"/>
          <w:szCs w:val="20"/>
        </w:rPr>
        <w:t>Ampreloxetine is an investigational, once-daily norepinephrine reuptake inhibitor (“NRI”) that we were developing for the treatment of patients with symptomatic neurogenic orthostatic hypotension (“nOH”). nOH is caused by primary autonomic failure conditio</w:t>
      </w:r>
      <w:r>
        <w:rPr>
          <w:sz w:val="20"/>
          <w:szCs w:val="20"/>
        </w:rPr>
        <w:t>ns, including multiple system atrophy, Parkinson’s disease and pure autonomic failure. The compound has high affinity for binding to norepinephrine transporters. By blocking the action of these transporters, ampreloxetine causes an increase in extracellula</w:t>
      </w:r>
      <w:r>
        <w:rPr>
          <w:sz w:val="20"/>
          <w:szCs w:val="20"/>
        </w:rPr>
        <w:t>r concentrations of norepinephrine. Ampreloxetine is wholly owned by Theravance Biopharma.</w:t>
      </w:r>
    </w:p>
    <w:p w:rsidR="00000000" w:rsidRDefault="001E618F">
      <w:pPr>
        <w:pStyle w:val="a3"/>
        <w:spacing w:before="0" w:beforeAutospacing="0" w:after="0" w:afterAutospacing="0"/>
        <w:divId w:val="1757286368"/>
        <w:rPr>
          <w:sz w:val="20"/>
          <w:szCs w:val="20"/>
        </w:rPr>
      </w:pPr>
      <w:r>
        <w:rPr>
          <w:sz w:val="20"/>
          <w:szCs w:val="20"/>
        </w:rPr>
        <w:t>​</w:t>
      </w:r>
    </w:p>
    <w:p w:rsidR="00000000" w:rsidRDefault="001E618F">
      <w:pPr>
        <w:pStyle w:val="a3"/>
        <w:spacing w:before="0" w:beforeAutospacing="0" w:after="0" w:afterAutospacing="0"/>
        <w:ind w:firstLine="720"/>
        <w:divId w:val="1757286368"/>
        <w:rPr>
          <w:sz w:val="20"/>
          <w:szCs w:val="20"/>
        </w:rPr>
      </w:pPr>
      <w:r>
        <w:rPr>
          <w:sz w:val="20"/>
          <w:szCs w:val="20"/>
        </w:rPr>
        <w:t>Based on positive top-line four-week results from a small exploratory Phase 2 study in nOH and discussions with the FDA, we advanced ampreloxetine into a Phase 3 p</w:t>
      </w:r>
      <w:r>
        <w:rPr>
          <w:sz w:val="20"/>
          <w:szCs w:val="20"/>
        </w:rPr>
        <w:t>rogram. We announced the initiation of patient dosing in study in early 2019. The Phase 3 program consisted of two pivotal studies and one non-pivotal study. The first pivotal study (SEQUOIA), a four-week, randomized double-blind, placebo-controlled study,</w:t>
      </w:r>
      <w:r>
        <w:rPr>
          <w:sz w:val="20"/>
          <w:szCs w:val="20"/>
        </w:rPr>
        <w:t xml:space="preserve"> was designed to evaluate the efficacy and safety of ampreloxetine in patients with symptomatic nOH. The second pivotal study (REDWOOD), a four-month open label study followed by a six-week randomized withdrawal phase was designed to evaluate the durabilit</w:t>
      </w:r>
      <w:r>
        <w:rPr>
          <w:sz w:val="20"/>
          <w:szCs w:val="20"/>
        </w:rPr>
        <w:t>y of patient response of ampreloxetine. The third, non-pivotal study (OAK), was designed to allow patients who completed REDWOOD to have continued access to ampreloxetine for up to three and half years.</w:t>
      </w:r>
    </w:p>
    <w:p w:rsidR="00000000" w:rsidRDefault="001E618F">
      <w:pPr>
        <w:pStyle w:val="a3"/>
        <w:spacing w:before="0" w:beforeAutospacing="0" w:after="0" w:afterAutospacing="0"/>
        <w:ind w:firstLine="720"/>
        <w:divId w:val="1757286368"/>
        <w:rPr>
          <w:sz w:val="20"/>
          <w:szCs w:val="20"/>
        </w:rPr>
      </w:pPr>
      <w:r>
        <w:rPr>
          <w:sz w:val="20"/>
          <w:szCs w:val="20"/>
        </w:rPr>
        <w:t>​</w:t>
      </w:r>
    </w:p>
    <w:p w:rsidR="00000000" w:rsidRDefault="001E618F">
      <w:pPr>
        <w:pStyle w:val="a3"/>
        <w:spacing w:before="0" w:beforeAutospacing="0" w:after="0" w:afterAutospacing="0"/>
        <w:ind w:firstLine="720"/>
        <w:divId w:val="1757286368"/>
        <w:rPr>
          <w:sz w:val="20"/>
          <w:szCs w:val="20"/>
        </w:rPr>
      </w:pPr>
      <w:r>
        <w:rPr>
          <w:sz w:val="20"/>
          <w:szCs w:val="20"/>
        </w:rPr>
        <w:t>In September 2021, we reported that the SEQUOIA Pha</w:t>
      </w:r>
      <w:r>
        <w:rPr>
          <w:sz w:val="20"/>
          <w:szCs w:val="20"/>
        </w:rPr>
        <w:t>se 3 clinical study did not meet its primary endpoint. Most treatment-related adverse events were mild or moderate in severity. Serious adverse events occurred in two patients on placebo and four on ampreloxetine and none of which were considered related t</w:t>
      </w:r>
      <w:r>
        <w:rPr>
          <w:sz w:val="20"/>
          <w:szCs w:val="20"/>
        </w:rPr>
        <w:t xml:space="preserve">o the study drug. No deaths were reported, and there was no signal for supine hypertension. </w:t>
      </w:r>
    </w:p>
    <w:p w:rsidR="00000000" w:rsidRDefault="001E618F">
      <w:pPr>
        <w:pStyle w:val="a3"/>
        <w:spacing w:before="0" w:beforeAutospacing="0" w:after="0" w:afterAutospacing="0"/>
        <w:ind w:firstLine="720"/>
        <w:divId w:val="1757286368"/>
        <w:rPr>
          <w:sz w:val="20"/>
          <w:szCs w:val="20"/>
        </w:rPr>
      </w:pPr>
      <w:r>
        <w:rPr>
          <w:sz w:val="20"/>
          <w:szCs w:val="20"/>
        </w:rPr>
        <w:t>​</w:t>
      </w:r>
    </w:p>
    <w:p w:rsidR="00000000" w:rsidRDefault="001E618F">
      <w:pPr>
        <w:pStyle w:val="a3"/>
        <w:spacing w:before="0" w:beforeAutospacing="0" w:after="0" w:afterAutospacing="0"/>
        <w:ind w:firstLine="720"/>
        <w:divId w:val="1757286368"/>
        <w:rPr>
          <w:sz w:val="20"/>
          <w:szCs w:val="20"/>
        </w:rPr>
      </w:pPr>
      <w:r>
        <w:rPr>
          <w:sz w:val="20"/>
          <w:szCs w:val="20"/>
        </w:rPr>
        <w:t>In April 2022, we reported that the REDWOOD Phase 3 clinical study’s primary endpoint was not statistically significant for the overall population of patients wh</w:t>
      </w:r>
      <w:r>
        <w:rPr>
          <w:sz w:val="20"/>
          <w:szCs w:val="20"/>
        </w:rPr>
        <w:t>ich included patients with Parkinson’s disease (“PD”), pure</w:t>
      </w:r>
    </w:p>
    <w:p w:rsidR="00000000" w:rsidRDefault="001E618F">
      <w:pPr>
        <w:pStyle w:val="a3"/>
        <w:spacing w:before="0" w:beforeAutospacing="0" w:after="0" w:afterAutospacing="0"/>
        <w:divId w:val="1757286368"/>
        <w:rPr>
          <w:sz w:val="20"/>
          <w:szCs w:val="20"/>
        </w:rPr>
      </w:pPr>
      <w:r>
        <w:rPr>
          <w:sz w:val="20"/>
          <w:szCs w:val="20"/>
        </w:rPr>
        <w:t xml:space="preserve">autonomic failure (“PAF”) and Multiple System Atrophy (“MSA”). The pre-specified subgroup analysis by disease type suggests the benefit seen in patients receiving ampreloxetine was largely driven </w:t>
      </w:r>
      <w:r>
        <w:rPr>
          <w:sz w:val="20"/>
          <w:szCs w:val="20"/>
        </w:rPr>
        <w:t>by MSA patients. The benefit to MSA patients in the study was observed in multiple endpoints including Orthostatic Hypotension Symptom Assessment Scale (“OHSA”) composite, Orthostatic Hypotension Daily Activities Scale (“OHDAS”) composite, Orthostatic Hypo</w:t>
      </w:r>
      <w:r>
        <w:rPr>
          <w:sz w:val="20"/>
          <w:szCs w:val="20"/>
        </w:rPr>
        <w:t>tension Questionnaire (“OHQ”) composite and OHSA #1. While the same benefit was not apparent in patients with PD or PAF, we continue to analyze the data to better understand this observation. Throughout the study, there was no indication of worsening of su</w:t>
      </w:r>
      <w:r>
        <w:rPr>
          <w:sz w:val="20"/>
          <w:szCs w:val="20"/>
        </w:rPr>
        <w:t xml:space="preserve">pine hypertension based on 24-hour monitoring. Data suggest that ampreloxetine was well-tolerated and no new safety signals were identified. Given the clear unmet need for MSA patients suffering from symptomatic nOH, we are engaging potential partners and </w:t>
      </w:r>
      <w:r>
        <w:rPr>
          <w:sz w:val="20"/>
          <w:szCs w:val="20"/>
        </w:rPr>
        <w:t>planning health authority interactions to determine a path forward in hopes of expediting ampreloxetine as a possible treatment option for MSA patients with symptomatic nOH.</w:t>
      </w:r>
    </w:p>
    <w:p w:rsidR="00000000" w:rsidRDefault="001E618F">
      <w:pPr>
        <w:pStyle w:val="a3"/>
        <w:spacing w:before="0" w:beforeAutospacing="0" w:after="0" w:afterAutospacing="0"/>
        <w:divId w:val="1757286368"/>
        <w:rPr>
          <w:sz w:val="20"/>
          <w:szCs w:val="20"/>
        </w:rPr>
      </w:pPr>
      <w:r>
        <w:rPr>
          <w:sz w:val="20"/>
          <w:szCs w:val="20"/>
        </w:rPr>
        <w:t>​</w:t>
      </w:r>
    </w:p>
    <w:p w:rsidR="00000000" w:rsidRDefault="001E618F">
      <w:pPr>
        <w:pStyle w:val="a3"/>
        <w:spacing w:before="0" w:beforeAutospacing="0" w:after="0" w:afterAutospacing="0"/>
        <w:divId w:val="1757286368"/>
        <w:rPr>
          <w:sz w:val="20"/>
          <w:szCs w:val="20"/>
        </w:rPr>
      </w:pPr>
      <w:r>
        <w:rPr>
          <w:b/>
          <w:bCs/>
          <w:i/>
          <w:iCs/>
          <w:sz w:val="20"/>
          <w:szCs w:val="20"/>
        </w:rPr>
        <w:t>Inhaled ALK5i (TD-1058)</w:t>
      </w:r>
    </w:p>
    <w:p w:rsidR="00000000" w:rsidRDefault="001E618F">
      <w:pPr>
        <w:pStyle w:val="a3"/>
        <w:spacing w:before="0" w:beforeAutospacing="0" w:after="0" w:afterAutospacing="0"/>
        <w:divId w:val="1757286368"/>
        <w:rPr>
          <w:sz w:val="20"/>
          <w:szCs w:val="20"/>
        </w:rPr>
      </w:pPr>
      <w:r>
        <w:rPr>
          <w:b/>
          <w:bCs/>
          <w:color w:val="FF0000"/>
          <w:sz w:val="10"/>
          <w:szCs w:val="10"/>
        </w:rPr>
        <w:t>​</w:t>
      </w:r>
    </w:p>
    <w:p w:rsidR="00000000" w:rsidRDefault="001E618F">
      <w:pPr>
        <w:pStyle w:val="a3"/>
        <w:spacing w:before="0" w:beforeAutospacing="0" w:after="0" w:afterAutospacing="0"/>
        <w:divId w:val="1757286368"/>
        <w:rPr>
          <w:sz w:val="20"/>
          <w:szCs w:val="20"/>
        </w:rPr>
      </w:pPr>
      <w:r>
        <w:rPr>
          <w:sz w:val="20"/>
          <w:szCs w:val="20"/>
        </w:rPr>
        <w:t>Our ALK5 inhibitor is a potential first-in-class, inha</w:t>
      </w:r>
      <w:r>
        <w:rPr>
          <w:sz w:val="20"/>
          <w:szCs w:val="20"/>
        </w:rPr>
        <w:t>led anti-fibrotic agent for the treatment of idiopathic pulmonary fibrosis (“IPF”), a fatal chronic lung disease with limited treatment options. Despite treatment with the current standard of care, IPF patients continue to experience disease progression an</w:t>
      </w:r>
      <w:r>
        <w:rPr>
          <w:sz w:val="20"/>
          <w:szCs w:val="20"/>
        </w:rPr>
        <w:t xml:space="preserve">d exacerbation, and therefore IPF treatment represents a significant unmet medical need. The compound targets the TGFβ pathway, a core signaling pathway that drives fibrosis. By </w:t>
      </w:r>
    </w:p>
    <w:p w:rsidR="00000000" w:rsidRDefault="001E618F">
      <w:pPr>
        <w:pStyle w:val="a3"/>
        <w:spacing w:before="360" w:beforeAutospacing="0" w:after="0" w:afterAutospacing="0"/>
        <w:jc w:val="center"/>
        <w:divId w:val="517697029"/>
        <w:rPr>
          <w:sz w:val="20"/>
          <w:szCs w:val="20"/>
        </w:rPr>
      </w:pPr>
      <w:r>
        <w:rPr>
          <w:sz w:val="20"/>
          <w:szCs w:val="20"/>
        </w:rPr>
        <w:t>21</w:t>
      </w:r>
    </w:p>
    <w:p w:rsidR="00000000" w:rsidRDefault="001E618F">
      <w:pPr>
        <w:pStyle w:val="a3"/>
        <w:spacing w:before="0" w:beforeAutospacing="0" w:after="600" w:afterAutospacing="0"/>
        <w:divId w:val="1577321370"/>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divId w:val="841316639"/>
        <w:rPr>
          <w:sz w:val="20"/>
          <w:szCs w:val="20"/>
        </w:rPr>
      </w:pPr>
      <w:r>
        <w:rPr>
          <w:sz w:val="20"/>
          <w:szCs w:val="20"/>
        </w:rPr>
        <w:t>being inhaled, the ALK5i effic</w:t>
      </w:r>
      <w:r>
        <w:rPr>
          <w:sz w:val="20"/>
          <w:szCs w:val="20"/>
        </w:rPr>
        <w:t xml:space="preserve">iently inhibits TGFβ signaling locally in the lung which is expected to maximize its therapeutic effect. We have completed a single and multiple ascending dose study of TD-1058 in healthy subjects. </w:t>
      </w:r>
    </w:p>
    <w:p w:rsidR="00000000" w:rsidRDefault="001E618F">
      <w:pPr>
        <w:pStyle w:val="a3"/>
        <w:spacing w:before="0" w:beforeAutospacing="0" w:after="0" w:afterAutospacing="0"/>
        <w:divId w:val="841316639"/>
        <w:rPr>
          <w:sz w:val="20"/>
          <w:szCs w:val="20"/>
        </w:rPr>
      </w:pPr>
      <w:r>
        <w:rPr>
          <w:b/>
          <w:bCs/>
          <w:sz w:val="20"/>
          <w:szCs w:val="20"/>
        </w:rPr>
        <w:t>​</w:t>
      </w:r>
    </w:p>
    <w:p w:rsidR="00000000" w:rsidRDefault="001E618F">
      <w:pPr>
        <w:pStyle w:val="a3"/>
        <w:spacing w:before="0" w:beforeAutospacing="0" w:after="120" w:afterAutospacing="0"/>
        <w:divId w:val="841316639"/>
        <w:rPr>
          <w:sz w:val="20"/>
          <w:szCs w:val="20"/>
        </w:rPr>
      </w:pPr>
      <w:r>
        <w:rPr>
          <w:b/>
          <w:bCs/>
          <w:sz w:val="20"/>
          <w:szCs w:val="20"/>
        </w:rPr>
        <w:t>Economic Interest in GSK-Partnered Respiratory Programs</w:t>
      </w:r>
    </w:p>
    <w:p w:rsidR="00000000" w:rsidRDefault="001E618F">
      <w:pPr>
        <w:pStyle w:val="a3"/>
        <w:spacing w:before="0" w:beforeAutospacing="0" w:after="0" w:afterAutospacing="0"/>
        <w:ind w:firstLine="720"/>
        <w:divId w:val="841316639"/>
        <w:rPr>
          <w:sz w:val="20"/>
          <w:szCs w:val="20"/>
        </w:rPr>
      </w:pPr>
      <w:r>
        <w:rPr>
          <w:sz w:val="20"/>
          <w:szCs w:val="20"/>
        </w:rPr>
        <w:t>We hold an 85% economic interest in any future payments that may be made by GSK to Theravance Respiratory Company, LLC (“TRC”) pursuant to its agreements with Innoviva (net of TRC expenses paid and the amount of cash, if any, expected to be used by TRC pu</w:t>
      </w:r>
      <w:r>
        <w:rPr>
          <w:sz w:val="20"/>
          <w:szCs w:val="20"/>
        </w:rPr>
        <w:t xml:space="preserve">rsuant to the TRC LLC Agreement over the next four fiscal quarters) relating to the GSK-Partnered Respiratory Programs, which Innoviva partnered with GSK and assigned to TRC in connection with Innoviva’s separation of its biopharmaceutical operations into </w:t>
      </w:r>
      <w:r>
        <w:rPr>
          <w:sz w:val="20"/>
          <w:szCs w:val="20"/>
        </w:rPr>
        <w:t>its then wholly-owned subsidiary Theravance Biopharma in June 2014. The GSK-Partnered Respiratory Programs consist primarily of the TRELEGY program, which is described in more detail below. We are entitled to this economic interest through our equity owner</w:t>
      </w:r>
      <w:r>
        <w:rPr>
          <w:sz w:val="20"/>
          <w:szCs w:val="20"/>
        </w:rPr>
        <w:t xml:space="preserve">ship in TRC. Our economic interest does not include any payments associated with RELVAR ELLIPTA/BREO ELLIPTA, ANORO ELLIPTA or vilanterol monotherapy. </w:t>
      </w:r>
    </w:p>
    <w:p w:rsidR="00000000" w:rsidRDefault="001E618F">
      <w:pPr>
        <w:pStyle w:val="a3"/>
        <w:spacing w:before="0" w:beforeAutospacing="0" w:after="0" w:afterAutospacing="0"/>
        <w:divId w:val="841316639"/>
        <w:rPr>
          <w:sz w:val="20"/>
          <w:szCs w:val="20"/>
        </w:rPr>
      </w:pPr>
      <w:r>
        <w:rPr>
          <w:sz w:val="20"/>
          <w:szCs w:val="20"/>
        </w:rPr>
        <w:t>​</w:t>
      </w:r>
    </w:p>
    <w:p w:rsidR="00000000" w:rsidRDefault="001E618F">
      <w:pPr>
        <w:pStyle w:val="a3"/>
        <w:spacing w:before="0" w:beforeAutospacing="0" w:after="0" w:afterAutospacing="0"/>
        <w:ind w:firstLine="720"/>
        <w:divId w:val="841316639"/>
        <w:rPr>
          <w:sz w:val="20"/>
          <w:szCs w:val="20"/>
        </w:rPr>
      </w:pPr>
      <w:r>
        <w:rPr>
          <w:sz w:val="20"/>
          <w:szCs w:val="20"/>
        </w:rPr>
        <w:t>The following information regarding the TRELEGY program is based solely upon publicly available inform</w:t>
      </w:r>
      <w:r>
        <w:rPr>
          <w:sz w:val="20"/>
          <w:szCs w:val="20"/>
        </w:rPr>
        <w:t>ation and may not reflect the most recent developments under the programs.</w:t>
      </w:r>
    </w:p>
    <w:p w:rsidR="00000000" w:rsidRDefault="001E618F">
      <w:pPr>
        <w:pStyle w:val="a3"/>
        <w:spacing w:before="0" w:beforeAutospacing="0" w:after="0" w:afterAutospacing="0"/>
        <w:ind w:firstLine="720"/>
        <w:divId w:val="841316639"/>
        <w:rPr>
          <w:sz w:val="20"/>
          <w:szCs w:val="20"/>
        </w:rPr>
      </w:pPr>
      <w:r>
        <w:rPr>
          <w:sz w:val="20"/>
          <w:szCs w:val="20"/>
        </w:rPr>
        <w:t>​</w:t>
      </w:r>
    </w:p>
    <w:p w:rsidR="00000000" w:rsidRDefault="001E618F">
      <w:pPr>
        <w:pStyle w:val="a3"/>
        <w:spacing w:before="0" w:beforeAutospacing="0" w:after="120" w:afterAutospacing="0"/>
        <w:divId w:val="841316639"/>
        <w:rPr>
          <w:sz w:val="20"/>
          <w:szCs w:val="20"/>
        </w:rPr>
      </w:pPr>
      <w:r>
        <w:rPr>
          <w:b/>
          <w:bCs/>
          <w:i/>
          <w:iCs/>
          <w:sz w:val="20"/>
          <w:szCs w:val="20"/>
        </w:rPr>
        <w:t>TRELEGY (the combination of fluticasone furoate/umeclidinium bromide/vilanterol)</w:t>
      </w:r>
    </w:p>
    <w:p w:rsidR="00000000" w:rsidRDefault="001E618F">
      <w:pPr>
        <w:pStyle w:val="a3"/>
        <w:spacing w:before="0" w:beforeAutospacing="0" w:after="0" w:afterAutospacing="0"/>
        <w:ind w:firstLine="720"/>
        <w:divId w:val="841316639"/>
        <w:rPr>
          <w:sz w:val="20"/>
          <w:szCs w:val="20"/>
        </w:rPr>
      </w:pPr>
      <w:r>
        <w:rPr>
          <w:sz w:val="20"/>
          <w:szCs w:val="20"/>
        </w:rPr>
        <w:t>TRELEGY provides the activity of an inhaled corticosteroid (FF) plus two bronchodilators (UMEC, a LAMA, and VI, a long-acting beta2 agonist, or LABA) in a single delivery device administered once-daily. TRELEGY is approved for use in the US, European Union</w:t>
      </w:r>
      <w:r>
        <w:rPr>
          <w:sz w:val="20"/>
          <w:szCs w:val="20"/>
        </w:rPr>
        <w:t xml:space="preserve"> (“EU”), and other countries for the long-term, once-daily, maintenance treatment of patients with COPD. We hold an 85% economic interest in the royalties payable by GSK to TRC on worldwide net sales (net of TRC expenses paid and the amount of cash, if any</w:t>
      </w:r>
      <w:r>
        <w:rPr>
          <w:sz w:val="20"/>
          <w:szCs w:val="20"/>
        </w:rPr>
        <w:t>, expected to be used by TRC pursuant to the TRC LLC Agreement over the next four fiscal quarters) through our interest in TRC. Those royalties are upward-tiering from 6.5% to 10%, resulting in cash flows to us of approximately 5.5% to 8.5% of worldwide ne</w:t>
      </w:r>
      <w:r>
        <w:rPr>
          <w:sz w:val="20"/>
          <w:szCs w:val="20"/>
        </w:rPr>
        <w:t>t sales of TRELEGY (net of TRC expenses paid and the amount of cash, if any, expected to be used by TRC pursuant to the TRC LLC Agreement over the next four fiscal quarters). Theravance Biopharma is not responsible for any of GSK’s costs related to the dev</w:t>
      </w:r>
      <w:r>
        <w:rPr>
          <w:sz w:val="20"/>
          <w:szCs w:val="20"/>
        </w:rPr>
        <w:t>elopment or commercialization of TRELEGY.</w:t>
      </w:r>
    </w:p>
    <w:p w:rsidR="00000000" w:rsidRDefault="001E618F">
      <w:pPr>
        <w:pStyle w:val="a3"/>
        <w:spacing w:before="0" w:beforeAutospacing="0" w:after="0" w:afterAutospacing="0"/>
        <w:divId w:val="841316639"/>
        <w:rPr>
          <w:sz w:val="20"/>
          <w:szCs w:val="20"/>
        </w:rPr>
      </w:pPr>
      <w:r>
        <w:rPr>
          <w:sz w:val="20"/>
          <w:szCs w:val="20"/>
        </w:rPr>
        <w:t>​</w:t>
      </w:r>
    </w:p>
    <w:p w:rsidR="00000000" w:rsidRDefault="001E618F">
      <w:pPr>
        <w:pStyle w:val="a3"/>
        <w:spacing w:before="0" w:beforeAutospacing="0" w:after="0" w:afterAutospacing="0"/>
        <w:ind w:firstLine="720"/>
        <w:divId w:val="841316639"/>
        <w:rPr>
          <w:sz w:val="20"/>
          <w:szCs w:val="20"/>
        </w:rPr>
      </w:pPr>
      <w:r>
        <w:rPr>
          <w:sz w:val="20"/>
          <w:szCs w:val="20"/>
        </w:rPr>
        <w:t>Additionally, the FDA approved an sNDA for the use of TRELEGY to treat asthma in adults in September 2020 making TRELEGY the first once-daily single inhaler triple therapy for the treatment of both asthma and COP</w:t>
      </w:r>
      <w:r>
        <w:rPr>
          <w:sz w:val="20"/>
          <w:szCs w:val="20"/>
        </w:rPr>
        <w:t xml:space="preserve">D in the US. GSK has obtained approval for the asthma indication in ten additional markets. TRELEGY is currently expected to generate global peak sales of $3.5 billion annually according to consensus estimates. Over the past three years, TRELEGY has shown </w:t>
      </w:r>
      <w:r>
        <w:rPr>
          <w:sz w:val="20"/>
          <w:szCs w:val="20"/>
        </w:rPr>
        <w:t>substantial growth, with global net sales increasing from $663 million in 2019 to $1.1 billion in 2020 and to $1.7 billion in 2021.</w:t>
      </w:r>
    </w:p>
    <w:p w:rsidR="00000000" w:rsidRDefault="001E618F">
      <w:pPr>
        <w:pStyle w:val="a3"/>
        <w:spacing w:before="0" w:beforeAutospacing="0" w:after="0" w:afterAutospacing="0"/>
        <w:divId w:val="841316639"/>
        <w:rPr>
          <w:sz w:val="20"/>
          <w:szCs w:val="20"/>
        </w:rPr>
      </w:pPr>
      <w:r>
        <w:rPr>
          <w:i/>
          <w:iCs/>
          <w:sz w:val="20"/>
          <w:szCs w:val="20"/>
        </w:rPr>
        <w:t>​</w:t>
      </w:r>
    </w:p>
    <w:p w:rsidR="00000000" w:rsidRDefault="001E618F">
      <w:pPr>
        <w:pStyle w:val="a3"/>
        <w:spacing w:before="0" w:beforeAutospacing="0" w:after="120" w:afterAutospacing="0"/>
        <w:divId w:val="841316639"/>
        <w:rPr>
          <w:sz w:val="20"/>
          <w:szCs w:val="20"/>
        </w:rPr>
      </w:pPr>
      <w:r>
        <w:rPr>
          <w:b/>
          <w:bCs/>
          <w:i/>
          <w:iCs/>
          <w:sz w:val="20"/>
          <w:szCs w:val="20"/>
        </w:rPr>
        <w:t>Theravance Respiratory Company, LLC</w:t>
      </w:r>
    </w:p>
    <w:p w:rsidR="00000000" w:rsidRDefault="001E618F">
      <w:pPr>
        <w:pStyle w:val="a3"/>
        <w:spacing w:before="0" w:beforeAutospacing="0" w:after="0" w:afterAutospacing="0"/>
        <w:ind w:firstLine="720"/>
        <w:divId w:val="841316639"/>
        <w:rPr>
          <w:sz w:val="20"/>
          <w:szCs w:val="20"/>
        </w:rPr>
      </w:pPr>
      <w:r>
        <w:rPr>
          <w:sz w:val="20"/>
          <w:szCs w:val="20"/>
        </w:rPr>
        <w:t>Prior to the June 2014 spin-off from Innoviva, our former parent company, Innoviva ass</w:t>
      </w:r>
      <w:r>
        <w:rPr>
          <w:sz w:val="20"/>
          <w:szCs w:val="20"/>
        </w:rPr>
        <w:t>igned to Theravance Respiratory Company, LLC (“TRC”), a Delaware limited liability company formed by Innoviva, its strategic alliance agreement with GSK and all of its rights and obligations under its collaboration agreement with GSK, other than with respe</w:t>
      </w:r>
      <w:r>
        <w:rPr>
          <w:sz w:val="20"/>
          <w:szCs w:val="20"/>
        </w:rPr>
        <w:t xml:space="preserve">ct to RELVAR ELLIPTA/BREO ELLIPTA, ANORO ELLIPTA and vilanterol monotherapy. </w:t>
      </w:r>
    </w:p>
    <w:p w:rsidR="00000000" w:rsidRDefault="001E618F">
      <w:pPr>
        <w:pStyle w:val="a3"/>
        <w:spacing w:before="0" w:beforeAutospacing="0" w:after="0" w:afterAutospacing="0"/>
        <w:ind w:firstLine="720"/>
        <w:divId w:val="841316639"/>
        <w:rPr>
          <w:sz w:val="20"/>
          <w:szCs w:val="20"/>
        </w:rPr>
      </w:pPr>
      <w:r>
        <w:rPr>
          <w:sz w:val="20"/>
          <w:szCs w:val="20"/>
        </w:rPr>
        <w:t>​</w:t>
      </w:r>
    </w:p>
    <w:p w:rsidR="00000000" w:rsidRDefault="001E618F">
      <w:pPr>
        <w:pStyle w:val="a3"/>
        <w:spacing w:before="0" w:beforeAutospacing="0" w:after="0" w:afterAutospacing="0"/>
        <w:ind w:firstLine="720"/>
        <w:divId w:val="841316639"/>
        <w:rPr>
          <w:sz w:val="20"/>
          <w:szCs w:val="20"/>
        </w:rPr>
      </w:pPr>
      <w:r>
        <w:rPr>
          <w:sz w:val="20"/>
          <w:szCs w:val="20"/>
        </w:rPr>
        <w:t xml:space="preserve">Our equity interest in TRC is the mechanism by which we are entitled to the 85% economic interest in any future payments made by GSK under the strategic alliance agreement and </w:t>
      </w:r>
      <w:r>
        <w:rPr>
          <w:sz w:val="20"/>
          <w:szCs w:val="20"/>
        </w:rPr>
        <w:t>under the portion of the collaboration agreement assigned to TRC by Innoviva (net of TRC expenses paid and the amount of cash, if any, expected to be used by TRC pursuant to the TRC LLC Agreement over the next four fiscal quarters). TRELEGY is currently th</w:t>
      </w:r>
      <w:r>
        <w:rPr>
          <w:sz w:val="20"/>
          <w:szCs w:val="20"/>
        </w:rPr>
        <w:t xml:space="preserve">e only commercial product arising out of the GSK agreements assigned by Innoviva to TRC. Royalty payments from GSK to TRC arising from the net sales of </w:t>
      </w:r>
      <w:r>
        <w:rPr>
          <w:caps/>
          <w:sz w:val="20"/>
          <w:szCs w:val="20"/>
        </w:rPr>
        <w:t xml:space="preserve">Trelegy </w:t>
      </w:r>
      <w:r>
        <w:rPr>
          <w:sz w:val="20"/>
          <w:szCs w:val="20"/>
        </w:rPr>
        <w:t>are presented in our condensed consolidated statements of operations within “</w:t>
      </w:r>
      <w:r>
        <w:rPr>
          <w:sz w:val="20"/>
          <w:szCs w:val="20"/>
        </w:rPr>
        <w:t>Income from investment in TRC, LLC” and is classified as non-operating income. Seventy-five percent of the “Income from investment in TRC, LLC,” as evidenced by the Issuer II Class C Units (defined below), is available only for payment of the $400.0 millio</w:t>
      </w:r>
      <w:r>
        <w:rPr>
          <w:sz w:val="20"/>
          <w:szCs w:val="20"/>
        </w:rPr>
        <w:t xml:space="preserve">n original aggregate amount of 9.5% fixed rate non-recourse term notes due 2035 (the “Non-Recourse 2035 Notes”) and is not available to pay our other obligations or the claims of our other creditors. </w:t>
      </w:r>
    </w:p>
    <w:p w:rsidR="00000000" w:rsidRDefault="001E618F">
      <w:pPr>
        <w:pStyle w:val="a3"/>
        <w:spacing w:before="0" w:beforeAutospacing="0" w:after="0" w:afterAutospacing="0"/>
        <w:ind w:firstLine="720"/>
        <w:divId w:val="841316639"/>
        <w:rPr>
          <w:sz w:val="20"/>
          <w:szCs w:val="20"/>
        </w:rPr>
      </w:pPr>
      <w:r>
        <w:rPr>
          <w:sz w:val="20"/>
          <w:szCs w:val="20"/>
        </w:rPr>
        <w:t>​</w:t>
      </w:r>
    </w:p>
    <w:p w:rsidR="00000000" w:rsidRDefault="001E618F">
      <w:pPr>
        <w:pStyle w:val="a3"/>
        <w:spacing w:before="360" w:beforeAutospacing="0" w:after="0" w:afterAutospacing="0"/>
        <w:jc w:val="center"/>
        <w:divId w:val="1324354073"/>
        <w:rPr>
          <w:sz w:val="20"/>
          <w:szCs w:val="20"/>
        </w:rPr>
      </w:pPr>
      <w:r>
        <w:rPr>
          <w:sz w:val="20"/>
          <w:szCs w:val="20"/>
        </w:rPr>
        <w:t>22</w:t>
      </w:r>
    </w:p>
    <w:p w:rsidR="00000000" w:rsidRDefault="001E618F">
      <w:pPr>
        <w:pStyle w:val="a3"/>
        <w:spacing w:before="0" w:beforeAutospacing="0" w:after="600" w:afterAutospacing="0"/>
        <w:divId w:val="1626228065"/>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ind w:firstLine="720"/>
        <w:divId w:val="795103012"/>
        <w:rPr>
          <w:sz w:val="20"/>
          <w:szCs w:val="20"/>
        </w:rPr>
      </w:pPr>
      <w:r>
        <w:rPr>
          <w:sz w:val="20"/>
          <w:szCs w:val="20"/>
        </w:rPr>
        <w:t>Our sp</w:t>
      </w:r>
      <w:r>
        <w:rPr>
          <w:sz w:val="20"/>
          <w:szCs w:val="20"/>
        </w:rPr>
        <w:t>ecial purpose subsidiary Triple Royalty Sub II LLC (the “Issuer II”) issued the Non-Recourse 2035 Notes in February 2020, the proceeds of which were used in part to repay the outstanding balance of our 9.0% non-recourse notes, due on or before 2033 (the “N</w:t>
      </w:r>
      <w:r>
        <w:rPr>
          <w:sz w:val="20"/>
          <w:szCs w:val="20"/>
        </w:rPr>
        <w:t>on-Recourse 2033 Notes”) that were issued in November 2018. The Non-Recourse 2035 Notes are secured by all of the Issuer II’s rights, title and interest as a holder of certain membership interests (the “Issuer II Class C Units”) in TRC. The Issuer II Class</w:t>
      </w:r>
      <w:r>
        <w:rPr>
          <w:sz w:val="20"/>
          <w:szCs w:val="20"/>
        </w:rPr>
        <w:t xml:space="preserve"> C Units entitle the Issuer II to receive 63.75% of the economic interest that TRC receives in any future payments made by GSK under the agreements described above, or 75% of the income from our 85% ownership interest in TRC. </w:t>
      </w:r>
    </w:p>
    <w:p w:rsidR="00000000" w:rsidRDefault="001E618F">
      <w:pPr>
        <w:pStyle w:val="a3"/>
        <w:spacing w:before="0" w:beforeAutospacing="0" w:after="0" w:afterAutospacing="0"/>
        <w:ind w:firstLine="720"/>
        <w:divId w:val="795103012"/>
        <w:rPr>
          <w:sz w:val="20"/>
          <w:szCs w:val="20"/>
        </w:rPr>
      </w:pPr>
      <w:r>
        <w:rPr>
          <w:sz w:val="20"/>
          <w:szCs w:val="20"/>
        </w:rPr>
        <w:t>​</w:t>
      </w:r>
    </w:p>
    <w:p w:rsidR="00000000" w:rsidRDefault="001E618F">
      <w:pPr>
        <w:pStyle w:val="a3"/>
        <w:spacing w:before="0" w:beforeAutospacing="0" w:after="0" w:afterAutospacing="0"/>
        <w:ind w:firstLine="720"/>
        <w:divId w:val="795103012"/>
        <w:rPr>
          <w:sz w:val="20"/>
          <w:szCs w:val="20"/>
        </w:rPr>
      </w:pPr>
      <w:r>
        <w:rPr>
          <w:sz w:val="20"/>
          <w:szCs w:val="20"/>
        </w:rPr>
        <w:t>We initiated an arbitration</w:t>
      </w:r>
      <w:r>
        <w:rPr>
          <w:sz w:val="20"/>
          <w:szCs w:val="20"/>
        </w:rPr>
        <w:t xml:space="preserve"> proceeding in October 2020 against Innoviva and TRC, challenging the authority of Innoviva and TRC to pursue a business plan to use TRELEGY royalties to invest in certain privately-held companies, rather than distribute such funds that would otherwise be </w:t>
      </w:r>
      <w:r>
        <w:rPr>
          <w:sz w:val="20"/>
          <w:szCs w:val="20"/>
        </w:rPr>
        <w:t xml:space="preserve">available for distribution to us under the terms of the TRC LLC Agreement in a manner that we believe is consistent with the TRC LLC Agreement and our 85% economic interest in TRC.  </w:t>
      </w:r>
    </w:p>
    <w:p w:rsidR="00000000" w:rsidRDefault="001E618F">
      <w:pPr>
        <w:pStyle w:val="a3"/>
        <w:spacing w:before="0" w:beforeAutospacing="0" w:after="0" w:afterAutospacing="0"/>
        <w:divId w:val="795103012"/>
        <w:rPr>
          <w:sz w:val="20"/>
          <w:szCs w:val="20"/>
        </w:rPr>
      </w:pPr>
      <w:r>
        <w:rPr>
          <w:sz w:val="20"/>
          <w:szCs w:val="20"/>
        </w:rPr>
        <w:t>​</w:t>
      </w:r>
    </w:p>
    <w:p w:rsidR="00000000" w:rsidRDefault="001E618F">
      <w:pPr>
        <w:pStyle w:val="a3"/>
        <w:spacing w:before="0" w:beforeAutospacing="0" w:after="0" w:afterAutospacing="0"/>
        <w:ind w:firstLine="720"/>
        <w:divId w:val="795103012"/>
        <w:rPr>
          <w:sz w:val="20"/>
          <w:szCs w:val="20"/>
        </w:rPr>
      </w:pPr>
      <w:r>
        <w:rPr>
          <w:sz w:val="20"/>
          <w:szCs w:val="20"/>
        </w:rPr>
        <w:t xml:space="preserve">On March 30, 2021, the arbitrator ruled that, we had not shown that at </w:t>
      </w:r>
      <w:r>
        <w:rPr>
          <w:sz w:val="20"/>
          <w:szCs w:val="20"/>
        </w:rPr>
        <w:t>their then current levels of investment, Innoviva and TRC had breached the TRC LLC Agreement as of the date of the arbitration. The arbitrator further ruled that Innoviva and TRC had not breached the implied covenant of good faith and fair dealing; or thei</w:t>
      </w:r>
      <w:r>
        <w:rPr>
          <w:sz w:val="20"/>
          <w:szCs w:val="20"/>
        </w:rPr>
        <w:t>r fiduciary duties. The arbitrator also ruled that (i) Innoviva was entitled to indemnification from TRC for all legal fees and expenses reasonably incurred in the arbitration and (ii) we were entitled to indemnification from TRC for legal fees and costs i</w:t>
      </w:r>
      <w:r>
        <w:rPr>
          <w:sz w:val="20"/>
          <w:szCs w:val="20"/>
        </w:rPr>
        <w:t>ncurred in defending an action Innoviva brought against us in the Delaware Court of Chancery. The arbitrator noted in the ruling that although we failed to show that Innoviva’s investment activities, at the then current levels of investment, have or will h</w:t>
      </w:r>
      <w:r>
        <w:rPr>
          <w:sz w:val="20"/>
          <w:szCs w:val="20"/>
        </w:rPr>
        <w:t>ave a material and adverse effect on our economic interest in TRC, this does not mean that any future investments or actions will not require our consent. The arbitrator noted in the ruling that we may, in the future, have a consent right over the decision</w:t>
      </w:r>
      <w:r>
        <w:rPr>
          <w:sz w:val="20"/>
          <w:szCs w:val="20"/>
        </w:rPr>
        <w:t xml:space="preserve"> to continue this investment strategy or whether to make a particular investment if, for example, Innoviva develops a track record of poor investments, over allocates royalties to these investment activities, or fails to distribute sufficient investment re</w:t>
      </w:r>
      <w:r>
        <w:rPr>
          <w:sz w:val="20"/>
          <w:szCs w:val="20"/>
        </w:rPr>
        <w:t xml:space="preserve">turns, and such facts cause the strategy or investment to have a material adverse effect on our economic interest in TRC. </w:t>
      </w:r>
    </w:p>
    <w:p w:rsidR="00000000" w:rsidRDefault="001E618F">
      <w:pPr>
        <w:pStyle w:val="a3"/>
        <w:spacing w:before="0" w:beforeAutospacing="0" w:after="0" w:afterAutospacing="0"/>
        <w:ind w:firstLine="720"/>
        <w:divId w:val="795103012"/>
        <w:rPr>
          <w:sz w:val="20"/>
          <w:szCs w:val="20"/>
        </w:rPr>
      </w:pPr>
      <w:r>
        <w:rPr>
          <w:sz w:val="20"/>
          <w:szCs w:val="20"/>
        </w:rPr>
        <w:t>​</w:t>
      </w:r>
    </w:p>
    <w:p w:rsidR="00000000" w:rsidRDefault="001E618F">
      <w:pPr>
        <w:pStyle w:val="a3"/>
        <w:spacing w:before="0" w:beforeAutospacing="0" w:after="0" w:afterAutospacing="0"/>
        <w:ind w:firstLine="720"/>
        <w:divId w:val="795103012"/>
        <w:rPr>
          <w:sz w:val="20"/>
          <w:szCs w:val="20"/>
        </w:rPr>
      </w:pPr>
      <w:r>
        <w:rPr>
          <w:sz w:val="20"/>
          <w:szCs w:val="20"/>
        </w:rPr>
        <w:t>Pursuant to the terms of the TRC LLC Agreement, Innoviva is required to deliver to us a draft quarterly financial plan 30 days prio</w:t>
      </w:r>
      <w:r>
        <w:rPr>
          <w:sz w:val="20"/>
          <w:szCs w:val="20"/>
        </w:rPr>
        <w:t>r to the end of each fiscal quarter covering the next fiscal quarter. While the TRC LLC Agreement provides that Innoviva must consider in good faith any comments the Company provides, an applicable financial plan becomes effective 30 days after the draft p</w:t>
      </w:r>
      <w:r>
        <w:rPr>
          <w:sz w:val="20"/>
          <w:szCs w:val="20"/>
        </w:rPr>
        <w:t>lan is provided to the Company. We have objected to the proposed investments in private companies presented in draft TRC quarterly financial plans to date. If TRC identifies and consummates investments and incurs associated fees identified in a TRC quarter</w:t>
      </w:r>
      <w:r>
        <w:rPr>
          <w:sz w:val="20"/>
          <w:szCs w:val="20"/>
        </w:rPr>
        <w:t>ly plan, even over the Company’s objections, distributions by TRC to its members in subsequent quarters will be reduced.</w:t>
      </w:r>
    </w:p>
    <w:p w:rsidR="00000000" w:rsidRDefault="001E618F">
      <w:pPr>
        <w:pStyle w:val="a3"/>
        <w:spacing w:before="0" w:beforeAutospacing="0" w:after="0" w:afterAutospacing="0"/>
        <w:divId w:val="795103012"/>
        <w:rPr>
          <w:sz w:val="20"/>
          <w:szCs w:val="20"/>
        </w:rPr>
      </w:pPr>
      <w:r>
        <w:rPr>
          <w:sz w:val="20"/>
          <w:szCs w:val="20"/>
        </w:rPr>
        <w:t>​</w:t>
      </w:r>
    </w:p>
    <w:p w:rsidR="00000000" w:rsidRDefault="001E618F">
      <w:pPr>
        <w:pStyle w:val="a3"/>
        <w:spacing w:before="0" w:beforeAutospacing="0" w:after="0" w:afterAutospacing="0"/>
        <w:ind w:firstLine="720"/>
        <w:divId w:val="795103012"/>
        <w:rPr>
          <w:sz w:val="20"/>
          <w:szCs w:val="20"/>
        </w:rPr>
      </w:pPr>
      <w:r>
        <w:rPr>
          <w:sz w:val="20"/>
          <w:szCs w:val="20"/>
        </w:rPr>
        <w:t>Our objections with regard to a draft TRC quarterly plan or other actions by TRC could result in additional legal proceedings between</w:t>
      </w:r>
      <w:r>
        <w:rPr>
          <w:sz w:val="20"/>
          <w:szCs w:val="20"/>
        </w:rPr>
        <w:t xml:space="preserve"> us, TRC and Innoviva, as was the case when we initiated arbitration proceedings against Innoviva and TRC in May 2019 and again in October 2020. Any such legal proceedings could divert the attention of management and cause us to incur significant costs, re</w:t>
      </w:r>
      <w:r>
        <w:rPr>
          <w:sz w:val="20"/>
          <w:szCs w:val="20"/>
        </w:rPr>
        <w:t>gardless of the outcome, which we cannot predict. If such proceedings were pursued, there can be no assurance that they would result in us receiving additional distributions from TRC. An adverse result could materially and adversely affect the funds that o</w:t>
      </w:r>
      <w:r>
        <w:rPr>
          <w:sz w:val="20"/>
          <w:szCs w:val="20"/>
        </w:rPr>
        <w:t xml:space="preserve">ur affiliates would otherwise expect to receive from TRC in the future. See </w:t>
      </w:r>
      <w:r>
        <w:rPr>
          <w:i/>
          <w:iCs/>
          <w:sz w:val="20"/>
          <w:szCs w:val="20"/>
        </w:rPr>
        <w:t>“Risk Factors—We do not control the commercialization of TRELEGY and we do not control TRC; accordingly the amount of royalties we receive will depend on, among other factors, GSK’</w:t>
      </w:r>
      <w:r>
        <w:rPr>
          <w:i/>
          <w:iCs/>
          <w:sz w:val="20"/>
          <w:szCs w:val="20"/>
        </w:rPr>
        <w:t>s ability to further commercialize TRELEGY and TRC’s decisions concerning use of cash in accordance with the TRC LLC Agreement”</w:t>
      </w:r>
      <w:r>
        <w:rPr>
          <w:i/>
          <w:iCs/>
          <w:color w:val="FF0000"/>
          <w:sz w:val="20"/>
          <w:szCs w:val="20"/>
        </w:rPr>
        <w:t xml:space="preserve"> </w:t>
      </w:r>
      <w:r>
        <w:rPr>
          <w:sz w:val="20"/>
          <w:szCs w:val="20"/>
        </w:rPr>
        <w:t>for additional information.</w:t>
      </w:r>
    </w:p>
    <w:p w:rsidR="00000000" w:rsidRDefault="001E618F">
      <w:pPr>
        <w:pStyle w:val="a3"/>
        <w:spacing w:before="0" w:beforeAutospacing="0" w:after="0" w:afterAutospacing="0"/>
        <w:ind w:firstLine="720"/>
        <w:divId w:val="795103012"/>
        <w:rPr>
          <w:sz w:val="20"/>
          <w:szCs w:val="20"/>
        </w:rPr>
      </w:pPr>
      <w:r>
        <w:rPr>
          <w:sz w:val="20"/>
          <w:szCs w:val="20"/>
        </w:rPr>
        <w:t>​</w:t>
      </w:r>
    </w:p>
    <w:p w:rsidR="00000000" w:rsidRDefault="001E618F">
      <w:pPr>
        <w:pStyle w:val="a3"/>
        <w:spacing w:before="0" w:beforeAutospacing="0" w:after="0" w:afterAutospacing="0"/>
        <w:divId w:val="795103012"/>
        <w:rPr>
          <w:sz w:val="20"/>
          <w:szCs w:val="20"/>
        </w:rPr>
      </w:pPr>
      <w:r>
        <w:rPr>
          <w:b/>
          <w:bCs/>
          <w:sz w:val="20"/>
          <w:szCs w:val="20"/>
        </w:rPr>
        <w:t>Other Economic Interests</w:t>
      </w:r>
    </w:p>
    <w:p w:rsidR="00000000" w:rsidRDefault="001E618F">
      <w:pPr>
        <w:pStyle w:val="a3"/>
        <w:spacing w:before="0" w:beforeAutospacing="0" w:after="0" w:afterAutospacing="0"/>
        <w:divId w:val="795103012"/>
        <w:rPr>
          <w:sz w:val="20"/>
          <w:szCs w:val="20"/>
        </w:rPr>
      </w:pPr>
      <w:r>
        <w:rPr>
          <w:b/>
          <w:bCs/>
          <w:i/>
          <w:iCs/>
          <w:sz w:val="20"/>
          <w:szCs w:val="20"/>
        </w:rPr>
        <w:t>​</w:t>
      </w:r>
    </w:p>
    <w:p w:rsidR="00000000" w:rsidRDefault="001E618F">
      <w:pPr>
        <w:pStyle w:val="a3"/>
        <w:spacing w:before="0" w:beforeAutospacing="0" w:after="0" w:afterAutospacing="0"/>
        <w:divId w:val="795103012"/>
        <w:rPr>
          <w:sz w:val="20"/>
          <w:szCs w:val="20"/>
        </w:rPr>
      </w:pPr>
      <w:r>
        <w:rPr>
          <w:b/>
          <w:bCs/>
          <w:i/>
          <w:iCs/>
          <w:sz w:val="20"/>
          <w:szCs w:val="20"/>
        </w:rPr>
        <w:t>Selective 5-HT4 Agonist (TD-8954)</w:t>
      </w:r>
    </w:p>
    <w:p w:rsidR="00000000" w:rsidRDefault="001E618F">
      <w:pPr>
        <w:pStyle w:val="a3"/>
        <w:spacing w:before="0" w:beforeAutospacing="0" w:after="0" w:afterAutospacing="0"/>
        <w:divId w:val="795103012"/>
        <w:rPr>
          <w:sz w:val="20"/>
          <w:szCs w:val="20"/>
        </w:rPr>
      </w:pPr>
      <w:r>
        <w:rPr>
          <w:sz w:val="10"/>
          <w:szCs w:val="10"/>
        </w:rPr>
        <w:t>​</w:t>
      </w:r>
    </w:p>
    <w:p w:rsidR="00000000" w:rsidRDefault="001E618F">
      <w:pPr>
        <w:pStyle w:val="a3"/>
        <w:spacing w:before="0" w:beforeAutospacing="0" w:after="0" w:afterAutospacing="0"/>
        <w:ind w:firstLine="720"/>
        <w:divId w:val="795103012"/>
        <w:rPr>
          <w:sz w:val="20"/>
          <w:szCs w:val="20"/>
        </w:rPr>
      </w:pPr>
      <w:r>
        <w:rPr>
          <w:sz w:val="20"/>
          <w:szCs w:val="20"/>
        </w:rPr>
        <w:t>TD-8954 is a selective 5-HT4 receptor agonist being developed for potential use in the treatment of gastrointestinal motility disorders.</w:t>
      </w:r>
      <w:r>
        <w:rPr>
          <w:color w:val="FF0000"/>
          <w:sz w:val="20"/>
          <w:szCs w:val="20"/>
        </w:rPr>
        <w:t xml:space="preserve"> </w:t>
      </w:r>
    </w:p>
    <w:p w:rsidR="00000000" w:rsidRDefault="001E618F">
      <w:pPr>
        <w:pStyle w:val="a3"/>
        <w:spacing w:before="0" w:beforeAutospacing="0" w:after="0" w:afterAutospacing="0"/>
        <w:divId w:val="795103012"/>
        <w:rPr>
          <w:sz w:val="20"/>
          <w:szCs w:val="20"/>
        </w:rPr>
      </w:pPr>
      <w:r>
        <w:rPr>
          <w:sz w:val="20"/>
          <w:szCs w:val="20"/>
        </w:rPr>
        <w:t>​</w:t>
      </w:r>
    </w:p>
    <w:p w:rsidR="00000000" w:rsidRDefault="001E618F">
      <w:pPr>
        <w:pStyle w:val="a3"/>
        <w:spacing w:before="0" w:beforeAutospacing="0" w:after="0" w:afterAutospacing="0"/>
        <w:divId w:val="795103012"/>
        <w:rPr>
          <w:sz w:val="20"/>
          <w:szCs w:val="20"/>
        </w:rPr>
      </w:pPr>
      <w:r>
        <w:rPr>
          <w:i/>
          <w:iCs/>
          <w:sz w:val="20"/>
          <w:szCs w:val="20"/>
        </w:rPr>
        <w:t>Takeda Collaborative Arrangement</w:t>
      </w:r>
    </w:p>
    <w:p w:rsidR="00000000" w:rsidRDefault="001E618F">
      <w:pPr>
        <w:pStyle w:val="a3"/>
        <w:spacing w:before="0" w:beforeAutospacing="0" w:after="0" w:afterAutospacing="0"/>
        <w:divId w:val="795103012"/>
        <w:rPr>
          <w:sz w:val="20"/>
          <w:szCs w:val="20"/>
        </w:rPr>
      </w:pPr>
      <w:r>
        <w:rPr>
          <w:sz w:val="10"/>
          <w:szCs w:val="10"/>
        </w:rPr>
        <w:t>​</w:t>
      </w:r>
    </w:p>
    <w:p w:rsidR="00000000" w:rsidRDefault="001E618F">
      <w:pPr>
        <w:pStyle w:val="a3"/>
        <w:spacing w:before="0" w:beforeAutospacing="0" w:after="0" w:afterAutospacing="0"/>
        <w:ind w:firstLine="720"/>
        <w:divId w:val="795103012"/>
        <w:rPr>
          <w:sz w:val="20"/>
          <w:szCs w:val="20"/>
        </w:rPr>
      </w:pPr>
      <w:r>
        <w:rPr>
          <w:sz w:val="20"/>
          <w:szCs w:val="20"/>
        </w:rPr>
        <w:t xml:space="preserve">In June 2016, we entered into a License and Collaboration Agreement (the “Takeda </w:t>
      </w:r>
      <w:r>
        <w:rPr>
          <w:sz w:val="20"/>
          <w:szCs w:val="20"/>
        </w:rPr>
        <w:t xml:space="preserve">Agreement”) with Millennium Pharmaceuticals, Inc. (“Millennium”), in order to establish a collaboration for the development and commercialization of </w:t>
      </w:r>
    </w:p>
    <w:p w:rsidR="00000000" w:rsidRDefault="001E618F">
      <w:pPr>
        <w:pStyle w:val="a3"/>
        <w:spacing w:before="360" w:beforeAutospacing="0" w:after="0" w:afterAutospacing="0"/>
        <w:jc w:val="center"/>
        <w:divId w:val="1235429978"/>
        <w:rPr>
          <w:sz w:val="20"/>
          <w:szCs w:val="20"/>
        </w:rPr>
      </w:pPr>
      <w:r>
        <w:rPr>
          <w:sz w:val="20"/>
          <w:szCs w:val="20"/>
        </w:rPr>
        <w:t>23</w:t>
      </w:r>
    </w:p>
    <w:p w:rsidR="00000000" w:rsidRDefault="001E618F">
      <w:pPr>
        <w:pStyle w:val="a3"/>
        <w:spacing w:before="0" w:beforeAutospacing="0" w:after="600" w:afterAutospacing="0"/>
        <w:divId w:val="817460900"/>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divId w:val="428356552"/>
        <w:rPr>
          <w:sz w:val="20"/>
          <w:szCs w:val="20"/>
        </w:rPr>
      </w:pPr>
      <w:r>
        <w:rPr>
          <w:sz w:val="20"/>
          <w:szCs w:val="20"/>
        </w:rPr>
        <w:t>TD-8954 (TAK-954). Millennium is an indirect wholly-owned s</w:t>
      </w:r>
      <w:r>
        <w:rPr>
          <w:sz w:val="20"/>
          <w:szCs w:val="20"/>
        </w:rPr>
        <w:t>ubsidiary of Takeda Pharmaceutical Company Limited (“Takeda”). TD-8954 is currently in a Phase 2 study as a potential treatment for post-operative gastrointestinal dysfunction. Under the terms of the Takeda Agreement, Takeda is responsible for worldwide de</w:t>
      </w:r>
      <w:r>
        <w:rPr>
          <w:sz w:val="20"/>
          <w:szCs w:val="20"/>
        </w:rPr>
        <w:t>velopment and commercialization of TD-8954. We received an upfront cash payment of $15.0 million and will be eligible to receive success-based development, regulatory and sales milestone payments from Takeda. We will also be eligible to receive a tiered ro</w:t>
      </w:r>
      <w:r>
        <w:rPr>
          <w:sz w:val="20"/>
          <w:szCs w:val="20"/>
        </w:rPr>
        <w:t>yalty on worldwide net sales by Takeda at percentage royalty rates ranging from low double-digits to mid-teens.</w:t>
      </w:r>
    </w:p>
    <w:p w:rsidR="00000000" w:rsidRDefault="001E618F">
      <w:pPr>
        <w:pStyle w:val="a3"/>
        <w:spacing w:before="0" w:beforeAutospacing="0" w:after="0" w:afterAutospacing="0"/>
        <w:divId w:val="428356552"/>
        <w:rPr>
          <w:sz w:val="20"/>
          <w:szCs w:val="20"/>
        </w:rPr>
      </w:pPr>
      <w:r>
        <w:rPr>
          <w:b/>
          <w:bCs/>
          <w:sz w:val="20"/>
          <w:szCs w:val="20"/>
        </w:rPr>
        <w:t>​</w:t>
      </w:r>
    </w:p>
    <w:p w:rsidR="00000000" w:rsidRDefault="001E618F">
      <w:pPr>
        <w:pStyle w:val="a3"/>
        <w:spacing w:before="0" w:beforeAutospacing="0" w:after="0" w:afterAutospacing="0"/>
        <w:divId w:val="428356552"/>
        <w:rPr>
          <w:sz w:val="20"/>
          <w:szCs w:val="20"/>
        </w:rPr>
      </w:pPr>
      <w:r>
        <w:rPr>
          <w:b/>
          <w:bCs/>
          <w:i/>
          <w:iCs/>
          <w:sz w:val="20"/>
          <w:szCs w:val="20"/>
        </w:rPr>
        <w:t xml:space="preserve">Skin-selective Pan-JAK inhibitor Program </w:t>
      </w:r>
    </w:p>
    <w:p w:rsidR="00000000" w:rsidRDefault="001E618F">
      <w:pPr>
        <w:pStyle w:val="a3"/>
        <w:spacing w:before="0" w:beforeAutospacing="0" w:after="0" w:afterAutospacing="0"/>
        <w:divId w:val="428356552"/>
        <w:rPr>
          <w:sz w:val="20"/>
          <w:szCs w:val="20"/>
        </w:rPr>
      </w:pPr>
      <w:r>
        <w:rPr>
          <w:b/>
          <w:bCs/>
          <w:i/>
          <w:iCs/>
          <w:sz w:val="10"/>
          <w:szCs w:val="10"/>
        </w:rPr>
        <w:t>​</w:t>
      </w:r>
    </w:p>
    <w:p w:rsidR="00000000" w:rsidRDefault="001E618F">
      <w:pPr>
        <w:pStyle w:val="a3"/>
        <w:spacing w:before="0" w:beforeAutospacing="0" w:after="0" w:afterAutospacing="0"/>
        <w:ind w:firstLine="720"/>
        <w:divId w:val="428356552"/>
        <w:rPr>
          <w:sz w:val="20"/>
          <w:szCs w:val="20"/>
        </w:rPr>
      </w:pPr>
      <w:r>
        <w:rPr>
          <w:sz w:val="20"/>
          <w:szCs w:val="20"/>
        </w:rPr>
        <w:t>In December 2019, we entered into a global license agreement with Pfizer Inc. (“Pfizer”) for our p</w:t>
      </w:r>
      <w:r>
        <w:rPr>
          <w:sz w:val="20"/>
          <w:szCs w:val="20"/>
        </w:rPr>
        <w:t>reclinical skin-selective, locally-acting pan-JAK inhibitor program (the “Pfizer Agreement”). The compounds in this program are designed to target validated pro-inflammatory pathways and are specifically designed to possess skin-selective activity with min</w:t>
      </w:r>
      <w:r>
        <w:rPr>
          <w:sz w:val="20"/>
          <w:szCs w:val="20"/>
        </w:rPr>
        <w:t>imal systemic exposure.</w:t>
      </w:r>
    </w:p>
    <w:p w:rsidR="00000000" w:rsidRDefault="001E618F">
      <w:pPr>
        <w:pStyle w:val="a3"/>
        <w:spacing w:before="0" w:beforeAutospacing="0" w:after="0" w:afterAutospacing="0"/>
        <w:divId w:val="428356552"/>
        <w:rPr>
          <w:sz w:val="20"/>
          <w:szCs w:val="20"/>
        </w:rPr>
      </w:pPr>
      <w:r>
        <w:rPr>
          <w:sz w:val="20"/>
          <w:szCs w:val="20"/>
        </w:rPr>
        <w:t>​</w:t>
      </w:r>
    </w:p>
    <w:p w:rsidR="00000000" w:rsidRDefault="001E618F">
      <w:pPr>
        <w:pStyle w:val="a3"/>
        <w:spacing w:before="0" w:beforeAutospacing="0" w:after="0" w:afterAutospacing="0"/>
        <w:ind w:firstLine="720"/>
        <w:divId w:val="428356552"/>
        <w:rPr>
          <w:sz w:val="20"/>
          <w:szCs w:val="20"/>
        </w:rPr>
      </w:pPr>
      <w:r>
        <w:rPr>
          <w:sz w:val="20"/>
          <w:szCs w:val="20"/>
        </w:rPr>
        <w:t>Under the Pfizer Agreement, Pfizer has an exclusive license to develop, manufacture and commercialize certain compounds for all uses other than gastrointestinal, ophthalmic, and respiratory applications. We received an upfront cas</w:t>
      </w:r>
      <w:r>
        <w:rPr>
          <w:sz w:val="20"/>
          <w:szCs w:val="20"/>
        </w:rPr>
        <w:t>h payment of $10.0 million in 2019, and in March 2022, we received a $2.5 million development milestone payment from Pfizer for the first patient dosed in a Phase 1 clinical trial of the skin-selective pan-JAK inhibitor program.</w:t>
      </w:r>
    </w:p>
    <w:p w:rsidR="00000000" w:rsidRDefault="001E618F">
      <w:pPr>
        <w:pStyle w:val="a3"/>
        <w:spacing w:before="0" w:beforeAutospacing="0" w:after="0" w:afterAutospacing="0"/>
        <w:ind w:firstLine="720"/>
        <w:divId w:val="428356552"/>
        <w:rPr>
          <w:sz w:val="20"/>
          <w:szCs w:val="20"/>
        </w:rPr>
      </w:pPr>
      <w:r>
        <w:rPr>
          <w:sz w:val="20"/>
          <w:szCs w:val="20"/>
        </w:rPr>
        <w:t>​</w:t>
      </w:r>
    </w:p>
    <w:p w:rsidR="00000000" w:rsidRDefault="001E618F">
      <w:pPr>
        <w:pStyle w:val="a3"/>
        <w:spacing w:before="0" w:beforeAutospacing="0" w:after="0" w:afterAutospacing="0"/>
        <w:ind w:firstLine="720"/>
        <w:divId w:val="428356552"/>
        <w:rPr>
          <w:sz w:val="20"/>
          <w:szCs w:val="20"/>
        </w:rPr>
      </w:pPr>
      <w:r>
        <w:rPr>
          <w:sz w:val="20"/>
          <w:szCs w:val="20"/>
        </w:rPr>
        <w:t xml:space="preserve">As of March 31, 2022, we </w:t>
      </w:r>
      <w:r>
        <w:rPr>
          <w:sz w:val="20"/>
          <w:szCs w:val="20"/>
        </w:rPr>
        <w:t>are eligible to receive up to an additional $237.5 million in development and sales milestone payments from Pfizer. In addition, we are eligible to receive a tiered royalty on worldwide net sales of any potential products under the license at percentage ro</w:t>
      </w:r>
      <w:r>
        <w:rPr>
          <w:sz w:val="20"/>
          <w:szCs w:val="20"/>
        </w:rPr>
        <w:t>yalty rates ranging from middle single-digits to low double-digits.</w:t>
      </w:r>
    </w:p>
    <w:p w:rsidR="00000000" w:rsidRDefault="001E618F">
      <w:pPr>
        <w:pStyle w:val="a3"/>
        <w:spacing w:before="0" w:beforeAutospacing="0" w:after="0" w:afterAutospacing="0"/>
        <w:divId w:val="428356552"/>
        <w:rPr>
          <w:sz w:val="20"/>
          <w:szCs w:val="20"/>
        </w:rPr>
      </w:pPr>
      <w:r>
        <w:rPr>
          <w:b/>
          <w:bCs/>
          <w:sz w:val="20"/>
          <w:szCs w:val="20"/>
        </w:rPr>
        <w:t>​</w:t>
      </w:r>
    </w:p>
    <w:p w:rsidR="00000000" w:rsidRDefault="001E618F">
      <w:pPr>
        <w:pStyle w:val="a3"/>
        <w:spacing w:before="0" w:beforeAutospacing="0" w:after="120" w:afterAutospacing="0"/>
        <w:divId w:val="428356552"/>
        <w:rPr>
          <w:sz w:val="20"/>
          <w:szCs w:val="20"/>
        </w:rPr>
      </w:pPr>
      <w:r>
        <w:rPr>
          <w:b/>
          <w:bCs/>
          <w:sz w:val="20"/>
          <w:szCs w:val="20"/>
        </w:rPr>
        <w:t>Research Projects</w:t>
      </w:r>
    </w:p>
    <w:p w:rsidR="00000000" w:rsidRDefault="001E618F">
      <w:pPr>
        <w:pStyle w:val="a3"/>
        <w:spacing w:before="0" w:beforeAutospacing="0" w:after="0" w:afterAutospacing="0"/>
        <w:ind w:firstLine="720"/>
        <w:divId w:val="428356552"/>
        <w:rPr>
          <w:sz w:val="20"/>
          <w:szCs w:val="20"/>
        </w:rPr>
      </w:pPr>
      <w:r>
        <w:rPr>
          <w:sz w:val="20"/>
          <w:szCs w:val="20"/>
        </w:rPr>
        <w:t>Our research projects leverage years of experience in developing lung-selective medicines to address the needs of patients suffering from respiratory illness. As a resu</w:t>
      </w:r>
      <w:r>
        <w:rPr>
          <w:sz w:val="20"/>
          <w:szCs w:val="20"/>
        </w:rPr>
        <w:t>lt of our strategic restructuring announced in September 2021, we intend to streamline and narrow our R&amp;D focus on our highest value core respiratory opportunities. This would include the peak inspiratory flow rate (“PIFR”) clinical study, in partnership w</w:t>
      </w:r>
      <w:r>
        <w:rPr>
          <w:sz w:val="20"/>
          <w:szCs w:val="20"/>
        </w:rPr>
        <w:t xml:space="preserve">ith Viatris, to support the label update of YUPELRI and continued investment in our investigational inhaled Janus kinase inhibitor portfolio, with focus on the most advanced clinical candidate, nezulcitinib, initially targeting acute lung injury. </w:t>
      </w:r>
    </w:p>
    <w:p w:rsidR="00000000" w:rsidRDefault="001E618F">
      <w:pPr>
        <w:pStyle w:val="a3"/>
        <w:spacing w:before="0" w:beforeAutospacing="0" w:after="0" w:afterAutospacing="0"/>
        <w:divId w:val="428356552"/>
        <w:rPr>
          <w:sz w:val="20"/>
          <w:szCs w:val="20"/>
        </w:rPr>
      </w:pPr>
      <w:r>
        <w:rPr>
          <w:sz w:val="20"/>
          <w:szCs w:val="20"/>
        </w:rPr>
        <w:t>​</w:t>
      </w:r>
    </w:p>
    <w:p w:rsidR="00000000" w:rsidRDefault="001E618F">
      <w:pPr>
        <w:pStyle w:val="a3"/>
        <w:spacing w:before="0" w:beforeAutospacing="0" w:after="120" w:afterAutospacing="0"/>
        <w:divId w:val="428356552"/>
        <w:rPr>
          <w:sz w:val="20"/>
          <w:szCs w:val="20"/>
        </w:rPr>
      </w:pPr>
      <w:r>
        <w:rPr>
          <w:b/>
          <w:bCs/>
          <w:sz w:val="20"/>
          <w:szCs w:val="20"/>
        </w:rPr>
        <w:t>Critical Accounting Policies and Estimates</w:t>
      </w:r>
    </w:p>
    <w:p w:rsidR="00000000" w:rsidRDefault="001E618F">
      <w:pPr>
        <w:pStyle w:val="a3"/>
        <w:spacing w:before="0" w:beforeAutospacing="0" w:after="0" w:afterAutospacing="0"/>
        <w:ind w:firstLine="720"/>
        <w:divId w:val="428356552"/>
        <w:rPr>
          <w:sz w:val="20"/>
          <w:szCs w:val="20"/>
        </w:rPr>
      </w:pPr>
      <w:r>
        <w:rPr>
          <w:sz w:val="20"/>
          <w:szCs w:val="20"/>
        </w:rPr>
        <w:t>Our discussion and analysis of our financial condition and results of operations is based on our condensed consolidated financial statements, which have been prepared in accordance with US Generally Accepted Accou</w:t>
      </w:r>
      <w:r>
        <w:rPr>
          <w:sz w:val="20"/>
          <w:szCs w:val="20"/>
        </w:rPr>
        <w:t>nting Principles (“GAAP”). The preparation of these financial statements requires us to make estimates and assumptions that affect the reported amounts of revenues, expenses, assets, liabilities, and other related disclosures. Our estimates are based on ou</w:t>
      </w:r>
      <w:r>
        <w:rPr>
          <w:sz w:val="20"/>
          <w:szCs w:val="20"/>
        </w:rPr>
        <w:t>r historical experience and on various other factors that we believe are reasonable under the circumstances, the results of which form the basis for making judgments about the carrying value of assets and liabilities that are not readily apparent from othe</w:t>
      </w:r>
      <w:r>
        <w:rPr>
          <w:sz w:val="20"/>
          <w:szCs w:val="20"/>
        </w:rPr>
        <w:t>r sources. The extent to which the COVID-19 pandemic will continue to directly or indirectly impact our business, results of operations and financial condition, including these estimates, will depend on future developments that are highly uncertain and may</w:t>
      </w:r>
      <w:r>
        <w:rPr>
          <w:sz w:val="20"/>
          <w:szCs w:val="20"/>
        </w:rPr>
        <w:t xml:space="preserve"> be impacted by the emergence of new information concerning the COVID-19 pandemic, ongoing spread of the disease across the US and the globe, and the actions taken to contain or treat the disease, including vaccine availability, distribution, acceptance an</w:t>
      </w:r>
      <w:r>
        <w:rPr>
          <w:sz w:val="20"/>
          <w:szCs w:val="20"/>
        </w:rPr>
        <w:t xml:space="preserve">d effectiveness. Actual results may differ from these estimates under different assumptions or conditions. There have been no material changes to the critical accounting policies and estimates discussed in our Annual Report on Form 10-K for the year ended </w:t>
      </w:r>
      <w:r>
        <w:rPr>
          <w:sz w:val="20"/>
          <w:szCs w:val="20"/>
        </w:rPr>
        <w:t>December 31, 2021.</w:t>
      </w:r>
    </w:p>
    <w:p w:rsidR="00000000" w:rsidRDefault="001E618F">
      <w:pPr>
        <w:pStyle w:val="a3"/>
        <w:spacing w:before="0" w:beforeAutospacing="0" w:after="0" w:afterAutospacing="0"/>
        <w:divId w:val="428356552"/>
        <w:rPr>
          <w:sz w:val="20"/>
          <w:szCs w:val="20"/>
        </w:rPr>
      </w:pPr>
      <w:r>
        <w:rPr>
          <w:sz w:val="20"/>
          <w:szCs w:val="20"/>
        </w:rPr>
        <w:t>​</w:t>
      </w:r>
    </w:p>
    <w:p w:rsidR="00000000" w:rsidRDefault="001E618F">
      <w:pPr>
        <w:pStyle w:val="a3"/>
        <w:spacing w:before="360" w:beforeAutospacing="0" w:after="0" w:afterAutospacing="0"/>
        <w:jc w:val="center"/>
        <w:divId w:val="114105319"/>
        <w:rPr>
          <w:sz w:val="20"/>
          <w:szCs w:val="20"/>
        </w:rPr>
      </w:pPr>
      <w:r>
        <w:rPr>
          <w:sz w:val="20"/>
          <w:szCs w:val="20"/>
        </w:rPr>
        <w:t>24</w:t>
      </w:r>
    </w:p>
    <w:p w:rsidR="00000000" w:rsidRDefault="001E618F">
      <w:pPr>
        <w:pStyle w:val="a3"/>
        <w:spacing w:before="0" w:beforeAutospacing="0" w:after="600" w:afterAutospacing="0"/>
        <w:divId w:val="2089231142"/>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divId w:val="1496989568"/>
        <w:rPr>
          <w:sz w:val="20"/>
          <w:szCs w:val="20"/>
        </w:rPr>
      </w:pPr>
      <w:r>
        <w:rPr>
          <w:b/>
          <w:bCs/>
          <w:sz w:val="20"/>
          <w:szCs w:val="20"/>
        </w:rPr>
        <w:t>Results of Operations</w:t>
      </w:r>
    </w:p>
    <w:p w:rsidR="00000000" w:rsidRDefault="001E618F">
      <w:pPr>
        <w:pStyle w:val="a3"/>
        <w:spacing w:before="0" w:beforeAutospacing="0" w:after="0" w:afterAutospacing="0"/>
        <w:divId w:val="1496989568"/>
        <w:rPr>
          <w:sz w:val="20"/>
          <w:szCs w:val="20"/>
        </w:rPr>
      </w:pPr>
      <w:r>
        <w:rPr>
          <w:sz w:val="20"/>
          <w:szCs w:val="20"/>
        </w:rPr>
        <w:t>​</w:t>
      </w:r>
    </w:p>
    <w:p w:rsidR="00000000" w:rsidRDefault="001E618F">
      <w:pPr>
        <w:pStyle w:val="a3"/>
        <w:spacing w:before="0" w:beforeAutospacing="0" w:after="120" w:afterAutospacing="0"/>
        <w:divId w:val="1496989568"/>
        <w:rPr>
          <w:sz w:val="20"/>
          <w:szCs w:val="20"/>
        </w:rPr>
      </w:pPr>
      <w:r>
        <w:rPr>
          <w:b/>
          <w:bCs/>
          <w:i/>
          <w:iCs/>
          <w:sz w:val="20"/>
          <w:szCs w:val="20"/>
        </w:rPr>
        <w:t>Revenue</w:t>
      </w:r>
    </w:p>
    <w:p w:rsidR="00000000" w:rsidRDefault="001E618F">
      <w:pPr>
        <w:pStyle w:val="a3"/>
        <w:spacing w:before="0" w:beforeAutospacing="0" w:after="0" w:afterAutospacing="0"/>
        <w:ind w:firstLine="720"/>
        <w:divId w:val="1496989568"/>
        <w:rPr>
          <w:sz w:val="20"/>
          <w:szCs w:val="20"/>
        </w:rPr>
      </w:pPr>
      <w:r>
        <w:rPr>
          <w:sz w:val="20"/>
          <w:szCs w:val="20"/>
        </w:rPr>
        <w:t>Revenue, as compared to the comparable period in the prior year, was as follows:</w:t>
      </w:r>
    </w:p>
    <w:p w:rsidR="00000000" w:rsidRDefault="001E618F">
      <w:pPr>
        <w:pStyle w:val="a3"/>
        <w:spacing w:before="0" w:beforeAutospacing="0" w:after="0" w:afterAutospacing="0"/>
        <w:ind w:firstLine="720"/>
        <w:divId w:val="149698956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91"/>
        <w:gridCol w:w="80"/>
        <w:gridCol w:w="100"/>
        <w:gridCol w:w="680"/>
        <w:gridCol w:w="80"/>
        <w:gridCol w:w="100"/>
        <w:gridCol w:w="683"/>
        <w:gridCol w:w="80"/>
        <w:gridCol w:w="100"/>
        <w:gridCol w:w="681"/>
        <w:gridCol w:w="80"/>
        <w:gridCol w:w="684"/>
        <w:gridCol w:w="267"/>
      </w:tblGrid>
      <w:tr w:rsidR="00000000">
        <w:trPr>
          <w:divId w:val="1496989568"/>
          <w:trHeight w:val="20"/>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divId w:val="2047556716"/>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445153175"/>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317300482"/>
              <w:rPr>
                <w:sz w:val="20"/>
                <w:szCs w:val="20"/>
              </w:rPr>
            </w:pPr>
            <w:r>
              <w:rPr>
                <w:sz w:val="2"/>
                <w:szCs w:val="2"/>
              </w:rPr>
              <w:t>​</w:t>
            </w:r>
          </w:p>
        </w:tc>
        <w:tc>
          <w:tcPr>
            <w:tcW w:w="41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1681895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5250952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969167032"/>
              <w:rPr>
                <w:sz w:val="20"/>
                <w:szCs w:val="20"/>
              </w:rPr>
            </w:pPr>
            <w:r>
              <w:rPr>
                <w:sz w:val="2"/>
                <w:szCs w:val="2"/>
              </w:rPr>
              <w:t>​</w:t>
            </w:r>
          </w:p>
        </w:tc>
        <w:tc>
          <w:tcPr>
            <w:tcW w:w="4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76372471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95124479"/>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679304606"/>
              <w:rPr>
                <w:sz w:val="20"/>
                <w:szCs w:val="20"/>
              </w:rPr>
            </w:pPr>
            <w:r>
              <w:rPr>
                <w:sz w:val="2"/>
                <w:szCs w:val="2"/>
              </w:rPr>
              <w:t>​</w:t>
            </w:r>
          </w:p>
        </w:tc>
        <w:tc>
          <w:tcPr>
            <w:tcW w:w="4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29501513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766414006"/>
              <w:rPr>
                <w:sz w:val="20"/>
                <w:szCs w:val="20"/>
              </w:rPr>
            </w:pPr>
            <w:r>
              <w:rPr>
                <w:sz w:val="2"/>
                <w:szCs w:val="2"/>
              </w:rPr>
              <w:t>​</w:t>
            </w:r>
          </w:p>
        </w:tc>
        <w:tc>
          <w:tcPr>
            <w:tcW w:w="4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731002869"/>
              <w:rPr>
                <w:sz w:val="20"/>
                <w:szCs w:val="20"/>
              </w:rPr>
            </w:pPr>
            <w:r>
              <w:rPr>
                <w:sz w:val="2"/>
                <w:szCs w:val="2"/>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365596675"/>
              <w:rPr>
                <w:sz w:val="20"/>
                <w:szCs w:val="20"/>
              </w:rPr>
            </w:pPr>
            <w:r>
              <w:rPr>
                <w:sz w:val="2"/>
                <w:szCs w:val="2"/>
              </w:rPr>
              <w:t>​</w:t>
            </w:r>
          </w:p>
        </w:tc>
      </w:tr>
      <w:tr w:rsidR="00000000">
        <w:trPr>
          <w:divId w:val="1496989568"/>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988" w:type="pct"/>
            <w:gridSpan w:val="5"/>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xml:space="preserve">Three Months Ended </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36" w:type="pct"/>
            <w:gridSpan w:val="4"/>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r>
      <w:tr w:rsidR="00000000">
        <w:trPr>
          <w:divId w:val="1496989568"/>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988" w:type="pct"/>
            <w:gridSpan w:val="5"/>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36" w:type="pct"/>
            <w:gridSpan w:val="4"/>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Change</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r>
      <w:tr w:rsidR="00000000">
        <w:trPr>
          <w:divId w:val="1496989568"/>
        </w:trPr>
        <w:tc>
          <w:tcPr>
            <w:tcW w:w="2826"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2021</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41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r>
      <w:tr w:rsidR="00000000">
        <w:trPr>
          <w:divId w:val="1496989568"/>
        </w:trPr>
        <w:tc>
          <w:tcPr>
            <w:tcW w:w="2826"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Viatris collaboration agreement</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10,68</w:t>
            </w:r>
            <w:r>
              <w:rPr>
                <w:sz w:val="20"/>
                <w:szCs w:val="20"/>
              </w:rPr>
              <w:t>7</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10,38</w:t>
            </w:r>
            <w:r>
              <w:rPr>
                <w:sz w:val="20"/>
                <w:szCs w:val="20"/>
              </w:rPr>
              <w:t>5</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30</w:t>
            </w:r>
            <w:r>
              <w:rPr>
                <w:sz w:val="20"/>
                <w:szCs w:val="20"/>
              </w:rPr>
              <w:t>2</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3</w:t>
            </w:r>
          </w:p>
        </w:tc>
        <w:tc>
          <w:tcPr>
            <w:tcW w:w="14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r>
      <w:tr w:rsidR="00000000">
        <w:trPr>
          <w:divId w:val="1496989568"/>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Collaboration revenue</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3"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9</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3,87</w:t>
            </w:r>
            <w:r>
              <w:rPr>
                <w:sz w:val="20"/>
                <w:szCs w:val="20"/>
              </w:rPr>
              <w:t>2</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(3,863</w:t>
            </w:r>
            <w:r>
              <w:rPr>
                <w:sz w:val="20"/>
                <w:szCs w:val="20"/>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415"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(100</w:t>
            </w:r>
            <w:r>
              <w:rPr>
                <w:sz w:val="20"/>
                <w:szCs w:val="20"/>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1496989568"/>
        </w:trPr>
        <w:tc>
          <w:tcPr>
            <w:tcW w:w="2826"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Licensing revenue</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4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2,50</w:t>
            </w:r>
            <w:r>
              <w:rPr>
                <w:sz w:val="20"/>
                <w:szCs w:val="20"/>
              </w:rPr>
              <w:t>0</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2,50</w:t>
            </w:r>
            <w:r>
              <w:rPr>
                <w:sz w:val="20"/>
                <w:szCs w:val="20"/>
              </w:rPr>
              <w:t>0</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4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NM</w:t>
            </w:r>
          </w:p>
        </w:tc>
        <w:tc>
          <w:tcPr>
            <w:tcW w:w="14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1496989568"/>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ind w:left="120"/>
              <w:rPr>
                <w:sz w:val="20"/>
                <w:szCs w:val="20"/>
              </w:rPr>
            </w:pPr>
            <w:r>
              <w:rPr>
                <w:sz w:val="20"/>
                <w:szCs w:val="20"/>
              </w:rPr>
              <w:t>Total revenue</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3"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13,19</w:t>
            </w:r>
            <w:r>
              <w:rPr>
                <w:sz w:val="20"/>
                <w:szCs w:val="20"/>
              </w:rPr>
              <w:t>6</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14,25</w:t>
            </w:r>
            <w:r>
              <w:rPr>
                <w:sz w:val="20"/>
                <w:szCs w:val="20"/>
              </w:rPr>
              <w:t>7</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(1,061</w:t>
            </w:r>
            <w:r>
              <w:rPr>
                <w:sz w:val="20"/>
                <w:szCs w:val="20"/>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tcBorders>
              <w:bottom w:val="doub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(7</w:t>
            </w:r>
            <w:r>
              <w:rPr>
                <w:sz w:val="20"/>
                <w:szCs w:val="20"/>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r>
    </w:tbl>
    <w:p w:rsidR="00000000" w:rsidRDefault="001E618F">
      <w:pPr>
        <w:pStyle w:val="a3"/>
        <w:spacing w:before="0" w:beforeAutospacing="0" w:after="0" w:afterAutospacing="0"/>
        <w:divId w:val="1496989568"/>
        <w:rPr>
          <w:sz w:val="20"/>
          <w:szCs w:val="20"/>
        </w:rPr>
      </w:pPr>
      <w:r>
        <w:rPr>
          <w:sz w:val="20"/>
          <w:szCs w:val="20"/>
        </w:rPr>
        <w:t>NM: Not Meaningful</w:t>
      </w:r>
    </w:p>
    <w:p w:rsidR="00000000" w:rsidRDefault="001E618F">
      <w:pPr>
        <w:pStyle w:val="a3"/>
        <w:spacing w:before="0" w:beforeAutospacing="0" w:after="0" w:afterAutospacing="0"/>
        <w:divId w:val="1496989568"/>
        <w:rPr>
          <w:sz w:val="20"/>
          <w:szCs w:val="20"/>
        </w:rPr>
      </w:pPr>
      <w:r>
        <w:rPr>
          <w:sz w:val="20"/>
          <w:szCs w:val="20"/>
        </w:rPr>
        <w:t>​</w:t>
      </w:r>
    </w:p>
    <w:p w:rsidR="00000000" w:rsidRDefault="001E618F">
      <w:pPr>
        <w:pStyle w:val="a3"/>
        <w:spacing w:before="0" w:beforeAutospacing="0" w:after="0" w:afterAutospacing="0"/>
        <w:ind w:firstLine="720"/>
        <w:divId w:val="1496989568"/>
        <w:rPr>
          <w:sz w:val="20"/>
          <w:szCs w:val="20"/>
        </w:rPr>
      </w:pPr>
      <w:r>
        <w:rPr>
          <w:sz w:val="20"/>
          <w:szCs w:val="20"/>
          <w:shd w:val="clear" w:color="auto" w:fill="FFFFFF"/>
        </w:rPr>
        <w:t xml:space="preserve">Revenue from the </w:t>
      </w:r>
      <w:r>
        <w:rPr>
          <w:sz w:val="20"/>
          <w:szCs w:val="20"/>
        </w:rPr>
        <w:t>Viatris collaboration agreement for YUPELRI was $10.7 million in the first quarter of 2022 compared to $10.4 million in the first quarter of 2021 and represented the receivables due from Viatris during the periods. In the first quarter of 2022, YUPELRI con</w:t>
      </w:r>
      <w:r>
        <w:rPr>
          <w:sz w:val="20"/>
          <w:szCs w:val="20"/>
        </w:rPr>
        <w:t>tinued to increase its share of the long-acting nebulized COPD market and continued to be profitable for us on a brand basis. In addition to continued market share gains, year-over-year demand for YUPELRI increased by 23.4% in the first quarter of 2022 com</w:t>
      </w:r>
      <w:r>
        <w:rPr>
          <w:sz w:val="20"/>
          <w:szCs w:val="20"/>
        </w:rPr>
        <w:t>pared to the same period in 2021.</w:t>
      </w:r>
    </w:p>
    <w:p w:rsidR="00000000" w:rsidRDefault="001E618F">
      <w:pPr>
        <w:pStyle w:val="a3"/>
        <w:spacing w:before="0" w:beforeAutospacing="0" w:after="0" w:afterAutospacing="0"/>
        <w:ind w:firstLine="720"/>
        <w:divId w:val="1496989568"/>
        <w:rPr>
          <w:sz w:val="20"/>
          <w:szCs w:val="20"/>
        </w:rPr>
      </w:pPr>
      <w:r>
        <w:rPr>
          <w:sz w:val="20"/>
          <w:szCs w:val="20"/>
        </w:rPr>
        <w:t>​</w:t>
      </w:r>
    </w:p>
    <w:p w:rsidR="00000000" w:rsidRDefault="001E618F">
      <w:pPr>
        <w:pStyle w:val="a3"/>
        <w:spacing w:before="0" w:beforeAutospacing="0" w:after="0" w:afterAutospacing="0"/>
        <w:ind w:firstLine="720"/>
        <w:divId w:val="1496989568"/>
        <w:rPr>
          <w:sz w:val="20"/>
          <w:szCs w:val="20"/>
        </w:rPr>
      </w:pPr>
      <w:r>
        <w:rPr>
          <w:sz w:val="20"/>
          <w:szCs w:val="20"/>
        </w:rPr>
        <w:t>While Viatris records the total net sales of YUPELRI within its own financial statements, Viatris collaboration agreement revenue in our financial statements includes our implied 35% share of net sales of YUPELRI of $15.</w:t>
      </w:r>
      <w:r>
        <w:rPr>
          <w:sz w:val="20"/>
          <w:szCs w:val="20"/>
        </w:rPr>
        <w:t>3 million and $12.9 million for the first quarters of 2022 and 2021, respectively, which represented a 19%</w:t>
      </w:r>
      <w:r>
        <w:rPr>
          <w:color w:val="FF0000"/>
          <w:sz w:val="20"/>
          <w:szCs w:val="20"/>
        </w:rPr>
        <w:t xml:space="preserve"> </w:t>
      </w:r>
      <w:r>
        <w:rPr>
          <w:sz w:val="20"/>
          <w:szCs w:val="20"/>
        </w:rPr>
        <w:t xml:space="preserve">increase in net sales over the comparable periods. However, due to applicable accounting guidance, our Viatris collaboration agreement revenue increased by only 3% due to lower costs incurred by Theravance Biopharma as a result of the Restructuring, which </w:t>
      </w:r>
      <w:r>
        <w:rPr>
          <w:sz w:val="20"/>
          <w:szCs w:val="20"/>
        </w:rPr>
        <w:t>improved YUPELRI profitability, but lowered Viatris collaboration agreement revenue.</w:t>
      </w:r>
      <w:r>
        <w:t xml:space="preserve"> </w:t>
      </w:r>
    </w:p>
    <w:p w:rsidR="00000000" w:rsidRDefault="001E618F">
      <w:pPr>
        <w:pStyle w:val="a3"/>
        <w:spacing w:before="0" w:beforeAutospacing="0" w:after="0" w:afterAutospacing="0"/>
        <w:divId w:val="1496989568"/>
        <w:rPr>
          <w:sz w:val="20"/>
          <w:szCs w:val="20"/>
        </w:rPr>
      </w:pPr>
      <w:r>
        <w:rPr>
          <w:sz w:val="20"/>
          <w:szCs w:val="20"/>
        </w:rPr>
        <w:t>​</w:t>
      </w:r>
    </w:p>
    <w:p w:rsidR="00000000" w:rsidRDefault="001E618F">
      <w:pPr>
        <w:pStyle w:val="a3"/>
        <w:spacing w:before="0" w:beforeAutospacing="0" w:after="0" w:afterAutospacing="0"/>
        <w:ind w:firstLine="720"/>
        <w:divId w:val="1496989568"/>
        <w:rPr>
          <w:sz w:val="20"/>
          <w:szCs w:val="20"/>
        </w:rPr>
      </w:pPr>
      <w:r>
        <w:rPr>
          <w:sz w:val="20"/>
          <w:szCs w:val="20"/>
        </w:rPr>
        <w:t>Other collaboration revenue decreased by $3.9 million in the first quarter of 2022 compared to the same period in 2021. The decrease was primarily due to the recognitio</w:t>
      </w:r>
      <w:r>
        <w:rPr>
          <w:sz w:val="20"/>
          <w:szCs w:val="20"/>
        </w:rPr>
        <w:t xml:space="preserve">n of the remaining non-cash Janssen collaboration revenue in the fourth quarter of 2021 resulting from the planned close-out of the izencitinib program. </w:t>
      </w:r>
    </w:p>
    <w:p w:rsidR="00000000" w:rsidRDefault="001E618F">
      <w:pPr>
        <w:pStyle w:val="a3"/>
        <w:spacing w:before="0" w:beforeAutospacing="0" w:after="0" w:afterAutospacing="0"/>
        <w:ind w:firstLine="720"/>
        <w:divId w:val="1496989568"/>
        <w:rPr>
          <w:sz w:val="20"/>
          <w:szCs w:val="20"/>
        </w:rPr>
      </w:pPr>
      <w:r>
        <w:rPr>
          <w:sz w:val="20"/>
          <w:szCs w:val="20"/>
        </w:rPr>
        <w:t>​</w:t>
      </w:r>
    </w:p>
    <w:p w:rsidR="00000000" w:rsidRDefault="001E618F">
      <w:pPr>
        <w:pStyle w:val="a3"/>
        <w:spacing w:before="0" w:beforeAutospacing="0" w:after="0" w:afterAutospacing="0"/>
        <w:ind w:firstLine="720"/>
        <w:divId w:val="1496989568"/>
        <w:rPr>
          <w:sz w:val="20"/>
          <w:szCs w:val="20"/>
        </w:rPr>
      </w:pPr>
      <w:r>
        <w:rPr>
          <w:sz w:val="20"/>
          <w:szCs w:val="20"/>
        </w:rPr>
        <w:t>Licensing revenue increased by $2.5 million in the first quarter of 2022 compared to the same period</w:t>
      </w:r>
      <w:r>
        <w:rPr>
          <w:sz w:val="20"/>
          <w:szCs w:val="20"/>
        </w:rPr>
        <w:t xml:space="preserve"> in 2021. The $2.5 million recognized in the first quarter of 2022 was due to a development milestone payment from Pfizer for the first patient dosed in a Phase 1 clinical trial of the skin-selective pan-JAK inhibitor program. </w:t>
      </w:r>
    </w:p>
    <w:p w:rsidR="00000000" w:rsidRDefault="001E618F">
      <w:pPr>
        <w:pStyle w:val="a3"/>
        <w:spacing w:before="0" w:beforeAutospacing="0" w:after="0" w:afterAutospacing="0"/>
        <w:divId w:val="1496989568"/>
        <w:rPr>
          <w:sz w:val="20"/>
          <w:szCs w:val="20"/>
        </w:rPr>
      </w:pPr>
      <w:r>
        <w:rPr>
          <w:sz w:val="20"/>
          <w:szCs w:val="20"/>
          <w:shd w:val="clear" w:color="auto" w:fill="FFFFFF"/>
        </w:rPr>
        <w:t>​</w:t>
      </w:r>
    </w:p>
    <w:p w:rsidR="00000000" w:rsidRDefault="001E618F">
      <w:pPr>
        <w:pStyle w:val="a3"/>
        <w:spacing w:before="0" w:beforeAutospacing="0" w:after="120" w:afterAutospacing="0"/>
        <w:divId w:val="1496989568"/>
        <w:rPr>
          <w:sz w:val="20"/>
          <w:szCs w:val="20"/>
        </w:rPr>
      </w:pPr>
      <w:r>
        <w:rPr>
          <w:b/>
          <w:bCs/>
          <w:i/>
          <w:iCs/>
          <w:sz w:val="20"/>
          <w:szCs w:val="20"/>
        </w:rPr>
        <w:t>Research and Development</w:t>
      </w:r>
    </w:p>
    <w:p w:rsidR="00000000" w:rsidRDefault="001E618F">
      <w:pPr>
        <w:pStyle w:val="a3"/>
        <w:spacing w:before="0" w:beforeAutospacing="0" w:after="0" w:afterAutospacing="0"/>
        <w:ind w:firstLine="720"/>
        <w:divId w:val="1496989568"/>
        <w:rPr>
          <w:sz w:val="20"/>
          <w:szCs w:val="20"/>
        </w:rPr>
      </w:pPr>
      <w:r>
        <w:rPr>
          <w:sz w:val="20"/>
          <w:szCs w:val="20"/>
        </w:rPr>
        <w:t>Our R&amp;D expenses consist primarily of employee-related costs, external costs, and various allocable expenses. We budget total R&amp;D expenses on an internal department level basis, and we manage and report our R&amp;D activities across th</w:t>
      </w:r>
      <w:r>
        <w:rPr>
          <w:sz w:val="20"/>
          <w:szCs w:val="20"/>
        </w:rPr>
        <w:t>e following four cost categories:</w:t>
      </w:r>
    </w:p>
    <w:p w:rsidR="00000000" w:rsidRDefault="001E618F">
      <w:pPr>
        <w:pStyle w:val="a3"/>
        <w:spacing w:before="0" w:beforeAutospacing="0" w:after="0" w:afterAutospacing="0"/>
        <w:divId w:val="149698956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96989568"/>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Employee-related costs, which include salaries, wages and benefits;</w:t>
            </w:r>
          </w:p>
        </w:tc>
      </w:tr>
    </w:tbl>
    <w:p w:rsidR="00000000" w:rsidRDefault="001E618F">
      <w:pPr>
        <w:pStyle w:val="a3"/>
        <w:spacing w:before="0" w:beforeAutospacing="0" w:after="0" w:afterAutospacing="0"/>
        <w:ind w:left="720" w:hanging="360"/>
        <w:divId w:val="149698956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96989568"/>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Share-based compensation, which includes expenses associated with our equity plans;</w:t>
            </w:r>
          </w:p>
        </w:tc>
      </w:tr>
    </w:tbl>
    <w:p w:rsidR="00000000" w:rsidRDefault="001E618F">
      <w:pPr>
        <w:pStyle w:val="a3"/>
        <w:spacing w:before="0" w:beforeAutospacing="0" w:after="0" w:afterAutospacing="0"/>
        <w:ind w:left="720" w:hanging="360"/>
        <w:divId w:val="149698956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96989568"/>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External-related costs, which include clinical tri</w:t>
            </w:r>
            <w:r>
              <w:rPr>
                <w:rFonts w:eastAsia="Times New Roman"/>
                <w:sz w:val="20"/>
                <w:szCs w:val="20"/>
              </w:rPr>
              <w:t>al related expenses, other contract research fees, consulting fees, and contract manufacturing fees; and</w:t>
            </w:r>
          </w:p>
        </w:tc>
      </w:tr>
    </w:tbl>
    <w:p w:rsidR="00000000" w:rsidRDefault="001E618F">
      <w:pPr>
        <w:pStyle w:val="a3"/>
        <w:spacing w:before="0" w:beforeAutospacing="0" w:after="0" w:afterAutospacing="0"/>
        <w:ind w:left="720" w:hanging="360"/>
        <w:divId w:val="149698956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96989568"/>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Facilities and other, which include laboratory and office supplies, depreciation and other allocated expenses, which include general and administrative support functions, insurance and general supplies.</w:t>
            </w:r>
          </w:p>
        </w:tc>
      </w:tr>
    </w:tbl>
    <w:p w:rsidR="00000000" w:rsidRDefault="001E618F">
      <w:pPr>
        <w:pStyle w:val="a3"/>
        <w:spacing w:before="0" w:beforeAutospacing="0" w:after="0" w:afterAutospacing="0"/>
        <w:divId w:val="1496989568"/>
        <w:rPr>
          <w:sz w:val="20"/>
          <w:szCs w:val="20"/>
        </w:rPr>
      </w:pPr>
      <w:r>
        <w:rPr>
          <w:sz w:val="20"/>
          <w:szCs w:val="20"/>
        </w:rPr>
        <w:t>​</w:t>
      </w:r>
    </w:p>
    <w:p w:rsidR="00000000" w:rsidRDefault="001E618F">
      <w:pPr>
        <w:pStyle w:val="a3"/>
        <w:spacing w:before="360" w:beforeAutospacing="0" w:after="0" w:afterAutospacing="0"/>
        <w:jc w:val="center"/>
        <w:divId w:val="699863042"/>
        <w:rPr>
          <w:sz w:val="20"/>
          <w:szCs w:val="20"/>
        </w:rPr>
      </w:pPr>
      <w:r>
        <w:rPr>
          <w:sz w:val="20"/>
          <w:szCs w:val="20"/>
        </w:rPr>
        <w:t>25</w:t>
      </w:r>
    </w:p>
    <w:p w:rsidR="00000000" w:rsidRDefault="001E618F">
      <w:pPr>
        <w:pStyle w:val="a3"/>
        <w:spacing w:before="0" w:beforeAutospacing="0" w:after="600" w:afterAutospacing="0"/>
        <w:divId w:val="1050033936"/>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ind w:firstLine="720"/>
        <w:divId w:val="516772441"/>
        <w:rPr>
          <w:sz w:val="20"/>
          <w:szCs w:val="20"/>
        </w:rPr>
      </w:pPr>
      <w:r>
        <w:rPr>
          <w:sz w:val="20"/>
          <w:szCs w:val="20"/>
        </w:rPr>
        <w:t>The</w:t>
      </w:r>
      <w:r>
        <w:rPr>
          <w:sz w:val="20"/>
          <w:szCs w:val="20"/>
        </w:rPr>
        <w:t xml:space="preserve"> following table summarizes our R&amp;D expenses incurred, net of any reimbursements from collaboration partners, as compared to the prior year comparable period:</w:t>
      </w:r>
    </w:p>
    <w:p w:rsidR="00000000" w:rsidRDefault="001E618F">
      <w:pPr>
        <w:pStyle w:val="a3"/>
        <w:spacing w:before="0" w:beforeAutospacing="0" w:after="0" w:afterAutospacing="0"/>
        <w:divId w:val="516772441"/>
        <w:rPr>
          <w:sz w:val="20"/>
          <w:szCs w:val="20"/>
        </w:rPr>
      </w:pPr>
      <w:r>
        <w:rPr>
          <w:sz w:val="20"/>
          <w:szCs w:val="20"/>
        </w:rPr>
        <w:t>​</w:t>
      </w:r>
    </w:p>
    <w:tbl>
      <w:tblPr>
        <w:tblW w:w="4644" w:type="pct"/>
        <w:tblCellMar>
          <w:top w:w="15" w:type="dxa"/>
          <w:left w:w="0" w:type="dxa"/>
          <w:bottom w:w="15" w:type="dxa"/>
          <w:right w:w="0" w:type="dxa"/>
        </w:tblCellMar>
        <w:tblLook w:val="04A0" w:firstRow="1" w:lastRow="0" w:firstColumn="1" w:lastColumn="0" w:noHBand="0" w:noVBand="1"/>
      </w:tblPr>
      <w:tblGrid>
        <w:gridCol w:w="4328"/>
        <w:gridCol w:w="80"/>
        <w:gridCol w:w="100"/>
        <w:gridCol w:w="620"/>
        <w:gridCol w:w="80"/>
        <w:gridCol w:w="100"/>
        <w:gridCol w:w="620"/>
        <w:gridCol w:w="80"/>
        <w:gridCol w:w="100"/>
        <w:gridCol w:w="684"/>
        <w:gridCol w:w="80"/>
        <w:gridCol w:w="576"/>
        <w:gridCol w:w="267"/>
      </w:tblGrid>
      <w:tr w:rsidR="00000000">
        <w:trPr>
          <w:divId w:val="516772441"/>
          <w:trHeight w:val="20"/>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divId w:val="177100466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668362144"/>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340663629"/>
              <w:rPr>
                <w:sz w:val="20"/>
                <w:szCs w:val="20"/>
              </w:rPr>
            </w:pPr>
            <w:r>
              <w:rPr>
                <w:sz w:val="2"/>
                <w:szCs w:val="2"/>
              </w:rPr>
              <w:t>​</w:t>
            </w:r>
          </w:p>
        </w:tc>
        <w:tc>
          <w:tcPr>
            <w:tcW w:w="41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682779943"/>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865102819"/>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036348692"/>
              <w:rPr>
                <w:sz w:val="20"/>
                <w:szCs w:val="20"/>
              </w:rPr>
            </w:pPr>
            <w:r>
              <w:rPr>
                <w:sz w:val="2"/>
                <w:szCs w:val="2"/>
              </w:rPr>
              <w:t>​</w:t>
            </w:r>
          </w:p>
        </w:tc>
        <w:tc>
          <w:tcPr>
            <w:tcW w:w="41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54572584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88574959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795437698"/>
              <w:rPr>
                <w:sz w:val="20"/>
                <w:szCs w:val="20"/>
              </w:rPr>
            </w:pPr>
            <w:r>
              <w:rPr>
                <w:sz w:val="2"/>
                <w:szCs w:val="2"/>
              </w:rPr>
              <w:t>​</w:t>
            </w:r>
          </w:p>
        </w:tc>
        <w:tc>
          <w:tcPr>
            <w:tcW w:w="4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29371051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652105092"/>
              <w:rPr>
                <w:sz w:val="20"/>
                <w:szCs w:val="20"/>
              </w:rPr>
            </w:pPr>
            <w:r>
              <w:rPr>
                <w:sz w:val="2"/>
                <w:szCs w:val="2"/>
              </w:rPr>
              <w:t>​</w:t>
            </w:r>
          </w:p>
        </w:tc>
        <w:tc>
          <w:tcPr>
            <w:tcW w:w="4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751543529"/>
              <w:rPr>
                <w:sz w:val="20"/>
                <w:szCs w:val="20"/>
              </w:rPr>
            </w:pPr>
            <w:r>
              <w:rPr>
                <w:sz w:val="2"/>
                <w:szCs w:val="2"/>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131321718"/>
              <w:rPr>
                <w:sz w:val="20"/>
                <w:szCs w:val="20"/>
              </w:rPr>
            </w:pPr>
            <w:r>
              <w:rPr>
                <w:sz w:val="2"/>
                <w:szCs w:val="2"/>
              </w:rPr>
              <w:t>​</w:t>
            </w:r>
          </w:p>
        </w:tc>
      </w:tr>
      <w:tr w:rsidR="00000000">
        <w:trPr>
          <w:divId w:val="516772441"/>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988" w:type="pct"/>
            <w:gridSpan w:val="5"/>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xml:space="preserve">Three Months Ended </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37" w:type="pct"/>
            <w:gridSpan w:val="4"/>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r>
      <w:tr w:rsidR="00000000">
        <w:trPr>
          <w:divId w:val="516772441"/>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988" w:type="pct"/>
            <w:gridSpan w:val="5"/>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37" w:type="pct"/>
            <w:gridSpan w:val="4"/>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Change</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r>
      <w:tr w:rsidR="00000000">
        <w:trPr>
          <w:divId w:val="516772441"/>
        </w:trPr>
        <w:tc>
          <w:tcPr>
            <w:tcW w:w="2826"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2021</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41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r>
      <w:tr w:rsidR="00000000">
        <w:trPr>
          <w:divId w:val="516772441"/>
        </w:trPr>
        <w:tc>
          <w:tcPr>
            <w:tcW w:w="2826"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Employee-related</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6,26</w:t>
            </w:r>
            <w:r>
              <w:rPr>
                <w:sz w:val="20"/>
                <w:szCs w:val="20"/>
              </w:rPr>
              <w:t>4</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17,57</w:t>
            </w:r>
            <w:r>
              <w:rPr>
                <w:sz w:val="20"/>
                <w:szCs w:val="20"/>
              </w:rPr>
              <w:t>6</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(11,312</w:t>
            </w: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(64</w:t>
            </w:r>
            <w:r>
              <w:rPr>
                <w:sz w:val="20"/>
                <w:szCs w:val="20"/>
              </w:rPr>
              <w:t>)</w:t>
            </w:r>
          </w:p>
        </w:tc>
        <w:tc>
          <w:tcPr>
            <w:tcW w:w="14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r>
      <w:tr w:rsidR="00000000">
        <w:trPr>
          <w:divId w:val="516772441"/>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Share-based compensation</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 </w:t>
            </w:r>
          </w:p>
        </w:tc>
        <w:tc>
          <w:tcPr>
            <w:tcW w:w="41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4,53</w:t>
            </w:r>
            <w:r>
              <w:rPr>
                <w:sz w:val="20"/>
                <w:szCs w:val="20"/>
              </w:rPr>
              <w:t>0</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414"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7,92</w:t>
            </w:r>
            <w:r>
              <w:rPr>
                <w:sz w:val="20"/>
                <w:szCs w:val="20"/>
              </w:rPr>
              <w:t>1</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415"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(3,391</w:t>
            </w:r>
            <w:r>
              <w:rPr>
                <w:sz w:val="20"/>
                <w:szCs w:val="20"/>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(43</w:t>
            </w:r>
            <w:r>
              <w:rPr>
                <w:sz w:val="20"/>
                <w:szCs w:val="20"/>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516772441"/>
        </w:trPr>
        <w:tc>
          <w:tcPr>
            <w:tcW w:w="2826"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External-related</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 </w:t>
            </w:r>
          </w:p>
        </w:tc>
        <w:tc>
          <w:tcPr>
            <w:tcW w:w="4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7,24</w:t>
            </w:r>
            <w:r>
              <w:rPr>
                <w:sz w:val="20"/>
                <w:szCs w:val="20"/>
              </w:rPr>
              <w:t>5</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41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33,53</w:t>
            </w:r>
            <w:r>
              <w:rPr>
                <w:sz w:val="20"/>
                <w:szCs w:val="20"/>
              </w:rPr>
              <w:t>2</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4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(26,287</w:t>
            </w: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(78</w:t>
            </w:r>
            <w:r>
              <w:rPr>
                <w:sz w:val="20"/>
                <w:szCs w:val="20"/>
              </w:rPr>
              <w:t>)</w:t>
            </w:r>
          </w:p>
        </w:tc>
        <w:tc>
          <w:tcPr>
            <w:tcW w:w="14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516772441"/>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Facilities, depreciation and other allocated expenses</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 </w:t>
            </w:r>
          </w:p>
        </w:tc>
        <w:tc>
          <w:tcPr>
            <w:tcW w:w="414"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5,21</w:t>
            </w:r>
            <w:r>
              <w:rPr>
                <w:sz w:val="20"/>
                <w:szCs w:val="20"/>
              </w:rPr>
              <w:t>4</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414"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8,57</w:t>
            </w:r>
            <w:r>
              <w:rPr>
                <w:sz w:val="20"/>
                <w:szCs w:val="20"/>
              </w:rPr>
              <w:t>0</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41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(3,356</w:t>
            </w:r>
            <w:r>
              <w:rPr>
                <w:sz w:val="20"/>
                <w:szCs w:val="20"/>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(39</w:t>
            </w:r>
            <w:r>
              <w:rPr>
                <w:sz w:val="20"/>
                <w:szCs w:val="20"/>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516772441"/>
        </w:trPr>
        <w:tc>
          <w:tcPr>
            <w:tcW w:w="2826"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left="120"/>
              <w:rPr>
                <w:sz w:val="20"/>
                <w:szCs w:val="20"/>
              </w:rPr>
            </w:pPr>
            <w:r>
              <w:rPr>
                <w:sz w:val="20"/>
                <w:szCs w:val="20"/>
              </w:rPr>
              <w:t>Total research &amp; development</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23,25</w:t>
            </w:r>
            <w:r>
              <w:rPr>
                <w:sz w:val="20"/>
                <w:szCs w:val="20"/>
              </w:rPr>
              <w:t>3</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67,59</w:t>
            </w:r>
            <w:r>
              <w:rPr>
                <w:sz w:val="20"/>
                <w:szCs w:val="20"/>
              </w:rPr>
              <w:t>9</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(44,346</w:t>
            </w: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(66</w:t>
            </w:r>
            <w:r>
              <w:rPr>
                <w:sz w:val="20"/>
                <w:szCs w:val="20"/>
              </w:rPr>
              <w:t>)</w:t>
            </w:r>
          </w:p>
        </w:tc>
        <w:tc>
          <w:tcPr>
            <w:tcW w:w="14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r>
    </w:tbl>
    <w:p w:rsidR="00000000" w:rsidRDefault="001E618F">
      <w:pPr>
        <w:pStyle w:val="a3"/>
        <w:spacing w:before="0" w:beforeAutospacing="0" w:after="0" w:afterAutospacing="0"/>
        <w:divId w:val="516772441"/>
        <w:rPr>
          <w:sz w:val="20"/>
          <w:szCs w:val="20"/>
        </w:rPr>
      </w:pPr>
      <w:r>
        <w:rPr>
          <w:sz w:val="20"/>
          <w:szCs w:val="20"/>
        </w:rPr>
        <w:t>​</w:t>
      </w:r>
    </w:p>
    <w:p w:rsidR="00000000" w:rsidRDefault="001E618F">
      <w:pPr>
        <w:pStyle w:val="a3"/>
        <w:spacing w:before="0" w:beforeAutospacing="0" w:after="0" w:afterAutospacing="0"/>
        <w:ind w:firstLine="720"/>
        <w:divId w:val="516772441"/>
        <w:rPr>
          <w:sz w:val="20"/>
          <w:szCs w:val="20"/>
        </w:rPr>
      </w:pPr>
      <w:r>
        <w:rPr>
          <w:sz w:val="20"/>
          <w:szCs w:val="20"/>
        </w:rPr>
        <w:t>R&amp;</w:t>
      </w:r>
      <w:r>
        <w:rPr>
          <w:sz w:val="20"/>
          <w:szCs w:val="20"/>
        </w:rPr>
        <w:t>D expenses decreased by $44.3 million in the first quarter of 2022 compared to the same period in 2021, and the decrease was across all R&amp;D categories. External-related expenses decreased by $26.3 million and was the largest contributor to the total R&amp;D ex</w:t>
      </w:r>
      <w:r>
        <w:rPr>
          <w:sz w:val="20"/>
          <w:szCs w:val="20"/>
        </w:rPr>
        <w:t>pense decrease. The decrease in external-related expenses was primarily due to the completion, or near completion, of expenses related to the izencitinib and ampreloxetine programs. The decreases across the remaining R&amp;D categories were primarily due to th</w:t>
      </w:r>
      <w:r>
        <w:rPr>
          <w:sz w:val="20"/>
          <w:szCs w:val="20"/>
        </w:rPr>
        <w:t xml:space="preserve">e Restructuring announced in September 2021 which included a significant reduction in employee-related expenses of $11.3 million. Severance and other costs that were directly attributed to the Restructuring are included in the </w:t>
      </w:r>
      <w:r>
        <w:rPr>
          <w:i/>
          <w:iCs/>
          <w:sz w:val="20"/>
          <w:szCs w:val="20"/>
        </w:rPr>
        <w:t>Restructuring and Related Exp</w:t>
      </w:r>
      <w:r>
        <w:rPr>
          <w:i/>
          <w:iCs/>
          <w:sz w:val="20"/>
          <w:szCs w:val="20"/>
        </w:rPr>
        <w:t>enses</w:t>
      </w:r>
      <w:r>
        <w:rPr>
          <w:sz w:val="20"/>
          <w:szCs w:val="20"/>
        </w:rPr>
        <w:t xml:space="preserve"> section below.</w:t>
      </w:r>
    </w:p>
    <w:p w:rsidR="00000000" w:rsidRDefault="001E618F">
      <w:pPr>
        <w:pStyle w:val="a3"/>
        <w:spacing w:before="0" w:beforeAutospacing="0" w:after="0" w:afterAutospacing="0"/>
        <w:ind w:firstLine="720"/>
        <w:divId w:val="516772441"/>
        <w:rPr>
          <w:sz w:val="20"/>
          <w:szCs w:val="20"/>
        </w:rPr>
      </w:pPr>
      <w:r>
        <w:rPr>
          <w:sz w:val="20"/>
          <w:szCs w:val="20"/>
        </w:rPr>
        <w:t>​</w:t>
      </w:r>
    </w:p>
    <w:p w:rsidR="00000000" w:rsidRDefault="001E618F">
      <w:pPr>
        <w:pStyle w:val="a3"/>
        <w:spacing w:before="0" w:beforeAutospacing="0" w:after="0" w:afterAutospacing="0"/>
        <w:ind w:firstLine="720"/>
        <w:divId w:val="516772441"/>
        <w:rPr>
          <w:sz w:val="20"/>
          <w:szCs w:val="20"/>
        </w:rPr>
      </w:pPr>
      <w:r>
        <w:rPr>
          <w:sz w:val="20"/>
          <w:szCs w:val="20"/>
        </w:rPr>
        <w:t>Under certain of our collaborative arrangements, we receive partial reimbursement of employee-related costs and external costs, which have been reflected as a reduction of R&amp;D expenses of $1.5 million and $1.4 million for the first q</w:t>
      </w:r>
      <w:r>
        <w:rPr>
          <w:sz w:val="20"/>
          <w:szCs w:val="20"/>
        </w:rPr>
        <w:t>uarters of 2022 and 2021, respectively.</w:t>
      </w:r>
    </w:p>
    <w:p w:rsidR="00000000" w:rsidRDefault="001E618F">
      <w:pPr>
        <w:pStyle w:val="a3"/>
        <w:spacing w:before="0" w:beforeAutospacing="0" w:after="0" w:afterAutospacing="0"/>
        <w:divId w:val="516772441"/>
        <w:rPr>
          <w:sz w:val="20"/>
          <w:szCs w:val="20"/>
        </w:rPr>
      </w:pPr>
      <w:r>
        <w:rPr>
          <w:sz w:val="20"/>
          <w:szCs w:val="20"/>
        </w:rPr>
        <w:t>​</w:t>
      </w:r>
    </w:p>
    <w:p w:rsidR="00000000" w:rsidRDefault="001E618F">
      <w:pPr>
        <w:pStyle w:val="a3"/>
        <w:spacing w:before="0" w:beforeAutospacing="0" w:after="120" w:afterAutospacing="0"/>
        <w:divId w:val="516772441"/>
        <w:rPr>
          <w:sz w:val="20"/>
          <w:szCs w:val="20"/>
        </w:rPr>
      </w:pPr>
      <w:r>
        <w:rPr>
          <w:b/>
          <w:bCs/>
          <w:i/>
          <w:iCs/>
          <w:sz w:val="20"/>
          <w:szCs w:val="20"/>
        </w:rPr>
        <w:t>Selling, General and Administrative</w:t>
      </w:r>
    </w:p>
    <w:p w:rsidR="00000000" w:rsidRDefault="001E618F">
      <w:pPr>
        <w:pStyle w:val="a3"/>
        <w:spacing w:before="0" w:beforeAutospacing="0" w:after="0" w:afterAutospacing="0"/>
        <w:ind w:firstLine="720"/>
        <w:divId w:val="516772441"/>
        <w:rPr>
          <w:sz w:val="20"/>
          <w:szCs w:val="20"/>
        </w:rPr>
      </w:pPr>
      <w:r>
        <w:rPr>
          <w:sz w:val="20"/>
          <w:szCs w:val="20"/>
        </w:rPr>
        <w:t>Selling, general and administrative expenses, as compared to the comparable period in the prior year, were as follows:</w:t>
      </w:r>
    </w:p>
    <w:p w:rsidR="00000000" w:rsidRDefault="001E618F">
      <w:pPr>
        <w:pStyle w:val="a3"/>
        <w:spacing w:before="0" w:beforeAutospacing="0" w:after="0" w:afterAutospacing="0"/>
        <w:ind w:firstLine="720"/>
        <w:divId w:val="51677244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91"/>
        <w:gridCol w:w="80"/>
        <w:gridCol w:w="100"/>
        <w:gridCol w:w="680"/>
        <w:gridCol w:w="80"/>
        <w:gridCol w:w="100"/>
        <w:gridCol w:w="683"/>
        <w:gridCol w:w="80"/>
        <w:gridCol w:w="100"/>
        <w:gridCol w:w="684"/>
        <w:gridCol w:w="80"/>
        <w:gridCol w:w="681"/>
        <w:gridCol w:w="267"/>
      </w:tblGrid>
      <w:tr w:rsidR="00000000">
        <w:trPr>
          <w:divId w:val="516772441"/>
          <w:trHeight w:val="20"/>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divId w:val="108934630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373893936"/>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670372243"/>
              <w:rPr>
                <w:sz w:val="20"/>
                <w:szCs w:val="20"/>
              </w:rPr>
            </w:pPr>
            <w:r>
              <w:rPr>
                <w:sz w:val="2"/>
                <w:szCs w:val="2"/>
              </w:rPr>
              <w:t>​</w:t>
            </w:r>
          </w:p>
        </w:tc>
        <w:tc>
          <w:tcPr>
            <w:tcW w:w="41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85114830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58023272"/>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281493415"/>
              <w:rPr>
                <w:sz w:val="20"/>
                <w:szCs w:val="20"/>
              </w:rPr>
            </w:pPr>
            <w:r>
              <w:rPr>
                <w:sz w:val="2"/>
                <w:szCs w:val="2"/>
              </w:rPr>
              <w:t>​</w:t>
            </w:r>
          </w:p>
        </w:tc>
        <w:tc>
          <w:tcPr>
            <w:tcW w:w="4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27359162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973291313"/>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953367634"/>
              <w:rPr>
                <w:sz w:val="20"/>
                <w:szCs w:val="20"/>
              </w:rPr>
            </w:pPr>
            <w:r>
              <w:rPr>
                <w:sz w:val="2"/>
                <w:szCs w:val="2"/>
              </w:rPr>
              <w:t>​</w:t>
            </w:r>
          </w:p>
        </w:tc>
        <w:tc>
          <w:tcPr>
            <w:tcW w:w="4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35639447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109396083"/>
              <w:rPr>
                <w:sz w:val="20"/>
                <w:szCs w:val="20"/>
              </w:rPr>
            </w:pPr>
            <w:r>
              <w:rPr>
                <w:sz w:val="2"/>
                <w:szCs w:val="2"/>
              </w:rPr>
              <w:t>​</w:t>
            </w:r>
          </w:p>
        </w:tc>
        <w:tc>
          <w:tcPr>
            <w:tcW w:w="4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97741727"/>
              <w:rPr>
                <w:sz w:val="20"/>
                <w:szCs w:val="20"/>
              </w:rPr>
            </w:pPr>
            <w:r>
              <w:rPr>
                <w:sz w:val="2"/>
                <w:szCs w:val="2"/>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768965705"/>
              <w:rPr>
                <w:sz w:val="20"/>
                <w:szCs w:val="20"/>
              </w:rPr>
            </w:pPr>
            <w:r>
              <w:rPr>
                <w:sz w:val="2"/>
                <w:szCs w:val="2"/>
              </w:rPr>
              <w:t>​</w:t>
            </w:r>
          </w:p>
        </w:tc>
      </w:tr>
      <w:tr w:rsidR="00000000">
        <w:trPr>
          <w:divId w:val="516772441"/>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88" w:type="pct"/>
            <w:gridSpan w:val="5"/>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xml:space="preserve">Three Months Ended </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36" w:type="pct"/>
            <w:gridSpan w:val="4"/>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r>
      <w:tr w:rsidR="00000000">
        <w:trPr>
          <w:divId w:val="516772441"/>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88" w:type="pct"/>
            <w:gridSpan w:val="5"/>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36" w:type="pct"/>
            <w:gridSpan w:val="4"/>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Change</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r>
      <w:tr w:rsidR="00000000">
        <w:trPr>
          <w:divId w:val="516772441"/>
        </w:trPr>
        <w:tc>
          <w:tcPr>
            <w:tcW w:w="2826"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2021</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1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r>
      <w:tr w:rsidR="00000000">
        <w:trPr>
          <w:divId w:val="516772441"/>
        </w:trPr>
        <w:tc>
          <w:tcPr>
            <w:tcW w:w="2826"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Selling, general and administrative</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19,12</w:t>
            </w:r>
            <w:r>
              <w:rPr>
                <w:sz w:val="20"/>
                <w:szCs w:val="20"/>
              </w:rPr>
              <w:t>1</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30,55</w:t>
            </w:r>
            <w:r>
              <w:rPr>
                <w:sz w:val="20"/>
                <w:szCs w:val="20"/>
              </w:rPr>
              <w:t>0</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(11,429</w:t>
            </w: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(37</w:t>
            </w:r>
            <w:r>
              <w:rPr>
                <w:sz w:val="20"/>
                <w:szCs w:val="20"/>
              </w:rPr>
              <w:t>)</w:t>
            </w:r>
          </w:p>
        </w:tc>
        <w:tc>
          <w:tcPr>
            <w:tcW w:w="14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r>
    </w:tbl>
    <w:p w:rsidR="00000000" w:rsidRDefault="001E618F">
      <w:pPr>
        <w:pStyle w:val="a3"/>
        <w:spacing w:before="0" w:beforeAutospacing="0" w:after="0" w:afterAutospacing="0"/>
        <w:ind w:firstLine="720"/>
        <w:divId w:val="516772441"/>
        <w:rPr>
          <w:sz w:val="20"/>
          <w:szCs w:val="20"/>
        </w:rPr>
      </w:pPr>
      <w:r>
        <w:rPr>
          <w:sz w:val="20"/>
          <w:szCs w:val="20"/>
        </w:rPr>
        <w:t>​</w:t>
      </w:r>
    </w:p>
    <w:p w:rsidR="00000000" w:rsidRDefault="001E618F">
      <w:pPr>
        <w:pStyle w:val="a3"/>
        <w:spacing w:before="0" w:beforeAutospacing="0" w:after="0" w:afterAutospacing="0"/>
        <w:ind w:firstLine="720"/>
        <w:divId w:val="516772441"/>
        <w:rPr>
          <w:sz w:val="20"/>
          <w:szCs w:val="20"/>
        </w:rPr>
      </w:pPr>
      <w:r>
        <w:rPr>
          <w:sz w:val="20"/>
          <w:szCs w:val="20"/>
        </w:rPr>
        <w:t>Selling, general and administrative expenses decreased by $11.4 million in the first quarter of 2022 compared to the same period in 2021. The $11.4 million decrease was primarily attributed to a $7.5 million reduction in employee-related expenses and a $2.</w:t>
      </w:r>
      <w:r>
        <w:rPr>
          <w:sz w:val="20"/>
          <w:szCs w:val="20"/>
        </w:rPr>
        <w:t>4 million reduction in share-based compensation expenses resulting from the Restructuring. External-related services also decreased by $2.1 million primarily due to a reduction in legal expenses related to the TRC arbitration in 2021. Severance and other c</w:t>
      </w:r>
      <w:r>
        <w:rPr>
          <w:sz w:val="20"/>
          <w:szCs w:val="20"/>
        </w:rPr>
        <w:t xml:space="preserve">osts that were directly attributed to the Restructuring are included in the </w:t>
      </w:r>
      <w:r>
        <w:rPr>
          <w:i/>
          <w:iCs/>
          <w:sz w:val="20"/>
          <w:szCs w:val="20"/>
        </w:rPr>
        <w:t>Restructuring and Related Expenses</w:t>
      </w:r>
      <w:r>
        <w:rPr>
          <w:sz w:val="20"/>
          <w:szCs w:val="20"/>
        </w:rPr>
        <w:t xml:space="preserve"> section below.</w:t>
      </w:r>
    </w:p>
    <w:p w:rsidR="00000000" w:rsidRDefault="001E618F">
      <w:pPr>
        <w:pStyle w:val="a3"/>
        <w:spacing w:before="0" w:beforeAutospacing="0" w:after="0" w:afterAutospacing="0"/>
        <w:ind w:firstLine="720"/>
        <w:divId w:val="516772441"/>
        <w:rPr>
          <w:sz w:val="20"/>
          <w:szCs w:val="20"/>
        </w:rPr>
      </w:pPr>
      <w:r>
        <w:rPr>
          <w:sz w:val="20"/>
          <w:szCs w:val="20"/>
        </w:rPr>
        <w:t>​</w:t>
      </w:r>
    </w:p>
    <w:p w:rsidR="00000000" w:rsidRDefault="001E618F">
      <w:pPr>
        <w:pStyle w:val="a3"/>
        <w:spacing w:before="0" w:beforeAutospacing="0" w:after="0" w:afterAutospacing="0"/>
        <w:ind w:firstLine="720"/>
        <w:divId w:val="516772441"/>
        <w:rPr>
          <w:sz w:val="20"/>
          <w:szCs w:val="20"/>
        </w:rPr>
      </w:pPr>
      <w:r>
        <w:rPr>
          <w:sz w:val="20"/>
          <w:szCs w:val="20"/>
          <w:shd w:val="clear" w:color="auto" w:fill="FFFFFF"/>
        </w:rPr>
        <w:t>Share-based compensation expense related to selling, general and administrative expenses was $5.5 million and $7.9 million for t</w:t>
      </w:r>
      <w:r>
        <w:rPr>
          <w:sz w:val="20"/>
          <w:szCs w:val="20"/>
          <w:shd w:val="clear" w:color="auto" w:fill="FFFFFF"/>
        </w:rPr>
        <w:t>he first quarters of 2022 and 2021, respectively.</w:t>
      </w:r>
    </w:p>
    <w:p w:rsidR="00000000" w:rsidRDefault="001E618F">
      <w:pPr>
        <w:pStyle w:val="a3"/>
        <w:spacing w:before="0" w:beforeAutospacing="0" w:after="0" w:afterAutospacing="0"/>
        <w:divId w:val="516772441"/>
        <w:rPr>
          <w:sz w:val="20"/>
          <w:szCs w:val="20"/>
        </w:rPr>
      </w:pPr>
      <w:r>
        <w:rPr>
          <w:sz w:val="20"/>
          <w:szCs w:val="20"/>
        </w:rPr>
        <w:t>​</w:t>
      </w:r>
    </w:p>
    <w:p w:rsidR="00000000" w:rsidRDefault="001E618F">
      <w:pPr>
        <w:pStyle w:val="a3"/>
        <w:spacing w:before="0" w:beforeAutospacing="0" w:after="120" w:afterAutospacing="0"/>
        <w:divId w:val="516772441"/>
        <w:rPr>
          <w:sz w:val="20"/>
          <w:szCs w:val="20"/>
        </w:rPr>
      </w:pPr>
      <w:r>
        <w:rPr>
          <w:b/>
          <w:bCs/>
          <w:i/>
          <w:iCs/>
          <w:sz w:val="20"/>
          <w:szCs w:val="20"/>
        </w:rPr>
        <w:t>Restructuring and Related Expenses</w:t>
      </w:r>
    </w:p>
    <w:p w:rsidR="00000000" w:rsidRDefault="001E618F">
      <w:pPr>
        <w:pStyle w:val="a3"/>
        <w:spacing w:before="0" w:beforeAutospacing="0" w:after="0" w:afterAutospacing="0"/>
        <w:ind w:firstLine="720"/>
        <w:divId w:val="516772441"/>
        <w:rPr>
          <w:sz w:val="20"/>
          <w:szCs w:val="20"/>
        </w:rPr>
      </w:pPr>
      <w:r>
        <w:rPr>
          <w:sz w:val="20"/>
          <w:szCs w:val="20"/>
          <w:shd w:val="clear" w:color="auto" w:fill="FFFFFF"/>
        </w:rPr>
        <w:t xml:space="preserve">Restructuring </w:t>
      </w:r>
      <w:r>
        <w:rPr>
          <w:sz w:val="20"/>
          <w:szCs w:val="20"/>
        </w:rPr>
        <w:t>and related expenses, as compared to the prior year period, were as follows:</w:t>
      </w:r>
      <w:r>
        <w:rPr>
          <w:sz w:val="20"/>
          <w:szCs w:val="20"/>
          <w:shd w:val="clear" w:color="auto" w:fill="FFFFFF"/>
        </w:rPr>
        <w:t xml:space="preserve"> </w:t>
      </w:r>
    </w:p>
    <w:p w:rsidR="00000000" w:rsidRDefault="001E618F">
      <w:pPr>
        <w:pStyle w:val="a3"/>
        <w:spacing w:before="0" w:beforeAutospacing="0" w:after="0" w:afterAutospacing="0"/>
        <w:ind w:firstLine="720"/>
        <w:divId w:val="516772441"/>
        <w:rPr>
          <w:sz w:val="20"/>
          <w:szCs w:val="20"/>
        </w:rPr>
      </w:pPr>
      <w:r>
        <w:rPr>
          <w:b/>
          <w:bCs/>
          <w:i/>
          <w:i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91"/>
        <w:gridCol w:w="80"/>
        <w:gridCol w:w="101"/>
        <w:gridCol w:w="680"/>
        <w:gridCol w:w="81"/>
        <w:gridCol w:w="100"/>
        <w:gridCol w:w="682"/>
        <w:gridCol w:w="80"/>
        <w:gridCol w:w="100"/>
        <w:gridCol w:w="681"/>
        <w:gridCol w:w="80"/>
        <w:gridCol w:w="683"/>
        <w:gridCol w:w="267"/>
      </w:tblGrid>
      <w:tr w:rsidR="00000000">
        <w:trPr>
          <w:divId w:val="516772441"/>
          <w:trHeight w:val="20"/>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divId w:val="927079773"/>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995380125"/>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632054574"/>
              <w:rPr>
                <w:sz w:val="20"/>
                <w:szCs w:val="20"/>
              </w:rPr>
            </w:pPr>
            <w:r>
              <w:rPr>
                <w:sz w:val="2"/>
                <w:szCs w:val="2"/>
              </w:rPr>
              <w:t>​</w:t>
            </w:r>
          </w:p>
        </w:tc>
        <w:tc>
          <w:tcPr>
            <w:tcW w:w="41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76988959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583684538"/>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599678611"/>
              <w:rPr>
                <w:sz w:val="20"/>
                <w:szCs w:val="20"/>
              </w:rPr>
            </w:pPr>
            <w:r>
              <w:rPr>
                <w:sz w:val="2"/>
                <w:szCs w:val="2"/>
              </w:rPr>
              <w:t>​</w:t>
            </w:r>
          </w:p>
        </w:tc>
        <w:tc>
          <w:tcPr>
            <w:tcW w:w="4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088989446"/>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56094464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859463963"/>
              <w:rPr>
                <w:sz w:val="20"/>
                <w:szCs w:val="20"/>
              </w:rPr>
            </w:pPr>
            <w:r>
              <w:rPr>
                <w:sz w:val="2"/>
                <w:szCs w:val="2"/>
              </w:rPr>
              <w:t>​</w:t>
            </w:r>
          </w:p>
        </w:tc>
        <w:tc>
          <w:tcPr>
            <w:tcW w:w="4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74268142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793278948"/>
              <w:rPr>
                <w:sz w:val="20"/>
                <w:szCs w:val="20"/>
              </w:rPr>
            </w:pPr>
            <w:r>
              <w:rPr>
                <w:sz w:val="2"/>
                <w:szCs w:val="2"/>
              </w:rPr>
              <w:t>​</w:t>
            </w:r>
          </w:p>
        </w:tc>
        <w:tc>
          <w:tcPr>
            <w:tcW w:w="4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128430533"/>
              <w:rPr>
                <w:sz w:val="20"/>
                <w:szCs w:val="20"/>
              </w:rPr>
            </w:pPr>
            <w:r>
              <w:rPr>
                <w:sz w:val="2"/>
                <w:szCs w:val="2"/>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53684236"/>
              <w:rPr>
                <w:sz w:val="20"/>
                <w:szCs w:val="20"/>
              </w:rPr>
            </w:pPr>
            <w:r>
              <w:rPr>
                <w:sz w:val="2"/>
                <w:szCs w:val="2"/>
              </w:rPr>
              <w:t>​</w:t>
            </w:r>
          </w:p>
        </w:tc>
      </w:tr>
      <w:tr w:rsidR="00000000">
        <w:trPr>
          <w:divId w:val="516772441"/>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88" w:type="pct"/>
            <w:gridSpan w:val="5"/>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xml:space="preserve">Three Months Ended </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36" w:type="pct"/>
            <w:gridSpan w:val="4"/>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r>
      <w:tr w:rsidR="00000000">
        <w:trPr>
          <w:divId w:val="516772441"/>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88" w:type="pct"/>
            <w:gridSpan w:val="5"/>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36" w:type="pct"/>
            <w:gridSpan w:val="4"/>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Change</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r>
      <w:tr w:rsidR="00000000">
        <w:trPr>
          <w:divId w:val="516772441"/>
        </w:trPr>
        <w:tc>
          <w:tcPr>
            <w:tcW w:w="2826"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2021</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1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r>
      <w:tr w:rsidR="00000000">
        <w:trPr>
          <w:divId w:val="516772441"/>
        </w:trPr>
        <w:tc>
          <w:tcPr>
            <w:tcW w:w="2826"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Restructuring and related expenses</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4,80</w:t>
            </w:r>
            <w:r>
              <w:rPr>
                <w:sz w:val="20"/>
                <w:szCs w:val="20"/>
              </w:rPr>
              <w:t>7</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4,80</w:t>
            </w:r>
            <w:r>
              <w:rPr>
                <w:sz w:val="20"/>
                <w:szCs w:val="20"/>
              </w:rPr>
              <w:t>7</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NM</w:t>
            </w:r>
          </w:p>
        </w:tc>
        <w:tc>
          <w:tcPr>
            <w:tcW w:w="14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r>
      <w:tr w:rsidR="00000000">
        <w:trPr>
          <w:divId w:val="516772441"/>
        </w:trPr>
        <w:tc>
          <w:tcPr>
            <w:tcW w:w="2826"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Share-based compensation expense (Non-cash)</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413"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4,51</w:t>
            </w:r>
            <w:r>
              <w:rPr>
                <w:sz w:val="20"/>
                <w:szCs w:val="20"/>
              </w:rPr>
              <w:t>7</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41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41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4,51</w:t>
            </w:r>
            <w:r>
              <w:rPr>
                <w:sz w:val="20"/>
                <w:szCs w:val="20"/>
              </w:rPr>
              <w:t>7</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NM</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516772441"/>
        </w:trPr>
        <w:tc>
          <w:tcPr>
            <w:tcW w:w="2826"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left="120"/>
              <w:rPr>
                <w:sz w:val="20"/>
                <w:szCs w:val="20"/>
              </w:rPr>
            </w:pPr>
            <w:r>
              <w:rPr>
                <w:sz w:val="20"/>
                <w:szCs w:val="20"/>
              </w:rPr>
              <w:t>Total restructuring and related expenses</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9,32</w:t>
            </w:r>
            <w:r>
              <w:rPr>
                <w:sz w:val="20"/>
                <w:szCs w:val="20"/>
              </w:rPr>
              <w:t>4</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9,32</w:t>
            </w:r>
            <w:r>
              <w:rPr>
                <w:sz w:val="20"/>
                <w:szCs w:val="20"/>
              </w:rPr>
              <w:t>4</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NM</w:t>
            </w:r>
          </w:p>
        </w:tc>
        <w:tc>
          <w:tcPr>
            <w:tcW w:w="14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r>
    </w:tbl>
    <w:p w:rsidR="00000000" w:rsidRDefault="001E618F">
      <w:pPr>
        <w:pStyle w:val="a3"/>
        <w:spacing w:before="0" w:beforeAutospacing="0" w:after="0" w:afterAutospacing="0"/>
        <w:divId w:val="516772441"/>
        <w:rPr>
          <w:sz w:val="20"/>
          <w:szCs w:val="20"/>
        </w:rPr>
      </w:pPr>
      <w:r>
        <w:rPr>
          <w:sz w:val="20"/>
          <w:szCs w:val="20"/>
        </w:rPr>
        <w:t>NM: Not Meaningful</w:t>
      </w:r>
    </w:p>
    <w:p w:rsidR="00000000" w:rsidRDefault="001E618F">
      <w:pPr>
        <w:pStyle w:val="a3"/>
        <w:spacing w:before="360" w:beforeAutospacing="0" w:after="0" w:afterAutospacing="0"/>
        <w:jc w:val="center"/>
        <w:divId w:val="1122502484"/>
        <w:rPr>
          <w:sz w:val="20"/>
          <w:szCs w:val="20"/>
        </w:rPr>
      </w:pPr>
      <w:r>
        <w:rPr>
          <w:sz w:val="20"/>
          <w:szCs w:val="20"/>
        </w:rPr>
        <w:t>26</w:t>
      </w:r>
    </w:p>
    <w:p w:rsidR="00000000" w:rsidRDefault="001E618F">
      <w:pPr>
        <w:pStyle w:val="a3"/>
        <w:spacing w:before="0" w:beforeAutospacing="0" w:after="600" w:afterAutospacing="0"/>
        <w:divId w:val="1468007145"/>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divId w:val="1282808801"/>
        <w:rPr>
          <w:sz w:val="20"/>
          <w:szCs w:val="20"/>
        </w:rPr>
      </w:pPr>
      <w:r>
        <w:rPr>
          <w:color w:val="FF0000"/>
          <w:sz w:val="20"/>
          <w:szCs w:val="20"/>
        </w:rPr>
        <w:t>​</w:t>
      </w:r>
    </w:p>
    <w:p w:rsidR="00000000" w:rsidRDefault="001E618F">
      <w:pPr>
        <w:pStyle w:val="a3"/>
        <w:spacing w:before="0" w:beforeAutospacing="0" w:after="0" w:afterAutospacing="0"/>
        <w:ind w:firstLine="720"/>
        <w:divId w:val="1282808801"/>
        <w:rPr>
          <w:sz w:val="20"/>
          <w:szCs w:val="20"/>
        </w:rPr>
      </w:pPr>
      <w:r>
        <w:rPr>
          <w:sz w:val="20"/>
          <w:szCs w:val="20"/>
        </w:rPr>
        <w:t xml:space="preserve">Of the total $9.3 million in Restructuring and related expenses recognized in the first quarter of 2022, $4.7 million was related to R&amp;D expenses and $4.6 million was related to selling, general and administrative expenses. </w:t>
      </w:r>
      <w:r>
        <w:rPr>
          <w:sz w:val="20"/>
          <w:szCs w:val="20"/>
          <w:shd w:val="clear" w:color="auto" w:fill="FFFFFF"/>
        </w:rPr>
        <w:t>The Restructuring and related ex</w:t>
      </w:r>
      <w:r>
        <w:rPr>
          <w:sz w:val="20"/>
          <w:szCs w:val="20"/>
          <w:shd w:val="clear" w:color="auto" w:fill="FFFFFF"/>
        </w:rPr>
        <w:t xml:space="preserve">penses were primarily comprised of one-time severance payments, employee-related separation costs, retention costs, and other Restructuring-related expenses. </w:t>
      </w:r>
      <w:r>
        <w:rPr>
          <w:sz w:val="20"/>
          <w:szCs w:val="20"/>
        </w:rPr>
        <w:t>The $9.3 million also included non-cash charges of $4.5 million, primarily related to the modifica</w:t>
      </w:r>
      <w:r>
        <w:rPr>
          <w:sz w:val="20"/>
          <w:szCs w:val="20"/>
        </w:rPr>
        <w:t xml:space="preserve">tion of equity awards for employees affected by the Restructuring and certain related awards for other employees. </w:t>
      </w:r>
    </w:p>
    <w:p w:rsidR="00000000" w:rsidRDefault="001E618F">
      <w:pPr>
        <w:pStyle w:val="a3"/>
        <w:spacing w:before="0" w:beforeAutospacing="0" w:after="0" w:afterAutospacing="0"/>
        <w:ind w:firstLine="720"/>
        <w:divId w:val="1282808801"/>
        <w:rPr>
          <w:sz w:val="20"/>
          <w:szCs w:val="20"/>
        </w:rPr>
      </w:pPr>
      <w:r>
        <w:rPr>
          <w:sz w:val="20"/>
          <w:szCs w:val="20"/>
        </w:rPr>
        <w:t>​</w:t>
      </w:r>
    </w:p>
    <w:p w:rsidR="00000000" w:rsidRDefault="001E618F">
      <w:pPr>
        <w:pStyle w:val="a3"/>
        <w:spacing w:before="0" w:beforeAutospacing="0" w:after="0" w:afterAutospacing="0"/>
        <w:ind w:firstLine="720"/>
        <w:divId w:val="1282808801"/>
        <w:rPr>
          <w:sz w:val="20"/>
          <w:szCs w:val="20"/>
        </w:rPr>
      </w:pPr>
      <w:r>
        <w:rPr>
          <w:sz w:val="20"/>
          <w:szCs w:val="20"/>
        </w:rPr>
        <w:t>We estimate that we will incur total</w:t>
      </w:r>
      <w:r>
        <w:rPr>
          <w:b/>
          <w:bCs/>
          <w:sz w:val="20"/>
          <w:szCs w:val="20"/>
        </w:rPr>
        <w:t xml:space="preserve"> </w:t>
      </w:r>
      <w:r>
        <w:rPr>
          <w:sz w:val="20"/>
          <w:szCs w:val="20"/>
        </w:rPr>
        <w:t>Restructuring and related expenses of approximately</w:t>
      </w:r>
      <w:r>
        <w:rPr>
          <w:b/>
          <w:bCs/>
          <w:sz w:val="20"/>
          <w:szCs w:val="20"/>
        </w:rPr>
        <w:t xml:space="preserve"> </w:t>
      </w:r>
      <w:r>
        <w:rPr>
          <w:sz w:val="20"/>
          <w:szCs w:val="20"/>
        </w:rPr>
        <w:t>$33.0 million comprised of $17.1 million in cash e</w:t>
      </w:r>
      <w:r>
        <w:rPr>
          <w:sz w:val="20"/>
          <w:szCs w:val="20"/>
        </w:rPr>
        <w:t xml:space="preserve">xpenses associated with employee termination benefits and related costs and $15.9 million in non-cash expenses relating to the acceleration of equity-awards for employees affected by the Restructuring. We expect to recognize the remaining approximate $3.5 </w:t>
      </w:r>
      <w:r>
        <w:rPr>
          <w:sz w:val="20"/>
          <w:szCs w:val="20"/>
        </w:rPr>
        <w:t xml:space="preserve">million in Restructuring and related expenses, comprised of $0.8 million in cash-related expenses and $2.7 million in non-cash expenses by the third quarter of 2022. The remaining Restructuring expense estimates are subject to a number of assumptions, and </w:t>
      </w:r>
      <w:r>
        <w:rPr>
          <w:sz w:val="20"/>
          <w:szCs w:val="20"/>
        </w:rPr>
        <w:t xml:space="preserve">actual final amounts may differ. We may also incur additional costs not currently contemplated due to events that may occur as a result of, or that are associated with, the Restructuring. </w:t>
      </w:r>
    </w:p>
    <w:p w:rsidR="00000000" w:rsidRDefault="001E618F">
      <w:pPr>
        <w:pStyle w:val="a3"/>
        <w:spacing w:before="0" w:beforeAutospacing="0" w:after="0" w:afterAutospacing="0"/>
        <w:divId w:val="1282808801"/>
        <w:rPr>
          <w:sz w:val="20"/>
          <w:szCs w:val="20"/>
        </w:rPr>
      </w:pPr>
      <w:r>
        <w:rPr>
          <w:sz w:val="20"/>
          <w:szCs w:val="20"/>
        </w:rPr>
        <w:t>​</w:t>
      </w:r>
    </w:p>
    <w:p w:rsidR="00000000" w:rsidRDefault="001E618F">
      <w:pPr>
        <w:pStyle w:val="a3"/>
        <w:spacing w:before="0" w:beforeAutospacing="0" w:after="120" w:afterAutospacing="0"/>
        <w:divId w:val="1282808801"/>
        <w:rPr>
          <w:sz w:val="20"/>
          <w:szCs w:val="20"/>
        </w:rPr>
      </w:pPr>
      <w:r>
        <w:rPr>
          <w:b/>
          <w:bCs/>
          <w:i/>
          <w:iCs/>
          <w:sz w:val="20"/>
          <w:szCs w:val="20"/>
        </w:rPr>
        <w:t>Income from Investment in TRC, LLC</w:t>
      </w:r>
    </w:p>
    <w:p w:rsidR="00000000" w:rsidRDefault="001E618F">
      <w:pPr>
        <w:pStyle w:val="a3"/>
        <w:spacing w:before="0" w:beforeAutospacing="0" w:after="0" w:afterAutospacing="0"/>
        <w:ind w:firstLine="720"/>
        <w:divId w:val="1282808801"/>
        <w:rPr>
          <w:sz w:val="20"/>
          <w:szCs w:val="20"/>
        </w:rPr>
      </w:pPr>
      <w:r>
        <w:rPr>
          <w:sz w:val="20"/>
          <w:szCs w:val="20"/>
        </w:rPr>
        <w:t>Income from investment in TRC, as compared to the comparable period in the prior year, was as follows:</w:t>
      </w:r>
    </w:p>
    <w:p w:rsidR="00000000" w:rsidRDefault="001E618F">
      <w:pPr>
        <w:pStyle w:val="a3"/>
        <w:spacing w:before="0" w:beforeAutospacing="0" w:after="0" w:afterAutospacing="0"/>
        <w:ind w:firstLine="720"/>
        <w:divId w:val="128280880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94"/>
        <w:gridCol w:w="81"/>
        <w:gridCol w:w="100"/>
        <w:gridCol w:w="686"/>
        <w:gridCol w:w="81"/>
        <w:gridCol w:w="100"/>
        <w:gridCol w:w="689"/>
        <w:gridCol w:w="81"/>
        <w:gridCol w:w="100"/>
        <w:gridCol w:w="686"/>
        <w:gridCol w:w="83"/>
        <w:gridCol w:w="688"/>
        <w:gridCol w:w="237"/>
      </w:tblGrid>
      <w:tr w:rsidR="00000000">
        <w:trPr>
          <w:divId w:val="1282808801"/>
          <w:trHeight w:val="20"/>
        </w:trPr>
        <w:tc>
          <w:tcPr>
            <w:tcW w:w="2828" w:type="pct"/>
            <w:tcMar>
              <w:top w:w="0" w:type="dxa"/>
              <w:left w:w="0" w:type="dxa"/>
              <w:bottom w:w="0" w:type="dxa"/>
              <w:right w:w="0" w:type="dxa"/>
            </w:tcMar>
            <w:vAlign w:val="bottom"/>
            <w:hideMark/>
          </w:tcPr>
          <w:p w:rsidR="00000000" w:rsidRDefault="001E618F">
            <w:pPr>
              <w:pStyle w:val="a3"/>
              <w:spacing w:before="0" w:beforeAutospacing="0" w:after="0" w:afterAutospacing="0"/>
              <w:divId w:val="518855001"/>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029330823"/>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288388573"/>
              <w:rPr>
                <w:sz w:val="20"/>
                <w:szCs w:val="20"/>
              </w:rPr>
            </w:pPr>
            <w:r>
              <w:rPr>
                <w:sz w:val="2"/>
                <w:szCs w:val="2"/>
              </w:rPr>
              <w:t>​</w:t>
            </w:r>
          </w:p>
        </w:tc>
        <w:tc>
          <w:tcPr>
            <w:tcW w:w="416"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918708427"/>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53295935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347555381"/>
              <w:rPr>
                <w:sz w:val="20"/>
                <w:szCs w:val="20"/>
              </w:rPr>
            </w:pPr>
            <w:r>
              <w:rPr>
                <w:sz w:val="2"/>
                <w:szCs w:val="2"/>
              </w:rPr>
              <w:t>​</w:t>
            </w:r>
          </w:p>
        </w:tc>
        <w:tc>
          <w:tcPr>
            <w:tcW w:w="416"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358122512"/>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452604419"/>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339042602"/>
              <w:rPr>
                <w:sz w:val="20"/>
                <w:szCs w:val="20"/>
              </w:rPr>
            </w:pPr>
            <w:r>
              <w:rPr>
                <w:sz w:val="2"/>
                <w:szCs w:val="2"/>
              </w:rPr>
              <w:t>​</w:t>
            </w:r>
          </w:p>
        </w:tc>
        <w:tc>
          <w:tcPr>
            <w:tcW w:w="416"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564413933"/>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870611379"/>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781609366"/>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065056012"/>
              <w:rPr>
                <w:sz w:val="20"/>
                <w:szCs w:val="20"/>
              </w:rPr>
            </w:pPr>
            <w:r>
              <w:rPr>
                <w:sz w:val="2"/>
                <w:szCs w:val="2"/>
              </w:rPr>
              <w:t>​</w:t>
            </w:r>
          </w:p>
        </w:tc>
      </w:tr>
      <w:tr w:rsidR="00000000">
        <w:trPr>
          <w:divId w:val="1282808801"/>
        </w:trPr>
        <w:tc>
          <w:tcPr>
            <w:tcW w:w="2828"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995" w:type="pct"/>
            <w:gridSpan w:val="5"/>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xml:space="preserve">Three Months Ended </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942" w:type="pct"/>
            <w:gridSpan w:val="4"/>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126"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r>
      <w:tr w:rsidR="00000000">
        <w:trPr>
          <w:divId w:val="1282808801"/>
        </w:trPr>
        <w:tc>
          <w:tcPr>
            <w:tcW w:w="2828"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995" w:type="pct"/>
            <w:gridSpan w:val="5"/>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942" w:type="pct"/>
            <w:gridSpan w:val="4"/>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Change</w:t>
            </w:r>
          </w:p>
        </w:tc>
        <w:tc>
          <w:tcPr>
            <w:tcW w:w="126"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r>
      <w:tr w:rsidR="00000000">
        <w:trPr>
          <w:divId w:val="1282808801"/>
        </w:trPr>
        <w:tc>
          <w:tcPr>
            <w:tcW w:w="2828"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47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47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2021</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47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w:t>
            </w:r>
          </w:p>
        </w:tc>
        <w:tc>
          <w:tcPr>
            <w:tcW w:w="54"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417"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w:t>
            </w:r>
          </w:p>
        </w:tc>
        <w:tc>
          <w:tcPr>
            <w:tcW w:w="126"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r>
      <w:tr w:rsidR="00000000">
        <w:trPr>
          <w:divId w:val="1282808801"/>
        </w:trPr>
        <w:tc>
          <w:tcPr>
            <w:tcW w:w="2828"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Income from investment in TRC, LLC</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25,11</w:t>
            </w:r>
            <w:r>
              <w:rPr>
                <w:sz w:val="20"/>
                <w:szCs w:val="20"/>
              </w:rPr>
              <w:t>0</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16,54</w:t>
            </w:r>
            <w:r>
              <w:rPr>
                <w:sz w:val="20"/>
                <w:szCs w:val="20"/>
              </w:rPr>
              <w:t>7</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8,56</w:t>
            </w:r>
            <w:r>
              <w:rPr>
                <w:sz w:val="20"/>
                <w:szCs w:val="20"/>
              </w:rPr>
              <w:t>3</w:t>
            </w:r>
          </w:p>
        </w:tc>
        <w:tc>
          <w:tcPr>
            <w:tcW w:w="5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5</w:t>
            </w:r>
            <w:r>
              <w:rPr>
                <w:sz w:val="20"/>
                <w:szCs w:val="20"/>
              </w:rPr>
              <w:t>2</w:t>
            </w:r>
          </w:p>
        </w:tc>
        <w:tc>
          <w:tcPr>
            <w:tcW w:w="126"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w:t>
            </w:r>
          </w:p>
        </w:tc>
      </w:tr>
    </w:tbl>
    <w:p w:rsidR="00000000" w:rsidRDefault="001E618F">
      <w:pPr>
        <w:pStyle w:val="a3"/>
        <w:spacing w:before="0" w:beforeAutospacing="0" w:after="0" w:afterAutospacing="0"/>
        <w:ind w:firstLine="720"/>
        <w:divId w:val="1282808801"/>
        <w:rPr>
          <w:sz w:val="20"/>
          <w:szCs w:val="20"/>
        </w:rPr>
      </w:pPr>
      <w:r>
        <w:rPr>
          <w:sz w:val="20"/>
          <w:szCs w:val="20"/>
        </w:rPr>
        <w:t>​</w:t>
      </w:r>
    </w:p>
    <w:p w:rsidR="00000000" w:rsidRDefault="001E618F">
      <w:pPr>
        <w:pStyle w:val="a3"/>
        <w:spacing w:before="0" w:beforeAutospacing="0" w:after="0" w:afterAutospacing="0"/>
        <w:ind w:firstLine="720"/>
        <w:divId w:val="1282808801"/>
        <w:rPr>
          <w:sz w:val="20"/>
          <w:szCs w:val="20"/>
        </w:rPr>
      </w:pPr>
      <w:r>
        <w:rPr>
          <w:sz w:val="20"/>
          <w:szCs w:val="20"/>
        </w:rPr>
        <w:t>The income from investment in TRC represented our share of the royalty payments from GSK to TRC on the net sales of TRELEGY (net of our share of TRC expenses paid and the amount of cash, if any, expected to be used by TRC pursuant to the TRC Agreement over</w:t>
      </w:r>
      <w:r>
        <w:rPr>
          <w:sz w:val="20"/>
          <w:szCs w:val="20"/>
        </w:rPr>
        <w:t xml:space="preserve"> the next four fiscal quarters).</w:t>
      </w:r>
      <w:r>
        <w:rPr>
          <w:color w:val="212529"/>
          <w:sz w:val="20"/>
          <w:szCs w:val="20"/>
        </w:rPr>
        <w:t xml:space="preserve"> </w:t>
      </w:r>
    </w:p>
    <w:p w:rsidR="00000000" w:rsidRDefault="001E618F">
      <w:pPr>
        <w:pStyle w:val="a3"/>
        <w:spacing w:before="0" w:beforeAutospacing="0" w:after="0" w:afterAutospacing="0"/>
        <w:ind w:firstLine="720"/>
        <w:divId w:val="1282808801"/>
        <w:rPr>
          <w:sz w:val="20"/>
          <w:szCs w:val="20"/>
        </w:rPr>
      </w:pPr>
      <w:r>
        <w:rPr>
          <w:color w:val="212529"/>
          <w:sz w:val="20"/>
          <w:szCs w:val="20"/>
        </w:rPr>
        <w:t>​</w:t>
      </w:r>
    </w:p>
    <w:p w:rsidR="00000000" w:rsidRDefault="001E618F">
      <w:pPr>
        <w:pStyle w:val="a3"/>
        <w:spacing w:before="0" w:beforeAutospacing="0" w:after="0" w:afterAutospacing="0"/>
        <w:ind w:firstLine="720"/>
        <w:divId w:val="1282808801"/>
        <w:rPr>
          <w:sz w:val="20"/>
          <w:szCs w:val="20"/>
        </w:rPr>
      </w:pPr>
      <w:r>
        <w:rPr>
          <w:sz w:val="20"/>
          <w:szCs w:val="20"/>
        </w:rPr>
        <w:t>Income from investment in TRC increased by $8.6 million in the first quarter of 2022 compared to the same period in 2021</w:t>
      </w:r>
      <w:r>
        <w:rPr>
          <w:sz w:val="20"/>
          <w:szCs w:val="20"/>
          <w:shd w:val="clear" w:color="auto" w:fill="FFFFFF"/>
        </w:rPr>
        <w:t>.</w:t>
      </w:r>
      <w:r>
        <w:rPr>
          <w:sz w:val="20"/>
          <w:szCs w:val="20"/>
        </w:rPr>
        <w:t xml:space="preserve"> The $25.1 million of TRC income for the first quarter of 2022 was recorded net of our share of TRC</w:t>
      </w:r>
      <w:r>
        <w:rPr>
          <w:sz w:val="20"/>
          <w:szCs w:val="20"/>
        </w:rPr>
        <w:t xml:space="preserve"> expenses of $0.2 million. Our share of TRC expenses was $2.8 million for the first quarter of 2021 and was primarily comprised of TRC’s legal and related expenses associated with the arbitration between Innoviva and TRC and us.</w:t>
      </w:r>
    </w:p>
    <w:p w:rsidR="00000000" w:rsidRDefault="001E618F">
      <w:pPr>
        <w:pStyle w:val="a3"/>
        <w:spacing w:before="0" w:beforeAutospacing="0" w:after="0" w:afterAutospacing="0"/>
        <w:divId w:val="1282808801"/>
        <w:rPr>
          <w:sz w:val="20"/>
          <w:szCs w:val="20"/>
        </w:rPr>
      </w:pPr>
      <w:r>
        <w:rPr>
          <w:color w:val="FF0000"/>
          <w:sz w:val="20"/>
          <w:szCs w:val="20"/>
        </w:rPr>
        <w:t>​</w:t>
      </w:r>
    </w:p>
    <w:p w:rsidR="00000000" w:rsidRDefault="001E618F">
      <w:pPr>
        <w:pStyle w:val="a3"/>
        <w:spacing w:before="0" w:beforeAutospacing="0" w:after="0" w:afterAutospacing="0"/>
        <w:ind w:firstLine="720"/>
        <w:divId w:val="1282808801"/>
        <w:rPr>
          <w:sz w:val="20"/>
          <w:szCs w:val="20"/>
        </w:rPr>
      </w:pPr>
      <w:r>
        <w:rPr>
          <w:sz w:val="20"/>
          <w:szCs w:val="20"/>
        </w:rPr>
        <w:t>In connection with the is</w:t>
      </w:r>
      <w:r>
        <w:rPr>
          <w:sz w:val="20"/>
          <w:szCs w:val="20"/>
        </w:rPr>
        <w:t xml:space="preserve">suance of our $380.0 million net principal amount Non-Recourse 2035 Notes in February 2020, 75% of the income from our investment in TRC is available only for payment of the Non-Recourse 2035 Notes and is not available to pay other creditor obligations or </w:t>
      </w:r>
      <w:r>
        <w:rPr>
          <w:sz w:val="20"/>
          <w:szCs w:val="20"/>
        </w:rPr>
        <w:t xml:space="preserve">claims. </w:t>
      </w:r>
    </w:p>
    <w:p w:rsidR="00000000" w:rsidRDefault="001E618F">
      <w:pPr>
        <w:pStyle w:val="a3"/>
        <w:spacing w:before="0" w:beforeAutospacing="0" w:after="0" w:afterAutospacing="0"/>
        <w:ind w:firstLine="720"/>
        <w:divId w:val="1282808801"/>
        <w:rPr>
          <w:sz w:val="20"/>
          <w:szCs w:val="20"/>
        </w:rPr>
      </w:pPr>
      <w:r>
        <w:rPr>
          <w:sz w:val="20"/>
          <w:szCs w:val="20"/>
        </w:rPr>
        <w:t>​</w:t>
      </w:r>
    </w:p>
    <w:p w:rsidR="00000000" w:rsidRDefault="001E618F">
      <w:pPr>
        <w:pStyle w:val="a3"/>
        <w:spacing w:before="0" w:beforeAutospacing="0" w:after="0" w:afterAutospacing="0"/>
        <w:ind w:firstLine="720"/>
        <w:divId w:val="1282808801"/>
        <w:rPr>
          <w:sz w:val="20"/>
          <w:szCs w:val="20"/>
        </w:rPr>
      </w:pPr>
      <w:r>
        <w:rPr>
          <w:sz w:val="20"/>
          <w:szCs w:val="20"/>
        </w:rPr>
        <w:t xml:space="preserve">See </w:t>
      </w:r>
      <w:r>
        <w:rPr>
          <w:i/>
          <w:iCs/>
          <w:sz w:val="20"/>
          <w:szCs w:val="20"/>
        </w:rPr>
        <w:t>“Risk Factors—We do not control the commercialization of TRELEGY and we do not control TRC; accordingly the amount of royalties we receive will depend on, among other factors, GSK’s ability to further commercialize TRELEGY and TRC’s decision</w:t>
      </w:r>
      <w:r>
        <w:rPr>
          <w:i/>
          <w:iCs/>
          <w:sz w:val="20"/>
          <w:szCs w:val="20"/>
        </w:rPr>
        <w:t xml:space="preserve">s concerning use of cash in accordance with the TRC LLC Agreement” </w:t>
      </w:r>
      <w:r>
        <w:rPr>
          <w:sz w:val="20"/>
          <w:szCs w:val="20"/>
        </w:rPr>
        <w:t>for additional information regarding our economic interest in TRC, LLC.</w:t>
      </w:r>
    </w:p>
    <w:p w:rsidR="00000000" w:rsidRDefault="001E618F">
      <w:pPr>
        <w:pStyle w:val="a3"/>
        <w:spacing w:before="0" w:beforeAutospacing="0" w:after="0" w:afterAutospacing="0"/>
        <w:divId w:val="1282808801"/>
        <w:rPr>
          <w:sz w:val="20"/>
          <w:szCs w:val="20"/>
        </w:rPr>
      </w:pPr>
      <w:r>
        <w:rPr>
          <w:color w:val="FF0000"/>
          <w:sz w:val="20"/>
          <w:szCs w:val="20"/>
        </w:rPr>
        <w:t>​</w:t>
      </w:r>
    </w:p>
    <w:p w:rsidR="00000000" w:rsidRDefault="001E618F">
      <w:pPr>
        <w:pStyle w:val="a3"/>
        <w:spacing w:before="0" w:beforeAutospacing="0" w:after="120" w:afterAutospacing="0"/>
        <w:divId w:val="1282808801"/>
        <w:rPr>
          <w:sz w:val="20"/>
          <w:szCs w:val="20"/>
        </w:rPr>
      </w:pPr>
      <w:r>
        <w:rPr>
          <w:b/>
          <w:bCs/>
          <w:i/>
          <w:iCs/>
          <w:sz w:val="20"/>
          <w:szCs w:val="20"/>
        </w:rPr>
        <w:t>Interest Expense</w:t>
      </w:r>
    </w:p>
    <w:p w:rsidR="00000000" w:rsidRDefault="001E618F">
      <w:pPr>
        <w:pStyle w:val="a3"/>
        <w:spacing w:before="0" w:beforeAutospacing="0" w:after="0" w:afterAutospacing="0"/>
        <w:ind w:firstLine="720"/>
        <w:divId w:val="1282808801"/>
        <w:rPr>
          <w:sz w:val="20"/>
          <w:szCs w:val="20"/>
        </w:rPr>
      </w:pPr>
      <w:r>
        <w:rPr>
          <w:sz w:val="20"/>
          <w:szCs w:val="20"/>
        </w:rPr>
        <w:t>Interest expense primarily consisted of interest payments due on the Convertible Senior 2023 Notes and the Non-Recourse 2035 Notes, as well as the amortization of the associated debt issuance costs. Interest expense, as compared to the comparable period in</w:t>
      </w:r>
      <w:r>
        <w:rPr>
          <w:sz w:val="20"/>
          <w:szCs w:val="20"/>
        </w:rPr>
        <w:t xml:space="preserve"> the prior year, was as follows:</w:t>
      </w:r>
    </w:p>
    <w:p w:rsidR="00000000" w:rsidRDefault="001E618F">
      <w:pPr>
        <w:pStyle w:val="a3"/>
        <w:spacing w:before="0" w:beforeAutospacing="0" w:after="0" w:afterAutospacing="0"/>
        <w:divId w:val="128280880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91"/>
        <w:gridCol w:w="80"/>
        <w:gridCol w:w="100"/>
        <w:gridCol w:w="684"/>
        <w:gridCol w:w="80"/>
        <w:gridCol w:w="100"/>
        <w:gridCol w:w="684"/>
        <w:gridCol w:w="80"/>
        <w:gridCol w:w="100"/>
        <w:gridCol w:w="676"/>
        <w:gridCol w:w="80"/>
        <w:gridCol w:w="684"/>
        <w:gridCol w:w="267"/>
      </w:tblGrid>
      <w:tr w:rsidR="00000000">
        <w:trPr>
          <w:divId w:val="1282808801"/>
          <w:trHeight w:val="20"/>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divId w:val="74870034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869610379"/>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911573685"/>
              <w:rPr>
                <w:sz w:val="20"/>
                <w:szCs w:val="20"/>
              </w:rPr>
            </w:pPr>
            <w:r>
              <w:rPr>
                <w:sz w:val="2"/>
                <w:szCs w:val="2"/>
              </w:rPr>
              <w:t>​</w:t>
            </w:r>
          </w:p>
        </w:tc>
        <w:tc>
          <w:tcPr>
            <w:tcW w:w="41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77197564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82369080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40390478"/>
              <w:rPr>
                <w:sz w:val="20"/>
                <w:szCs w:val="20"/>
              </w:rPr>
            </w:pPr>
            <w:r>
              <w:rPr>
                <w:sz w:val="2"/>
                <w:szCs w:val="2"/>
              </w:rPr>
              <w:t>​</w:t>
            </w:r>
          </w:p>
        </w:tc>
        <w:tc>
          <w:tcPr>
            <w:tcW w:w="4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5729940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468860798"/>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666057864"/>
              <w:rPr>
                <w:sz w:val="20"/>
                <w:szCs w:val="20"/>
              </w:rPr>
            </w:pPr>
            <w:r>
              <w:rPr>
                <w:sz w:val="2"/>
                <w:szCs w:val="2"/>
              </w:rPr>
              <w:t>​</w:t>
            </w:r>
          </w:p>
        </w:tc>
        <w:tc>
          <w:tcPr>
            <w:tcW w:w="4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14022622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077021064"/>
              <w:rPr>
                <w:sz w:val="20"/>
                <w:szCs w:val="20"/>
              </w:rPr>
            </w:pPr>
            <w:r>
              <w:rPr>
                <w:sz w:val="2"/>
                <w:szCs w:val="2"/>
              </w:rPr>
              <w:t>​</w:t>
            </w:r>
          </w:p>
        </w:tc>
        <w:tc>
          <w:tcPr>
            <w:tcW w:w="41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198422078"/>
              <w:rPr>
                <w:sz w:val="20"/>
                <w:szCs w:val="20"/>
              </w:rPr>
            </w:pPr>
            <w:r>
              <w:rPr>
                <w:sz w:val="2"/>
                <w:szCs w:val="2"/>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321392692"/>
              <w:rPr>
                <w:sz w:val="20"/>
                <w:szCs w:val="20"/>
              </w:rPr>
            </w:pPr>
            <w:r>
              <w:rPr>
                <w:sz w:val="2"/>
                <w:szCs w:val="2"/>
              </w:rPr>
              <w:t>​</w:t>
            </w:r>
          </w:p>
        </w:tc>
      </w:tr>
      <w:tr w:rsidR="00000000">
        <w:trPr>
          <w:divId w:val="1282808801"/>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88" w:type="pct"/>
            <w:gridSpan w:val="5"/>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xml:space="preserve">Three Months Ended </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936" w:type="pct"/>
            <w:gridSpan w:val="4"/>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r>
      <w:tr w:rsidR="00000000">
        <w:trPr>
          <w:divId w:val="1282808801"/>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88" w:type="pct"/>
            <w:gridSpan w:val="5"/>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936" w:type="pct"/>
            <w:gridSpan w:val="4"/>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Change</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r>
      <w:tr w:rsidR="00000000">
        <w:trPr>
          <w:divId w:val="1282808801"/>
        </w:trPr>
        <w:tc>
          <w:tcPr>
            <w:tcW w:w="2826"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2021</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41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r>
      <w:tr w:rsidR="00000000">
        <w:trPr>
          <w:divId w:val="1282808801"/>
        </w:trPr>
        <w:tc>
          <w:tcPr>
            <w:tcW w:w="2826"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9.5% Non-recourse notes due 2035</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(9,518</w:t>
            </w: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(9,736</w:t>
            </w: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21</w:t>
            </w:r>
            <w:r>
              <w:rPr>
                <w:sz w:val="20"/>
                <w:szCs w:val="20"/>
              </w:rPr>
              <w:t>8</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(2</w:t>
            </w:r>
            <w:r>
              <w:rPr>
                <w:sz w:val="20"/>
                <w:szCs w:val="20"/>
              </w:rPr>
              <w:t>)</w:t>
            </w:r>
          </w:p>
        </w:tc>
        <w:tc>
          <w:tcPr>
            <w:tcW w:w="14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w:t>
            </w:r>
          </w:p>
        </w:tc>
      </w:tr>
      <w:tr w:rsidR="00000000">
        <w:trPr>
          <w:divId w:val="1282808801"/>
        </w:trPr>
        <w:tc>
          <w:tcPr>
            <w:tcW w:w="2826"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3.25% Convertible senior notes due 2023</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413"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(2,137</w:t>
            </w:r>
            <w:r>
              <w:rPr>
                <w:sz w:val="20"/>
                <w:szCs w:val="20"/>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(2,137</w:t>
            </w:r>
            <w:r>
              <w:rPr>
                <w:sz w:val="20"/>
                <w:szCs w:val="20"/>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w:t>
            </w:r>
          </w:p>
        </w:tc>
        <w:tc>
          <w:tcPr>
            <w:tcW w:w="14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r w:rsidR="00000000">
        <w:trPr>
          <w:divId w:val="1282808801"/>
        </w:trPr>
        <w:tc>
          <w:tcPr>
            <w:tcW w:w="2826"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ind w:left="120"/>
              <w:rPr>
                <w:sz w:val="20"/>
                <w:szCs w:val="20"/>
              </w:rPr>
            </w:pPr>
            <w:r>
              <w:rPr>
                <w:sz w:val="20"/>
                <w:szCs w:val="20"/>
              </w:rPr>
              <w:t>Total interest expense</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(11,655</w:t>
            </w: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(11,873</w:t>
            </w: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21</w:t>
            </w:r>
            <w:r>
              <w:rPr>
                <w:sz w:val="20"/>
                <w:szCs w:val="20"/>
              </w:rPr>
              <w:t>8</w:t>
            </w:r>
          </w:p>
        </w:tc>
        <w:tc>
          <w:tcPr>
            <w:tcW w:w="5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(2</w:t>
            </w:r>
            <w:r>
              <w:rPr>
                <w:sz w:val="20"/>
                <w:szCs w:val="20"/>
              </w:rPr>
              <w:t>)</w:t>
            </w:r>
          </w:p>
        </w:tc>
        <w:tc>
          <w:tcPr>
            <w:tcW w:w="14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r>
    </w:tbl>
    <w:p w:rsidR="00000000" w:rsidRDefault="001E618F">
      <w:pPr>
        <w:pStyle w:val="a3"/>
        <w:spacing w:before="0" w:beforeAutospacing="0" w:after="0" w:afterAutospacing="0"/>
        <w:divId w:val="1282808801"/>
        <w:rPr>
          <w:sz w:val="20"/>
          <w:szCs w:val="20"/>
        </w:rPr>
      </w:pPr>
      <w:r>
        <w:rPr>
          <w:color w:val="FF0000"/>
          <w:sz w:val="20"/>
          <w:szCs w:val="20"/>
        </w:rPr>
        <w:t>​</w:t>
      </w:r>
    </w:p>
    <w:p w:rsidR="00000000" w:rsidRDefault="001E618F">
      <w:pPr>
        <w:pStyle w:val="a3"/>
        <w:spacing w:before="360" w:beforeAutospacing="0" w:after="0" w:afterAutospacing="0"/>
        <w:jc w:val="center"/>
        <w:divId w:val="418647632"/>
        <w:rPr>
          <w:sz w:val="20"/>
          <w:szCs w:val="20"/>
        </w:rPr>
      </w:pPr>
      <w:r>
        <w:rPr>
          <w:sz w:val="20"/>
          <w:szCs w:val="20"/>
        </w:rPr>
        <w:t>27</w:t>
      </w:r>
    </w:p>
    <w:p w:rsidR="00000000" w:rsidRDefault="001E618F">
      <w:pPr>
        <w:pStyle w:val="a3"/>
        <w:spacing w:before="0" w:beforeAutospacing="0" w:after="600" w:afterAutospacing="0"/>
        <w:divId w:val="1035429272"/>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ind w:firstLine="720"/>
        <w:divId w:val="1444575508"/>
        <w:rPr>
          <w:sz w:val="20"/>
          <w:szCs w:val="20"/>
        </w:rPr>
      </w:pPr>
      <w:r>
        <w:rPr>
          <w:sz w:val="20"/>
          <w:szCs w:val="20"/>
        </w:rPr>
        <w:t xml:space="preserve">Interest expense was $11.7 million in the first quarter of 2022 and was relatively unchanged compared to the same period in 2021. </w:t>
      </w:r>
    </w:p>
    <w:p w:rsidR="00000000" w:rsidRDefault="001E618F">
      <w:pPr>
        <w:pStyle w:val="a3"/>
        <w:spacing w:before="0" w:beforeAutospacing="0" w:after="0" w:afterAutospacing="0"/>
        <w:divId w:val="1444575508"/>
        <w:rPr>
          <w:sz w:val="20"/>
          <w:szCs w:val="20"/>
        </w:rPr>
      </w:pPr>
      <w:r>
        <w:rPr>
          <w:sz w:val="20"/>
          <w:szCs w:val="20"/>
        </w:rPr>
        <w:t>​</w:t>
      </w:r>
    </w:p>
    <w:p w:rsidR="00000000" w:rsidRDefault="001E618F">
      <w:pPr>
        <w:pStyle w:val="a3"/>
        <w:spacing w:before="0" w:beforeAutospacing="0" w:after="120" w:afterAutospacing="0"/>
        <w:divId w:val="1444575508"/>
        <w:rPr>
          <w:sz w:val="20"/>
          <w:szCs w:val="20"/>
        </w:rPr>
      </w:pPr>
      <w:r>
        <w:rPr>
          <w:b/>
          <w:bCs/>
          <w:i/>
          <w:iCs/>
          <w:sz w:val="20"/>
          <w:szCs w:val="20"/>
        </w:rPr>
        <w:t>Interest Income and Other Income (Expense), net</w:t>
      </w:r>
    </w:p>
    <w:p w:rsidR="00000000" w:rsidRDefault="001E618F">
      <w:pPr>
        <w:pStyle w:val="a3"/>
        <w:spacing w:before="0" w:beforeAutospacing="0" w:after="0" w:afterAutospacing="0"/>
        <w:ind w:firstLine="720"/>
        <w:divId w:val="1444575508"/>
        <w:rPr>
          <w:sz w:val="20"/>
          <w:szCs w:val="20"/>
        </w:rPr>
      </w:pPr>
      <w:r>
        <w:rPr>
          <w:sz w:val="20"/>
          <w:szCs w:val="20"/>
        </w:rPr>
        <w:t>Interest income and other income (expense), net, as compared to the comparable period in the prior year, was as follows:</w:t>
      </w:r>
    </w:p>
    <w:p w:rsidR="00000000" w:rsidRDefault="001E618F">
      <w:pPr>
        <w:pStyle w:val="a3"/>
        <w:spacing w:before="0" w:beforeAutospacing="0" w:after="0" w:afterAutospacing="0"/>
        <w:ind w:firstLine="720"/>
        <w:divId w:val="144457550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94"/>
        <w:gridCol w:w="81"/>
        <w:gridCol w:w="101"/>
        <w:gridCol w:w="686"/>
        <w:gridCol w:w="81"/>
        <w:gridCol w:w="100"/>
        <w:gridCol w:w="689"/>
        <w:gridCol w:w="81"/>
        <w:gridCol w:w="100"/>
        <w:gridCol w:w="686"/>
        <w:gridCol w:w="83"/>
        <w:gridCol w:w="687"/>
        <w:gridCol w:w="237"/>
      </w:tblGrid>
      <w:tr w:rsidR="00000000">
        <w:trPr>
          <w:divId w:val="1444575508"/>
          <w:trHeight w:val="20"/>
        </w:trPr>
        <w:tc>
          <w:tcPr>
            <w:tcW w:w="2828" w:type="pct"/>
            <w:tcMar>
              <w:top w:w="0" w:type="dxa"/>
              <w:left w:w="0" w:type="dxa"/>
              <w:bottom w:w="0" w:type="dxa"/>
              <w:right w:w="0" w:type="dxa"/>
            </w:tcMar>
            <w:vAlign w:val="bottom"/>
            <w:hideMark/>
          </w:tcPr>
          <w:p w:rsidR="00000000" w:rsidRDefault="001E618F">
            <w:pPr>
              <w:pStyle w:val="a3"/>
              <w:spacing w:before="0" w:beforeAutospacing="0" w:after="0" w:afterAutospacing="0"/>
              <w:divId w:val="318272464"/>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52785407"/>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208637529"/>
              <w:rPr>
                <w:sz w:val="20"/>
                <w:szCs w:val="20"/>
              </w:rPr>
            </w:pPr>
            <w:r>
              <w:rPr>
                <w:sz w:val="2"/>
                <w:szCs w:val="2"/>
              </w:rPr>
              <w:t>​</w:t>
            </w:r>
          </w:p>
        </w:tc>
        <w:tc>
          <w:tcPr>
            <w:tcW w:w="416"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93987025"/>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54592839"/>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884105162"/>
              <w:rPr>
                <w:sz w:val="20"/>
                <w:szCs w:val="20"/>
              </w:rPr>
            </w:pPr>
            <w:r>
              <w:rPr>
                <w:sz w:val="2"/>
                <w:szCs w:val="2"/>
              </w:rPr>
              <w:t>​</w:t>
            </w:r>
          </w:p>
        </w:tc>
        <w:tc>
          <w:tcPr>
            <w:tcW w:w="416"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045516905"/>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519314936"/>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560093135"/>
              <w:rPr>
                <w:sz w:val="20"/>
                <w:szCs w:val="20"/>
              </w:rPr>
            </w:pPr>
            <w:r>
              <w:rPr>
                <w:sz w:val="2"/>
                <w:szCs w:val="2"/>
              </w:rPr>
              <w:t>​</w:t>
            </w:r>
          </w:p>
        </w:tc>
        <w:tc>
          <w:tcPr>
            <w:tcW w:w="416"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992519834"/>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606961791"/>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92684434"/>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602612454"/>
              <w:rPr>
                <w:sz w:val="20"/>
                <w:szCs w:val="20"/>
              </w:rPr>
            </w:pPr>
            <w:r>
              <w:rPr>
                <w:sz w:val="2"/>
                <w:szCs w:val="2"/>
              </w:rPr>
              <w:t>​</w:t>
            </w:r>
          </w:p>
        </w:tc>
      </w:tr>
      <w:tr w:rsidR="00000000">
        <w:trPr>
          <w:divId w:val="1444575508"/>
        </w:trPr>
        <w:tc>
          <w:tcPr>
            <w:tcW w:w="2828"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995" w:type="pct"/>
            <w:gridSpan w:val="5"/>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xml:space="preserve">Three Months Ended </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942" w:type="pct"/>
            <w:gridSpan w:val="4"/>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126"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r>
      <w:tr w:rsidR="00000000">
        <w:trPr>
          <w:divId w:val="1444575508"/>
        </w:trPr>
        <w:tc>
          <w:tcPr>
            <w:tcW w:w="2828"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995" w:type="pct"/>
            <w:gridSpan w:val="5"/>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942" w:type="pct"/>
            <w:gridSpan w:val="4"/>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Change</w:t>
            </w:r>
          </w:p>
        </w:tc>
        <w:tc>
          <w:tcPr>
            <w:tcW w:w="126"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r>
      <w:tr w:rsidR="00000000">
        <w:trPr>
          <w:divId w:val="1444575508"/>
        </w:trPr>
        <w:tc>
          <w:tcPr>
            <w:tcW w:w="2828"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47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47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2021</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470"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w:t>
            </w:r>
          </w:p>
        </w:tc>
        <w:tc>
          <w:tcPr>
            <w:tcW w:w="54"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417"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w:t>
            </w:r>
          </w:p>
        </w:tc>
        <w:tc>
          <w:tcPr>
            <w:tcW w:w="126"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r>
      <w:tr w:rsidR="00000000">
        <w:trPr>
          <w:divId w:val="1444575508"/>
        </w:trPr>
        <w:tc>
          <w:tcPr>
            <w:tcW w:w="2828"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Interest income and other income (expense), net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(375</w:t>
            </w: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(234</w:t>
            </w: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(141</w:t>
            </w: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6</w:t>
            </w:r>
            <w:r>
              <w:rPr>
                <w:sz w:val="20"/>
                <w:szCs w:val="20"/>
              </w:rPr>
              <w:t>0</w:t>
            </w:r>
          </w:p>
        </w:tc>
        <w:tc>
          <w:tcPr>
            <w:tcW w:w="126"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w:t>
            </w:r>
          </w:p>
        </w:tc>
      </w:tr>
    </w:tbl>
    <w:p w:rsidR="00000000" w:rsidRDefault="001E618F">
      <w:pPr>
        <w:pStyle w:val="a3"/>
        <w:spacing w:before="0" w:beforeAutospacing="0" w:after="0" w:afterAutospacing="0"/>
        <w:ind w:firstLine="720"/>
        <w:divId w:val="1444575508"/>
        <w:rPr>
          <w:sz w:val="20"/>
          <w:szCs w:val="20"/>
        </w:rPr>
      </w:pPr>
      <w:r>
        <w:rPr>
          <w:sz w:val="20"/>
          <w:szCs w:val="20"/>
        </w:rPr>
        <w:t>​</w:t>
      </w:r>
    </w:p>
    <w:p w:rsidR="00000000" w:rsidRDefault="001E618F">
      <w:pPr>
        <w:pStyle w:val="a3"/>
        <w:spacing w:before="0" w:beforeAutospacing="0" w:after="0" w:afterAutospacing="0"/>
        <w:ind w:firstLine="720"/>
        <w:divId w:val="1444575508"/>
        <w:rPr>
          <w:sz w:val="20"/>
          <w:szCs w:val="20"/>
        </w:rPr>
      </w:pPr>
      <w:r>
        <w:rPr>
          <w:sz w:val="20"/>
          <w:szCs w:val="20"/>
        </w:rPr>
        <w:t>Interest income and other income (expense), net, was ($0.4) million in the first quarter of 2022 and was primarily related to foreign currency losses offset by interest income from investment balances. The increase, compared to the same period in 2021, was</w:t>
      </w:r>
      <w:r>
        <w:rPr>
          <w:sz w:val="20"/>
          <w:szCs w:val="20"/>
        </w:rPr>
        <w:t xml:space="preserve"> attributed to various miscellaneous items.</w:t>
      </w:r>
    </w:p>
    <w:p w:rsidR="00000000" w:rsidRDefault="001E618F">
      <w:pPr>
        <w:pStyle w:val="a3"/>
        <w:spacing w:before="0" w:beforeAutospacing="0" w:after="0" w:afterAutospacing="0"/>
        <w:divId w:val="1444575508"/>
        <w:rPr>
          <w:sz w:val="20"/>
          <w:szCs w:val="20"/>
        </w:rPr>
      </w:pPr>
      <w:r>
        <w:rPr>
          <w:sz w:val="20"/>
          <w:szCs w:val="20"/>
        </w:rPr>
        <w:t>​</w:t>
      </w:r>
    </w:p>
    <w:p w:rsidR="00000000" w:rsidRDefault="001E618F">
      <w:pPr>
        <w:pStyle w:val="a3"/>
        <w:spacing w:before="0" w:beforeAutospacing="0" w:after="120" w:afterAutospacing="0"/>
        <w:divId w:val="1444575508"/>
        <w:rPr>
          <w:sz w:val="20"/>
          <w:szCs w:val="20"/>
        </w:rPr>
      </w:pPr>
      <w:r>
        <w:rPr>
          <w:b/>
          <w:bCs/>
          <w:i/>
          <w:iCs/>
          <w:sz w:val="20"/>
          <w:szCs w:val="20"/>
        </w:rPr>
        <w:t>Provision for Income Tax Expense</w:t>
      </w:r>
    </w:p>
    <w:p w:rsidR="00000000" w:rsidRDefault="001E618F">
      <w:pPr>
        <w:pStyle w:val="a3"/>
        <w:spacing w:before="0" w:beforeAutospacing="0" w:after="0" w:afterAutospacing="0"/>
        <w:ind w:firstLine="720"/>
        <w:divId w:val="1444575508"/>
        <w:rPr>
          <w:sz w:val="20"/>
          <w:szCs w:val="20"/>
        </w:rPr>
      </w:pPr>
      <w:r>
        <w:rPr>
          <w:sz w:val="20"/>
          <w:szCs w:val="20"/>
        </w:rPr>
        <w:t>The provision for income tax expense, as compared to the comparable period in the prior year, was as follows:</w:t>
      </w:r>
    </w:p>
    <w:p w:rsidR="00000000" w:rsidRDefault="001E618F">
      <w:pPr>
        <w:pStyle w:val="a3"/>
        <w:spacing w:before="0" w:beforeAutospacing="0" w:after="0" w:afterAutospacing="0"/>
        <w:ind w:firstLine="720"/>
        <w:divId w:val="144457550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701"/>
        <w:gridCol w:w="91"/>
        <w:gridCol w:w="101"/>
        <w:gridCol w:w="692"/>
        <w:gridCol w:w="91"/>
        <w:gridCol w:w="100"/>
        <w:gridCol w:w="695"/>
        <w:gridCol w:w="91"/>
        <w:gridCol w:w="100"/>
        <w:gridCol w:w="692"/>
        <w:gridCol w:w="91"/>
        <w:gridCol w:w="694"/>
        <w:gridCol w:w="167"/>
      </w:tblGrid>
      <w:tr w:rsidR="00000000">
        <w:trPr>
          <w:divId w:val="1444575508"/>
          <w:trHeight w:val="20"/>
        </w:trPr>
        <w:tc>
          <w:tcPr>
            <w:tcW w:w="2830" w:type="pct"/>
            <w:tcMar>
              <w:top w:w="0" w:type="dxa"/>
              <w:left w:w="0" w:type="dxa"/>
              <w:bottom w:w="0" w:type="dxa"/>
              <w:right w:w="0" w:type="dxa"/>
            </w:tcMar>
            <w:vAlign w:val="bottom"/>
            <w:hideMark/>
          </w:tcPr>
          <w:p w:rsidR="00000000" w:rsidRDefault="001E618F">
            <w:pPr>
              <w:pStyle w:val="a3"/>
              <w:spacing w:before="0" w:beforeAutospacing="0" w:after="0" w:afterAutospacing="0"/>
              <w:divId w:val="58603912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77589767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09714668"/>
              <w:rPr>
                <w:sz w:val="20"/>
                <w:szCs w:val="20"/>
              </w:rPr>
            </w:pPr>
            <w:r>
              <w:rPr>
                <w:sz w:val="2"/>
                <w:szCs w:val="2"/>
              </w:rPr>
              <w:t>​</w:t>
            </w:r>
          </w:p>
        </w:tc>
        <w:tc>
          <w:tcPr>
            <w:tcW w:w="419"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67148940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41092801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090659577"/>
              <w:rPr>
                <w:sz w:val="20"/>
                <w:szCs w:val="20"/>
              </w:rPr>
            </w:pPr>
            <w:r>
              <w:rPr>
                <w:sz w:val="2"/>
                <w:szCs w:val="2"/>
              </w:rPr>
              <w:t>​</w:t>
            </w:r>
          </w:p>
        </w:tc>
        <w:tc>
          <w:tcPr>
            <w:tcW w:w="419"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47694692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77918483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374307056"/>
              <w:rPr>
                <w:sz w:val="20"/>
                <w:szCs w:val="20"/>
              </w:rPr>
            </w:pPr>
            <w:r>
              <w:rPr>
                <w:sz w:val="2"/>
                <w:szCs w:val="2"/>
              </w:rPr>
              <w:t>​</w:t>
            </w:r>
          </w:p>
        </w:tc>
        <w:tc>
          <w:tcPr>
            <w:tcW w:w="419"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63363008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392239369"/>
              <w:rPr>
                <w:sz w:val="20"/>
                <w:szCs w:val="20"/>
              </w:rPr>
            </w:pPr>
            <w:r>
              <w:rPr>
                <w:sz w:val="2"/>
                <w:szCs w:val="2"/>
              </w:rPr>
              <w:t>​</w:t>
            </w:r>
          </w:p>
        </w:tc>
        <w:tc>
          <w:tcPr>
            <w:tcW w:w="419"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115751591"/>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477843015"/>
              <w:rPr>
                <w:sz w:val="20"/>
                <w:szCs w:val="20"/>
              </w:rPr>
            </w:pPr>
            <w:r>
              <w:rPr>
                <w:sz w:val="2"/>
                <w:szCs w:val="2"/>
              </w:rPr>
              <w:t>​</w:t>
            </w:r>
          </w:p>
        </w:tc>
      </w:tr>
      <w:tr w:rsidR="00000000">
        <w:trPr>
          <w:divId w:val="1444575508"/>
        </w:trPr>
        <w:tc>
          <w:tcPr>
            <w:tcW w:w="283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011" w:type="pct"/>
            <w:gridSpan w:val="5"/>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xml:space="preserve">Three Months Ended </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53" w:type="pct"/>
            <w:gridSpan w:val="4"/>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r>
      <w:tr w:rsidR="00000000">
        <w:trPr>
          <w:divId w:val="1444575508"/>
        </w:trPr>
        <w:tc>
          <w:tcPr>
            <w:tcW w:w="2830"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011" w:type="pct"/>
            <w:gridSpan w:val="5"/>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March 31, </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953" w:type="pct"/>
            <w:gridSpan w:val="4"/>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Change</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r>
      <w:tr w:rsidR="00000000">
        <w:trPr>
          <w:divId w:val="1444575508"/>
        </w:trPr>
        <w:tc>
          <w:tcPr>
            <w:tcW w:w="2830"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76"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76"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2021</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76"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w:t>
            </w:r>
          </w:p>
        </w:tc>
        <w:tc>
          <w:tcPr>
            <w:tcW w:w="57"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19" w:type="pct"/>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w:t>
            </w:r>
          </w:p>
        </w:tc>
        <w:tc>
          <w:tcPr>
            <w:tcW w:w="8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r>
      <w:tr w:rsidR="00000000">
        <w:trPr>
          <w:divId w:val="1444575508"/>
        </w:trPr>
        <w:tc>
          <w:tcPr>
            <w:tcW w:w="2830"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Provision for income tax expense</w:t>
            </w:r>
          </w:p>
        </w:tc>
        <w:tc>
          <w:tcPr>
            <w:tcW w:w="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9"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(524</w:t>
            </w: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9"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(227</w:t>
            </w: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9"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(297</w:t>
            </w: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19"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13</w:t>
            </w:r>
            <w:r>
              <w:rPr>
                <w:sz w:val="20"/>
                <w:szCs w:val="20"/>
              </w:rPr>
              <w:t>1</w:t>
            </w:r>
          </w:p>
        </w:tc>
        <w:tc>
          <w:tcPr>
            <w:tcW w:w="89"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r>
    </w:tbl>
    <w:p w:rsidR="00000000" w:rsidRDefault="001E618F">
      <w:pPr>
        <w:pStyle w:val="a3"/>
        <w:spacing w:before="0" w:beforeAutospacing="0" w:after="0" w:afterAutospacing="0"/>
        <w:divId w:val="1444575508"/>
        <w:rPr>
          <w:sz w:val="20"/>
          <w:szCs w:val="20"/>
        </w:rPr>
      </w:pPr>
      <w:r>
        <w:rPr>
          <w:sz w:val="20"/>
          <w:szCs w:val="20"/>
        </w:rPr>
        <w:t>​</w:t>
      </w:r>
    </w:p>
    <w:p w:rsidR="00000000" w:rsidRDefault="001E618F">
      <w:pPr>
        <w:pStyle w:val="a3"/>
        <w:spacing w:before="0" w:beforeAutospacing="0" w:after="0" w:afterAutospacing="0"/>
        <w:ind w:firstLine="720"/>
        <w:divId w:val="1444575508"/>
        <w:rPr>
          <w:sz w:val="20"/>
          <w:szCs w:val="20"/>
        </w:rPr>
      </w:pPr>
      <w:r>
        <w:rPr>
          <w:sz w:val="20"/>
          <w:szCs w:val="20"/>
        </w:rPr>
        <w:t>In the first quarter of 2022, the provision for income tax expense increased $0.3 million compared to the same period in 2021. Although we incurred operating losses on a consolidated basis, the provision for income taxes was due to the uncertain tax positi</w:t>
      </w:r>
      <w:r>
        <w:rPr>
          <w:sz w:val="20"/>
          <w:szCs w:val="20"/>
        </w:rPr>
        <w:t>on taken with respect to transfer pricing. Our provision for income tax expense differs from the expected statutory rate due to the valuation allowance on the deferred tax assets.</w:t>
      </w:r>
    </w:p>
    <w:p w:rsidR="00000000" w:rsidRDefault="001E618F">
      <w:pPr>
        <w:pStyle w:val="a3"/>
        <w:spacing w:before="0" w:beforeAutospacing="0" w:after="0" w:afterAutospacing="0"/>
        <w:ind w:firstLine="720"/>
        <w:divId w:val="1444575508"/>
        <w:rPr>
          <w:sz w:val="20"/>
          <w:szCs w:val="20"/>
        </w:rPr>
      </w:pPr>
      <w:r>
        <w:rPr>
          <w:sz w:val="20"/>
          <w:szCs w:val="20"/>
        </w:rPr>
        <w:t>​</w:t>
      </w:r>
    </w:p>
    <w:p w:rsidR="00000000" w:rsidRDefault="001E618F">
      <w:pPr>
        <w:pStyle w:val="a3"/>
        <w:spacing w:before="0" w:beforeAutospacing="0" w:after="0" w:afterAutospacing="0"/>
        <w:ind w:firstLine="720"/>
        <w:divId w:val="1444575508"/>
        <w:rPr>
          <w:sz w:val="20"/>
          <w:szCs w:val="20"/>
        </w:rPr>
      </w:pPr>
      <w:r>
        <w:rPr>
          <w:sz w:val="20"/>
          <w:szCs w:val="20"/>
        </w:rPr>
        <w:t>We are currently under Internal Revenue Service (“IRS”) examination for th</w:t>
      </w:r>
      <w:r>
        <w:rPr>
          <w:sz w:val="20"/>
          <w:szCs w:val="20"/>
        </w:rPr>
        <w:t>e tax year ended December 31, 2018. We believe that an adequate provision has been made for any adjustments that may result from the tax examination.</w:t>
      </w:r>
    </w:p>
    <w:p w:rsidR="00000000" w:rsidRDefault="001E618F">
      <w:pPr>
        <w:pStyle w:val="a3"/>
        <w:spacing w:before="0" w:beforeAutospacing="0" w:after="0" w:afterAutospacing="0"/>
        <w:divId w:val="1444575508"/>
        <w:rPr>
          <w:sz w:val="20"/>
          <w:szCs w:val="20"/>
        </w:rPr>
      </w:pPr>
      <w:r>
        <w:rPr>
          <w:color w:val="FF0000"/>
          <w:sz w:val="20"/>
          <w:szCs w:val="20"/>
        </w:rPr>
        <w:t>​</w:t>
      </w:r>
    </w:p>
    <w:p w:rsidR="00000000" w:rsidRDefault="001E618F">
      <w:pPr>
        <w:pStyle w:val="a3"/>
        <w:spacing w:before="0" w:beforeAutospacing="0" w:after="120" w:afterAutospacing="0"/>
        <w:divId w:val="1444575508"/>
        <w:rPr>
          <w:sz w:val="20"/>
          <w:szCs w:val="20"/>
        </w:rPr>
      </w:pPr>
      <w:r>
        <w:rPr>
          <w:b/>
          <w:bCs/>
          <w:sz w:val="20"/>
          <w:szCs w:val="20"/>
        </w:rPr>
        <w:t>Liquidity and Capital Resources</w:t>
      </w:r>
    </w:p>
    <w:p w:rsidR="00000000" w:rsidRDefault="001E618F">
      <w:pPr>
        <w:pStyle w:val="a3"/>
        <w:spacing w:before="0" w:beforeAutospacing="0" w:after="0" w:afterAutospacing="0"/>
        <w:ind w:firstLine="720"/>
        <w:divId w:val="1444575508"/>
        <w:rPr>
          <w:sz w:val="20"/>
          <w:szCs w:val="20"/>
        </w:rPr>
      </w:pPr>
      <w:r>
        <w:rPr>
          <w:sz w:val="20"/>
          <w:szCs w:val="20"/>
        </w:rPr>
        <w:t xml:space="preserve">As of March 31, 2022, we had approximately $147.5 million in cash, cash </w:t>
      </w:r>
      <w:r>
        <w:rPr>
          <w:sz w:val="20"/>
          <w:szCs w:val="20"/>
        </w:rPr>
        <w:t>equivalents, and investments in marketable securities (excluding restricted cash). To date, we have financed our operations primarily through public offerings of equity securities, private placements of equity and debt, revenue from collaboration and licen</w:t>
      </w:r>
      <w:r>
        <w:rPr>
          <w:sz w:val="20"/>
          <w:szCs w:val="20"/>
        </w:rPr>
        <w:t xml:space="preserve">sing arrangements and, to a lesser extent, revenue from product sales. As of March 31, 2022, we had outstanding (i) $230.0 million in principal Convertible Senior 2023 Notes and (ii) $397.3 million in principal Non-Recourse 2035 Notes which are stated net </w:t>
      </w:r>
      <w:r>
        <w:rPr>
          <w:sz w:val="20"/>
          <w:szCs w:val="20"/>
        </w:rPr>
        <w:t xml:space="preserve">of a 5.0% retention by us in compliance with Regulation RR — Credit Risk Retention (17 C.F.R. Part 246). </w:t>
      </w:r>
    </w:p>
    <w:p w:rsidR="00000000" w:rsidRDefault="001E618F">
      <w:pPr>
        <w:pStyle w:val="a3"/>
        <w:spacing w:before="0" w:beforeAutospacing="0" w:after="0" w:afterAutospacing="0"/>
        <w:divId w:val="1444575508"/>
        <w:rPr>
          <w:sz w:val="20"/>
          <w:szCs w:val="20"/>
        </w:rPr>
      </w:pPr>
      <w:r>
        <w:rPr>
          <w:sz w:val="20"/>
          <w:szCs w:val="20"/>
        </w:rPr>
        <w:t>​</w:t>
      </w:r>
    </w:p>
    <w:p w:rsidR="00000000" w:rsidRDefault="001E618F">
      <w:pPr>
        <w:pStyle w:val="a3"/>
        <w:spacing w:before="0" w:beforeAutospacing="0" w:after="0" w:afterAutospacing="0"/>
        <w:ind w:firstLine="720"/>
        <w:divId w:val="1444575508"/>
        <w:rPr>
          <w:sz w:val="20"/>
          <w:szCs w:val="20"/>
        </w:rPr>
      </w:pPr>
      <w:r>
        <w:rPr>
          <w:sz w:val="20"/>
          <w:szCs w:val="20"/>
        </w:rPr>
        <w:t>The Non-Recourse 2035 Notes were issued on February 28, 2020 and are secured by all of the Triple Royalty Sub II LLC’s (the “Issuer II”) rights, title, and interest as a holder of the Issuer II Class C Units in TRC. The primary source of funds to make paym</w:t>
      </w:r>
      <w:r>
        <w:rPr>
          <w:sz w:val="20"/>
          <w:szCs w:val="20"/>
        </w:rPr>
        <w:t>ents on the Non-Recourse 2035 Notes is the 63.75% economic interest of the Issuer (evidenced by the Issuer II Class C Units) in any future payments that may be made by GSK to TRC under the strategic alliance agreement and under the portion of the collabora</w:t>
      </w:r>
      <w:r>
        <w:rPr>
          <w:sz w:val="20"/>
          <w:szCs w:val="20"/>
        </w:rPr>
        <w:t>tion agreement assigned to TRC by Innoviva (net of TRC expenses paid and the amount of cash, if any, expected to be used by TRC pursuant to the TRC LLC Agreement over the next four fiscal quarters) relating to the GSK-Partnered Respiratory Programs, includ</w:t>
      </w:r>
      <w:r>
        <w:rPr>
          <w:sz w:val="20"/>
          <w:szCs w:val="20"/>
        </w:rPr>
        <w:t xml:space="preserve">ing the </w:t>
      </w:r>
      <w:r>
        <w:rPr>
          <w:caps/>
          <w:sz w:val="20"/>
          <w:szCs w:val="20"/>
        </w:rPr>
        <w:t xml:space="preserve">Trelegy </w:t>
      </w:r>
      <w:r>
        <w:rPr>
          <w:sz w:val="20"/>
          <w:szCs w:val="20"/>
        </w:rPr>
        <w:t>program. As a result, the holders of the Non-Recourse 2035 Notes have no recourse against Theravance Biopharma even if the TRELEGY payments are insufficient to cover the principal and interest payments for the Non-Recourse 2035 Notes. Prior</w:t>
      </w:r>
      <w:r>
        <w:rPr>
          <w:sz w:val="20"/>
          <w:szCs w:val="20"/>
        </w:rPr>
        <w:t xml:space="preserve"> to and including the December 5, 2024 payment date, in the event that the distributions received by the Issuer II from TRC in a quarter is less than the interest accrued for that quarter, the principal amount of the Non-Recourse 2035 Notes will increase b</w:t>
      </w:r>
      <w:r>
        <w:rPr>
          <w:sz w:val="20"/>
          <w:szCs w:val="20"/>
        </w:rPr>
        <w:t>y the interest shortfall amount for that quarter. While the holders of the Non-Recourse 2035 Notes have no recourse against Theravance Biopharma, the terms of the Non-Recourse 2035 Notes also provide that Theravance Biopharma, at its option, may satisfy th</w:t>
      </w:r>
      <w:r>
        <w:rPr>
          <w:sz w:val="20"/>
          <w:szCs w:val="20"/>
        </w:rPr>
        <w:t>e quarterly interest payment obligations by making a capital contribution to the Issuer II.</w:t>
      </w:r>
    </w:p>
    <w:p w:rsidR="00000000" w:rsidRDefault="001E618F">
      <w:pPr>
        <w:pStyle w:val="a3"/>
        <w:spacing w:before="360" w:beforeAutospacing="0" w:after="0" w:afterAutospacing="0"/>
        <w:jc w:val="center"/>
        <w:divId w:val="396590982"/>
        <w:rPr>
          <w:sz w:val="20"/>
          <w:szCs w:val="20"/>
        </w:rPr>
      </w:pPr>
      <w:r>
        <w:rPr>
          <w:sz w:val="20"/>
          <w:szCs w:val="20"/>
        </w:rPr>
        <w:t>28</w:t>
      </w:r>
    </w:p>
    <w:p w:rsidR="00000000" w:rsidRDefault="001E618F">
      <w:pPr>
        <w:pStyle w:val="a3"/>
        <w:spacing w:before="0" w:beforeAutospacing="0" w:after="600" w:afterAutospacing="0"/>
        <w:divId w:val="1397778919"/>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ind w:firstLine="720"/>
        <w:divId w:val="2059741161"/>
        <w:rPr>
          <w:sz w:val="20"/>
          <w:szCs w:val="20"/>
        </w:rPr>
      </w:pPr>
      <w:r>
        <w:rPr>
          <w:sz w:val="20"/>
          <w:szCs w:val="20"/>
        </w:rPr>
        <w:t>​</w:t>
      </w:r>
    </w:p>
    <w:p w:rsidR="00000000" w:rsidRDefault="001E618F">
      <w:pPr>
        <w:pStyle w:val="a3"/>
        <w:spacing w:before="0" w:beforeAutospacing="0" w:after="0" w:afterAutospacing="0"/>
        <w:ind w:firstLine="720"/>
        <w:divId w:val="2059741161"/>
        <w:rPr>
          <w:sz w:val="20"/>
          <w:szCs w:val="20"/>
        </w:rPr>
      </w:pPr>
      <w:r>
        <w:rPr>
          <w:sz w:val="20"/>
          <w:szCs w:val="20"/>
        </w:rPr>
        <w:t>A portion of the proceeds from the Non-Recourse 2035 Notes issuance were used to repay, in full, the remaining outstanding balance of the Non-Recourse 2033 Notes, as well as, a 5% premium on the early redemption of the Non-Recourse 2033 Notes. The Non-Reco</w:t>
      </w:r>
      <w:r>
        <w:rPr>
          <w:sz w:val="20"/>
          <w:szCs w:val="20"/>
        </w:rPr>
        <w:t xml:space="preserve">urse 2033 Notes were issued in November 2018 and were structured similarly to the Non-Recourse 2035 Notes. </w:t>
      </w:r>
    </w:p>
    <w:p w:rsidR="00000000" w:rsidRDefault="001E618F">
      <w:pPr>
        <w:pStyle w:val="a3"/>
        <w:spacing w:before="0" w:beforeAutospacing="0" w:after="0" w:afterAutospacing="0"/>
        <w:divId w:val="2059741161"/>
        <w:rPr>
          <w:sz w:val="20"/>
          <w:szCs w:val="20"/>
        </w:rPr>
      </w:pPr>
      <w:r>
        <w:rPr>
          <w:sz w:val="20"/>
          <w:szCs w:val="20"/>
        </w:rPr>
        <w:t>​</w:t>
      </w:r>
    </w:p>
    <w:p w:rsidR="00000000" w:rsidRDefault="001E618F">
      <w:pPr>
        <w:pStyle w:val="a3"/>
        <w:spacing w:before="0" w:beforeAutospacing="0" w:after="120" w:afterAutospacing="0"/>
        <w:divId w:val="2059741161"/>
        <w:rPr>
          <w:sz w:val="20"/>
          <w:szCs w:val="20"/>
        </w:rPr>
      </w:pPr>
      <w:r>
        <w:rPr>
          <w:i/>
          <w:iCs/>
          <w:sz w:val="20"/>
          <w:szCs w:val="20"/>
        </w:rPr>
        <w:t>Corporate Restructuring</w:t>
      </w:r>
    </w:p>
    <w:p w:rsidR="00000000" w:rsidRDefault="001E618F">
      <w:pPr>
        <w:pStyle w:val="a3"/>
        <w:spacing w:before="0" w:beforeAutospacing="0" w:after="0" w:afterAutospacing="0"/>
        <w:ind w:firstLine="720"/>
        <w:divId w:val="2059741161"/>
        <w:rPr>
          <w:sz w:val="20"/>
          <w:szCs w:val="20"/>
        </w:rPr>
      </w:pPr>
      <w:r>
        <w:rPr>
          <w:sz w:val="20"/>
          <w:szCs w:val="20"/>
        </w:rPr>
        <w:t>As previously announced in September 2021, our board of directors approved a corporate restructuring plan (the “Restructur</w:t>
      </w:r>
      <w:r>
        <w:rPr>
          <w:sz w:val="20"/>
          <w:szCs w:val="20"/>
        </w:rPr>
        <w:t xml:space="preserve">ing”) to focus our resources on our most promising respiratory programs and reduce the size of the Company in order to maximize shareholder value. We executed the plan and reduced headcount by approximately 75% by the end of February 2022. </w:t>
      </w:r>
    </w:p>
    <w:p w:rsidR="00000000" w:rsidRDefault="001E618F">
      <w:pPr>
        <w:pStyle w:val="a3"/>
        <w:spacing w:before="0" w:beforeAutospacing="0" w:after="0" w:afterAutospacing="0"/>
        <w:ind w:firstLine="720"/>
        <w:divId w:val="2059741161"/>
        <w:rPr>
          <w:sz w:val="20"/>
          <w:szCs w:val="20"/>
        </w:rPr>
      </w:pPr>
      <w:r>
        <w:rPr>
          <w:sz w:val="20"/>
          <w:szCs w:val="20"/>
        </w:rPr>
        <w:t>​</w:t>
      </w:r>
    </w:p>
    <w:p w:rsidR="00000000" w:rsidRDefault="001E618F">
      <w:pPr>
        <w:pStyle w:val="a3"/>
        <w:spacing w:before="0" w:beforeAutospacing="0" w:after="0" w:afterAutospacing="0"/>
        <w:ind w:firstLine="720"/>
        <w:divId w:val="2059741161"/>
        <w:rPr>
          <w:sz w:val="20"/>
          <w:szCs w:val="20"/>
        </w:rPr>
      </w:pPr>
      <w:r>
        <w:rPr>
          <w:sz w:val="20"/>
          <w:szCs w:val="20"/>
        </w:rPr>
        <w:t>Since the Res</w:t>
      </w:r>
      <w:r>
        <w:rPr>
          <w:sz w:val="20"/>
          <w:szCs w:val="20"/>
        </w:rPr>
        <w:t>tructuring was announced, we incurred $29.5 million in Restructuring and related expenses through the first quarter of 2022, and we expect to recognize the remaining Restructuring and related expenses of approximately $3.5 million, comprised of $0.8 millio</w:t>
      </w:r>
      <w:r>
        <w:rPr>
          <w:sz w:val="20"/>
          <w:szCs w:val="20"/>
        </w:rPr>
        <w:t xml:space="preserve">n in cash-related expenses and $2.7 million in non-cash expenses, by the third quarter of 2022. The remaining Restructuring expense estimates are subject to a number of assumptions, and actual final amounts may differ. As a result of the Restructuring, we </w:t>
      </w:r>
      <w:r>
        <w:rPr>
          <w:sz w:val="20"/>
          <w:szCs w:val="20"/>
        </w:rPr>
        <w:t>plan to become sustainably cash flow positive beginning in the second half of 2022, and going forward on an annual basis, primarily achieved through our reduced cash expenditures in light of the Restructuring and the focus on our respiratory assets.</w:t>
      </w:r>
    </w:p>
    <w:p w:rsidR="00000000" w:rsidRDefault="001E618F">
      <w:pPr>
        <w:pStyle w:val="a3"/>
        <w:spacing w:before="0" w:beforeAutospacing="0" w:after="0" w:afterAutospacing="0"/>
        <w:ind w:firstLine="720"/>
        <w:divId w:val="2059741161"/>
        <w:rPr>
          <w:sz w:val="20"/>
          <w:szCs w:val="20"/>
        </w:rPr>
      </w:pPr>
      <w:r>
        <w:rPr>
          <w:sz w:val="20"/>
          <w:szCs w:val="20"/>
        </w:rPr>
        <w:t>​</w:t>
      </w:r>
    </w:p>
    <w:p w:rsidR="00000000" w:rsidRDefault="001E618F">
      <w:pPr>
        <w:pStyle w:val="a3"/>
        <w:spacing w:before="0" w:beforeAutospacing="0" w:after="0" w:afterAutospacing="0"/>
        <w:ind w:firstLine="720"/>
        <w:divId w:val="2059741161"/>
        <w:rPr>
          <w:sz w:val="20"/>
          <w:szCs w:val="20"/>
        </w:rPr>
      </w:pPr>
      <w:r>
        <w:rPr>
          <w:sz w:val="20"/>
          <w:szCs w:val="20"/>
        </w:rPr>
        <w:t>Desp</w:t>
      </w:r>
      <w:r>
        <w:rPr>
          <w:sz w:val="20"/>
          <w:szCs w:val="20"/>
        </w:rPr>
        <w:t>ite expected expense savings from the Restructuring, we may continue to incur net losses over the next several years</w:t>
      </w:r>
      <w:r>
        <w:rPr>
          <w:b/>
          <w:bCs/>
          <w:sz w:val="20"/>
          <w:szCs w:val="20"/>
        </w:rPr>
        <w:t xml:space="preserve"> </w:t>
      </w:r>
      <w:r>
        <w:rPr>
          <w:sz w:val="20"/>
          <w:szCs w:val="20"/>
        </w:rPr>
        <w:t>due to expenditures relating to our continuing drug discovery efforts and preclinical and clinical development of our current product candi</w:t>
      </w:r>
      <w:r>
        <w:rPr>
          <w:sz w:val="20"/>
          <w:szCs w:val="20"/>
        </w:rPr>
        <w:t>dates. In particular, to the extent we advance our respiratory product candidates into and through later-stage clinical studies without a partner, we may incur substantial expenses. In addition, we may invest strategically in our research efforts to contin</w:t>
      </w:r>
      <w:r>
        <w:rPr>
          <w:sz w:val="20"/>
          <w:szCs w:val="20"/>
        </w:rPr>
        <w:t xml:space="preserve">ue to grow our respiratory development pipeline. In the past, we have received a number of significant payments from collaboration agreements and other significant transactions. In the future, we may continue to receive potential substantial payments from </w:t>
      </w:r>
      <w:r>
        <w:rPr>
          <w:sz w:val="20"/>
          <w:szCs w:val="20"/>
        </w:rPr>
        <w:t>future collaboration transactions if the drug candidates in our pipeline achieve positive clinical or regulatory outcomes or if our product candidates are approved and meet certain milestones.</w:t>
      </w:r>
    </w:p>
    <w:p w:rsidR="00000000" w:rsidRDefault="001E618F">
      <w:pPr>
        <w:pStyle w:val="a3"/>
        <w:spacing w:before="0" w:beforeAutospacing="0" w:after="0" w:afterAutospacing="0"/>
        <w:ind w:firstLine="720"/>
        <w:divId w:val="2059741161"/>
        <w:rPr>
          <w:sz w:val="20"/>
          <w:szCs w:val="20"/>
        </w:rPr>
      </w:pPr>
      <w:r>
        <w:rPr>
          <w:sz w:val="20"/>
          <w:szCs w:val="20"/>
        </w:rPr>
        <w:t>​</w:t>
      </w:r>
    </w:p>
    <w:p w:rsidR="00000000" w:rsidRDefault="001E618F">
      <w:pPr>
        <w:pStyle w:val="a3"/>
        <w:spacing w:before="0" w:beforeAutospacing="0" w:after="0" w:afterAutospacing="0"/>
        <w:ind w:firstLine="720"/>
        <w:divId w:val="2059741161"/>
        <w:rPr>
          <w:sz w:val="20"/>
          <w:szCs w:val="20"/>
        </w:rPr>
      </w:pPr>
      <w:r>
        <w:rPr>
          <w:sz w:val="20"/>
          <w:szCs w:val="20"/>
        </w:rPr>
        <w:t>Our new strategic business plan is subject to significant unc</w:t>
      </w:r>
      <w:r>
        <w:rPr>
          <w:sz w:val="20"/>
          <w:szCs w:val="20"/>
        </w:rPr>
        <w:t>ertainties and risks as a result of, among other factors, the COVID-19 pandemic, clinical program outcomes, whether, when and on what terms we are able to enter into new collaboration arrangements, expenses being higher than anticipated, the sales levels o</w:t>
      </w:r>
      <w:r>
        <w:rPr>
          <w:sz w:val="20"/>
          <w:szCs w:val="20"/>
        </w:rPr>
        <w:t>f our approved products, unplanned expenses, cash receipts being lower than anticipated, and the need to satisfy contingent liabilities, including litigation matters and indemnification obligations.</w:t>
      </w:r>
    </w:p>
    <w:p w:rsidR="00000000" w:rsidRDefault="001E618F">
      <w:pPr>
        <w:pStyle w:val="a3"/>
        <w:spacing w:before="0" w:beforeAutospacing="0" w:after="0" w:afterAutospacing="0"/>
        <w:divId w:val="2059741161"/>
        <w:rPr>
          <w:sz w:val="20"/>
          <w:szCs w:val="20"/>
        </w:rPr>
      </w:pPr>
      <w:r>
        <w:rPr>
          <w:sz w:val="20"/>
          <w:szCs w:val="20"/>
        </w:rPr>
        <w:t>​</w:t>
      </w:r>
    </w:p>
    <w:p w:rsidR="00000000" w:rsidRDefault="001E618F">
      <w:pPr>
        <w:pStyle w:val="a3"/>
        <w:spacing w:before="0" w:beforeAutospacing="0" w:after="120" w:afterAutospacing="0"/>
        <w:divId w:val="2059741161"/>
        <w:rPr>
          <w:sz w:val="20"/>
          <w:szCs w:val="20"/>
        </w:rPr>
      </w:pPr>
      <w:r>
        <w:rPr>
          <w:i/>
          <w:iCs/>
          <w:sz w:val="20"/>
          <w:szCs w:val="20"/>
        </w:rPr>
        <w:t>Adequacy of cash resources to meet future needs</w:t>
      </w:r>
    </w:p>
    <w:p w:rsidR="00000000" w:rsidRDefault="001E618F">
      <w:pPr>
        <w:pStyle w:val="a3"/>
        <w:spacing w:before="0" w:beforeAutospacing="0" w:after="0" w:afterAutospacing="0"/>
        <w:ind w:firstLine="720"/>
        <w:divId w:val="2059741161"/>
        <w:rPr>
          <w:sz w:val="20"/>
          <w:szCs w:val="20"/>
        </w:rPr>
      </w:pPr>
      <w:r>
        <w:rPr>
          <w:sz w:val="20"/>
          <w:szCs w:val="20"/>
        </w:rPr>
        <w:t>We expe</w:t>
      </w:r>
      <w:r>
        <w:rPr>
          <w:sz w:val="20"/>
          <w:szCs w:val="20"/>
        </w:rPr>
        <w:t>ct our cash, cash equivalents and marketable securities will be sufficient to fund our operations for at least the next twelve months from the issuance date of these condensed consolidated financial statements based on current operating plans and financial</w:t>
      </w:r>
      <w:r>
        <w:rPr>
          <w:sz w:val="20"/>
          <w:szCs w:val="20"/>
        </w:rPr>
        <w:t xml:space="preserve"> forecasts. </w:t>
      </w:r>
    </w:p>
    <w:p w:rsidR="00000000" w:rsidRDefault="001E618F">
      <w:pPr>
        <w:pStyle w:val="a3"/>
        <w:spacing w:before="0" w:beforeAutospacing="0" w:after="0" w:afterAutospacing="0"/>
        <w:ind w:firstLine="720"/>
        <w:divId w:val="2059741161"/>
        <w:rPr>
          <w:sz w:val="20"/>
          <w:szCs w:val="20"/>
        </w:rPr>
      </w:pPr>
      <w:r>
        <w:rPr>
          <w:color w:val="FF0000"/>
          <w:sz w:val="20"/>
          <w:szCs w:val="20"/>
        </w:rPr>
        <w:t>​</w:t>
      </w:r>
    </w:p>
    <w:p w:rsidR="00000000" w:rsidRDefault="001E618F">
      <w:pPr>
        <w:pStyle w:val="a3"/>
        <w:spacing w:before="0" w:beforeAutospacing="0" w:after="0" w:afterAutospacing="0"/>
        <w:ind w:firstLine="720"/>
        <w:divId w:val="2059741161"/>
        <w:rPr>
          <w:sz w:val="20"/>
          <w:szCs w:val="20"/>
        </w:rPr>
      </w:pPr>
      <w:r>
        <w:rPr>
          <w:sz w:val="20"/>
          <w:szCs w:val="20"/>
        </w:rPr>
        <w:t>We may seek to obtain additional financing in the form of public or private equity offerings, debt financing or additional collaborations and licensing arrangements. However, future financing may not be available in amounts or on terms accep</w:t>
      </w:r>
      <w:r>
        <w:rPr>
          <w:sz w:val="20"/>
          <w:szCs w:val="20"/>
        </w:rPr>
        <w:t>table to us.</w:t>
      </w:r>
    </w:p>
    <w:p w:rsidR="00000000" w:rsidRDefault="001E618F">
      <w:pPr>
        <w:pStyle w:val="a3"/>
        <w:spacing w:before="0" w:beforeAutospacing="0" w:after="0" w:afterAutospacing="0"/>
        <w:divId w:val="2059741161"/>
        <w:rPr>
          <w:sz w:val="20"/>
          <w:szCs w:val="20"/>
        </w:rPr>
      </w:pPr>
      <w:r>
        <w:rPr>
          <w:sz w:val="20"/>
          <w:szCs w:val="20"/>
        </w:rPr>
        <w:t>​</w:t>
      </w:r>
    </w:p>
    <w:p w:rsidR="00000000" w:rsidRDefault="001E618F">
      <w:pPr>
        <w:pStyle w:val="a3"/>
        <w:spacing w:before="0" w:beforeAutospacing="0" w:after="0" w:afterAutospacing="0"/>
        <w:ind w:firstLine="720"/>
        <w:divId w:val="2059741161"/>
        <w:rPr>
          <w:sz w:val="20"/>
          <w:szCs w:val="20"/>
        </w:rPr>
      </w:pPr>
      <w:r>
        <w:rPr>
          <w:sz w:val="20"/>
          <w:szCs w:val="20"/>
        </w:rPr>
        <w:t>Without adequate financial resources to fund our expected future operations, we may be required to relinquish rights to our technologies, product candidates or territories, or grant licenses on terms that are not favorable to us, in order to</w:t>
      </w:r>
      <w:r>
        <w:rPr>
          <w:sz w:val="20"/>
          <w:szCs w:val="20"/>
        </w:rPr>
        <w:t xml:space="preserve"> raise additional funds through collaborations or licensing arrangements. We may also have to sequence preclinical and clinical studies as opposed to conducting them concomitantly in order to conserve resources, or, as we announced in September 2021, we ma</w:t>
      </w:r>
      <w:r>
        <w:rPr>
          <w:sz w:val="20"/>
          <w:szCs w:val="20"/>
        </w:rPr>
        <w:t>y need to delay, reduce, or eliminate one or more of our research or development programs and reduce overall overhead expenses. In addition, we may have to make reductions in our workforce and may be prevented from continuing our discovery, development and</w:t>
      </w:r>
      <w:r>
        <w:rPr>
          <w:sz w:val="20"/>
          <w:szCs w:val="20"/>
        </w:rPr>
        <w:t xml:space="preserve"> commercialization efforts and exploiting other corporate opportunities.</w:t>
      </w:r>
    </w:p>
    <w:p w:rsidR="00000000" w:rsidRDefault="001E618F">
      <w:pPr>
        <w:pStyle w:val="a3"/>
        <w:spacing w:before="0" w:beforeAutospacing="0" w:after="0" w:afterAutospacing="0"/>
        <w:divId w:val="2059741161"/>
        <w:rPr>
          <w:sz w:val="20"/>
          <w:szCs w:val="20"/>
        </w:rPr>
      </w:pPr>
      <w:r>
        <w:rPr>
          <w:sz w:val="20"/>
          <w:szCs w:val="20"/>
        </w:rPr>
        <w:t>​</w:t>
      </w:r>
    </w:p>
    <w:p w:rsidR="00000000" w:rsidRDefault="001E618F">
      <w:pPr>
        <w:pStyle w:val="a3"/>
        <w:spacing w:before="360" w:beforeAutospacing="0" w:after="0" w:afterAutospacing="0"/>
        <w:jc w:val="center"/>
        <w:divId w:val="946737405"/>
        <w:rPr>
          <w:sz w:val="20"/>
          <w:szCs w:val="20"/>
        </w:rPr>
      </w:pPr>
      <w:r>
        <w:rPr>
          <w:sz w:val="20"/>
          <w:szCs w:val="20"/>
        </w:rPr>
        <w:t>29</w:t>
      </w:r>
    </w:p>
    <w:p w:rsidR="00000000" w:rsidRDefault="001E618F">
      <w:pPr>
        <w:pStyle w:val="a3"/>
        <w:spacing w:before="0" w:beforeAutospacing="0" w:after="600" w:afterAutospacing="0"/>
        <w:divId w:val="98182407"/>
        <w:rPr>
          <w:sz w:val="20"/>
          <w:szCs w:val="20"/>
        </w:rPr>
      </w:pPr>
      <w:hyperlink w:anchor="TOC" w:history="1">
        <w:r>
          <w:rPr>
            <w:rStyle w:val="a4"/>
            <w:sz w:val="20"/>
            <w:szCs w:val="20"/>
          </w:rPr>
          <w:t>Table of Contents</w:t>
        </w:r>
      </w:hyperlink>
    </w:p>
    <w:p w:rsidR="00000000" w:rsidRDefault="001E618F">
      <w:pPr>
        <w:pStyle w:val="a3"/>
        <w:spacing w:before="0" w:beforeAutospacing="0" w:after="120" w:afterAutospacing="0"/>
        <w:divId w:val="1060862134"/>
        <w:rPr>
          <w:sz w:val="20"/>
          <w:szCs w:val="20"/>
        </w:rPr>
      </w:pPr>
      <w:r>
        <w:rPr>
          <w:b/>
          <w:bCs/>
          <w:i/>
          <w:iCs/>
          <w:sz w:val="20"/>
          <w:szCs w:val="20"/>
        </w:rPr>
        <w:t xml:space="preserve">Cash Flows </w:t>
      </w:r>
    </w:p>
    <w:p w:rsidR="00000000" w:rsidRDefault="001E618F">
      <w:pPr>
        <w:pStyle w:val="a3"/>
        <w:spacing w:before="0" w:beforeAutospacing="0" w:after="0" w:afterAutospacing="0"/>
        <w:ind w:firstLine="720"/>
        <w:divId w:val="1060862134"/>
        <w:rPr>
          <w:sz w:val="20"/>
          <w:szCs w:val="20"/>
        </w:rPr>
      </w:pPr>
      <w:r>
        <w:rPr>
          <w:sz w:val="20"/>
          <w:szCs w:val="20"/>
        </w:rPr>
        <w:t>Cash flows, as compared to the comparable period in the prior year, were as follows:</w:t>
      </w:r>
    </w:p>
    <w:p w:rsidR="00000000" w:rsidRDefault="001E618F">
      <w:pPr>
        <w:pStyle w:val="a3"/>
        <w:spacing w:before="0" w:beforeAutospacing="0" w:after="0" w:afterAutospacing="0"/>
        <w:ind w:firstLine="720"/>
        <w:divId w:val="106086213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002"/>
        <w:gridCol w:w="160"/>
        <w:gridCol w:w="154"/>
        <w:gridCol w:w="824"/>
        <w:gridCol w:w="242"/>
        <w:gridCol w:w="153"/>
        <w:gridCol w:w="827"/>
        <w:gridCol w:w="160"/>
        <w:gridCol w:w="100"/>
        <w:gridCol w:w="684"/>
      </w:tblGrid>
      <w:tr w:rsidR="00000000">
        <w:trPr>
          <w:divId w:val="1060862134"/>
          <w:trHeight w:val="20"/>
        </w:trPr>
        <w:tc>
          <w:tcPr>
            <w:tcW w:w="3208" w:type="pct"/>
            <w:tcMar>
              <w:top w:w="0" w:type="dxa"/>
              <w:left w:w="0" w:type="dxa"/>
              <w:bottom w:w="0" w:type="dxa"/>
              <w:right w:w="0" w:type="dxa"/>
            </w:tcMar>
            <w:vAlign w:val="bottom"/>
            <w:hideMark/>
          </w:tcPr>
          <w:p w:rsidR="00000000" w:rsidRDefault="001E618F">
            <w:pPr>
              <w:pStyle w:val="a3"/>
              <w:spacing w:before="0" w:beforeAutospacing="0" w:after="0" w:afterAutospacing="0"/>
              <w:divId w:val="498425476"/>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29764058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338313106"/>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263418236"/>
              <w:rPr>
                <w:sz w:val="20"/>
                <w:szCs w:val="20"/>
              </w:rPr>
            </w:pPr>
            <w:r>
              <w:rPr>
                <w:sz w:val="2"/>
                <w:szCs w:val="2"/>
              </w:rPr>
              <w:t>​</w:t>
            </w:r>
          </w:p>
        </w:tc>
        <w:tc>
          <w:tcPr>
            <w:tcW w:w="129"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58473131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733238916"/>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817112329"/>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04037313"/>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1128668448"/>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1E618F">
            <w:pPr>
              <w:pStyle w:val="a3"/>
              <w:spacing w:before="0" w:beforeAutospacing="0" w:after="0" w:afterAutospacing="0"/>
              <w:divId w:val="905729471"/>
              <w:rPr>
                <w:sz w:val="20"/>
                <w:szCs w:val="20"/>
              </w:rPr>
            </w:pPr>
            <w:r>
              <w:rPr>
                <w:sz w:val="2"/>
                <w:szCs w:val="2"/>
              </w:rPr>
              <w:t>​</w:t>
            </w:r>
          </w:p>
        </w:tc>
      </w:tr>
      <w:tr w:rsidR="00000000">
        <w:trPr>
          <w:divId w:val="1060862134"/>
        </w:trPr>
        <w:tc>
          <w:tcPr>
            <w:tcW w:w="3208"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44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129"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8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440"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445" w:type="pct"/>
            <w:gridSpan w:val="2"/>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r>
      <w:tr w:rsidR="00000000">
        <w:trPr>
          <w:divId w:val="1060862134"/>
        </w:trPr>
        <w:tc>
          <w:tcPr>
            <w:tcW w:w="3208"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175" w:type="pct"/>
            <w:gridSpan w:val="5"/>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Three Months Ended March 31,</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c>
          <w:tcPr>
            <w:tcW w:w="39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2"/>
                <w:szCs w:val="22"/>
              </w:rPr>
              <w:t>​</w:t>
            </w:r>
          </w:p>
        </w:tc>
      </w:tr>
      <w:tr w:rsidR="00000000">
        <w:trPr>
          <w:divId w:val="1060862134"/>
        </w:trPr>
        <w:tc>
          <w:tcPr>
            <w:tcW w:w="3208"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(In thousands)</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522"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2022</w:t>
            </w:r>
          </w:p>
        </w:tc>
        <w:tc>
          <w:tcPr>
            <w:tcW w:w="129"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    </w:t>
            </w:r>
          </w:p>
        </w:tc>
        <w:tc>
          <w:tcPr>
            <w:tcW w:w="522"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2021</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445" w:type="pct"/>
            <w:gridSpan w:val="2"/>
            <w:tcBorders>
              <w:bottom w:val="single" w:sz="6" w:space="0" w:color="000000"/>
            </w:tcBorders>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Change</w:t>
            </w:r>
          </w:p>
        </w:tc>
      </w:tr>
      <w:tr w:rsidR="00000000">
        <w:trPr>
          <w:divId w:val="1060862134"/>
        </w:trPr>
        <w:tc>
          <w:tcPr>
            <w:tcW w:w="3208"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Net cash used in operating activities</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(26,069</w:t>
            </w:r>
            <w:r>
              <w:rPr>
                <w:sz w:val="20"/>
                <w:szCs w:val="20"/>
              </w:rPr>
              <w:t>)</w:t>
            </w:r>
          </w:p>
        </w:tc>
        <w:tc>
          <w:tcPr>
            <w:tcW w:w="129"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(69,865</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43,79</w:t>
            </w:r>
            <w:r>
              <w:rPr>
                <w:sz w:val="20"/>
                <w:szCs w:val="20"/>
              </w:rPr>
              <w:t>6</w:t>
            </w:r>
          </w:p>
        </w:tc>
      </w:tr>
      <w:tr w:rsidR="00000000">
        <w:trPr>
          <w:divId w:val="1060862134"/>
        </w:trPr>
        <w:tc>
          <w:tcPr>
            <w:tcW w:w="3208"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Net cash provided by investing activities</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440"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31,92</w:t>
            </w:r>
            <w:r>
              <w:rPr>
                <w:sz w:val="20"/>
                <w:szCs w:val="20"/>
              </w:rPr>
              <w:t>4</w:t>
            </w:r>
          </w:p>
        </w:tc>
        <w:tc>
          <w:tcPr>
            <w:tcW w:w="129" w:type="pct"/>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440" w:type="pct"/>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113,69</w:t>
            </w:r>
            <w:r>
              <w:rPr>
                <w:sz w:val="20"/>
                <w:szCs w:val="20"/>
              </w:rPr>
              <w:t>7</w:t>
            </w:r>
          </w:p>
        </w:tc>
        <w:tc>
          <w:tcPr>
            <w:tcW w:w="85"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(81,773</w:t>
            </w:r>
            <w:r>
              <w:rPr>
                <w:sz w:val="20"/>
                <w:szCs w:val="20"/>
              </w:rPr>
              <w:t>)</w:t>
            </w:r>
          </w:p>
        </w:tc>
      </w:tr>
      <w:tr w:rsidR="00000000">
        <w:trPr>
          <w:divId w:val="1060862134"/>
        </w:trPr>
        <w:tc>
          <w:tcPr>
            <w:tcW w:w="3208" w:type="pct"/>
            <w:shd w:val="clear" w:color="auto" w:fill="CCEEFF"/>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Net cash used in financing activities</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44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(1,448</w:t>
            </w:r>
            <w:r>
              <w:rPr>
                <w:sz w:val="20"/>
                <w:szCs w:val="20"/>
              </w:rPr>
              <w:t>)</w:t>
            </w:r>
          </w:p>
        </w:tc>
        <w:tc>
          <w:tcPr>
            <w:tcW w:w="129"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440"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(11,288</w:t>
            </w: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1E618F">
            <w:pPr>
              <w:pStyle w:val="a3"/>
              <w:spacing w:before="0" w:beforeAutospacing="0" w:after="0" w:afterAutospacing="0"/>
              <w:ind w:right="70"/>
              <w:jc w:val="right"/>
              <w:rPr>
                <w:sz w:val="20"/>
                <w:szCs w:val="20"/>
              </w:rPr>
            </w:pPr>
            <w:r>
              <w:rPr>
                <w:sz w:val="20"/>
                <w:szCs w:val="20"/>
              </w:rPr>
              <w:t>9,84</w:t>
            </w:r>
            <w:r>
              <w:rPr>
                <w:sz w:val="20"/>
                <w:szCs w:val="20"/>
              </w:rPr>
              <w:t>0</w:t>
            </w:r>
          </w:p>
        </w:tc>
      </w:tr>
    </w:tbl>
    <w:p w:rsidR="00000000" w:rsidRDefault="001E618F">
      <w:pPr>
        <w:pStyle w:val="a3"/>
        <w:spacing w:before="0" w:beforeAutospacing="0" w:after="0" w:afterAutospacing="0"/>
        <w:divId w:val="1060862134"/>
        <w:rPr>
          <w:sz w:val="20"/>
          <w:szCs w:val="20"/>
        </w:rPr>
      </w:pPr>
      <w:r>
        <w:rPr>
          <w:sz w:val="20"/>
          <w:szCs w:val="20"/>
        </w:rPr>
        <w:t>​</w:t>
      </w:r>
    </w:p>
    <w:p w:rsidR="00000000" w:rsidRDefault="001E618F">
      <w:pPr>
        <w:pStyle w:val="a3"/>
        <w:spacing w:before="0" w:beforeAutospacing="0" w:after="120" w:afterAutospacing="0"/>
        <w:divId w:val="1060862134"/>
        <w:rPr>
          <w:sz w:val="20"/>
          <w:szCs w:val="20"/>
        </w:rPr>
      </w:pPr>
      <w:r>
        <w:rPr>
          <w:i/>
          <w:iCs/>
          <w:sz w:val="20"/>
          <w:szCs w:val="20"/>
        </w:rPr>
        <w:t>Net cash flows used in operating activities</w:t>
      </w:r>
    </w:p>
    <w:p w:rsidR="00000000" w:rsidRDefault="001E618F">
      <w:pPr>
        <w:pStyle w:val="a3"/>
        <w:spacing w:before="0" w:beforeAutospacing="0" w:after="0" w:afterAutospacing="0"/>
        <w:ind w:firstLine="720"/>
        <w:divId w:val="1060862134"/>
        <w:rPr>
          <w:sz w:val="20"/>
          <w:szCs w:val="20"/>
        </w:rPr>
      </w:pPr>
      <w:r>
        <w:rPr>
          <w:sz w:val="20"/>
          <w:szCs w:val="20"/>
        </w:rPr>
        <w:t xml:space="preserve">Net cash used in operating activities was $26.1 million for the first quarter of 2022, consisting of a net loss of $25.9 million, a net increase in cash resulting from adjustments for non-cash and other reconciling items of $1.9 million and a net decrease </w:t>
      </w:r>
      <w:r>
        <w:rPr>
          <w:sz w:val="20"/>
          <w:szCs w:val="20"/>
        </w:rPr>
        <w:t xml:space="preserve">in cash resulting from changes in operating assets and liabilities of $2.1 million. </w:t>
      </w:r>
    </w:p>
    <w:p w:rsidR="00000000" w:rsidRDefault="001E618F">
      <w:pPr>
        <w:pStyle w:val="a3"/>
        <w:spacing w:before="0" w:beforeAutospacing="0" w:after="0" w:afterAutospacing="0"/>
        <w:ind w:firstLine="720"/>
        <w:divId w:val="1060862134"/>
        <w:rPr>
          <w:sz w:val="20"/>
          <w:szCs w:val="20"/>
        </w:rPr>
      </w:pPr>
      <w:r>
        <w:rPr>
          <w:color w:val="FF0000"/>
          <w:sz w:val="20"/>
          <w:szCs w:val="20"/>
        </w:rPr>
        <w:t>​</w:t>
      </w:r>
    </w:p>
    <w:p w:rsidR="00000000" w:rsidRDefault="001E618F">
      <w:pPr>
        <w:pStyle w:val="a3"/>
        <w:spacing w:before="0" w:beforeAutospacing="0" w:after="0" w:afterAutospacing="0"/>
        <w:ind w:firstLine="720"/>
        <w:divId w:val="1060862134"/>
        <w:rPr>
          <w:sz w:val="20"/>
          <w:szCs w:val="20"/>
        </w:rPr>
      </w:pPr>
      <w:r>
        <w:rPr>
          <w:sz w:val="20"/>
          <w:szCs w:val="20"/>
        </w:rPr>
        <w:t>Net cash used in operating activities was $69.9 million for the first quarter of 2021, consisting of a net loss of $79.7 million, a net increase in cash resulting from a</w:t>
      </w:r>
      <w:r>
        <w:rPr>
          <w:sz w:val="20"/>
          <w:szCs w:val="20"/>
        </w:rPr>
        <w:t xml:space="preserve">djustments for non-cash and other reconciling items of $22.9 million and a net decrease in cash resulting from changes in operating assets and liabilities of $13.1 million. </w:t>
      </w:r>
    </w:p>
    <w:p w:rsidR="00000000" w:rsidRDefault="001E618F">
      <w:pPr>
        <w:pStyle w:val="a3"/>
        <w:spacing w:before="0" w:beforeAutospacing="0" w:after="0" w:afterAutospacing="0"/>
        <w:divId w:val="1060862134"/>
        <w:rPr>
          <w:sz w:val="20"/>
          <w:szCs w:val="20"/>
        </w:rPr>
      </w:pPr>
      <w:r>
        <w:rPr>
          <w:sz w:val="20"/>
          <w:szCs w:val="20"/>
        </w:rPr>
        <w:t>​</w:t>
      </w:r>
    </w:p>
    <w:p w:rsidR="00000000" w:rsidRDefault="001E618F">
      <w:pPr>
        <w:pStyle w:val="a3"/>
        <w:spacing w:before="0" w:beforeAutospacing="0" w:after="120" w:afterAutospacing="0"/>
        <w:divId w:val="1060862134"/>
        <w:rPr>
          <w:sz w:val="20"/>
          <w:szCs w:val="20"/>
        </w:rPr>
      </w:pPr>
      <w:r>
        <w:rPr>
          <w:i/>
          <w:iCs/>
          <w:sz w:val="20"/>
          <w:szCs w:val="20"/>
        </w:rPr>
        <w:t>Net cash flows provided by investing activities</w:t>
      </w:r>
    </w:p>
    <w:p w:rsidR="00000000" w:rsidRDefault="001E618F">
      <w:pPr>
        <w:pStyle w:val="a3"/>
        <w:spacing w:before="0" w:beforeAutospacing="0" w:after="0" w:afterAutospacing="0"/>
        <w:ind w:firstLine="720"/>
        <w:divId w:val="1060862134"/>
        <w:rPr>
          <w:sz w:val="20"/>
          <w:szCs w:val="20"/>
        </w:rPr>
      </w:pPr>
      <w:r>
        <w:rPr>
          <w:sz w:val="20"/>
          <w:szCs w:val="20"/>
        </w:rPr>
        <w:t>Net cash provided by investing a</w:t>
      </w:r>
      <w:r>
        <w:rPr>
          <w:sz w:val="20"/>
          <w:szCs w:val="20"/>
        </w:rPr>
        <w:t>ctivities was $31.9 million for the first quarter of 2022, consisting primarily of cash inflows from the net purchase and maturities of marketable securities of $30.3 million and cash inflows from the sale of property and equipment of $1.8 million.</w:t>
      </w:r>
    </w:p>
    <w:p w:rsidR="00000000" w:rsidRDefault="001E618F">
      <w:pPr>
        <w:pStyle w:val="a3"/>
        <w:spacing w:before="0" w:beforeAutospacing="0" w:after="0" w:afterAutospacing="0"/>
        <w:ind w:firstLine="720"/>
        <w:divId w:val="1060862134"/>
        <w:rPr>
          <w:sz w:val="20"/>
          <w:szCs w:val="20"/>
        </w:rPr>
      </w:pPr>
      <w:r>
        <w:rPr>
          <w:color w:val="FF0000"/>
          <w:sz w:val="20"/>
          <w:szCs w:val="20"/>
        </w:rPr>
        <w:t>​</w:t>
      </w:r>
    </w:p>
    <w:p w:rsidR="00000000" w:rsidRDefault="001E618F">
      <w:pPr>
        <w:pStyle w:val="a3"/>
        <w:spacing w:before="0" w:beforeAutospacing="0" w:after="0" w:afterAutospacing="0"/>
        <w:ind w:firstLine="720"/>
        <w:divId w:val="1060862134"/>
        <w:rPr>
          <w:sz w:val="20"/>
          <w:szCs w:val="20"/>
        </w:rPr>
      </w:pPr>
      <w:r>
        <w:rPr>
          <w:sz w:val="20"/>
          <w:szCs w:val="20"/>
        </w:rPr>
        <w:t>Net c</w:t>
      </w:r>
      <w:r>
        <w:rPr>
          <w:sz w:val="20"/>
          <w:szCs w:val="20"/>
        </w:rPr>
        <w:t xml:space="preserve">ash provided by investing activities was $113.7 million for the first quarter of 2021, consisting of cash inflows from the net purchase and maturities of marketable securities of $115.5 million and partially offset by $1.8 million used for the purchase of </w:t>
      </w:r>
      <w:r>
        <w:rPr>
          <w:sz w:val="20"/>
          <w:szCs w:val="20"/>
        </w:rPr>
        <w:t xml:space="preserve">property and equipment. </w:t>
      </w:r>
    </w:p>
    <w:p w:rsidR="00000000" w:rsidRDefault="001E618F">
      <w:pPr>
        <w:pStyle w:val="a3"/>
        <w:spacing w:before="0" w:beforeAutospacing="0" w:after="0" w:afterAutospacing="0"/>
        <w:divId w:val="1060862134"/>
        <w:rPr>
          <w:sz w:val="20"/>
          <w:szCs w:val="20"/>
        </w:rPr>
      </w:pPr>
      <w:r>
        <w:rPr>
          <w:sz w:val="20"/>
          <w:szCs w:val="20"/>
        </w:rPr>
        <w:t>​</w:t>
      </w:r>
    </w:p>
    <w:p w:rsidR="00000000" w:rsidRDefault="001E618F">
      <w:pPr>
        <w:pStyle w:val="a3"/>
        <w:spacing w:before="0" w:beforeAutospacing="0" w:after="120" w:afterAutospacing="0"/>
        <w:divId w:val="1060862134"/>
        <w:rPr>
          <w:sz w:val="20"/>
          <w:szCs w:val="20"/>
        </w:rPr>
      </w:pPr>
      <w:r>
        <w:rPr>
          <w:i/>
          <w:iCs/>
          <w:sz w:val="20"/>
          <w:szCs w:val="20"/>
        </w:rPr>
        <w:t>Net cash flows used in financing activities</w:t>
      </w:r>
    </w:p>
    <w:p w:rsidR="00000000" w:rsidRDefault="001E618F">
      <w:pPr>
        <w:pStyle w:val="a3"/>
        <w:spacing w:before="0" w:beforeAutospacing="0" w:after="0" w:afterAutospacing="0"/>
        <w:ind w:firstLine="720"/>
        <w:divId w:val="1060862134"/>
        <w:rPr>
          <w:sz w:val="20"/>
          <w:szCs w:val="20"/>
        </w:rPr>
      </w:pPr>
      <w:r>
        <w:rPr>
          <w:sz w:val="20"/>
          <w:szCs w:val="20"/>
        </w:rPr>
        <w:t>Net cash used in financing activities was $1.4 million for the first quarter of 2022, consisting of the repurchase of shares to satisfy tax withholding obligations.</w:t>
      </w:r>
    </w:p>
    <w:p w:rsidR="00000000" w:rsidRDefault="001E618F">
      <w:pPr>
        <w:pStyle w:val="a3"/>
        <w:spacing w:before="0" w:beforeAutospacing="0" w:after="0" w:afterAutospacing="0"/>
        <w:ind w:firstLine="720"/>
        <w:divId w:val="1060862134"/>
        <w:rPr>
          <w:sz w:val="20"/>
          <w:szCs w:val="20"/>
        </w:rPr>
      </w:pPr>
      <w:r>
        <w:rPr>
          <w:sz w:val="20"/>
          <w:szCs w:val="20"/>
        </w:rPr>
        <w:t>​</w:t>
      </w:r>
    </w:p>
    <w:p w:rsidR="00000000" w:rsidRDefault="001E618F">
      <w:pPr>
        <w:pStyle w:val="a3"/>
        <w:spacing w:before="0" w:beforeAutospacing="0" w:after="0" w:afterAutospacing="0"/>
        <w:ind w:firstLine="720"/>
        <w:divId w:val="1060862134"/>
        <w:rPr>
          <w:sz w:val="20"/>
          <w:szCs w:val="20"/>
        </w:rPr>
      </w:pPr>
      <w:r>
        <w:rPr>
          <w:sz w:val="20"/>
          <w:szCs w:val="20"/>
        </w:rPr>
        <w:t>Net cash used in f</w:t>
      </w:r>
      <w:r>
        <w:rPr>
          <w:sz w:val="20"/>
          <w:szCs w:val="20"/>
        </w:rPr>
        <w:t>inancing activities was $11.3 million for first quarter of 2021, consisting primarily of $5.7 million in principal payments on the Non-Recourse 2035 Notes and $5.6 million related to the repurchase of shares to satisfy tax withholding obligations.</w:t>
      </w:r>
    </w:p>
    <w:p w:rsidR="00000000" w:rsidRDefault="001E618F">
      <w:pPr>
        <w:pStyle w:val="a3"/>
        <w:spacing w:before="0" w:beforeAutospacing="0" w:after="0" w:afterAutospacing="0"/>
        <w:divId w:val="1060862134"/>
        <w:rPr>
          <w:sz w:val="20"/>
          <w:szCs w:val="20"/>
        </w:rPr>
      </w:pPr>
      <w:r>
        <w:rPr>
          <w:sz w:val="20"/>
          <w:szCs w:val="20"/>
        </w:rPr>
        <w:t>​</w:t>
      </w:r>
    </w:p>
    <w:p w:rsidR="00000000" w:rsidRDefault="001E618F">
      <w:pPr>
        <w:pStyle w:val="a3"/>
        <w:spacing w:before="0" w:beforeAutospacing="0" w:after="120" w:afterAutospacing="0"/>
        <w:divId w:val="1060862134"/>
        <w:rPr>
          <w:sz w:val="20"/>
          <w:szCs w:val="20"/>
        </w:rPr>
      </w:pPr>
      <w:r>
        <w:rPr>
          <w:b/>
          <w:bCs/>
          <w:i/>
          <w:iCs/>
          <w:sz w:val="20"/>
          <w:szCs w:val="20"/>
        </w:rPr>
        <w:t>Commit</w:t>
      </w:r>
      <w:r>
        <w:rPr>
          <w:b/>
          <w:bCs/>
          <w:i/>
          <w:iCs/>
          <w:sz w:val="20"/>
          <w:szCs w:val="20"/>
        </w:rPr>
        <w:t>ments and Contingencies</w:t>
      </w:r>
    </w:p>
    <w:p w:rsidR="00000000" w:rsidRDefault="001E618F">
      <w:pPr>
        <w:pStyle w:val="a3"/>
        <w:spacing w:before="0" w:beforeAutospacing="0" w:after="0" w:afterAutospacing="0"/>
        <w:ind w:firstLine="720"/>
        <w:divId w:val="1060862134"/>
        <w:rPr>
          <w:sz w:val="20"/>
          <w:szCs w:val="20"/>
        </w:rPr>
      </w:pPr>
      <w:r>
        <w:rPr>
          <w:sz w:val="20"/>
          <w:szCs w:val="20"/>
        </w:rPr>
        <w:t>We indemnify our officers and directors for certain events or occurrences, subject to certain limits. W</w:t>
      </w:r>
      <w:r>
        <w:rPr>
          <w:sz w:val="20"/>
          <w:szCs w:val="20"/>
          <w:shd w:val="clear" w:color="auto" w:fill="FFFFFF"/>
        </w:rPr>
        <w:t xml:space="preserve">e maintain insurance policies that may limit our exposure, and therefore, </w:t>
      </w:r>
      <w:r>
        <w:rPr>
          <w:sz w:val="20"/>
          <w:szCs w:val="20"/>
        </w:rPr>
        <w:t>we believe the fair value of these indemnification agre</w:t>
      </w:r>
      <w:r>
        <w:rPr>
          <w:sz w:val="20"/>
          <w:szCs w:val="20"/>
        </w:rPr>
        <w:t>ements is minimal. Accordingly, we have not recognized any liabilities relating to these agreements as of March 31, 2022. However, n</w:t>
      </w:r>
      <w:r>
        <w:rPr>
          <w:sz w:val="20"/>
          <w:szCs w:val="20"/>
          <w:shd w:val="clear" w:color="auto" w:fill="FFFFFF"/>
        </w:rPr>
        <w:t>o assurances can be given regarding the amounts that may ultimately be covered by the insurers, and we may incur substantial</w:t>
      </w:r>
      <w:r>
        <w:rPr>
          <w:sz w:val="20"/>
          <w:szCs w:val="20"/>
          <w:shd w:val="clear" w:color="auto" w:fill="FFFFFF"/>
        </w:rPr>
        <w:t xml:space="preserve"> liabilities because of these indemnification obligations.</w:t>
      </w:r>
    </w:p>
    <w:p w:rsidR="00000000" w:rsidRDefault="001E618F">
      <w:pPr>
        <w:pStyle w:val="a3"/>
        <w:spacing w:before="0" w:beforeAutospacing="0" w:after="0" w:afterAutospacing="0"/>
        <w:divId w:val="1060862134"/>
        <w:rPr>
          <w:sz w:val="20"/>
          <w:szCs w:val="20"/>
        </w:rPr>
      </w:pPr>
      <w:r>
        <w:rPr>
          <w:sz w:val="20"/>
          <w:szCs w:val="20"/>
        </w:rPr>
        <w:t>​</w:t>
      </w:r>
    </w:p>
    <w:p w:rsidR="00000000" w:rsidRDefault="001E618F">
      <w:pPr>
        <w:pStyle w:val="a3"/>
        <w:spacing w:before="0" w:beforeAutospacing="0" w:after="120" w:afterAutospacing="0"/>
        <w:divId w:val="1060862134"/>
        <w:rPr>
          <w:sz w:val="20"/>
          <w:szCs w:val="20"/>
        </w:rPr>
      </w:pPr>
      <w:r>
        <w:rPr>
          <w:i/>
          <w:iCs/>
          <w:sz w:val="20"/>
          <w:szCs w:val="20"/>
        </w:rPr>
        <w:t>Performance-Contingent Awards</w:t>
      </w:r>
    </w:p>
    <w:p w:rsidR="00000000" w:rsidRDefault="001E618F">
      <w:pPr>
        <w:pStyle w:val="a3"/>
        <w:spacing w:before="0" w:beforeAutospacing="0" w:after="0" w:afterAutospacing="0"/>
        <w:ind w:firstLine="720"/>
        <w:divId w:val="1060862134"/>
        <w:rPr>
          <w:sz w:val="20"/>
          <w:szCs w:val="20"/>
        </w:rPr>
      </w:pPr>
      <w:r>
        <w:rPr>
          <w:sz w:val="20"/>
          <w:szCs w:val="20"/>
        </w:rPr>
        <w:t xml:space="preserve">We periodically grant performance-contingent awards to our employees. For the three months ended March 31, 2022, we recognized $0.1 million of aggregate share-based </w:t>
      </w:r>
      <w:r>
        <w:rPr>
          <w:sz w:val="20"/>
          <w:szCs w:val="20"/>
        </w:rPr>
        <w:t>compensation expense and $0.1 million in cash bonus expense related to these types of awards. As of March 31, 2022, the maximum remaining expense related to outstanding performance-contingent share-based awards was $2.6 million which had performance expira</w:t>
      </w:r>
      <w:r>
        <w:rPr>
          <w:sz w:val="20"/>
          <w:szCs w:val="20"/>
        </w:rPr>
        <w:t>tion dates through December 2025, and the maximum remaining expense related to outstanding performance-contingent cash awards was $0.3 million which had performance expiration dates through December 2022.</w:t>
      </w:r>
    </w:p>
    <w:p w:rsidR="00000000" w:rsidRDefault="001E618F">
      <w:pPr>
        <w:pStyle w:val="a3"/>
        <w:spacing w:before="0" w:beforeAutospacing="0" w:after="0" w:afterAutospacing="0"/>
        <w:divId w:val="1060862134"/>
        <w:rPr>
          <w:sz w:val="20"/>
          <w:szCs w:val="20"/>
        </w:rPr>
      </w:pPr>
      <w:r>
        <w:rPr>
          <w:sz w:val="20"/>
          <w:szCs w:val="20"/>
        </w:rPr>
        <w:t>​</w:t>
      </w:r>
    </w:p>
    <w:p w:rsidR="00000000" w:rsidRDefault="001E618F">
      <w:pPr>
        <w:pStyle w:val="a3"/>
        <w:spacing w:before="360" w:beforeAutospacing="0" w:after="0" w:afterAutospacing="0"/>
        <w:jc w:val="center"/>
        <w:divId w:val="30348095"/>
        <w:rPr>
          <w:sz w:val="20"/>
          <w:szCs w:val="20"/>
        </w:rPr>
      </w:pPr>
      <w:r>
        <w:rPr>
          <w:sz w:val="20"/>
          <w:szCs w:val="20"/>
        </w:rPr>
        <w:t>30</w:t>
      </w:r>
    </w:p>
    <w:p w:rsidR="00000000" w:rsidRDefault="001E618F">
      <w:pPr>
        <w:pStyle w:val="a3"/>
        <w:spacing w:before="0" w:beforeAutospacing="0" w:after="600" w:afterAutospacing="0"/>
        <w:divId w:val="1673333505"/>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divId w:val="1602837791"/>
        <w:rPr>
          <w:sz w:val="20"/>
          <w:szCs w:val="20"/>
        </w:rPr>
      </w:pPr>
      <w:r>
        <w:rPr>
          <w:b/>
          <w:bCs/>
          <w:sz w:val="20"/>
          <w:szCs w:val="20"/>
        </w:rPr>
        <w:t>IT</w:t>
      </w:r>
      <w:r>
        <w:rPr>
          <w:b/>
          <w:bCs/>
          <w:sz w:val="20"/>
          <w:szCs w:val="20"/>
        </w:rPr>
        <w:t xml:space="preserve">EM 3.   QUANTITATIVE AND QUALITATIVE DISCLOSURES ABOUT MARKET RISK </w:t>
      </w:r>
    </w:p>
    <w:p w:rsidR="00000000" w:rsidRDefault="001E618F">
      <w:pPr>
        <w:pStyle w:val="a3"/>
        <w:spacing w:before="0" w:beforeAutospacing="0" w:after="0" w:afterAutospacing="0"/>
        <w:divId w:val="1602837791"/>
        <w:rPr>
          <w:sz w:val="20"/>
          <w:szCs w:val="20"/>
        </w:rPr>
      </w:pPr>
      <w:r>
        <w:rPr>
          <w:sz w:val="20"/>
          <w:szCs w:val="20"/>
        </w:rPr>
        <w:t>​</w:t>
      </w:r>
    </w:p>
    <w:p w:rsidR="00000000" w:rsidRDefault="001E618F">
      <w:pPr>
        <w:pStyle w:val="a3"/>
        <w:shd w:val="clear" w:color="auto" w:fill="FFFFFF"/>
        <w:spacing w:before="0" w:beforeAutospacing="0" w:after="0" w:afterAutospacing="0"/>
        <w:ind w:firstLine="720"/>
        <w:divId w:val="1602837791"/>
        <w:rPr>
          <w:sz w:val="20"/>
          <w:szCs w:val="20"/>
        </w:rPr>
      </w:pPr>
      <w:r>
        <w:rPr>
          <w:sz w:val="20"/>
          <w:szCs w:val="20"/>
        </w:rPr>
        <w:t xml:space="preserve">Our market risks, as of March 31, 2022, have not changed materially from those discussed in </w:t>
      </w:r>
      <w:r>
        <w:rPr>
          <w:i/>
          <w:iCs/>
          <w:sz w:val="20"/>
          <w:szCs w:val="20"/>
        </w:rPr>
        <w:t>“</w:t>
      </w:r>
      <w:r>
        <w:rPr>
          <w:i/>
          <w:iCs/>
          <w:sz w:val="20"/>
          <w:szCs w:val="20"/>
        </w:rPr>
        <w:t>Item 7A. Quantitative and Qualitative Disclosures About Market Risk”</w:t>
      </w:r>
      <w:r>
        <w:rPr>
          <w:sz w:val="20"/>
          <w:szCs w:val="20"/>
        </w:rPr>
        <w:t xml:space="preserve"> of our Annual Report on Form 10-K for the year ended December 31, 2021, filed with the SEC on February 28, 2022. </w:t>
      </w:r>
    </w:p>
    <w:p w:rsidR="00000000" w:rsidRDefault="001E618F">
      <w:pPr>
        <w:pStyle w:val="a3"/>
        <w:spacing w:before="0" w:beforeAutospacing="0" w:after="0" w:afterAutospacing="0"/>
        <w:divId w:val="1602837791"/>
        <w:rPr>
          <w:sz w:val="20"/>
          <w:szCs w:val="20"/>
        </w:rPr>
      </w:pPr>
      <w:r>
        <w:rPr>
          <w:sz w:val="20"/>
          <w:szCs w:val="20"/>
        </w:rPr>
        <w:t>​</w:t>
      </w:r>
    </w:p>
    <w:p w:rsidR="00000000" w:rsidRDefault="001E618F">
      <w:pPr>
        <w:pStyle w:val="a3"/>
        <w:spacing w:before="0" w:beforeAutospacing="0" w:after="0" w:afterAutospacing="0"/>
        <w:divId w:val="1602837791"/>
        <w:rPr>
          <w:sz w:val="20"/>
          <w:szCs w:val="20"/>
        </w:rPr>
      </w:pPr>
      <w:r>
        <w:rPr>
          <w:b/>
          <w:bCs/>
          <w:sz w:val="20"/>
          <w:szCs w:val="20"/>
        </w:rPr>
        <w:t>ITEM 4.   CONTROLS AND PROCEDURES</w:t>
      </w:r>
    </w:p>
    <w:p w:rsidR="00000000" w:rsidRDefault="001E618F">
      <w:pPr>
        <w:pStyle w:val="a3"/>
        <w:spacing w:before="0" w:beforeAutospacing="0" w:after="0" w:afterAutospacing="0"/>
        <w:divId w:val="1602837791"/>
        <w:rPr>
          <w:sz w:val="20"/>
          <w:szCs w:val="20"/>
        </w:rPr>
      </w:pPr>
      <w:r>
        <w:rPr>
          <w:sz w:val="20"/>
          <w:szCs w:val="20"/>
        </w:rPr>
        <w:t>​</w:t>
      </w:r>
    </w:p>
    <w:p w:rsidR="00000000" w:rsidRDefault="001E618F">
      <w:pPr>
        <w:pStyle w:val="a3"/>
        <w:spacing w:before="0" w:beforeAutospacing="0" w:after="120" w:afterAutospacing="0"/>
        <w:divId w:val="1602837791"/>
        <w:rPr>
          <w:sz w:val="20"/>
          <w:szCs w:val="20"/>
        </w:rPr>
      </w:pPr>
      <w:r>
        <w:rPr>
          <w:b/>
          <w:bCs/>
          <w:i/>
          <w:iCs/>
          <w:sz w:val="20"/>
          <w:szCs w:val="20"/>
        </w:rPr>
        <w:t>Evaluation of Disclosure Controls a</w:t>
      </w:r>
      <w:r>
        <w:rPr>
          <w:b/>
          <w:bCs/>
          <w:i/>
          <w:iCs/>
          <w:sz w:val="20"/>
          <w:szCs w:val="20"/>
        </w:rPr>
        <w:t>nd Procedures</w:t>
      </w:r>
    </w:p>
    <w:p w:rsidR="00000000" w:rsidRDefault="001E618F">
      <w:pPr>
        <w:pStyle w:val="a3"/>
        <w:spacing w:before="0" w:beforeAutospacing="0" w:after="0" w:afterAutospacing="0"/>
        <w:ind w:firstLine="720"/>
        <w:divId w:val="1602837791"/>
        <w:rPr>
          <w:sz w:val="20"/>
          <w:szCs w:val="20"/>
        </w:rPr>
      </w:pPr>
      <w:r>
        <w:rPr>
          <w:sz w:val="20"/>
          <w:szCs w:val="20"/>
        </w:rPr>
        <w:t>We conducted an evaluation required by paragraph (d) of Rule 13a-15 of the Exchange Act as of March 31, 2022, under the supervision and with the participation of our management, including our Chief Executive Officer and Chief Financial Office</w:t>
      </w:r>
      <w:r>
        <w:rPr>
          <w:sz w:val="20"/>
          <w:szCs w:val="20"/>
        </w:rPr>
        <w:t xml:space="preserve">r, of the effectiveness of the design and operation of our disclosure controls and procedures (as defined under Rule 13a-15(e) of the Exchange Act), which are controls and other procedures of a company that are designed to ensure that information required </w:t>
      </w:r>
      <w:r>
        <w:rPr>
          <w:sz w:val="20"/>
          <w:szCs w:val="20"/>
        </w:rPr>
        <w:t>to be disclosed by a company in the reports that it files under the Exchange Act is recorded, processed, summarized and reported within required time periods. Based upon that evaluation, our Chief Executive Officer and Chief Financial Officer concluded tha</w:t>
      </w:r>
      <w:r>
        <w:rPr>
          <w:sz w:val="20"/>
          <w:szCs w:val="20"/>
        </w:rPr>
        <w:t>t, as of such date, our disclosure controls and procedures were effective at the reasonable assurance level.</w:t>
      </w:r>
    </w:p>
    <w:p w:rsidR="00000000" w:rsidRDefault="001E618F">
      <w:pPr>
        <w:pStyle w:val="a3"/>
        <w:spacing w:before="0" w:beforeAutospacing="0" w:after="0" w:afterAutospacing="0"/>
        <w:divId w:val="1602837791"/>
        <w:rPr>
          <w:sz w:val="20"/>
          <w:szCs w:val="20"/>
        </w:rPr>
      </w:pPr>
      <w:r>
        <w:rPr>
          <w:sz w:val="20"/>
          <w:szCs w:val="20"/>
        </w:rPr>
        <w:t>​</w:t>
      </w:r>
    </w:p>
    <w:p w:rsidR="00000000" w:rsidRDefault="001E618F">
      <w:pPr>
        <w:pStyle w:val="a3"/>
        <w:spacing w:before="0" w:beforeAutospacing="0" w:after="120" w:afterAutospacing="0"/>
        <w:divId w:val="1602837791"/>
        <w:rPr>
          <w:sz w:val="20"/>
          <w:szCs w:val="20"/>
        </w:rPr>
      </w:pPr>
      <w:r>
        <w:rPr>
          <w:b/>
          <w:bCs/>
          <w:i/>
          <w:iCs/>
          <w:sz w:val="20"/>
          <w:szCs w:val="20"/>
        </w:rPr>
        <w:t>Limitations on the Effectiveness of Controls</w:t>
      </w:r>
    </w:p>
    <w:p w:rsidR="00000000" w:rsidRDefault="001E618F">
      <w:pPr>
        <w:pStyle w:val="a3"/>
        <w:spacing w:before="0" w:beforeAutospacing="0" w:after="0" w:afterAutospacing="0"/>
        <w:ind w:firstLine="720"/>
        <w:divId w:val="1602837791"/>
        <w:rPr>
          <w:sz w:val="20"/>
          <w:szCs w:val="20"/>
        </w:rPr>
      </w:pPr>
      <w:r>
        <w:rPr>
          <w:sz w:val="20"/>
          <w:szCs w:val="20"/>
        </w:rPr>
        <w:t>Our management, including our Chief Executive Officer and Chief Financial Officer, does not expect that our disclosure controls and procedures or our internal control over financial reporting will prevent all error and all fraud. A control system, no matte</w:t>
      </w:r>
      <w:r>
        <w:rPr>
          <w:sz w:val="20"/>
          <w:szCs w:val="20"/>
        </w:rPr>
        <w:t>r how well conceived and operated, can provide only reasonable, not absolute, assurance that the objectives of the control system are met. Further, the design of a control system must reflect the fact that there are resource constraints, and the benefit of</w:t>
      </w:r>
      <w:r>
        <w:rPr>
          <w:sz w:val="20"/>
          <w:szCs w:val="20"/>
        </w:rPr>
        <w:t xml:space="preserve"> controls must be considered relative to their costs. Because of the inherent limitations in all control systems, no evaluation of controls can provide absolute assurance that all control issues and instances of fraud, if any, within Theravance Biopharma h</w:t>
      </w:r>
      <w:r>
        <w:rPr>
          <w:sz w:val="20"/>
          <w:szCs w:val="20"/>
        </w:rPr>
        <w:t>ave been detected. Also, projections of any evaluation of effectiveness to future periods are subject to the risk that controls may become inadequate because of changes in conditions, or that the degree of compliance with the policies or procedures may det</w:t>
      </w:r>
      <w:r>
        <w:rPr>
          <w:sz w:val="20"/>
          <w:szCs w:val="20"/>
        </w:rPr>
        <w:t>eriorate.</w:t>
      </w:r>
    </w:p>
    <w:p w:rsidR="00000000" w:rsidRDefault="001E618F">
      <w:pPr>
        <w:pStyle w:val="a3"/>
        <w:spacing w:before="0" w:beforeAutospacing="0" w:after="0" w:afterAutospacing="0"/>
        <w:divId w:val="1602837791"/>
        <w:rPr>
          <w:sz w:val="20"/>
          <w:szCs w:val="20"/>
        </w:rPr>
      </w:pPr>
      <w:r>
        <w:rPr>
          <w:sz w:val="20"/>
          <w:szCs w:val="20"/>
        </w:rPr>
        <w:t>​</w:t>
      </w:r>
    </w:p>
    <w:p w:rsidR="00000000" w:rsidRDefault="001E618F">
      <w:pPr>
        <w:pStyle w:val="a3"/>
        <w:spacing w:before="0" w:beforeAutospacing="0" w:after="120" w:afterAutospacing="0"/>
        <w:divId w:val="1602837791"/>
        <w:rPr>
          <w:sz w:val="20"/>
          <w:szCs w:val="20"/>
        </w:rPr>
      </w:pPr>
      <w:r>
        <w:rPr>
          <w:b/>
          <w:bCs/>
          <w:i/>
          <w:iCs/>
          <w:sz w:val="20"/>
          <w:szCs w:val="20"/>
        </w:rPr>
        <w:t>Changes in Internal Control over Financial Reporting</w:t>
      </w:r>
    </w:p>
    <w:p w:rsidR="00000000" w:rsidRDefault="001E618F">
      <w:pPr>
        <w:pStyle w:val="a3"/>
        <w:spacing w:before="0" w:beforeAutospacing="0" w:after="0" w:afterAutospacing="0"/>
        <w:ind w:firstLine="720"/>
        <w:divId w:val="1602837791"/>
        <w:rPr>
          <w:sz w:val="20"/>
          <w:szCs w:val="20"/>
        </w:rPr>
      </w:pPr>
      <w:r>
        <w:rPr>
          <w:sz w:val="20"/>
          <w:szCs w:val="20"/>
        </w:rPr>
        <w:t xml:space="preserve">There was no change in our internal control over financial reporting (as defined in Rule 13a-15(f) of the Exchange Act) identified in connection with the evaluation required by paragraph (d) </w:t>
      </w:r>
      <w:r>
        <w:rPr>
          <w:sz w:val="20"/>
          <w:szCs w:val="20"/>
        </w:rPr>
        <w:t>of Rule 13a-15 of the Exchange Act, which occurred during the first quarter of the year ending December 31, 2022 which has materially affected, or is reasonably likely to materially affect, our internal control over financial reporting.</w:t>
      </w:r>
    </w:p>
    <w:p w:rsidR="00000000" w:rsidRDefault="001E618F">
      <w:pPr>
        <w:pStyle w:val="a3"/>
        <w:spacing w:before="0" w:beforeAutospacing="0" w:after="0" w:afterAutospacing="0"/>
        <w:divId w:val="1602837791"/>
        <w:rPr>
          <w:sz w:val="20"/>
          <w:szCs w:val="20"/>
        </w:rPr>
      </w:pPr>
      <w:r>
        <w:rPr>
          <w:sz w:val="20"/>
          <w:szCs w:val="20"/>
        </w:rPr>
        <w:t>​</w:t>
      </w:r>
    </w:p>
    <w:p w:rsidR="00000000" w:rsidRDefault="001E618F">
      <w:pPr>
        <w:pStyle w:val="a3"/>
        <w:spacing w:before="0" w:beforeAutospacing="0" w:after="0" w:afterAutospacing="0"/>
        <w:divId w:val="1602837791"/>
        <w:rPr>
          <w:sz w:val="20"/>
          <w:szCs w:val="20"/>
        </w:rPr>
      </w:pPr>
      <w:r>
        <w:rPr>
          <w:b/>
          <w:bCs/>
          <w:sz w:val="20"/>
          <w:szCs w:val="20"/>
        </w:rPr>
        <w:t>PART II.  OTHER I</w:t>
      </w:r>
      <w:r>
        <w:rPr>
          <w:b/>
          <w:bCs/>
          <w:sz w:val="20"/>
          <w:szCs w:val="20"/>
        </w:rPr>
        <w:t>NFORMATION</w:t>
      </w:r>
    </w:p>
    <w:p w:rsidR="00000000" w:rsidRDefault="001E618F">
      <w:pPr>
        <w:pStyle w:val="a3"/>
        <w:spacing w:before="0" w:beforeAutospacing="0" w:after="0" w:afterAutospacing="0"/>
        <w:divId w:val="1602837791"/>
        <w:rPr>
          <w:sz w:val="20"/>
          <w:szCs w:val="20"/>
        </w:rPr>
      </w:pPr>
      <w:r>
        <w:rPr>
          <w:sz w:val="20"/>
          <w:szCs w:val="20"/>
        </w:rPr>
        <w:t>​</w:t>
      </w:r>
    </w:p>
    <w:p w:rsidR="00000000" w:rsidRDefault="001E618F">
      <w:pPr>
        <w:pStyle w:val="a3"/>
        <w:spacing w:before="0" w:beforeAutospacing="0" w:after="0" w:afterAutospacing="0"/>
        <w:divId w:val="1602837791"/>
        <w:rPr>
          <w:sz w:val="20"/>
          <w:szCs w:val="20"/>
        </w:rPr>
      </w:pPr>
      <w:r>
        <w:rPr>
          <w:b/>
          <w:bCs/>
          <w:sz w:val="20"/>
          <w:szCs w:val="20"/>
        </w:rPr>
        <w:t>ITEM 1.   LEGAL PROCEEDINGS</w:t>
      </w:r>
    </w:p>
    <w:p w:rsidR="00000000" w:rsidRDefault="001E618F">
      <w:pPr>
        <w:pStyle w:val="a3"/>
        <w:spacing w:before="0" w:beforeAutospacing="0" w:after="0" w:afterAutospacing="0"/>
        <w:divId w:val="1602837791"/>
        <w:rPr>
          <w:sz w:val="20"/>
          <w:szCs w:val="20"/>
        </w:rPr>
      </w:pPr>
      <w:r>
        <w:rPr>
          <w:sz w:val="20"/>
          <w:szCs w:val="20"/>
        </w:rPr>
        <w:t>​</w:t>
      </w:r>
    </w:p>
    <w:p w:rsidR="00000000" w:rsidRDefault="001E618F">
      <w:pPr>
        <w:pStyle w:val="a3"/>
        <w:spacing w:before="0" w:beforeAutospacing="0" w:after="0" w:afterAutospacing="0"/>
        <w:ind w:firstLine="720"/>
        <w:divId w:val="1602837791"/>
        <w:rPr>
          <w:sz w:val="20"/>
          <w:szCs w:val="20"/>
        </w:rPr>
      </w:pPr>
      <w:r>
        <w:rPr>
          <w:sz w:val="20"/>
          <w:szCs w:val="20"/>
        </w:rPr>
        <w:t>Not applicable.</w:t>
      </w:r>
    </w:p>
    <w:p w:rsidR="00000000" w:rsidRDefault="001E618F">
      <w:pPr>
        <w:pStyle w:val="a3"/>
        <w:spacing w:before="0" w:beforeAutospacing="0" w:after="0" w:afterAutospacing="0"/>
        <w:divId w:val="1602837791"/>
        <w:rPr>
          <w:sz w:val="20"/>
          <w:szCs w:val="20"/>
        </w:rPr>
      </w:pPr>
      <w:r>
        <w:rPr>
          <w:sz w:val="20"/>
          <w:szCs w:val="20"/>
        </w:rPr>
        <w:t>​</w:t>
      </w:r>
    </w:p>
    <w:p w:rsidR="00000000" w:rsidRDefault="001E618F">
      <w:pPr>
        <w:pStyle w:val="a3"/>
        <w:spacing w:before="0" w:beforeAutospacing="0" w:after="0" w:afterAutospacing="0"/>
        <w:divId w:val="1602837791"/>
        <w:rPr>
          <w:sz w:val="20"/>
          <w:szCs w:val="20"/>
        </w:rPr>
      </w:pPr>
      <w:r>
        <w:rPr>
          <w:b/>
          <w:bCs/>
          <w:sz w:val="20"/>
          <w:szCs w:val="20"/>
        </w:rPr>
        <w:t xml:space="preserve">ITEM 1A.  RISK FACTORS </w:t>
      </w:r>
    </w:p>
    <w:p w:rsidR="00000000" w:rsidRDefault="001E618F">
      <w:pPr>
        <w:pStyle w:val="a3"/>
        <w:spacing w:before="0" w:beforeAutospacing="0" w:after="0" w:afterAutospacing="0"/>
        <w:divId w:val="1602837791"/>
        <w:rPr>
          <w:sz w:val="20"/>
          <w:szCs w:val="20"/>
        </w:rPr>
      </w:pPr>
      <w:r>
        <w:rPr>
          <w:sz w:val="20"/>
          <w:szCs w:val="20"/>
        </w:rPr>
        <w:t>​</w:t>
      </w:r>
    </w:p>
    <w:p w:rsidR="00000000" w:rsidRDefault="001E618F">
      <w:pPr>
        <w:pStyle w:val="a3"/>
        <w:spacing w:before="0" w:beforeAutospacing="0" w:after="0" w:afterAutospacing="0"/>
        <w:ind w:firstLine="720"/>
        <w:divId w:val="1602837791"/>
        <w:rPr>
          <w:sz w:val="20"/>
          <w:szCs w:val="20"/>
        </w:rPr>
      </w:pPr>
      <w:r>
        <w:rPr>
          <w:sz w:val="20"/>
          <w:szCs w:val="20"/>
        </w:rPr>
        <w:t>The risks described below and elsewhere in this Quarterly Report on Form 10-Q and in our other public filings with the SEC are not the only risks facing the Company. Add</w:t>
      </w:r>
      <w:r>
        <w:rPr>
          <w:sz w:val="20"/>
          <w:szCs w:val="20"/>
        </w:rPr>
        <w:t>itional risks and uncertainties not currently known to us or that we currently deem to be immaterial also may materially adversely affect our business, financial condition and/or operating results.</w:t>
      </w:r>
    </w:p>
    <w:p w:rsidR="00000000" w:rsidRDefault="001E618F">
      <w:pPr>
        <w:pStyle w:val="a3"/>
        <w:spacing w:before="0" w:beforeAutospacing="0" w:after="0" w:afterAutospacing="0"/>
        <w:ind w:firstLine="720"/>
        <w:divId w:val="1602837791"/>
        <w:rPr>
          <w:sz w:val="20"/>
          <w:szCs w:val="20"/>
        </w:rPr>
      </w:pPr>
      <w:r>
        <w:rPr>
          <w:sz w:val="20"/>
          <w:szCs w:val="20"/>
        </w:rPr>
        <w:t>​</w:t>
      </w:r>
    </w:p>
    <w:p w:rsidR="00000000" w:rsidRDefault="001E618F">
      <w:pPr>
        <w:pStyle w:val="a3"/>
        <w:spacing w:before="0" w:beforeAutospacing="0" w:after="0" w:afterAutospacing="0"/>
        <w:ind w:firstLine="720"/>
        <w:divId w:val="1602837791"/>
        <w:rPr>
          <w:sz w:val="20"/>
          <w:szCs w:val="20"/>
        </w:rPr>
      </w:pPr>
      <w:r>
        <w:rPr>
          <w:b/>
          <w:bCs/>
          <w:sz w:val="20"/>
          <w:szCs w:val="20"/>
        </w:rPr>
        <w:t xml:space="preserve">Summary of Principal Risks Associated with Theravance Biopharma’s Business </w:t>
      </w:r>
    </w:p>
    <w:p w:rsidR="00000000" w:rsidRDefault="001E618F">
      <w:pPr>
        <w:pStyle w:val="a3"/>
        <w:spacing w:before="0" w:beforeAutospacing="0" w:after="0" w:afterAutospacing="0"/>
        <w:ind w:firstLine="720"/>
        <w:divId w:val="160283779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602837791"/>
        </w:trPr>
        <w:tc>
          <w:tcPr>
            <w:tcW w:w="108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We may never achieve or sustain profitability;</w:t>
            </w:r>
          </w:p>
        </w:tc>
      </w:tr>
    </w:tbl>
    <w:p w:rsidR="00000000" w:rsidRDefault="001E618F">
      <w:pPr>
        <w:pStyle w:val="a3"/>
        <w:spacing w:before="0" w:beforeAutospacing="0" w:after="0" w:afterAutospacing="0"/>
        <w:ind w:left="1440"/>
        <w:divId w:val="160283779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602837791"/>
        </w:trPr>
        <w:tc>
          <w:tcPr>
            <w:tcW w:w="108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 xml:space="preserve">We face risks related to health epidemics, including the recent COVID-19 pandemic, which could have a </w:t>
            </w:r>
          </w:p>
        </w:tc>
      </w:tr>
    </w:tbl>
    <w:p w:rsidR="00000000" w:rsidRDefault="001E618F">
      <w:pPr>
        <w:pStyle w:val="a3"/>
        <w:spacing w:before="360" w:beforeAutospacing="0" w:after="0" w:afterAutospacing="0"/>
        <w:jc w:val="center"/>
        <w:divId w:val="521431672"/>
        <w:rPr>
          <w:sz w:val="20"/>
          <w:szCs w:val="20"/>
        </w:rPr>
      </w:pPr>
      <w:r>
        <w:rPr>
          <w:sz w:val="20"/>
          <w:szCs w:val="20"/>
        </w:rPr>
        <w:t>31</w:t>
      </w:r>
    </w:p>
    <w:p w:rsidR="00000000" w:rsidRDefault="001E618F">
      <w:pPr>
        <w:pStyle w:val="a3"/>
        <w:spacing w:before="0" w:beforeAutospacing="0" w:after="600" w:afterAutospacing="0"/>
        <w:divId w:val="2114090828"/>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1080"/>
        <w:gridCol w:w="368"/>
        <w:gridCol w:w="6858"/>
      </w:tblGrid>
      <w:tr w:rsidR="00000000">
        <w:trPr>
          <w:divId w:val="266543067"/>
        </w:trPr>
        <w:tc>
          <w:tcPr>
            <w:tcW w:w="108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material adverse effect on our business and results of operations;</w:t>
            </w:r>
          </w:p>
        </w:tc>
      </w:tr>
    </w:tbl>
    <w:p w:rsidR="00000000" w:rsidRDefault="001E618F">
      <w:pPr>
        <w:pStyle w:val="a3"/>
        <w:spacing w:before="0" w:beforeAutospacing="0" w:after="0" w:afterAutospacing="0"/>
        <w:ind w:left="720"/>
        <w:divId w:val="26654306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266543067"/>
        </w:trPr>
        <w:tc>
          <w:tcPr>
            <w:tcW w:w="108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We do not control TRC and, in particular, have no control over the GSK-Partnered Respiratory Programs, including TRELEGY, or access to non-public information regarding the development of the GSK-Partnered Respiratory Programs;</w:t>
            </w:r>
          </w:p>
        </w:tc>
      </w:tr>
    </w:tbl>
    <w:p w:rsidR="00000000" w:rsidRDefault="001E618F">
      <w:pPr>
        <w:pStyle w:val="a3"/>
        <w:spacing w:before="0" w:beforeAutospacing="0" w:after="0" w:afterAutospacing="0"/>
        <w:ind w:left="720"/>
        <w:divId w:val="26654306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266543067"/>
        </w:trPr>
        <w:tc>
          <w:tcPr>
            <w:tcW w:w="108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If there are any advers</w:t>
            </w:r>
            <w:r>
              <w:rPr>
                <w:rFonts w:eastAsia="Times New Roman"/>
                <w:sz w:val="20"/>
                <w:szCs w:val="20"/>
              </w:rPr>
              <w:t xml:space="preserve">e developments or perceived adverse developments with respect to the GSK-Partnered Respiratory Programs in which we have a substantial economic interest, including TRELEGY, our business will be harmed, and the price of our securities could fall; </w:t>
            </w:r>
          </w:p>
        </w:tc>
      </w:tr>
    </w:tbl>
    <w:p w:rsidR="00000000" w:rsidRDefault="001E618F">
      <w:pPr>
        <w:pStyle w:val="a3"/>
        <w:spacing w:before="0" w:beforeAutospacing="0" w:after="0" w:afterAutospacing="0"/>
        <w:divId w:val="26654306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266543067"/>
        </w:trPr>
        <w:tc>
          <w:tcPr>
            <w:tcW w:w="108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 xml:space="preserve">If </w:t>
            </w:r>
            <w:r>
              <w:rPr>
                <w:rFonts w:eastAsia="Times New Roman"/>
                <w:sz w:val="20"/>
                <w:szCs w:val="20"/>
              </w:rPr>
              <w:t>YUPELRI does not continue to be accepted by physicians, patients, third-party payors, or the medical community in general, we may not receive significant additional revenues from sales of this product;</w:t>
            </w:r>
          </w:p>
        </w:tc>
      </w:tr>
    </w:tbl>
    <w:p w:rsidR="00000000" w:rsidRDefault="001E618F">
      <w:pPr>
        <w:pStyle w:val="a3"/>
        <w:spacing w:before="0" w:beforeAutospacing="0" w:after="0" w:afterAutospacing="0"/>
        <w:ind w:left="720"/>
        <w:divId w:val="26654306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266543067"/>
        </w:trPr>
        <w:tc>
          <w:tcPr>
            <w:tcW w:w="108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Any delay in commencing or completing clinical s</w:t>
            </w:r>
            <w:r>
              <w:rPr>
                <w:rFonts w:eastAsia="Times New Roman"/>
                <w:sz w:val="20"/>
                <w:szCs w:val="20"/>
              </w:rPr>
              <w:t>tudies for product candidates and any adverse results from clinical or non-clinical studies or regulatory obstacles product candidates may face, would harm our business and the price of our securities could fall;</w:t>
            </w:r>
          </w:p>
        </w:tc>
      </w:tr>
    </w:tbl>
    <w:p w:rsidR="00000000" w:rsidRDefault="001E618F">
      <w:pPr>
        <w:pStyle w:val="a3"/>
        <w:spacing w:before="0" w:beforeAutospacing="0" w:after="0" w:afterAutospacing="0"/>
        <w:ind w:left="720"/>
        <w:divId w:val="26654306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266543067"/>
        </w:trPr>
        <w:tc>
          <w:tcPr>
            <w:tcW w:w="108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If our product candidates are not approved by regulatory authorities, including the FDA, we will be unable to commercialize them;</w:t>
            </w:r>
          </w:p>
        </w:tc>
      </w:tr>
    </w:tbl>
    <w:p w:rsidR="00000000" w:rsidRDefault="001E618F">
      <w:pPr>
        <w:pStyle w:val="a3"/>
        <w:spacing w:before="0" w:beforeAutospacing="0" w:after="0" w:afterAutospacing="0"/>
        <w:ind w:left="720"/>
        <w:divId w:val="26654306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266543067"/>
        </w:trPr>
        <w:tc>
          <w:tcPr>
            <w:tcW w:w="108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If sufficient capital is not available, we may have to further curtail operations or we could be forced to share our rig</w:t>
            </w:r>
            <w:r>
              <w:rPr>
                <w:rFonts w:eastAsia="Times New Roman"/>
                <w:sz w:val="20"/>
                <w:szCs w:val="20"/>
              </w:rPr>
              <w:t>hts to commercialize our product candidates with third parties on terms that may not be favorable to us;</w:t>
            </w:r>
          </w:p>
        </w:tc>
      </w:tr>
    </w:tbl>
    <w:p w:rsidR="00000000" w:rsidRDefault="001E618F">
      <w:pPr>
        <w:pStyle w:val="a3"/>
        <w:spacing w:before="0" w:beforeAutospacing="0" w:after="0" w:afterAutospacing="0"/>
        <w:ind w:left="720"/>
        <w:divId w:val="26654306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266543067"/>
        </w:trPr>
        <w:tc>
          <w:tcPr>
            <w:tcW w:w="108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We may fail to achieve the expected cost savings and related benefits from our September 2021 Restructuring;</w:t>
            </w:r>
          </w:p>
        </w:tc>
      </w:tr>
    </w:tbl>
    <w:p w:rsidR="00000000" w:rsidRDefault="001E618F">
      <w:pPr>
        <w:pStyle w:val="a3"/>
        <w:spacing w:before="0" w:beforeAutospacing="0" w:after="0" w:afterAutospacing="0"/>
        <w:ind w:left="720"/>
        <w:divId w:val="26654306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266543067"/>
        </w:trPr>
        <w:tc>
          <w:tcPr>
            <w:tcW w:w="108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If our partners do not satisfy</w:t>
            </w:r>
            <w:r>
              <w:rPr>
                <w:rFonts w:eastAsia="Times New Roman"/>
                <w:sz w:val="20"/>
                <w:szCs w:val="20"/>
              </w:rPr>
              <w:t xml:space="preserve"> their obligations under our agreements with them, or if they terminate our partnerships with them, we may not be able to develop or commercialize our partnered product candidates as planned; and</w:t>
            </w:r>
          </w:p>
        </w:tc>
      </w:tr>
    </w:tbl>
    <w:p w:rsidR="00000000" w:rsidRDefault="001E618F">
      <w:pPr>
        <w:pStyle w:val="a3"/>
        <w:spacing w:before="0" w:beforeAutospacing="0" w:after="0" w:afterAutospacing="0"/>
        <w:ind w:left="720"/>
        <w:divId w:val="26654306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266543067"/>
        </w:trPr>
        <w:tc>
          <w:tcPr>
            <w:tcW w:w="108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Our ongoing drug discovery and development efforts mig</w:t>
            </w:r>
            <w:r>
              <w:rPr>
                <w:rFonts w:eastAsia="Times New Roman"/>
                <w:sz w:val="20"/>
                <w:szCs w:val="20"/>
              </w:rPr>
              <w:t>ht not generate additional successful product candidates or approvable drugs.</w:t>
            </w:r>
          </w:p>
        </w:tc>
      </w:tr>
    </w:tbl>
    <w:p w:rsidR="00000000" w:rsidRDefault="001E618F">
      <w:pPr>
        <w:pStyle w:val="a3"/>
        <w:spacing w:before="0" w:beforeAutospacing="0" w:after="0" w:afterAutospacing="0"/>
        <w:ind w:left="720"/>
        <w:divId w:val="266543067"/>
        <w:rPr>
          <w:sz w:val="20"/>
          <w:szCs w:val="20"/>
        </w:rPr>
      </w:pPr>
      <w:r>
        <w:rPr>
          <w:sz w:val="20"/>
          <w:szCs w:val="20"/>
        </w:rPr>
        <w:t>​</w:t>
      </w:r>
    </w:p>
    <w:p w:rsidR="00000000" w:rsidRDefault="001E618F">
      <w:pPr>
        <w:pStyle w:val="a3"/>
        <w:spacing w:before="0" w:beforeAutospacing="0" w:after="0" w:afterAutospacing="0"/>
        <w:divId w:val="266543067"/>
        <w:rPr>
          <w:sz w:val="20"/>
          <w:szCs w:val="20"/>
        </w:rPr>
      </w:pPr>
      <w:r>
        <w:rPr>
          <w:sz w:val="20"/>
          <w:szCs w:val="20"/>
        </w:rPr>
        <w:t>​</w:t>
      </w:r>
    </w:p>
    <w:p w:rsidR="00000000" w:rsidRDefault="001E618F">
      <w:pPr>
        <w:pStyle w:val="a3"/>
        <w:spacing w:before="0" w:beforeAutospacing="0" w:after="0" w:afterAutospacing="0"/>
        <w:divId w:val="266543067"/>
        <w:rPr>
          <w:sz w:val="20"/>
          <w:szCs w:val="20"/>
        </w:rPr>
      </w:pPr>
      <w:r>
        <w:rPr>
          <w:b/>
          <w:bCs/>
          <w:sz w:val="20"/>
          <w:szCs w:val="20"/>
        </w:rPr>
        <w:t xml:space="preserve">RISKS RELATING TO THE COMPANY </w:t>
      </w:r>
    </w:p>
    <w:p w:rsidR="00000000" w:rsidRDefault="001E618F">
      <w:pPr>
        <w:pStyle w:val="a3"/>
        <w:spacing w:before="0" w:beforeAutospacing="0" w:after="0" w:afterAutospacing="0"/>
        <w:divId w:val="266543067"/>
        <w:rPr>
          <w:sz w:val="20"/>
          <w:szCs w:val="20"/>
        </w:rPr>
      </w:pPr>
      <w:r>
        <w:rPr>
          <w:b/>
          <w:bCs/>
          <w:sz w:val="20"/>
          <w:szCs w:val="20"/>
        </w:rPr>
        <w:t>​</w:t>
      </w:r>
    </w:p>
    <w:p w:rsidR="00000000" w:rsidRDefault="001E618F">
      <w:pPr>
        <w:pStyle w:val="a3"/>
        <w:spacing w:before="0" w:beforeAutospacing="0" w:after="120" w:afterAutospacing="0"/>
        <w:divId w:val="266543067"/>
        <w:rPr>
          <w:sz w:val="20"/>
          <w:szCs w:val="20"/>
        </w:rPr>
      </w:pPr>
      <w:r>
        <w:rPr>
          <w:b/>
          <w:bCs/>
          <w:i/>
          <w:iCs/>
          <w:sz w:val="20"/>
          <w:szCs w:val="20"/>
        </w:rPr>
        <w:t>We may never achieve or sustain profitability.</w:t>
      </w:r>
    </w:p>
    <w:p w:rsidR="00000000" w:rsidRDefault="001E618F">
      <w:pPr>
        <w:pStyle w:val="a3"/>
        <w:spacing w:before="0" w:beforeAutospacing="0" w:after="0" w:afterAutospacing="0"/>
        <w:ind w:firstLine="720"/>
        <w:divId w:val="266543067"/>
        <w:rPr>
          <w:sz w:val="20"/>
          <w:szCs w:val="20"/>
        </w:rPr>
      </w:pPr>
      <w:r>
        <w:rPr>
          <w:sz w:val="20"/>
          <w:szCs w:val="20"/>
        </w:rPr>
        <w:t>First as part of Innoviva, Inc., and since June </w:t>
      </w:r>
      <w:r>
        <w:rPr>
          <w:sz w:val="20"/>
          <w:szCs w:val="20"/>
        </w:rPr>
        <w:t>2, 2014 as Theravance Biopharma, we have been engaged in discovery and development of compounds and product candidates since mid-1997. We expect to be sustainably cash-flow positive beginning in the second half of 2022 and going forward on an annual basis;</w:t>
      </w:r>
      <w:r>
        <w:rPr>
          <w:sz w:val="20"/>
          <w:szCs w:val="20"/>
        </w:rPr>
        <w:t xml:space="preserve"> however, we may never generate sufficient revenue from the sale of medicines, royalties on sales by our partners or from our interest in Theravance Respiratory Company, LLC (“TRC”) to achieve profitability. Despite expected expense savings from the Restru</w:t>
      </w:r>
      <w:r>
        <w:rPr>
          <w:sz w:val="20"/>
          <w:szCs w:val="20"/>
        </w:rPr>
        <w:t>cturing, we may continue to incur net losses over the next several years due to expenditures relating to our continuing drug discovery efforts and preclinical and clinical development of our current product candidates. During the three months ended March 3</w:t>
      </w:r>
      <w:r>
        <w:rPr>
          <w:sz w:val="20"/>
          <w:szCs w:val="20"/>
        </w:rPr>
        <w:t>1, 2022 and years ended December 31, 2021 and 2020, we recognized net losses of $25.9 million, $199.4 million and $278.0 million, respectively, which are reflected in the shareholders’ deficit on our condensed consolidated balance sheets. We reflect the cu</w:t>
      </w:r>
      <w:r>
        <w:rPr>
          <w:sz w:val="20"/>
          <w:szCs w:val="20"/>
        </w:rPr>
        <w:t>mulative net loss incurred after June 2, 2014, the effective date of our spin-off from Innoviva, Inc. (the “Spin-Off”), as accumulated deficit on our condensed consolidated balance sheets, which was $1.8 billion as of March 31, 2022. We may continue to inc</w:t>
      </w:r>
      <w:r>
        <w:rPr>
          <w:sz w:val="20"/>
          <w:szCs w:val="20"/>
        </w:rPr>
        <w:t xml:space="preserve">ur net losses in the future in connection with our drug discovery and development efforts to maximize the value of our pipeline and commercialization and development costs relating to YUPELRI. In particular, to the extent we advance our product candidates </w:t>
      </w:r>
      <w:r>
        <w:rPr>
          <w:sz w:val="20"/>
          <w:szCs w:val="20"/>
        </w:rPr>
        <w:t xml:space="preserve">into and through later stage clinical studies without a partner, we may incur substantial expenses. In addition, we may invest strategically in our research efforts to continue to grow our development pipeline. </w:t>
      </w:r>
    </w:p>
    <w:p w:rsidR="00000000" w:rsidRDefault="001E618F">
      <w:pPr>
        <w:pStyle w:val="a3"/>
        <w:spacing w:before="360" w:beforeAutospacing="0" w:after="0" w:afterAutospacing="0"/>
        <w:jc w:val="center"/>
        <w:divId w:val="948390008"/>
        <w:rPr>
          <w:sz w:val="20"/>
          <w:szCs w:val="20"/>
        </w:rPr>
      </w:pPr>
      <w:r>
        <w:rPr>
          <w:sz w:val="20"/>
          <w:szCs w:val="20"/>
        </w:rPr>
        <w:t>32</w:t>
      </w:r>
    </w:p>
    <w:p w:rsidR="00000000" w:rsidRDefault="001E618F">
      <w:pPr>
        <w:pStyle w:val="a3"/>
        <w:spacing w:before="0" w:beforeAutospacing="0" w:after="600" w:afterAutospacing="0"/>
        <w:divId w:val="710299791"/>
        <w:rPr>
          <w:sz w:val="20"/>
          <w:szCs w:val="20"/>
        </w:rPr>
      </w:pPr>
      <w:hyperlink w:anchor="TOC" w:history="1">
        <w:r>
          <w:rPr>
            <w:rStyle w:val="a4"/>
            <w:sz w:val="20"/>
            <w:szCs w:val="20"/>
          </w:rPr>
          <w:t>Table of Conten</w:t>
        </w:r>
        <w:r>
          <w:rPr>
            <w:rStyle w:val="a4"/>
            <w:sz w:val="20"/>
            <w:szCs w:val="20"/>
          </w:rPr>
          <w:t>ts</w:t>
        </w:r>
      </w:hyperlink>
    </w:p>
    <w:p w:rsidR="00000000" w:rsidRDefault="001E618F">
      <w:pPr>
        <w:pStyle w:val="a3"/>
        <w:spacing w:before="0" w:beforeAutospacing="0" w:after="200" w:afterAutospacing="0"/>
        <w:divId w:val="969556940"/>
        <w:rPr>
          <w:sz w:val="20"/>
          <w:szCs w:val="20"/>
        </w:rPr>
      </w:pPr>
      <w:r>
        <w:rPr>
          <w:sz w:val="20"/>
          <w:szCs w:val="20"/>
        </w:rPr>
        <w:t>While our YUPELRI operations were profitable on a brand basis in the first quarter of 2022,</w:t>
      </w:r>
      <w:r>
        <w:rPr>
          <w:color w:val="FF0000"/>
          <w:sz w:val="20"/>
          <w:szCs w:val="20"/>
        </w:rPr>
        <w:t xml:space="preserve"> </w:t>
      </w:r>
      <w:r>
        <w:rPr>
          <w:sz w:val="20"/>
          <w:szCs w:val="20"/>
        </w:rPr>
        <w:t>we will continue to incur costs and expenses associated with the commercialization of YUPELRI in the United States (“US”), including the maintenance of an indepe</w:t>
      </w:r>
      <w:r>
        <w:rPr>
          <w:sz w:val="20"/>
          <w:szCs w:val="20"/>
        </w:rPr>
        <w:t>ndent sales and marketing organization with appropriate technical expertise, a medical affairs presence and consultant support, and post-marketing studies. Our commitment of resources to the continued development of our existing product candidates, our dis</w:t>
      </w:r>
      <w:r>
        <w:rPr>
          <w:sz w:val="20"/>
          <w:szCs w:val="20"/>
        </w:rPr>
        <w:t>covery programs, and YUPELRI will require additional funding. Our operating expenses also will increase if, among other things: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69556940"/>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our earlier stage potential products move into later-stage clinical development, which is generally more expensive than early</w:t>
            </w:r>
            <w:r>
              <w:rPr>
                <w:rFonts w:eastAsia="Times New Roman"/>
                <w:sz w:val="20"/>
                <w:szCs w:val="20"/>
              </w:rPr>
              <w:t xml:space="preserve"> stage development;</w:t>
            </w:r>
          </w:p>
        </w:tc>
      </w:tr>
    </w:tbl>
    <w:p w:rsidR="00000000" w:rsidRDefault="001E618F">
      <w:pPr>
        <w:pStyle w:val="a3"/>
        <w:spacing w:before="0" w:beforeAutospacing="0" w:after="0" w:afterAutospacing="0"/>
        <w:ind w:left="1080"/>
        <w:divId w:val="96955694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69556940"/>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additional preclinical product candidates are selected for clinical development;</w:t>
            </w:r>
          </w:p>
        </w:tc>
      </w:tr>
    </w:tbl>
    <w:p w:rsidR="00000000" w:rsidRDefault="001E618F">
      <w:pPr>
        <w:pStyle w:val="a3"/>
        <w:spacing w:before="0" w:beforeAutospacing="0" w:after="0" w:afterAutospacing="0"/>
        <w:ind w:left="1080"/>
        <w:divId w:val="96955694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69556940"/>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we pursue clinical development of our potential or current products in new indications;</w:t>
            </w:r>
          </w:p>
        </w:tc>
      </w:tr>
    </w:tbl>
    <w:p w:rsidR="00000000" w:rsidRDefault="001E618F">
      <w:pPr>
        <w:pStyle w:val="a3"/>
        <w:spacing w:before="0" w:beforeAutospacing="0" w:after="0" w:afterAutospacing="0"/>
        <w:ind w:left="1080"/>
        <w:divId w:val="96955694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69556940"/>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 xml:space="preserve">our clinical trials become more complicated due to the COVID-19 pandemic or other external factors; </w:t>
            </w:r>
          </w:p>
        </w:tc>
      </w:tr>
    </w:tbl>
    <w:p w:rsidR="00000000" w:rsidRDefault="001E618F">
      <w:pPr>
        <w:pStyle w:val="a3"/>
        <w:spacing w:before="0" w:beforeAutospacing="0" w:after="0" w:afterAutospacing="0"/>
        <w:divId w:val="96955694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69556940"/>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spacing w:after="200"/>
              <w:rPr>
                <w:rFonts w:eastAsia="Times New Roman"/>
                <w:sz w:val="20"/>
                <w:szCs w:val="20"/>
              </w:rPr>
            </w:pPr>
            <w:r>
              <w:rPr>
                <w:rFonts w:eastAsia="Times New Roman"/>
                <w:sz w:val="20"/>
                <w:szCs w:val="20"/>
              </w:rPr>
              <w:t>we increase the number of patents we are prosecuting or</w:t>
            </w:r>
            <w:r>
              <w:rPr>
                <w:rFonts w:eastAsia="Times New Roman"/>
                <w:sz w:val="20"/>
                <w:szCs w:val="20"/>
              </w:rPr>
              <w:t xml:space="preserve"> otherwise expend additional resources on patent prosecution or defense; or</w:t>
            </w:r>
          </w:p>
        </w:tc>
      </w:tr>
    </w:tbl>
    <w:p w:rsidR="00000000" w:rsidRDefault="001E618F">
      <w:pPr>
        <w:divId w:val="96955694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969556940"/>
        </w:trPr>
        <w:tc>
          <w:tcPr>
            <w:tcW w:w="720" w:type="dxa"/>
            <w:vAlign w:val="center"/>
            <w:hideMark/>
          </w:tcPr>
          <w:p w:rsidR="00000000" w:rsidRDefault="001E618F">
            <w:pPr>
              <w:rPr>
                <w:rFonts w:eastAsia="Times New Roman"/>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we acquire or in-license additional technologies, product candidates, products or businesses.</w:t>
            </w:r>
          </w:p>
        </w:tc>
      </w:tr>
    </w:tbl>
    <w:p w:rsidR="00000000" w:rsidRDefault="001E618F">
      <w:pPr>
        <w:pStyle w:val="a3"/>
        <w:spacing w:before="0" w:beforeAutospacing="0" w:after="200" w:afterAutospacing="0"/>
        <w:ind w:firstLine="720"/>
        <w:divId w:val="969556940"/>
        <w:rPr>
          <w:sz w:val="20"/>
          <w:szCs w:val="20"/>
        </w:rPr>
      </w:pPr>
      <w:r>
        <w:rPr>
          <w:sz w:val="20"/>
          <w:szCs w:val="20"/>
        </w:rPr>
        <w:t>While we are generating revenues and income from (i) sales of YUPELRI, (ii) our economic interest in royalties from net sales of TRELEGY paid to TRC (63.75% of w</w:t>
      </w:r>
      <w:r>
        <w:rPr>
          <w:sz w:val="20"/>
          <w:szCs w:val="20"/>
        </w:rPr>
        <w:t>hich amounts are used to make payments on the Non-Recourse 2035 Notes) and other economic and royalty interests, and (iii) payments under collaboration agreements, we do not expect to generate significant revenues in the near future. As a result of the COV</w:t>
      </w:r>
      <w:r>
        <w:rPr>
          <w:sz w:val="20"/>
          <w:szCs w:val="20"/>
        </w:rPr>
        <w:t>ID-19 pandemic (defined below), we could experience declines in revenues from these sources or fail to meet our revenue expectations. If we or our collaborators or licensees are not able to successfully develop additional products, obtain required regulato</w:t>
      </w:r>
      <w:r>
        <w:rPr>
          <w:sz w:val="20"/>
          <w:szCs w:val="20"/>
        </w:rPr>
        <w:t>ry approvals, manufacture products at an acceptable cost or with appropriate quality, or successfully market and sell such products with desired margins, our expenses will continue to exceed any revenues we may receive in the future.</w:t>
      </w:r>
    </w:p>
    <w:p w:rsidR="00000000" w:rsidRDefault="001E618F">
      <w:pPr>
        <w:pStyle w:val="a3"/>
        <w:spacing w:before="0" w:beforeAutospacing="0" w:after="0" w:afterAutospacing="0"/>
        <w:ind w:firstLine="720"/>
        <w:divId w:val="969556940"/>
        <w:rPr>
          <w:sz w:val="20"/>
          <w:szCs w:val="20"/>
        </w:rPr>
      </w:pPr>
      <w:r>
        <w:rPr>
          <w:sz w:val="20"/>
          <w:szCs w:val="20"/>
        </w:rPr>
        <w:t>Our new strategic busi</w:t>
      </w:r>
      <w:r>
        <w:rPr>
          <w:sz w:val="20"/>
          <w:szCs w:val="20"/>
        </w:rPr>
        <w:t>ness plan is subject to significant uncertainties and risks as a result of, among other factors, the COVID-19 pandemic, clinical program outcomes, whether, when and on what terms we are able to enter into new collaboration arrangements, expenses being high</w:t>
      </w:r>
      <w:r>
        <w:rPr>
          <w:sz w:val="20"/>
          <w:szCs w:val="20"/>
        </w:rPr>
        <w:t>er than anticipated, the sales levels of our approved products, unplanned expenses, cash receipts being lower than anticipated, and the need to satisfy contingent liabilities, including litigation matters and indemnification obligations. Our ability to rea</w:t>
      </w:r>
      <w:r>
        <w:rPr>
          <w:sz w:val="20"/>
          <w:szCs w:val="20"/>
        </w:rPr>
        <w:t xml:space="preserve">ch, and the time required to reach, and then to sustain, profitability are uncertain. As a result, we may incur substantial losses in the future. Failure to become and remain profitable would adversely affect the price of our securities and our ability to </w:t>
      </w:r>
      <w:r>
        <w:rPr>
          <w:sz w:val="20"/>
          <w:szCs w:val="20"/>
        </w:rPr>
        <w:t>raise capital and continue operations.</w:t>
      </w:r>
    </w:p>
    <w:p w:rsidR="00000000" w:rsidRDefault="001E618F">
      <w:pPr>
        <w:pStyle w:val="a3"/>
        <w:spacing w:before="0" w:beforeAutospacing="0" w:after="0" w:afterAutospacing="0"/>
        <w:ind w:firstLine="720"/>
        <w:divId w:val="969556940"/>
        <w:rPr>
          <w:sz w:val="20"/>
          <w:szCs w:val="20"/>
        </w:rPr>
      </w:pPr>
      <w:r>
        <w:rPr>
          <w:sz w:val="20"/>
          <w:szCs w:val="20"/>
        </w:rPr>
        <w:t>​</w:t>
      </w:r>
    </w:p>
    <w:p w:rsidR="00000000" w:rsidRDefault="001E618F">
      <w:pPr>
        <w:pStyle w:val="a3"/>
        <w:spacing w:before="0" w:beforeAutospacing="0" w:after="120" w:afterAutospacing="0"/>
        <w:divId w:val="969556940"/>
        <w:rPr>
          <w:sz w:val="20"/>
          <w:szCs w:val="20"/>
        </w:rPr>
      </w:pPr>
      <w:r>
        <w:rPr>
          <w:b/>
          <w:bCs/>
          <w:i/>
          <w:iCs/>
          <w:sz w:val="20"/>
          <w:szCs w:val="20"/>
        </w:rPr>
        <w:t>We face risks related to health epidemics, including the recent COVID-19 pandemic, which could have a material adverse effect on our business and results of operations.</w:t>
      </w:r>
    </w:p>
    <w:p w:rsidR="00000000" w:rsidRDefault="001E618F">
      <w:pPr>
        <w:pStyle w:val="a3"/>
        <w:spacing w:before="0" w:beforeAutospacing="0" w:after="200" w:afterAutospacing="0"/>
        <w:ind w:firstLine="720"/>
        <w:divId w:val="969556940"/>
        <w:rPr>
          <w:sz w:val="20"/>
          <w:szCs w:val="20"/>
        </w:rPr>
      </w:pPr>
      <w:r>
        <w:rPr>
          <w:sz w:val="20"/>
          <w:szCs w:val="20"/>
        </w:rPr>
        <w:t xml:space="preserve">Our business has been and will continue to be </w:t>
      </w:r>
      <w:r>
        <w:rPr>
          <w:sz w:val="20"/>
          <w:szCs w:val="20"/>
        </w:rPr>
        <w:t xml:space="preserve">adversely affected by the outbreak of respiratory illness caused by a novel strain of coronavirus, SARS-CoV-2, causing the Coronavirus Disease 2019, also known as COVID-19 (the “COVID-19 pandemic”). Global health concerns relating to the COVID-19 pandemic </w:t>
      </w:r>
      <w:r>
        <w:rPr>
          <w:sz w:val="20"/>
          <w:szCs w:val="20"/>
        </w:rPr>
        <w:t>have weighed on the macroeconomic environment, and the pandemic has significantly increased economic volatility and uncertainty.</w:t>
      </w:r>
    </w:p>
    <w:p w:rsidR="00000000" w:rsidRDefault="001E618F">
      <w:pPr>
        <w:pStyle w:val="a3"/>
        <w:spacing w:before="0" w:beforeAutospacing="0" w:after="0" w:afterAutospacing="0"/>
        <w:ind w:firstLine="720"/>
        <w:divId w:val="969556940"/>
        <w:rPr>
          <w:sz w:val="20"/>
          <w:szCs w:val="20"/>
        </w:rPr>
      </w:pPr>
      <w:r>
        <w:rPr>
          <w:sz w:val="20"/>
          <w:szCs w:val="20"/>
        </w:rPr>
        <w:t>The pandemic resulted in government authorities implementing numerous measures to try to contain the virus, such as travel bans</w:t>
      </w:r>
      <w:r>
        <w:rPr>
          <w:sz w:val="20"/>
          <w:szCs w:val="20"/>
        </w:rPr>
        <w:t xml:space="preserve"> and restrictions, quarantines, shelter-in-place or stay-at-home orders, and business shutdowns. These measures have adversely impacted and may further impact our employees and operations and the operations of our customers, suppliers and business partners</w:t>
      </w:r>
      <w:r>
        <w:rPr>
          <w:sz w:val="20"/>
          <w:szCs w:val="20"/>
        </w:rPr>
        <w:t>, and may negatively impact spending patterns, payment cycles and insurance coverage levels. In addition, certain aspects of our business, such as laboratory-based research, cannot be conducted remotely and other aspects of our business, like our hospital-</w:t>
      </w:r>
      <w:r>
        <w:rPr>
          <w:sz w:val="20"/>
          <w:szCs w:val="20"/>
        </w:rPr>
        <w:t>based sales team, our field-based medical affairs team, and our support of sites in our clinical trials, cannot be accomplished as effectively or efficiently remotely. These measures by government authorities, as well as the precautions we will take in ord</w:t>
      </w:r>
      <w:r>
        <w:rPr>
          <w:sz w:val="20"/>
          <w:szCs w:val="20"/>
        </w:rPr>
        <w:t xml:space="preserve">er to operate our business responsibly in light of the COVID-19 pandemic, may </w:t>
      </w:r>
    </w:p>
    <w:p w:rsidR="00000000" w:rsidRDefault="001E618F">
      <w:pPr>
        <w:pStyle w:val="a3"/>
        <w:spacing w:before="360" w:beforeAutospacing="0" w:after="0" w:afterAutospacing="0"/>
        <w:jc w:val="center"/>
        <w:divId w:val="48118179"/>
        <w:rPr>
          <w:sz w:val="20"/>
          <w:szCs w:val="20"/>
        </w:rPr>
      </w:pPr>
      <w:r>
        <w:rPr>
          <w:sz w:val="20"/>
          <w:szCs w:val="20"/>
        </w:rPr>
        <w:t>33</w:t>
      </w:r>
    </w:p>
    <w:p w:rsidR="00000000" w:rsidRDefault="001E618F">
      <w:pPr>
        <w:pStyle w:val="a3"/>
        <w:spacing w:before="0" w:beforeAutospacing="0" w:after="600" w:afterAutospacing="0"/>
        <w:divId w:val="1184780030"/>
        <w:rPr>
          <w:sz w:val="20"/>
          <w:szCs w:val="20"/>
        </w:rPr>
      </w:pPr>
      <w:hyperlink w:anchor="TOC" w:history="1">
        <w:r>
          <w:rPr>
            <w:rStyle w:val="a4"/>
            <w:sz w:val="20"/>
            <w:szCs w:val="20"/>
          </w:rPr>
          <w:t>Table of Contents</w:t>
        </w:r>
      </w:hyperlink>
    </w:p>
    <w:p w:rsidR="00000000" w:rsidRDefault="001E618F">
      <w:pPr>
        <w:pStyle w:val="a3"/>
        <w:spacing w:before="0" w:beforeAutospacing="0" w:after="200" w:afterAutospacing="0"/>
        <w:divId w:val="2145460459"/>
        <w:rPr>
          <w:sz w:val="20"/>
          <w:szCs w:val="20"/>
        </w:rPr>
      </w:pPr>
      <w:r>
        <w:rPr>
          <w:sz w:val="20"/>
          <w:szCs w:val="20"/>
        </w:rPr>
        <w:t>continue to remain in place for a significant period of time, and they are likely to continue to adversely affect our business and</w:t>
      </w:r>
      <w:r>
        <w:rPr>
          <w:sz w:val="20"/>
          <w:szCs w:val="20"/>
        </w:rPr>
        <w:t xml:space="preserve"> results of operations.</w:t>
      </w:r>
    </w:p>
    <w:p w:rsidR="00000000" w:rsidRDefault="001E618F">
      <w:pPr>
        <w:pStyle w:val="a3"/>
        <w:spacing w:before="0" w:beforeAutospacing="0" w:after="200" w:afterAutospacing="0"/>
        <w:ind w:firstLine="720"/>
        <w:divId w:val="2145460459"/>
        <w:rPr>
          <w:sz w:val="20"/>
          <w:szCs w:val="20"/>
        </w:rPr>
      </w:pPr>
      <w:r>
        <w:rPr>
          <w:sz w:val="20"/>
          <w:szCs w:val="20"/>
        </w:rPr>
        <w:t>In addition, we expect sales cycles, particularly for new customers, to continue to be impacted as a result of the COVID-19 pandemic, and we have observed continued volatility in YUPELRI sales. Sales momentum has been affected by CO</w:t>
      </w:r>
      <w:r>
        <w:rPr>
          <w:sz w:val="20"/>
          <w:szCs w:val="20"/>
        </w:rPr>
        <w:t xml:space="preserve">VID-19 and may continue to be in the future. We market YUPELRI in the hospital setting and to pulmonologists, whose practices have been impacted by the pandemic. In mid-March 2020, we suspended in-person sales calls to accounts in response to the COVID-19 </w:t>
      </w:r>
      <w:r>
        <w:rPr>
          <w:sz w:val="20"/>
          <w:szCs w:val="20"/>
        </w:rPr>
        <w:t xml:space="preserve">pandemic. In August 2020, we began reengaging with these customers in-person when certain criteria are met and remotely via telephone calls, electronic mail, digital outreach or video conferencing as we seek to continue to support healthcare professionals </w:t>
      </w:r>
      <w:r>
        <w:rPr>
          <w:sz w:val="20"/>
          <w:szCs w:val="20"/>
        </w:rPr>
        <w:t>and patient care. We are now able to more frequently conduct in-person customer engagements, however there is still high variability of access regionally. Customer orders or new patient use of YUPELRI may decline as a result of, among other things, a shift</w:t>
      </w:r>
      <w:r>
        <w:rPr>
          <w:sz w:val="20"/>
          <w:szCs w:val="20"/>
        </w:rPr>
        <w:t xml:space="preserve"> in our marketing efforts, increased workload of healthcare providers, and the impact of the Center for Disease Control interim guidelines for limiting the exposure of health care workers to the virus that causes COVID-19, in which drug nebulization in COV</w:t>
      </w:r>
      <w:r>
        <w:rPr>
          <w:sz w:val="20"/>
          <w:szCs w:val="20"/>
        </w:rPr>
        <w:t xml:space="preserve">ID-19 positive patients is listed as a high-risk procedure while present in the room for procedures when the healthcare providers’ eyes, nose, or mouth are not protected. We are preparing for continued volatility as disruptions of day-to-day operations of </w:t>
      </w:r>
      <w:r>
        <w:rPr>
          <w:sz w:val="20"/>
          <w:szCs w:val="20"/>
        </w:rPr>
        <w:t xml:space="preserve">hospitals and clinics may continue. In addition, while we do not currently anticipate any supply issues, the COVID-19 pandemic could impact our supply of YUPELRI in the future. At this stage, we are unable to predict with certainty the ultimate disruptive </w:t>
      </w:r>
      <w:r>
        <w:rPr>
          <w:sz w:val="20"/>
          <w:szCs w:val="20"/>
        </w:rPr>
        <w:t xml:space="preserve">impact of the COVID-19 pandemic on both YUPELRI and the rest of our business. </w:t>
      </w:r>
    </w:p>
    <w:p w:rsidR="00000000" w:rsidRDefault="001E618F">
      <w:pPr>
        <w:pStyle w:val="a3"/>
        <w:spacing w:before="0" w:beforeAutospacing="0" w:after="200" w:afterAutospacing="0"/>
        <w:ind w:firstLine="720"/>
        <w:divId w:val="2145460459"/>
        <w:rPr>
          <w:sz w:val="20"/>
          <w:szCs w:val="20"/>
        </w:rPr>
      </w:pPr>
      <w:r>
        <w:rPr>
          <w:sz w:val="20"/>
          <w:szCs w:val="20"/>
        </w:rPr>
        <w:t>In addition, the COVID-19 pandemic makes the conduct of clinical trials more challenging given the paramount importance of adequate safety monitoring, collection of data and dis</w:t>
      </w:r>
      <w:r>
        <w:rPr>
          <w:sz w:val="20"/>
          <w:szCs w:val="20"/>
        </w:rPr>
        <w:t xml:space="preserve">tribution of study drug, all of which are traditionally achieved by in-person visits to our study sites. </w:t>
      </w:r>
      <w:r>
        <w:rPr>
          <w:sz w:val="20"/>
          <w:szCs w:val="20"/>
          <w:shd w:val="clear" w:color="auto" w:fill="FFFFFF"/>
        </w:rPr>
        <w:t xml:space="preserve">Challenges may continue to arise from </w:t>
      </w:r>
      <w:r>
        <w:rPr>
          <w:sz w:val="20"/>
          <w:szCs w:val="20"/>
        </w:rPr>
        <w:t>quarantines, shelter-in-place or stay-at-home orders</w:t>
      </w:r>
      <w:r>
        <w:rPr>
          <w:sz w:val="20"/>
          <w:szCs w:val="20"/>
          <w:shd w:val="clear" w:color="auto" w:fill="FFFFFF"/>
        </w:rPr>
        <w:t>, site closures, travel limitations, potential interruptions to the supply chain for investigational products, other measures to help prevent the spread of COVID-19 or other considerations if site personnel or trial participants become infected with COVID-</w:t>
      </w:r>
      <w:r>
        <w:rPr>
          <w:sz w:val="20"/>
          <w:szCs w:val="20"/>
          <w:shd w:val="clear" w:color="auto" w:fill="FFFFFF"/>
        </w:rPr>
        <w:t xml:space="preserve">19. These challenges may lead to difficulties in meeting protocol-specified procedures. </w:t>
      </w:r>
      <w:r>
        <w:rPr>
          <w:sz w:val="20"/>
          <w:szCs w:val="20"/>
        </w:rPr>
        <w:t>In light of the COVID-19 pandemic, the Company implemented mitigation plans to help ensure patients in the clinical trials have continued access to drug supply and regu</w:t>
      </w:r>
      <w:r>
        <w:rPr>
          <w:sz w:val="20"/>
          <w:szCs w:val="20"/>
        </w:rPr>
        <w:t>lar visits with their physicians for study visits per trial protocols, but there is a risk that our trial data could be impacted if our efforts are insufficient. It is also possible that demand for products that we may pursue could be materially and advers</w:t>
      </w:r>
      <w:r>
        <w:rPr>
          <w:sz w:val="20"/>
          <w:szCs w:val="20"/>
        </w:rPr>
        <w:t>ely affected as a result of COVID-19 and any related economic impact. Furthermore, we cannot assure you that our publicly-announced initiatives addressing COVID-19 will result in commercially-viable products.</w:t>
      </w:r>
    </w:p>
    <w:p w:rsidR="00000000" w:rsidRDefault="001E618F">
      <w:pPr>
        <w:pStyle w:val="a3"/>
        <w:spacing w:before="0" w:beforeAutospacing="0" w:after="200" w:afterAutospacing="0"/>
        <w:ind w:firstLine="720"/>
        <w:divId w:val="2145460459"/>
        <w:rPr>
          <w:sz w:val="20"/>
          <w:szCs w:val="20"/>
        </w:rPr>
      </w:pPr>
      <w:r>
        <w:rPr>
          <w:sz w:val="20"/>
          <w:szCs w:val="20"/>
        </w:rPr>
        <w:t xml:space="preserve">The spread of COVID-19 has caused us to modify </w:t>
      </w:r>
      <w:r>
        <w:rPr>
          <w:sz w:val="20"/>
          <w:szCs w:val="20"/>
        </w:rPr>
        <w:t>our business practices and we may take further actions as may be required by government authorities or that we determine are in the best interests of our employees, customers and business partners. There is no certainty that such actions will be sufficient</w:t>
      </w:r>
      <w:r>
        <w:rPr>
          <w:sz w:val="20"/>
          <w:szCs w:val="20"/>
        </w:rPr>
        <w:t xml:space="preserve"> to mitigate the risks posed by the virus or otherwise be satisfactory to government authorities. If significant portions of our workforce, and particularly our field-based teams and laboratory staff, are unable to work effectively, including due to illnes</w:t>
      </w:r>
      <w:r>
        <w:rPr>
          <w:sz w:val="20"/>
          <w:szCs w:val="20"/>
        </w:rPr>
        <w:t>s, quarantines, social distancing, government actions or other restrictions in connection with the COVID-19 pandemic, our operations will be impacted. The COVID-19 pandemic could limit the ability of our customers, suppliers and business partners to perfor</w:t>
      </w:r>
      <w:r>
        <w:rPr>
          <w:sz w:val="20"/>
          <w:szCs w:val="20"/>
        </w:rPr>
        <w:t>m under their contracts with us, including third-party payers’ ability to make timely payments to us during and following the pandemic. We may also experience a shortage of supplies and materials or a suspension of services from third parties. Additionally</w:t>
      </w:r>
      <w:r>
        <w:rPr>
          <w:sz w:val="20"/>
          <w:szCs w:val="20"/>
        </w:rPr>
        <w:t>, while the potential economic impact brought by, and the duration of, the coronavirus pandemic is difficult to assess or predict, the impact of the coronavirus on the global financial markets may reduce our ability to access capital, which could negativel</w:t>
      </w:r>
      <w:r>
        <w:rPr>
          <w:sz w:val="20"/>
          <w:szCs w:val="20"/>
        </w:rPr>
        <w:t>y impact our long-term liquidity. Even after the COVID-19 pandemic subsides, we may continue to experience an adverse impact to our business as a result of its global economic impact.</w:t>
      </w:r>
    </w:p>
    <w:p w:rsidR="00000000" w:rsidRDefault="001E618F">
      <w:pPr>
        <w:pStyle w:val="a3"/>
        <w:spacing w:before="0" w:beforeAutospacing="0" w:after="200" w:afterAutospacing="0"/>
        <w:ind w:firstLine="720"/>
        <w:divId w:val="2145460459"/>
        <w:rPr>
          <w:sz w:val="20"/>
          <w:szCs w:val="20"/>
        </w:rPr>
      </w:pPr>
      <w:r>
        <w:rPr>
          <w:sz w:val="20"/>
          <w:szCs w:val="20"/>
        </w:rPr>
        <w:t xml:space="preserve">The extent to which the COVID-19 pandemic impacts our business, results </w:t>
      </w:r>
      <w:r>
        <w:rPr>
          <w:sz w:val="20"/>
          <w:szCs w:val="20"/>
        </w:rPr>
        <w:t>of operations and financial condition will depend on future developments, which are highly uncertain and difficult to predict, including, but not limited to, the duration and spread of the pandemic, its severity, the actions to contain the virus or address</w:t>
      </w:r>
      <w:r>
        <w:rPr>
          <w:sz w:val="20"/>
          <w:szCs w:val="20"/>
        </w:rPr>
        <w:t xml:space="preserve"> its impact, vaccine rollout, distribution and acceptance, and how quickly and to what extent normal economic and operating activities can resume. There are no comparable recent events which may provide guidance as to the effect of the spread of the COVID-</w:t>
      </w:r>
      <w:r>
        <w:rPr>
          <w:sz w:val="20"/>
          <w:szCs w:val="20"/>
        </w:rPr>
        <w:t>19 pandemic, and, as a result, the ultimate impact of the COVID-19 pandemic or a similar health epidemic is highly uncertain and subject to change. We do not yet know the full extent of COVID-19’s impact on our business, our operations, or the global econo</w:t>
      </w:r>
      <w:r>
        <w:rPr>
          <w:sz w:val="20"/>
          <w:szCs w:val="20"/>
        </w:rPr>
        <w:t>my as a whole. However, the effects are likely to continue to have a material adverse impact on our future results of operations.</w:t>
      </w:r>
    </w:p>
    <w:p w:rsidR="00000000" w:rsidRDefault="001E618F">
      <w:pPr>
        <w:pStyle w:val="a3"/>
        <w:spacing w:before="360" w:beforeAutospacing="0" w:after="0" w:afterAutospacing="0"/>
        <w:jc w:val="center"/>
        <w:divId w:val="1463226556"/>
        <w:rPr>
          <w:sz w:val="20"/>
          <w:szCs w:val="20"/>
        </w:rPr>
      </w:pPr>
      <w:r>
        <w:rPr>
          <w:sz w:val="20"/>
          <w:szCs w:val="20"/>
        </w:rPr>
        <w:t>34</w:t>
      </w:r>
    </w:p>
    <w:p w:rsidR="00000000" w:rsidRDefault="001E618F">
      <w:pPr>
        <w:pStyle w:val="a3"/>
        <w:spacing w:before="0" w:beforeAutospacing="0" w:after="600" w:afterAutospacing="0"/>
        <w:divId w:val="416902716"/>
        <w:rPr>
          <w:sz w:val="20"/>
          <w:szCs w:val="20"/>
        </w:rPr>
      </w:pPr>
      <w:hyperlink w:anchor="TOC" w:history="1">
        <w:r>
          <w:rPr>
            <w:rStyle w:val="a4"/>
            <w:sz w:val="20"/>
            <w:szCs w:val="20"/>
          </w:rPr>
          <w:t>Table of Contents</w:t>
        </w:r>
      </w:hyperlink>
    </w:p>
    <w:p w:rsidR="00000000" w:rsidRDefault="001E618F">
      <w:pPr>
        <w:pStyle w:val="a3"/>
        <w:spacing w:before="0" w:beforeAutospacing="0" w:after="120" w:afterAutospacing="0"/>
        <w:divId w:val="1434008311"/>
        <w:rPr>
          <w:sz w:val="20"/>
          <w:szCs w:val="20"/>
        </w:rPr>
      </w:pPr>
      <w:r>
        <w:rPr>
          <w:b/>
          <w:bCs/>
          <w:i/>
          <w:iCs/>
          <w:sz w:val="20"/>
          <w:szCs w:val="20"/>
        </w:rPr>
        <w:t>We do not control TRC and, in particular, have no control over the GSK-Partnered Respiratory Programs or access to non-public information regarding the development of the GSK-Partnered Respiratory Programs.</w:t>
      </w:r>
    </w:p>
    <w:p w:rsidR="00000000" w:rsidRDefault="001E618F">
      <w:pPr>
        <w:pStyle w:val="a3"/>
        <w:spacing w:before="0" w:beforeAutospacing="0" w:after="200" w:afterAutospacing="0"/>
        <w:ind w:firstLine="720"/>
        <w:divId w:val="1434008311"/>
        <w:rPr>
          <w:sz w:val="20"/>
          <w:szCs w:val="20"/>
        </w:rPr>
      </w:pPr>
      <w:r>
        <w:rPr>
          <w:sz w:val="20"/>
          <w:szCs w:val="20"/>
        </w:rPr>
        <w:t>Innoviva assigned to TRC its strategic alliance a</w:t>
      </w:r>
      <w:r>
        <w:rPr>
          <w:sz w:val="20"/>
          <w:szCs w:val="20"/>
        </w:rPr>
        <w:t>greement with GSK and all of its rights and obligations under its LABA collaboration agreement other than with respect to RELVAR ELLIPTA/BREO ELLIPTA, ANORO ELLIPTA and vilanterol monotherapy. Our equity interest in TRC entitles us to an 85% economic inter</w:t>
      </w:r>
      <w:r>
        <w:rPr>
          <w:sz w:val="20"/>
          <w:szCs w:val="20"/>
        </w:rPr>
        <w:t>est in any future payments made by GSK under the strategic alliance agreement and under the portion of the collaboration agreement assigned to TRC (the “GSK Agreements”) (net of TRC expenses paid and the amount of cash, if any, expected to be used by TRC p</w:t>
      </w:r>
      <w:r>
        <w:rPr>
          <w:sz w:val="20"/>
          <w:szCs w:val="20"/>
        </w:rPr>
        <w:t xml:space="preserve">ursuant to the TRC LLC Agreement over the next four fiscal quarters), which agreements govern Innoviva’s and GSK’s respective interests in the GSK-Partnered Respiratory Programs. Our equity interest primarily covers TRELEGY (the combination of fluticasone </w:t>
      </w:r>
      <w:r>
        <w:rPr>
          <w:sz w:val="20"/>
          <w:szCs w:val="20"/>
        </w:rPr>
        <w:t xml:space="preserve">furoate, umeclidinium, and vilanterol in a single ELLIPTA inhaler) products. Our economic interest does not include any payments by GSK associated with RELVAR ELLIPTA/BREO ELLIPTA, ANORO ELLIPTA or vilanterol monotherapy. Innoviva controls TRC and, except </w:t>
      </w:r>
      <w:r>
        <w:rPr>
          <w:sz w:val="20"/>
          <w:szCs w:val="20"/>
        </w:rPr>
        <w:t>for certain consent rights, we have no right to participate in the business and affairs of TRC. Innoviva has the exclusive right to appoint TRC’s manager who, among other things, is responsible for the day-to-day management of the GSK-Partnered Respiratory</w:t>
      </w:r>
      <w:r>
        <w:rPr>
          <w:sz w:val="20"/>
          <w:szCs w:val="20"/>
        </w:rPr>
        <w:t xml:space="preserve"> Programs and exercises the rights relating to the GSK-Partnered Respiratory Programs. As a result, we have no rights to participate in, or access to non-public information about, the development and commercialization work GSK and Innoviva are undertaking </w:t>
      </w:r>
      <w:r>
        <w:rPr>
          <w:sz w:val="20"/>
          <w:szCs w:val="20"/>
        </w:rPr>
        <w:t>with respect to the GSK-Partnered Respiratory Programs and no right to enforce rights under the GSK Agreements assigned to TRC. We have had and may in the future have disagreements with Innoviva and TRC regarding Innoviva’s decisions regarding the manageme</w:t>
      </w:r>
      <w:r>
        <w:rPr>
          <w:sz w:val="20"/>
          <w:szCs w:val="20"/>
        </w:rPr>
        <w:t>nt of TRC. The dispute resolution procedures set forth in the TRC LLC Agreement have been invoked two times to date. These procedures can divert management’s attention and require us to incur significant costs. Further, if resolved in a manner adverse to o</w:t>
      </w:r>
      <w:r>
        <w:rPr>
          <w:sz w:val="20"/>
          <w:szCs w:val="20"/>
        </w:rPr>
        <w:t>ur interests, these procedures and the actions that lead to them could have a material impact on our operations. See</w:t>
      </w:r>
      <w:r>
        <w:rPr>
          <w:i/>
          <w:iCs/>
          <w:sz w:val="20"/>
          <w:szCs w:val="20"/>
        </w:rPr>
        <w:t xml:space="preserve"> </w:t>
      </w:r>
      <w:r>
        <w:rPr>
          <w:sz w:val="20"/>
          <w:szCs w:val="20"/>
        </w:rPr>
        <w:t>the Risk Factor entitled “</w:t>
      </w:r>
      <w:r>
        <w:rPr>
          <w:i/>
          <w:iCs/>
          <w:sz w:val="20"/>
          <w:szCs w:val="20"/>
        </w:rPr>
        <w:t>We do not control the commercialization of TRELEGY and we do not control TRC; accordingly the amount of royalties</w:t>
      </w:r>
      <w:r>
        <w:rPr>
          <w:i/>
          <w:iCs/>
          <w:sz w:val="20"/>
          <w:szCs w:val="20"/>
        </w:rPr>
        <w:t xml:space="preserve"> we receive will depend on, among other factors, GSK’s ability to further commercialize TRELEGY and TRC’s decisions concerning use of cash in accordance with the TRC LLC Agreement</w:t>
      </w:r>
      <w:r>
        <w:rPr>
          <w:sz w:val="20"/>
          <w:szCs w:val="20"/>
        </w:rPr>
        <w:t>” for more information. Moreover, we have many of the same risks with respect</w:t>
      </w:r>
      <w:r>
        <w:rPr>
          <w:sz w:val="20"/>
          <w:szCs w:val="20"/>
        </w:rPr>
        <w:t xml:space="preserve"> to our and TRC’s dependence on GSK as we have with respect to our dependence on our own partners, including any adverse impacts on GSK’s operations as a result of the COVID-19 pandemic.</w:t>
      </w:r>
    </w:p>
    <w:p w:rsidR="00000000" w:rsidRDefault="001E618F">
      <w:pPr>
        <w:pStyle w:val="a3"/>
        <w:spacing w:before="0" w:beforeAutospacing="0" w:after="120" w:afterAutospacing="0"/>
        <w:divId w:val="1434008311"/>
        <w:rPr>
          <w:sz w:val="20"/>
          <w:szCs w:val="20"/>
        </w:rPr>
      </w:pPr>
      <w:r>
        <w:rPr>
          <w:b/>
          <w:bCs/>
          <w:i/>
          <w:iCs/>
          <w:sz w:val="20"/>
          <w:szCs w:val="20"/>
        </w:rPr>
        <w:t>If there are any adverse developments or perceived adverse developmen</w:t>
      </w:r>
      <w:r>
        <w:rPr>
          <w:b/>
          <w:bCs/>
          <w:i/>
          <w:iCs/>
          <w:sz w:val="20"/>
          <w:szCs w:val="20"/>
        </w:rPr>
        <w:t>ts with respect to the GSK-Partnered Respiratory Programs in which we have a substantial economic interest, including TRELEGY, our business will be harmed, and the price of our securities could fall.</w:t>
      </w:r>
    </w:p>
    <w:p w:rsidR="00000000" w:rsidRDefault="001E618F">
      <w:pPr>
        <w:pStyle w:val="a3"/>
        <w:spacing w:before="0" w:beforeAutospacing="0" w:after="200" w:afterAutospacing="0"/>
        <w:ind w:firstLine="720"/>
        <w:divId w:val="1434008311"/>
        <w:rPr>
          <w:sz w:val="20"/>
          <w:szCs w:val="20"/>
        </w:rPr>
      </w:pPr>
      <w:r>
        <w:rPr>
          <w:sz w:val="20"/>
          <w:szCs w:val="20"/>
        </w:rPr>
        <w:t>We have no access to non-public information regarding th</w:t>
      </w:r>
      <w:r>
        <w:rPr>
          <w:sz w:val="20"/>
          <w:szCs w:val="20"/>
        </w:rPr>
        <w:t>e development progress of, or plans for, the GSK-Partnered Respiratory Programs, including TRELEGY, and we have little, if any, ability to influence the progress of those programs because our interest in these programs is only through our ownership interes</w:t>
      </w:r>
      <w:r>
        <w:rPr>
          <w:sz w:val="20"/>
          <w:szCs w:val="20"/>
        </w:rPr>
        <w:t>t in TRC, which is controlled by Innoviva. However, if any of the GSK-Partnered Respiratory Programs in which we have a substantial economic interest encounter delays, do not demonstrate required quality, safety and efficacy, are terminated, or if there ar</w:t>
      </w:r>
      <w:r>
        <w:rPr>
          <w:sz w:val="20"/>
          <w:szCs w:val="20"/>
        </w:rPr>
        <w:t>e any adverse developments or perceived adverse developments with respect to such programs, our business will be harmed, and the price of our securities could fall. Examples of such adverse developments include, but are not limited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400831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 xml:space="preserve">disappointing or </w:t>
            </w:r>
            <w:r>
              <w:rPr>
                <w:rFonts w:eastAsia="Times New Roman"/>
                <w:sz w:val="20"/>
                <w:szCs w:val="20"/>
              </w:rPr>
              <w:t>lower than expected sales of TRELEGY;</w:t>
            </w:r>
          </w:p>
        </w:tc>
      </w:tr>
    </w:tbl>
    <w:p w:rsidR="00000000" w:rsidRDefault="001E618F">
      <w:pPr>
        <w:pStyle w:val="a3"/>
        <w:spacing w:before="0" w:beforeAutospacing="0" w:after="0" w:afterAutospacing="0"/>
        <w:ind w:left="1080"/>
        <w:divId w:val="143400831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400831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emergence of new closed triple or other alternative therapies or any developments regarding competitive therapies, including comparative price or efficacy of competitive therapies;</w:t>
            </w:r>
          </w:p>
        </w:tc>
      </w:tr>
    </w:tbl>
    <w:p w:rsidR="00000000" w:rsidRDefault="001E618F">
      <w:pPr>
        <w:pStyle w:val="a3"/>
        <w:spacing w:before="0" w:beforeAutospacing="0" w:after="0" w:afterAutospacing="0"/>
        <w:ind w:left="1080"/>
        <w:divId w:val="143400831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400831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 xml:space="preserve">disputes between GSK </w:t>
            </w:r>
            <w:r>
              <w:rPr>
                <w:rFonts w:eastAsia="Times New Roman"/>
                <w:sz w:val="20"/>
                <w:szCs w:val="20"/>
              </w:rPr>
              <w:t xml:space="preserve">and Innoviva or between us and Innoviva, such as our 2019 arbitration and the arbitration with Innoviva that was completed in early 2021 (see </w:t>
            </w:r>
            <w:r>
              <w:rPr>
                <w:rFonts w:eastAsia="Times New Roman"/>
                <w:i/>
                <w:iCs/>
                <w:sz w:val="20"/>
                <w:szCs w:val="20"/>
              </w:rPr>
              <w:t>“Risk Factors—We do not control the commercialization of TRELEGY and we do not control TRC; accordingly the amount</w:t>
            </w:r>
            <w:r>
              <w:rPr>
                <w:rFonts w:eastAsia="Times New Roman"/>
                <w:i/>
                <w:iCs/>
                <w:sz w:val="20"/>
                <w:szCs w:val="20"/>
              </w:rPr>
              <w:t xml:space="preserve"> of royalties we receive will depend on, among other factors, GSK’s ability to further commercialize TRELEGY and TRC’s decisions concerning use of cash in accordance with the TRC LLC Agreement”</w:t>
            </w:r>
            <w:r>
              <w:rPr>
                <w:rFonts w:eastAsia="Times New Roman"/>
                <w:sz w:val="20"/>
                <w:szCs w:val="20"/>
              </w:rPr>
              <w:t>), each of which concern the withholding of royalty payments we</w:t>
            </w:r>
            <w:r>
              <w:rPr>
                <w:rFonts w:eastAsia="Times New Roman"/>
                <w:sz w:val="20"/>
                <w:szCs w:val="20"/>
              </w:rPr>
              <w:t xml:space="preserve"> believe are due to us under the TRC LLC Agreement;</w:t>
            </w:r>
          </w:p>
        </w:tc>
      </w:tr>
    </w:tbl>
    <w:p w:rsidR="00000000" w:rsidRDefault="001E618F">
      <w:pPr>
        <w:pStyle w:val="a3"/>
        <w:spacing w:before="0" w:beforeAutospacing="0" w:after="0" w:afterAutospacing="0"/>
        <w:ind w:left="1080"/>
        <w:divId w:val="143400831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400831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GSK deciding to modify, delay or halt the TRELEGY program;</w:t>
            </w:r>
          </w:p>
        </w:tc>
      </w:tr>
    </w:tbl>
    <w:p w:rsidR="00000000" w:rsidRDefault="001E618F">
      <w:pPr>
        <w:pStyle w:val="a3"/>
        <w:spacing w:before="0" w:beforeAutospacing="0" w:after="0" w:afterAutospacing="0"/>
        <w:ind w:left="1080"/>
        <w:divId w:val="1434008311"/>
        <w:rPr>
          <w:sz w:val="20"/>
          <w:szCs w:val="20"/>
        </w:rPr>
      </w:pPr>
      <w:r>
        <w:rPr>
          <w:sz w:val="20"/>
          <w:szCs w:val="20"/>
        </w:rPr>
        <w:t>​</w:t>
      </w:r>
    </w:p>
    <w:p w:rsidR="00000000" w:rsidRDefault="001E618F">
      <w:pPr>
        <w:pStyle w:val="a3"/>
        <w:spacing w:before="360" w:beforeAutospacing="0" w:after="0" w:afterAutospacing="0"/>
        <w:jc w:val="center"/>
        <w:divId w:val="680162527"/>
        <w:rPr>
          <w:sz w:val="20"/>
          <w:szCs w:val="20"/>
        </w:rPr>
      </w:pPr>
      <w:r>
        <w:rPr>
          <w:sz w:val="20"/>
          <w:szCs w:val="20"/>
        </w:rPr>
        <w:t>35</w:t>
      </w:r>
    </w:p>
    <w:p w:rsidR="00000000" w:rsidRDefault="001E618F">
      <w:pPr>
        <w:pStyle w:val="a3"/>
        <w:spacing w:before="0" w:beforeAutospacing="0" w:after="600" w:afterAutospacing="0"/>
        <w:divId w:val="1626807493"/>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08158520"/>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FDA and/or other national or foreign regulatory authorities determining that any of the studies under the TRELEGY program does not demonstrate the required quality, safety or efficacy, or that additional non-clinical or clinical studies are required wi</w:t>
            </w:r>
            <w:r>
              <w:rPr>
                <w:rFonts w:eastAsia="Times New Roman"/>
                <w:sz w:val="20"/>
                <w:szCs w:val="20"/>
              </w:rPr>
              <w:t>th respect to the program;</w:t>
            </w:r>
          </w:p>
        </w:tc>
      </w:tr>
    </w:tbl>
    <w:p w:rsidR="00000000" w:rsidRDefault="001E618F">
      <w:pPr>
        <w:pStyle w:val="a3"/>
        <w:spacing w:before="0" w:beforeAutospacing="0" w:after="0" w:afterAutospacing="0"/>
        <w:ind w:left="1080"/>
        <w:divId w:val="180815852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08158520"/>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any adverse effects resulting from the COVID-19 pandemic;</w:t>
            </w:r>
          </w:p>
        </w:tc>
      </w:tr>
    </w:tbl>
    <w:p w:rsidR="00000000" w:rsidRDefault="001E618F">
      <w:pPr>
        <w:pStyle w:val="a3"/>
        <w:spacing w:before="0" w:beforeAutospacing="0" w:after="0" w:afterAutospacing="0"/>
        <w:ind w:left="1080"/>
        <w:divId w:val="180815852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08158520"/>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any safety, efficacy or other concerns regarding the TRELEGY program or any GSK-Partnered Respiratory Program in which we have a substantial economic interest; or</w:t>
            </w:r>
          </w:p>
        </w:tc>
      </w:tr>
    </w:tbl>
    <w:p w:rsidR="00000000" w:rsidRDefault="001E618F">
      <w:pPr>
        <w:pStyle w:val="a3"/>
        <w:spacing w:before="0" w:beforeAutospacing="0" w:after="0" w:afterAutospacing="0"/>
        <w:ind w:left="1080"/>
        <w:divId w:val="180815852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08158520"/>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any particular FDA requirements or changes in FDA policy or guidance regarding the TREL</w:t>
            </w:r>
            <w:r>
              <w:rPr>
                <w:rFonts w:eastAsia="Times New Roman"/>
                <w:sz w:val="20"/>
                <w:szCs w:val="20"/>
              </w:rPr>
              <w:t>EGY program or any other GSK-Partnered Respiratory Program or any particular regulatory requirements in other jurisdictions or changes in the policies or guidance adopted by foreign regulatory authorities.</w:t>
            </w:r>
          </w:p>
        </w:tc>
      </w:tr>
    </w:tbl>
    <w:p w:rsidR="00000000" w:rsidRDefault="001E618F">
      <w:pPr>
        <w:pStyle w:val="a3"/>
        <w:spacing w:before="0" w:beforeAutospacing="0" w:after="0" w:afterAutospacing="0"/>
        <w:divId w:val="1808158520"/>
        <w:rPr>
          <w:sz w:val="20"/>
          <w:szCs w:val="20"/>
        </w:rPr>
      </w:pPr>
      <w:r>
        <w:rPr>
          <w:sz w:val="20"/>
          <w:szCs w:val="20"/>
        </w:rPr>
        <w:t>​</w:t>
      </w:r>
    </w:p>
    <w:p w:rsidR="00000000" w:rsidRDefault="001E618F">
      <w:pPr>
        <w:pStyle w:val="a3"/>
        <w:spacing w:before="0" w:beforeAutospacing="0" w:after="120" w:afterAutospacing="0"/>
        <w:divId w:val="1808158520"/>
        <w:rPr>
          <w:sz w:val="20"/>
          <w:szCs w:val="20"/>
        </w:rPr>
      </w:pPr>
      <w:r>
        <w:rPr>
          <w:b/>
          <w:bCs/>
          <w:i/>
          <w:iCs/>
          <w:sz w:val="20"/>
          <w:szCs w:val="20"/>
        </w:rPr>
        <w:t>Because GSK is a strategic partner of Innoviva,</w:t>
      </w:r>
      <w:r>
        <w:rPr>
          <w:b/>
          <w:bCs/>
          <w:i/>
          <w:iCs/>
          <w:sz w:val="20"/>
          <w:szCs w:val="20"/>
        </w:rPr>
        <w:t xml:space="preserve"> a strategic partner of TRC and a significant shareholder of us, it may take actions that in certain cases are materially harmful to our business and to our other shareholders.</w:t>
      </w:r>
    </w:p>
    <w:p w:rsidR="00000000" w:rsidRDefault="001E618F">
      <w:pPr>
        <w:pStyle w:val="a3"/>
        <w:spacing w:before="0" w:beforeAutospacing="0" w:after="200" w:afterAutospacing="0"/>
        <w:ind w:firstLine="720"/>
        <w:divId w:val="1808158520"/>
        <w:rPr>
          <w:sz w:val="20"/>
          <w:szCs w:val="20"/>
        </w:rPr>
      </w:pPr>
      <w:r>
        <w:rPr>
          <w:sz w:val="20"/>
          <w:szCs w:val="20"/>
        </w:rPr>
        <w:t>Based on our review of publicly available filings, as of March 31, 2022, GSK be</w:t>
      </w:r>
      <w:r>
        <w:rPr>
          <w:sz w:val="20"/>
          <w:szCs w:val="20"/>
        </w:rPr>
        <w:t>neficially owned</w:t>
      </w:r>
      <w:r>
        <w:rPr>
          <w:color w:val="FF0000"/>
          <w:sz w:val="20"/>
          <w:szCs w:val="20"/>
        </w:rPr>
        <w:t xml:space="preserve"> </w:t>
      </w:r>
      <w:r>
        <w:rPr>
          <w:sz w:val="20"/>
          <w:szCs w:val="20"/>
        </w:rPr>
        <w:t>12.7% of our outstanding ordinary shares (although GSK, through a subsidiary, has issued $280,336,000 of exchangeable senior notes due 2023 (the “GSK Notes”), initially exchangeable into 9,644,792 of our ordinary shares). GSK is also a str</w:t>
      </w:r>
      <w:r>
        <w:rPr>
          <w:sz w:val="20"/>
          <w:szCs w:val="20"/>
        </w:rPr>
        <w:t>ategic partner to Innoviva with rights and obligations under the GSK Agreements, which include the strategic alliance agreement and the collaboration agreement assigned to TRC, that may cause GSK’s interests to differ from our interests and those of our ot</w:t>
      </w:r>
      <w:r>
        <w:rPr>
          <w:sz w:val="20"/>
          <w:szCs w:val="20"/>
        </w:rPr>
        <w:t xml:space="preserve">her shareholders. For example, GSK’s commercialization efforts are guided by a portfolio approach across products in which we have an indirect interest through TRC and products in which we have no interest. Accordingly, GSK’s commercialization efforts may </w:t>
      </w:r>
      <w:r>
        <w:rPr>
          <w:sz w:val="20"/>
          <w:szCs w:val="20"/>
        </w:rPr>
        <w:t>have the effect of reducing the value of our interest in TRC. Furthermore, GSK has a substantial respiratory product portfolio in addition to the products covered by the GSK Agreements. GSK may make respiratory product portfolio decisions or statements abo</w:t>
      </w:r>
      <w:r>
        <w:rPr>
          <w:sz w:val="20"/>
          <w:szCs w:val="20"/>
        </w:rPr>
        <w:t>ut its portfolio which may be, or may be perceived to be, harmful to the respiratory products partnered with Innoviva and TRC. For example, GSK could promote its own respiratory products and/or delay or terminate the development or commercialization of the</w:t>
      </w:r>
      <w:r>
        <w:rPr>
          <w:sz w:val="20"/>
          <w:szCs w:val="20"/>
        </w:rPr>
        <w:t xml:space="preserve"> respiratory programs covered by the GSK Agreements, which include TRELEGY. Also, given the potential future royalty payments GSK may be obligated to pay under the GSK Agreements, GSK may seek to acquire us or acquire our interests in TRC in order to effec</w:t>
      </w:r>
      <w:r>
        <w:rPr>
          <w:sz w:val="20"/>
          <w:szCs w:val="20"/>
        </w:rPr>
        <w:t>tively reduce those payment obligations and the price at which GSK might seek to acquire us may not reflect our true value. As a result of these differing interests, GSK may take actions that it believes are in its best interest but which might not be in t</w:t>
      </w:r>
      <w:r>
        <w:rPr>
          <w:sz w:val="20"/>
          <w:szCs w:val="20"/>
        </w:rPr>
        <w:t>he best interests of either us or our other shareholders. In addition, GSK could also seek to challenge our or Innoviva’s post-Spin-Off operations as violating or allowing it to terminate the GSK Agreements, including by violating the confidentiality provi</w:t>
      </w:r>
      <w:r>
        <w:rPr>
          <w:sz w:val="20"/>
          <w:szCs w:val="20"/>
        </w:rPr>
        <w:t>sions of those agreements or the master agreement between GSK, Innoviva and us entered into in connection with the Spin-Off (the “Master Agreement”), or otherwise violating its legal rights. While we believe our operations fully comply with the GSK Agreeme</w:t>
      </w:r>
      <w:r>
        <w:rPr>
          <w:sz w:val="20"/>
          <w:szCs w:val="20"/>
        </w:rPr>
        <w:t>nts, the Master Agreement and applicable law, there can be no assurance that we or Innoviva will prevail against any such claims by GSK. Moreover, regardless of the merit of any claims by GSK, we may incur significant cost and diversion of resources in def</w:t>
      </w:r>
      <w:r>
        <w:rPr>
          <w:sz w:val="20"/>
          <w:szCs w:val="20"/>
        </w:rPr>
        <w:t xml:space="preserve">ending them. In addition, any other action or inaction by either GSK or Innoviva that results in a material dispute, allegation of breach, litigation, arbitration, or significant disagreement between those parties or between us and either of those parties </w:t>
      </w:r>
      <w:r>
        <w:rPr>
          <w:sz w:val="20"/>
          <w:szCs w:val="20"/>
        </w:rPr>
        <w:t xml:space="preserve">may be interpreted negatively by the market or by our investors, could harm our business and cause the price of our securities to fall. Other examples of these kinds of issues include but are not limited to non-performance of other contractual obligations </w:t>
      </w:r>
      <w:r>
        <w:rPr>
          <w:sz w:val="20"/>
          <w:szCs w:val="20"/>
        </w:rPr>
        <w:t>and allegations of non-performance, disagreements over the relative marketing and sales efforts for Innoviva’s partnered products and other GSK respiratory products, disputes over public statements, and similar matters. In general, any uncertainty about re</w:t>
      </w:r>
      <w:r>
        <w:rPr>
          <w:sz w:val="20"/>
          <w:szCs w:val="20"/>
        </w:rPr>
        <w:t>spiratory programs partnered with GSK, the enforceability of the GSK Agreements or the relationship/partnership between Innoviva and GSK or between us and Innoviva could result in significant reduction in the market price of our securities and other materi</w:t>
      </w:r>
      <w:r>
        <w:rPr>
          <w:sz w:val="20"/>
          <w:szCs w:val="20"/>
        </w:rPr>
        <w:t>al harm to our business.</w:t>
      </w:r>
    </w:p>
    <w:p w:rsidR="00000000" w:rsidRDefault="001E618F">
      <w:pPr>
        <w:pStyle w:val="a3"/>
        <w:spacing w:before="0" w:beforeAutospacing="0" w:after="120" w:afterAutospacing="0"/>
        <w:divId w:val="1808158520"/>
        <w:rPr>
          <w:sz w:val="20"/>
          <w:szCs w:val="20"/>
        </w:rPr>
      </w:pPr>
      <w:r>
        <w:rPr>
          <w:b/>
          <w:bCs/>
          <w:i/>
          <w:iCs/>
          <w:sz w:val="20"/>
          <w:szCs w:val="20"/>
        </w:rPr>
        <w:t>We do not control the commercialization of TRELEGY and we do not control TRC; accordingly the amount of royalties we receive will depend on, among other factors, GSK’s ability to further commercialize TRELEGY and TRC’s decisions co</w:t>
      </w:r>
      <w:r>
        <w:rPr>
          <w:b/>
          <w:bCs/>
          <w:i/>
          <w:iCs/>
          <w:sz w:val="20"/>
          <w:szCs w:val="20"/>
        </w:rPr>
        <w:t>ncerning use of cash in accordance with the TRC LLC Agreement.</w:t>
      </w:r>
    </w:p>
    <w:p w:rsidR="00000000" w:rsidRDefault="001E618F">
      <w:pPr>
        <w:pStyle w:val="a3"/>
        <w:spacing w:before="0" w:beforeAutospacing="0" w:after="0" w:afterAutospacing="0"/>
        <w:ind w:firstLine="720"/>
        <w:divId w:val="1808158520"/>
        <w:rPr>
          <w:sz w:val="20"/>
          <w:szCs w:val="20"/>
        </w:rPr>
      </w:pPr>
      <w:r>
        <w:rPr>
          <w:sz w:val="20"/>
          <w:szCs w:val="20"/>
        </w:rPr>
        <w:t>We only receive revenues from TRELEGY based on the amount of sales of this product by GSK in the form of our economic interest in the royalties paid by GSK to TRC, which is managed by Innoviva.</w:t>
      </w:r>
      <w:r>
        <w:rPr>
          <w:sz w:val="20"/>
          <w:szCs w:val="20"/>
        </w:rPr>
        <w:t xml:space="preserve"> There are no required minimum future payments associated with the product and any royalties we receive will depend on GSK’s ability to commercialize the </w:t>
      </w:r>
    </w:p>
    <w:p w:rsidR="00000000" w:rsidRDefault="001E618F">
      <w:pPr>
        <w:pStyle w:val="a3"/>
        <w:spacing w:before="360" w:beforeAutospacing="0" w:after="0" w:afterAutospacing="0"/>
        <w:jc w:val="center"/>
        <w:divId w:val="630987756"/>
        <w:rPr>
          <w:sz w:val="20"/>
          <w:szCs w:val="20"/>
        </w:rPr>
      </w:pPr>
      <w:r>
        <w:rPr>
          <w:sz w:val="20"/>
          <w:szCs w:val="20"/>
        </w:rPr>
        <w:t>36</w:t>
      </w:r>
    </w:p>
    <w:p w:rsidR="00000000" w:rsidRDefault="001E618F">
      <w:pPr>
        <w:pStyle w:val="a3"/>
        <w:spacing w:before="0" w:beforeAutospacing="0" w:after="600" w:afterAutospacing="0"/>
        <w:divId w:val="1742219678"/>
        <w:rPr>
          <w:sz w:val="20"/>
          <w:szCs w:val="20"/>
        </w:rPr>
      </w:pPr>
      <w:hyperlink w:anchor="TOC" w:history="1">
        <w:r>
          <w:rPr>
            <w:rStyle w:val="a4"/>
            <w:sz w:val="20"/>
            <w:szCs w:val="20"/>
          </w:rPr>
          <w:t>Table of Contents</w:t>
        </w:r>
      </w:hyperlink>
    </w:p>
    <w:p w:rsidR="00000000" w:rsidRDefault="001E618F">
      <w:pPr>
        <w:pStyle w:val="a3"/>
        <w:spacing w:before="0" w:beforeAutospacing="0" w:after="200" w:afterAutospacing="0"/>
        <w:divId w:val="1038120173"/>
        <w:rPr>
          <w:sz w:val="20"/>
          <w:szCs w:val="20"/>
        </w:rPr>
      </w:pPr>
      <w:r>
        <w:rPr>
          <w:sz w:val="20"/>
          <w:szCs w:val="20"/>
        </w:rPr>
        <w:t>product, the future payments, if any, made by GSK to TRC, TRC’s expenses, and the amount of cash, if any, expected to be used by TRC pursuant to the TRC LLC Agreement. Following our 2019 arbitration with Innoviva concerning its withholding of certain royal</w:t>
      </w:r>
      <w:r>
        <w:rPr>
          <w:sz w:val="20"/>
          <w:szCs w:val="20"/>
        </w:rPr>
        <w:t>ty distributions to the TRC members, the arbitrator ruled, among other things, that in the future if Innoviva desires to invest TRC funds in any initiatives that require the consent of GSK under the collaboration agreement, Innoviva must first obtain the c</w:t>
      </w:r>
      <w:r>
        <w:rPr>
          <w:sz w:val="20"/>
          <w:szCs w:val="20"/>
        </w:rPr>
        <w:t>onsent of GSK. We initiated an arbitration proceeding in October 2020 against Innoviva and TRC, challenging the authority of Innoviva and TRC to pursue a business plan to use TRELEGY royalties to invest in certain privately-held companies, rather than dist</w:t>
      </w:r>
      <w:r>
        <w:rPr>
          <w:sz w:val="20"/>
          <w:szCs w:val="20"/>
        </w:rPr>
        <w:t>ribute such funds that would otherwise be available for distribution to us under the terms of the TRC LLC Agreement in a manner that we believe is consistent with the TRC LLC Agreement and our 85% economic interest in TRC. On March 30, 2021, the arbitrator</w:t>
      </w:r>
      <w:r>
        <w:rPr>
          <w:sz w:val="20"/>
          <w:szCs w:val="20"/>
        </w:rPr>
        <w:t xml:space="preserve"> ruled that, we had not shown that at their then current levels of investment, Innoviva and TRC had breached the LLC Agreement as of the date of the arbitration. The arbitrator further ruled that Innoviva and TRC had not breached the implied covenant of go</w:t>
      </w:r>
      <w:r>
        <w:rPr>
          <w:sz w:val="20"/>
          <w:szCs w:val="20"/>
        </w:rPr>
        <w:t>od faith and fair dealing; or their fiduciary duties. The arbitrator also ruled that (i) Innoviva was entitled to indemnification from TRC for all legal fees and expenses reasonably incurred in the arbitration and (ii) we were entitled to indemnification f</w:t>
      </w:r>
      <w:r>
        <w:rPr>
          <w:sz w:val="20"/>
          <w:szCs w:val="20"/>
        </w:rPr>
        <w:t>rom TRC for legal fees and costs incurred in defending an action Innoviva brought against us in the Delaware Court of Chancery. The arbitrator noted in the ruling that although we failed to show that Innoviva’s investment activities, at the then current le</w:t>
      </w:r>
      <w:r>
        <w:rPr>
          <w:sz w:val="20"/>
          <w:szCs w:val="20"/>
        </w:rPr>
        <w:t>vels of investment, have or will have a material and adverse effect on our economic interest in TRC, this does not mean that any future investments or actions will not require our consent. The arbitrator noted in the ruling that we may, in the future, have</w:t>
      </w:r>
      <w:r>
        <w:rPr>
          <w:sz w:val="20"/>
          <w:szCs w:val="20"/>
        </w:rPr>
        <w:t xml:space="preserve"> a consent right over the decision to continue this investment strategy or whether to make a particular investment if, for example, Innoviva develops a track record of poor investments, over allocates royalties to these investment activities, or fails to d</w:t>
      </w:r>
      <w:r>
        <w:rPr>
          <w:sz w:val="20"/>
          <w:szCs w:val="20"/>
        </w:rPr>
        <w:t>istribute sufficient investment returns, and such facts cause the strategy or investment to have a material adverse effect on our economic interest in TRC. We have objected to the proposed investments in private companies presented in draft TRC quarterly f</w:t>
      </w:r>
      <w:r>
        <w:rPr>
          <w:sz w:val="20"/>
          <w:szCs w:val="20"/>
        </w:rPr>
        <w:t>inancial plans to date.</w:t>
      </w:r>
    </w:p>
    <w:p w:rsidR="00000000" w:rsidRDefault="001E618F">
      <w:pPr>
        <w:pStyle w:val="a3"/>
        <w:spacing w:before="0" w:beforeAutospacing="0" w:after="200" w:afterAutospacing="0"/>
        <w:ind w:firstLine="720"/>
        <w:divId w:val="1038120173"/>
        <w:rPr>
          <w:sz w:val="20"/>
          <w:szCs w:val="20"/>
        </w:rPr>
      </w:pPr>
      <w:r>
        <w:rPr>
          <w:sz w:val="20"/>
          <w:szCs w:val="20"/>
        </w:rPr>
        <w:t>Accordingly, our economic interest in TRC LLC involves a number of risks and uncertainties, including: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38120173"/>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spacing w:after="18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spacing w:after="180"/>
              <w:rPr>
                <w:rFonts w:eastAsia="Times New Roman"/>
                <w:sz w:val="20"/>
                <w:szCs w:val="20"/>
              </w:rPr>
            </w:pPr>
            <w:r>
              <w:rPr>
                <w:rFonts w:eastAsia="Times New Roman"/>
                <w:sz w:val="20"/>
                <w:szCs w:val="20"/>
              </w:rPr>
              <w:t>any future withholding by Innoviva or TRC of royalty distributions and decisions made by Innoviva, as TRC’s manager, regarding</w:t>
            </w:r>
            <w:r>
              <w:rPr>
                <w:rFonts w:eastAsia="Times New Roman"/>
                <w:sz w:val="20"/>
                <w:szCs w:val="20"/>
              </w:rPr>
              <w:t xml:space="preserve"> the timing and amount of distributions;</w:t>
            </w:r>
          </w:p>
        </w:tc>
      </w:tr>
    </w:tbl>
    <w:p w:rsidR="00000000" w:rsidRDefault="001E618F">
      <w:pPr>
        <w:divId w:val="103812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38120173"/>
        </w:trPr>
        <w:tc>
          <w:tcPr>
            <w:tcW w:w="720" w:type="dxa"/>
            <w:vAlign w:val="center"/>
            <w:hideMark/>
          </w:tcPr>
          <w:p w:rsidR="00000000" w:rsidRDefault="001E618F">
            <w:pPr>
              <w:rPr>
                <w:rFonts w:eastAsia="Times New Roman"/>
              </w:rPr>
            </w:pPr>
          </w:p>
        </w:tc>
        <w:tc>
          <w:tcPr>
            <w:tcW w:w="360" w:type="dxa"/>
            <w:noWrap/>
            <w:tcMar>
              <w:top w:w="0" w:type="dxa"/>
              <w:left w:w="0" w:type="dxa"/>
              <w:bottom w:w="0" w:type="dxa"/>
              <w:right w:w="0" w:type="dxa"/>
            </w:tcMar>
            <w:hideMark/>
          </w:tcPr>
          <w:p w:rsidR="00000000" w:rsidRDefault="001E618F">
            <w:pPr>
              <w:spacing w:after="18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spacing w:after="180"/>
              <w:rPr>
                <w:rFonts w:eastAsia="Times New Roman"/>
                <w:sz w:val="20"/>
                <w:szCs w:val="20"/>
              </w:rPr>
            </w:pPr>
            <w:r>
              <w:rPr>
                <w:rFonts w:eastAsia="Times New Roman"/>
                <w:sz w:val="20"/>
                <w:szCs w:val="20"/>
              </w:rPr>
              <w:t>the amount of cash associated with any additional future investments for which Innoviva expends TRC funds;</w:t>
            </w:r>
          </w:p>
        </w:tc>
      </w:tr>
    </w:tbl>
    <w:p w:rsidR="00000000" w:rsidRDefault="001E618F">
      <w:pPr>
        <w:divId w:val="103812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38120173"/>
        </w:trPr>
        <w:tc>
          <w:tcPr>
            <w:tcW w:w="720" w:type="dxa"/>
            <w:vAlign w:val="center"/>
            <w:hideMark/>
          </w:tcPr>
          <w:p w:rsidR="00000000" w:rsidRDefault="001E618F">
            <w:pPr>
              <w:rPr>
                <w:rFonts w:eastAsia="Times New Roman"/>
              </w:rPr>
            </w:pPr>
          </w:p>
        </w:tc>
        <w:tc>
          <w:tcPr>
            <w:tcW w:w="360" w:type="dxa"/>
            <w:noWrap/>
            <w:tcMar>
              <w:top w:w="0" w:type="dxa"/>
              <w:left w:w="0" w:type="dxa"/>
              <w:bottom w:w="0" w:type="dxa"/>
              <w:right w:w="0" w:type="dxa"/>
            </w:tcMar>
            <w:hideMark/>
          </w:tcPr>
          <w:p w:rsidR="00000000" w:rsidRDefault="001E618F">
            <w:pPr>
              <w:spacing w:after="18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spacing w:after="180"/>
              <w:rPr>
                <w:rFonts w:eastAsia="Times New Roman"/>
                <w:sz w:val="20"/>
                <w:szCs w:val="20"/>
              </w:rPr>
            </w:pPr>
            <w:r>
              <w:rPr>
                <w:rFonts w:eastAsia="Times New Roman"/>
                <w:sz w:val="20"/>
                <w:szCs w:val="20"/>
              </w:rPr>
              <w:t>GSK’s ability to have an adequate supply of TRELEGY product;</w:t>
            </w:r>
          </w:p>
        </w:tc>
      </w:tr>
    </w:tbl>
    <w:p w:rsidR="00000000" w:rsidRDefault="001E618F">
      <w:pPr>
        <w:divId w:val="103812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38120173"/>
        </w:trPr>
        <w:tc>
          <w:tcPr>
            <w:tcW w:w="720" w:type="dxa"/>
            <w:vAlign w:val="center"/>
            <w:hideMark/>
          </w:tcPr>
          <w:p w:rsidR="00000000" w:rsidRDefault="001E618F">
            <w:pPr>
              <w:rPr>
                <w:rFonts w:eastAsia="Times New Roman"/>
              </w:rPr>
            </w:pPr>
          </w:p>
        </w:tc>
        <w:tc>
          <w:tcPr>
            <w:tcW w:w="360" w:type="dxa"/>
            <w:noWrap/>
            <w:tcMar>
              <w:top w:w="0" w:type="dxa"/>
              <w:left w:w="0" w:type="dxa"/>
              <w:bottom w:w="0" w:type="dxa"/>
              <w:right w:w="0" w:type="dxa"/>
            </w:tcMar>
            <w:hideMark/>
          </w:tcPr>
          <w:p w:rsidR="00000000" w:rsidRDefault="001E618F">
            <w:pPr>
              <w:spacing w:after="18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spacing w:after="180"/>
              <w:rPr>
                <w:rFonts w:eastAsia="Times New Roman"/>
                <w:sz w:val="20"/>
                <w:szCs w:val="20"/>
              </w:rPr>
            </w:pPr>
            <w:r>
              <w:rPr>
                <w:rFonts w:eastAsia="Times New Roman"/>
                <w:sz w:val="20"/>
                <w:szCs w:val="20"/>
              </w:rPr>
              <w:t>ongoing compliance by GSK or its</w:t>
            </w:r>
            <w:r>
              <w:rPr>
                <w:rFonts w:eastAsia="Times New Roman"/>
                <w:sz w:val="20"/>
                <w:szCs w:val="20"/>
              </w:rPr>
              <w:t xml:space="preserve"> suppliers with the FDA’s current Good Manufacturing Practice;</w:t>
            </w:r>
          </w:p>
        </w:tc>
      </w:tr>
    </w:tbl>
    <w:p w:rsidR="00000000" w:rsidRDefault="001E618F">
      <w:pPr>
        <w:divId w:val="103812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38120173"/>
        </w:trPr>
        <w:tc>
          <w:tcPr>
            <w:tcW w:w="720" w:type="dxa"/>
            <w:vAlign w:val="center"/>
            <w:hideMark/>
          </w:tcPr>
          <w:p w:rsidR="00000000" w:rsidRDefault="001E618F">
            <w:pPr>
              <w:rPr>
                <w:rFonts w:eastAsia="Times New Roman"/>
              </w:rPr>
            </w:pPr>
          </w:p>
        </w:tc>
        <w:tc>
          <w:tcPr>
            <w:tcW w:w="360" w:type="dxa"/>
            <w:noWrap/>
            <w:tcMar>
              <w:top w:w="0" w:type="dxa"/>
              <w:left w:w="0" w:type="dxa"/>
              <w:bottom w:w="0" w:type="dxa"/>
              <w:right w:w="0" w:type="dxa"/>
            </w:tcMar>
            <w:hideMark/>
          </w:tcPr>
          <w:p w:rsidR="00000000" w:rsidRDefault="001E618F">
            <w:pPr>
              <w:spacing w:after="18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spacing w:after="180"/>
              <w:rPr>
                <w:rFonts w:eastAsia="Times New Roman"/>
                <w:sz w:val="20"/>
                <w:szCs w:val="20"/>
              </w:rPr>
            </w:pPr>
            <w:r>
              <w:rPr>
                <w:rFonts w:eastAsia="Times New Roman"/>
                <w:sz w:val="20"/>
                <w:szCs w:val="20"/>
              </w:rPr>
              <w:t>compliance with other applicable FDA and other regulatory requirements in the US or other foreign jurisdictions, including those described elsewhere in this report;</w:t>
            </w:r>
          </w:p>
        </w:tc>
      </w:tr>
    </w:tbl>
    <w:p w:rsidR="00000000" w:rsidRDefault="001E618F">
      <w:pPr>
        <w:divId w:val="103812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38120173"/>
        </w:trPr>
        <w:tc>
          <w:tcPr>
            <w:tcW w:w="720" w:type="dxa"/>
            <w:vAlign w:val="center"/>
            <w:hideMark/>
          </w:tcPr>
          <w:p w:rsidR="00000000" w:rsidRDefault="001E618F">
            <w:pPr>
              <w:rPr>
                <w:rFonts w:eastAsia="Times New Roman"/>
              </w:rPr>
            </w:pPr>
          </w:p>
        </w:tc>
        <w:tc>
          <w:tcPr>
            <w:tcW w:w="360" w:type="dxa"/>
            <w:noWrap/>
            <w:tcMar>
              <w:top w:w="0" w:type="dxa"/>
              <w:left w:w="0" w:type="dxa"/>
              <w:bottom w:w="0" w:type="dxa"/>
              <w:right w:w="0" w:type="dxa"/>
            </w:tcMar>
            <w:hideMark/>
          </w:tcPr>
          <w:p w:rsidR="00000000" w:rsidRDefault="001E618F">
            <w:pPr>
              <w:spacing w:after="18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spacing w:after="180"/>
              <w:rPr>
                <w:rFonts w:eastAsia="Times New Roman"/>
                <w:sz w:val="20"/>
                <w:szCs w:val="20"/>
              </w:rPr>
            </w:pPr>
            <w:r>
              <w:rPr>
                <w:rFonts w:eastAsia="Times New Roman"/>
                <w:sz w:val="20"/>
                <w:szCs w:val="20"/>
              </w:rPr>
              <w:t>competition, whether from current competitors or new products developed by others in t</w:t>
            </w:r>
            <w:r>
              <w:rPr>
                <w:rFonts w:eastAsia="Times New Roman"/>
                <w:sz w:val="20"/>
                <w:szCs w:val="20"/>
              </w:rPr>
              <w:t>he future;</w:t>
            </w:r>
          </w:p>
        </w:tc>
      </w:tr>
    </w:tbl>
    <w:p w:rsidR="00000000" w:rsidRDefault="001E618F">
      <w:pPr>
        <w:divId w:val="103812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38120173"/>
        </w:trPr>
        <w:tc>
          <w:tcPr>
            <w:tcW w:w="720" w:type="dxa"/>
            <w:vAlign w:val="center"/>
            <w:hideMark/>
          </w:tcPr>
          <w:p w:rsidR="00000000" w:rsidRDefault="001E618F">
            <w:pPr>
              <w:rPr>
                <w:rFonts w:eastAsia="Times New Roman"/>
              </w:rPr>
            </w:pPr>
          </w:p>
        </w:tc>
        <w:tc>
          <w:tcPr>
            <w:tcW w:w="360" w:type="dxa"/>
            <w:noWrap/>
            <w:tcMar>
              <w:top w:w="0" w:type="dxa"/>
              <w:left w:w="0" w:type="dxa"/>
              <w:bottom w:w="0" w:type="dxa"/>
              <w:right w:w="0" w:type="dxa"/>
            </w:tcMar>
            <w:hideMark/>
          </w:tcPr>
          <w:p w:rsidR="00000000" w:rsidRDefault="001E618F">
            <w:pPr>
              <w:spacing w:after="18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spacing w:after="180"/>
              <w:rPr>
                <w:rFonts w:eastAsia="Times New Roman"/>
                <w:sz w:val="20"/>
                <w:szCs w:val="20"/>
              </w:rPr>
            </w:pPr>
            <w:r>
              <w:rPr>
                <w:rFonts w:eastAsia="Times New Roman"/>
                <w:sz w:val="20"/>
                <w:szCs w:val="20"/>
              </w:rPr>
              <w:t>claims relating to intellectual property;</w:t>
            </w:r>
          </w:p>
        </w:tc>
      </w:tr>
    </w:tbl>
    <w:p w:rsidR="00000000" w:rsidRDefault="001E618F">
      <w:pPr>
        <w:divId w:val="103812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38120173"/>
        </w:trPr>
        <w:tc>
          <w:tcPr>
            <w:tcW w:w="720" w:type="dxa"/>
            <w:vAlign w:val="center"/>
            <w:hideMark/>
          </w:tcPr>
          <w:p w:rsidR="00000000" w:rsidRDefault="001E618F">
            <w:pPr>
              <w:rPr>
                <w:rFonts w:eastAsia="Times New Roman"/>
              </w:rPr>
            </w:pPr>
          </w:p>
        </w:tc>
        <w:tc>
          <w:tcPr>
            <w:tcW w:w="360" w:type="dxa"/>
            <w:noWrap/>
            <w:tcMar>
              <w:top w:w="0" w:type="dxa"/>
              <w:left w:w="0" w:type="dxa"/>
              <w:bottom w:w="0" w:type="dxa"/>
              <w:right w:w="0" w:type="dxa"/>
            </w:tcMar>
            <w:hideMark/>
          </w:tcPr>
          <w:p w:rsidR="00000000" w:rsidRDefault="001E618F">
            <w:pPr>
              <w:spacing w:after="18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spacing w:after="180"/>
              <w:rPr>
                <w:rFonts w:eastAsia="Times New Roman"/>
                <w:sz w:val="20"/>
                <w:szCs w:val="20"/>
              </w:rPr>
            </w:pPr>
            <w:r>
              <w:rPr>
                <w:rFonts w:eastAsia="Times New Roman"/>
                <w:sz w:val="20"/>
                <w:szCs w:val="20"/>
              </w:rPr>
              <w:t>any future disruptions in GSK’s business which would affect its ability to commercialize TRELEGY, including, disruptions due to the COVID-19 pandemic;</w:t>
            </w:r>
          </w:p>
        </w:tc>
      </w:tr>
    </w:tbl>
    <w:p w:rsidR="00000000" w:rsidRDefault="001E618F">
      <w:pPr>
        <w:divId w:val="103812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38120173"/>
        </w:trPr>
        <w:tc>
          <w:tcPr>
            <w:tcW w:w="720" w:type="dxa"/>
            <w:vAlign w:val="center"/>
            <w:hideMark/>
          </w:tcPr>
          <w:p w:rsidR="00000000" w:rsidRDefault="001E618F">
            <w:pPr>
              <w:rPr>
                <w:rFonts w:eastAsia="Times New Roman"/>
              </w:rPr>
            </w:pPr>
          </w:p>
        </w:tc>
        <w:tc>
          <w:tcPr>
            <w:tcW w:w="360" w:type="dxa"/>
            <w:noWrap/>
            <w:tcMar>
              <w:top w:w="0" w:type="dxa"/>
              <w:left w:w="0" w:type="dxa"/>
              <w:bottom w:w="0" w:type="dxa"/>
              <w:right w:w="0" w:type="dxa"/>
            </w:tcMar>
            <w:hideMark/>
          </w:tcPr>
          <w:p w:rsidR="00000000" w:rsidRDefault="001E618F">
            <w:pPr>
              <w:spacing w:after="18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spacing w:after="180"/>
              <w:rPr>
                <w:rFonts w:eastAsia="Times New Roman"/>
                <w:sz w:val="20"/>
                <w:szCs w:val="20"/>
              </w:rPr>
            </w:pPr>
            <w:r>
              <w:rPr>
                <w:rFonts w:eastAsia="Times New Roman"/>
                <w:sz w:val="20"/>
                <w:szCs w:val="20"/>
              </w:rPr>
              <w:t>the ability of TRELEGY to achieve wider acceptance among physicians, patients, third-party payors, or the medical community in general;</w:t>
            </w:r>
          </w:p>
        </w:tc>
      </w:tr>
    </w:tbl>
    <w:p w:rsidR="00000000" w:rsidRDefault="001E618F">
      <w:pPr>
        <w:divId w:val="103812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38120173"/>
        </w:trPr>
        <w:tc>
          <w:tcPr>
            <w:tcW w:w="720" w:type="dxa"/>
            <w:vAlign w:val="center"/>
            <w:hideMark/>
          </w:tcPr>
          <w:p w:rsidR="00000000" w:rsidRDefault="001E618F">
            <w:pPr>
              <w:rPr>
                <w:rFonts w:eastAsia="Times New Roman"/>
              </w:rPr>
            </w:pPr>
          </w:p>
        </w:tc>
        <w:tc>
          <w:tcPr>
            <w:tcW w:w="360" w:type="dxa"/>
            <w:noWrap/>
            <w:tcMar>
              <w:top w:w="0" w:type="dxa"/>
              <w:left w:w="0" w:type="dxa"/>
              <w:bottom w:w="0" w:type="dxa"/>
              <w:right w:w="0" w:type="dxa"/>
            </w:tcMar>
            <w:hideMark/>
          </w:tcPr>
          <w:p w:rsidR="00000000" w:rsidRDefault="001E618F">
            <w:pPr>
              <w:spacing w:after="18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spacing w:after="180"/>
              <w:rPr>
                <w:rFonts w:eastAsia="Times New Roman"/>
                <w:sz w:val="20"/>
                <w:szCs w:val="20"/>
              </w:rPr>
            </w:pPr>
            <w:r>
              <w:rPr>
                <w:rFonts w:eastAsia="Times New Roman"/>
                <w:sz w:val="20"/>
                <w:szCs w:val="20"/>
              </w:rPr>
              <w:t>the amount of cash associated with any additional future TRELEGY commercialization initiatives that Innoviva proposes to GSK for TRC to pursue, the time it may take to present those initiatives to GSK for approval and the time it takes for GSK to consent o</w:t>
            </w:r>
            <w:r>
              <w:rPr>
                <w:rFonts w:eastAsia="Times New Roman"/>
                <w:sz w:val="20"/>
                <w:szCs w:val="20"/>
              </w:rPr>
              <w:t>r not consent;</w:t>
            </w:r>
          </w:p>
        </w:tc>
      </w:tr>
    </w:tbl>
    <w:p w:rsidR="00000000" w:rsidRDefault="001E618F">
      <w:pPr>
        <w:divId w:val="103812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38120173"/>
        </w:trPr>
        <w:tc>
          <w:tcPr>
            <w:tcW w:w="720" w:type="dxa"/>
            <w:vAlign w:val="center"/>
            <w:hideMark/>
          </w:tcPr>
          <w:p w:rsidR="00000000" w:rsidRDefault="001E618F">
            <w:pPr>
              <w:rPr>
                <w:rFonts w:eastAsia="Times New Roman"/>
              </w:rPr>
            </w:pPr>
          </w:p>
        </w:tc>
        <w:tc>
          <w:tcPr>
            <w:tcW w:w="360" w:type="dxa"/>
            <w:noWrap/>
            <w:tcMar>
              <w:top w:w="0" w:type="dxa"/>
              <w:left w:w="0" w:type="dxa"/>
              <w:bottom w:w="0" w:type="dxa"/>
              <w:right w:w="0" w:type="dxa"/>
            </w:tcMar>
            <w:hideMark/>
          </w:tcPr>
          <w:p w:rsidR="00000000" w:rsidRDefault="001E618F">
            <w:pPr>
              <w:spacing w:after="18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spacing w:after="180"/>
              <w:rPr>
                <w:rFonts w:eastAsia="Times New Roman"/>
                <w:sz w:val="20"/>
                <w:szCs w:val="20"/>
              </w:rPr>
            </w:pPr>
            <w:r>
              <w:rPr>
                <w:rFonts w:eastAsia="Times New Roman"/>
                <w:sz w:val="20"/>
                <w:szCs w:val="20"/>
              </w:rPr>
              <w:t>global economic conditions;</w:t>
            </w:r>
          </w:p>
        </w:tc>
      </w:tr>
    </w:tbl>
    <w:p w:rsidR="00000000" w:rsidRDefault="001E618F">
      <w:pPr>
        <w:divId w:val="103812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38120173"/>
        </w:trPr>
        <w:tc>
          <w:tcPr>
            <w:tcW w:w="720" w:type="dxa"/>
            <w:vAlign w:val="center"/>
            <w:hideMark/>
          </w:tcPr>
          <w:p w:rsidR="00000000" w:rsidRDefault="001E618F">
            <w:pPr>
              <w:rPr>
                <w:rFonts w:eastAsia="Times New Roman"/>
              </w:rPr>
            </w:pPr>
          </w:p>
        </w:tc>
        <w:tc>
          <w:tcPr>
            <w:tcW w:w="360" w:type="dxa"/>
            <w:noWrap/>
            <w:tcMar>
              <w:top w:w="0" w:type="dxa"/>
              <w:left w:w="0" w:type="dxa"/>
              <w:bottom w:w="0" w:type="dxa"/>
              <w:right w:w="0" w:type="dxa"/>
            </w:tcMar>
            <w:hideMark/>
          </w:tcPr>
          <w:p w:rsidR="00000000" w:rsidRDefault="001E618F">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spacing w:after="200"/>
              <w:rPr>
                <w:rFonts w:eastAsia="Times New Roman"/>
                <w:sz w:val="20"/>
                <w:szCs w:val="20"/>
              </w:rPr>
            </w:pPr>
            <w:r>
              <w:rPr>
                <w:rFonts w:eastAsia="Times New Roman"/>
                <w:sz w:val="20"/>
                <w:szCs w:val="20"/>
              </w:rPr>
              <w:t>the resolution of any disputes between Innoviva and TRC, on the one hand, and us, on the other, regarding the timing of distributions, the amount of distributions, and the proper business activities of T</w:t>
            </w:r>
            <w:r>
              <w:rPr>
                <w:rFonts w:eastAsia="Times New Roman"/>
                <w:sz w:val="20"/>
                <w:szCs w:val="20"/>
              </w:rPr>
              <w:t>RC; and</w:t>
            </w:r>
          </w:p>
        </w:tc>
      </w:tr>
    </w:tbl>
    <w:p w:rsidR="00000000" w:rsidRDefault="001E618F">
      <w:pPr>
        <w:divId w:val="103812017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38120173"/>
        </w:trPr>
        <w:tc>
          <w:tcPr>
            <w:tcW w:w="720" w:type="dxa"/>
            <w:vAlign w:val="center"/>
            <w:hideMark/>
          </w:tcPr>
          <w:p w:rsidR="00000000" w:rsidRDefault="001E618F">
            <w:pPr>
              <w:rPr>
                <w:rFonts w:eastAsia="Times New Roman"/>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any of the other risks relating to commercialization of TRELEGY.</w:t>
            </w:r>
          </w:p>
        </w:tc>
      </w:tr>
    </w:tbl>
    <w:p w:rsidR="00000000" w:rsidRDefault="001E618F">
      <w:pPr>
        <w:pStyle w:val="a3"/>
        <w:spacing w:before="360" w:beforeAutospacing="0" w:after="0" w:afterAutospacing="0"/>
        <w:jc w:val="center"/>
        <w:divId w:val="1700425722"/>
        <w:rPr>
          <w:sz w:val="20"/>
          <w:szCs w:val="20"/>
        </w:rPr>
      </w:pPr>
      <w:r>
        <w:rPr>
          <w:sz w:val="20"/>
          <w:szCs w:val="20"/>
        </w:rPr>
        <w:t>37</w:t>
      </w:r>
    </w:p>
    <w:p w:rsidR="00000000" w:rsidRDefault="001E618F">
      <w:pPr>
        <w:pStyle w:val="a3"/>
        <w:spacing w:before="0" w:beforeAutospacing="0" w:after="600" w:afterAutospacing="0"/>
        <w:divId w:val="578293734"/>
        <w:rPr>
          <w:sz w:val="20"/>
          <w:szCs w:val="20"/>
        </w:rPr>
      </w:pPr>
      <w:hyperlink w:anchor="TOC" w:history="1">
        <w:r>
          <w:rPr>
            <w:rStyle w:val="a4"/>
            <w:sz w:val="20"/>
            <w:szCs w:val="20"/>
          </w:rPr>
          <w:t>Table of Contents</w:t>
        </w:r>
      </w:hyperlink>
    </w:p>
    <w:p w:rsidR="00000000" w:rsidRDefault="001E618F">
      <w:pPr>
        <w:pStyle w:val="a3"/>
        <w:spacing w:before="0" w:beforeAutospacing="0" w:after="200" w:afterAutospacing="0"/>
        <w:ind w:firstLine="720"/>
        <w:divId w:val="1485048770"/>
        <w:rPr>
          <w:sz w:val="20"/>
          <w:szCs w:val="20"/>
        </w:rPr>
      </w:pPr>
      <w:r>
        <w:rPr>
          <w:sz w:val="20"/>
          <w:szCs w:val="20"/>
        </w:rPr>
        <w:t>These risks and uncertainties could materially impact the amount and timing of future royalties or other revenues we may receive from sales of TRELEGY, which could have a material adverse effect on our future revenues, other financial results and our finan</w:t>
      </w:r>
      <w:r>
        <w:rPr>
          <w:sz w:val="20"/>
          <w:szCs w:val="20"/>
        </w:rPr>
        <w:t>cial position and cause the price of our securities to fall.</w:t>
      </w:r>
      <w:r>
        <w:rPr>
          <w:i/>
          <w:iCs/>
          <w:sz w:val="20"/>
          <w:szCs w:val="20"/>
        </w:rPr>
        <w:t xml:space="preserve"> </w:t>
      </w:r>
    </w:p>
    <w:p w:rsidR="00000000" w:rsidRDefault="001E618F">
      <w:pPr>
        <w:pStyle w:val="a3"/>
        <w:spacing w:before="0" w:beforeAutospacing="0" w:after="200" w:afterAutospacing="0"/>
        <w:divId w:val="1485048770"/>
        <w:rPr>
          <w:sz w:val="20"/>
          <w:szCs w:val="20"/>
        </w:rPr>
      </w:pPr>
      <w:r>
        <w:rPr>
          <w:sz w:val="20"/>
          <w:szCs w:val="20"/>
        </w:rPr>
        <w:t>In the future, Innoviva may cause TRC to withhold funds from distribution to its members, including our affiliates, for purposes consistent with the 2019 and 2021 arbitration rulings, or otherwi</w:t>
      </w:r>
      <w:r>
        <w:rPr>
          <w:sz w:val="20"/>
          <w:szCs w:val="20"/>
        </w:rPr>
        <w:t>se. Accordingly, we cannot predict the amount of the funds that our affiliates would otherwise expect to receive from TRC that TRC may withhold in the future, or the timing of any such withholding.</w:t>
      </w:r>
    </w:p>
    <w:p w:rsidR="00000000" w:rsidRDefault="001E618F">
      <w:pPr>
        <w:pStyle w:val="a3"/>
        <w:spacing w:before="0" w:beforeAutospacing="0" w:after="200" w:afterAutospacing="0"/>
        <w:ind w:firstLine="720"/>
        <w:divId w:val="1485048770"/>
        <w:rPr>
          <w:sz w:val="20"/>
          <w:szCs w:val="20"/>
        </w:rPr>
      </w:pPr>
      <w:r>
        <w:rPr>
          <w:sz w:val="20"/>
          <w:szCs w:val="20"/>
        </w:rPr>
        <w:t>We may object to the withholding of funds in the future on</w:t>
      </w:r>
      <w:r>
        <w:rPr>
          <w:sz w:val="20"/>
          <w:szCs w:val="20"/>
        </w:rPr>
        <w:t xml:space="preserve"> the basis that such withholding is in violation of the terms of the TRC LLC Agreement, as interpreted by the 2019 and 2021 arbitration rulings, or otherwise, and such objection could result in additional legal proceedings between us, TRC and Innoviva. Any</w:t>
      </w:r>
      <w:r>
        <w:rPr>
          <w:sz w:val="20"/>
          <w:szCs w:val="20"/>
        </w:rPr>
        <w:t xml:space="preserve"> such legal proceedings could divert the attention of management and cause us to incur significant costs, regardless of the outcome, which we cannot predict. An adverse result could materially and adversely affect the funds that our affiliates would otherw</w:t>
      </w:r>
      <w:r>
        <w:rPr>
          <w:sz w:val="20"/>
          <w:szCs w:val="20"/>
        </w:rPr>
        <w:t>ise expect to receive from TRC in the future and thus have a material adverse effect on our business, financial condition, and results of operations.</w:t>
      </w:r>
    </w:p>
    <w:p w:rsidR="00000000" w:rsidRDefault="001E618F">
      <w:pPr>
        <w:pStyle w:val="a3"/>
        <w:spacing w:before="0" w:beforeAutospacing="0" w:after="120" w:afterAutospacing="0"/>
        <w:divId w:val="1485048770"/>
        <w:rPr>
          <w:sz w:val="20"/>
          <w:szCs w:val="20"/>
        </w:rPr>
      </w:pPr>
      <w:r>
        <w:rPr>
          <w:b/>
          <w:bCs/>
          <w:i/>
          <w:iCs/>
          <w:sz w:val="20"/>
          <w:szCs w:val="20"/>
        </w:rPr>
        <w:t>If YUPELRI does not continue to be accepted by physicians, patients, third-party payors, or the medical co</w:t>
      </w:r>
      <w:r>
        <w:rPr>
          <w:b/>
          <w:bCs/>
          <w:i/>
          <w:iCs/>
          <w:sz w:val="20"/>
          <w:szCs w:val="20"/>
        </w:rPr>
        <w:t>mmunity in general, we may not receive significant additional revenues from sales of this product.</w:t>
      </w:r>
    </w:p>
    <w:p w:rsidR="00000000" w:rsidRDefault="001E618F">
      <w:pPr>
        <w:pStyle w:val="a3"/>
        <w:spacing w:before="0" w:beforeAutospacing="0" w:after="200" w:afterAutospacing="0"/>
        <w:ind w:firstLine="720"/>
        <w:divId w:val="1485048770"/>
        <w:rPr>
          <w:sz w:val="20"/>
          <w:szCs w:val="20"/>
        </w:rPr>
      </w:pPr>
      <w:r>
        <w:rPr>
          <w:sz w:val="20"/>
          <w:szCs w:val="20"/>
        </w:rPr>
        <w:t>The commercial success of YUPELRI depends upon its acceptance by physicians, patients, third-party payors and the medical community in general. YUPELRI may n</w:t>
      </w:r>
      <w:r>
        <w:rPr>
          <w:sz w:val="20"/>
          <w:szCs w:val="20"/>
        </w:rPr>
        <w:t>ot continue to be accepted by these parties. YUPELRI competes predominantly with the nebulized LAMA Lonhal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(glycopyrrolate) dosed two times per day and with short acting nebulized bronchodilators that are dosed three to four times per day. We ha</w:t>
      </w:r>
      <w:r>
        <w:rPr>
          <w:sz w:val="20"/>
          <w:szCs w:val="20"/>
        </w:rPr>
        <w:t>ve seen increased volatility in sales of YUPELRI coinciding with the suspension of in-person sales calls, having less access to physicians and other healthcare providers and the progression of the COVID-19 pandemic and, if physicians, patients, third-party</w:t>
      </w:r>
      <w:r>
        <w:rPr>
          <w:sz w:val="20"/>
          <w:szCs w:val="20"/>
        </w:rPr>
        <w:t xml:space="preserve"> payors, or the medical community in general believe that nebulized therapy presents a risk of further spreading COVID-19 or that YUPELRI is otherwise not a preferred treatment option for those with COPD, we may see declines, or fail to grow. If YUPELRI’s </w:t>
      </w:r>
      <w:r>
        <w:rPr>
          <w:sz w:val="20"/>
          <w:szCs w:val="20"/>
        </w:rPr>
        <w:t>acceptance does not continue to grow, or declines from previous levels, our business and financial results could be materially harmed.</w:t>
      </w:r>
    </w:p>
    <w:p w:rsidR="00000000" w:rsidRDefault="001E618F">
      <w:pPr>
        <w:pStyle w:val="a3"/>
        <w:spacing w:before="0" w:beforeAutospacing="0" w:after="120" w:afterAutospacing="0"/>
        <w:divId w:val="1485048770"/>
        <w:rPr>
          <w:sz w:val="20"/>
          <w:szCs w:val="20"/>
        </w:rPr>
      </w:pPr>
      <w:r>
        <w:rPr>
          <w:b/>
          <w:bCs/>
          <w:i/>
          <w:iCs/>
          <w:sz w:val="20"/>
          <w:szCs w:val="20"/>
        </w:rPr>
        <w:t>In collaboration with Viatris, we are responsible for marketing and sales of YUPELRI in the US, which subjects us to cert</w:t>
      </w:r>
      <w:r>
        <w:rPr>
          <w:b/>
          <w:bCs/>
          <w:i/>
          <w:iCs/>
          <w:sz w:val="20"/>
          <w:szCs w:val="20"/>
        </w:rPr>
        <w:t>ain risks.</w:t>
      </w:r>
    </w:p>
    <w:p w:rsidR="00000000" w:rsidRDefault="001E618F">
      <w:pPr>
        <w:pStyle w:val="a3"/>
        <w:spacing w:before="0" w:beforeAutospacing="0" w:after="200" w:afterAutospacing="0"/>
        <w:ind w:firstLine="720"/>
        <w:divId w:val="1485048770"/>
        <w:rPr>
          <w:sz w:val="20"/>
          <w:szCs w:val="20"/>
        </w:rPr>
      </w:pPr>
      <w:r>
        <w:rPr>
          <w:sz w:val="20"/>
          <w:szCs w:val="20"/>
        </w:rPr>
        <w:t>We currently maintain a sales force in the US to support our co-promotion obligations for YUPELRI under our agreement with Viatris. The risks of fulfilling our US co-promotion obligations to Viatris include:</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5048770"/>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costs and expenses associated with</w:t>
            </w:r>
            <w:r>
              <w:rPr>
                <w:rFonts w:eastAsia="Times New Roman"/>
                <w:sz w:val="20"/>
                <w:szCs w:val="20"/>
              </w:rPr>
              <w:t xml:space="preserve"> maintaining an independent sales and marketing organization with appropriate technical expertise and supporting infrastructure, including third-party vendor logistics and consultant support, which costs and expenses could, depending on the scope and metho</w:t>
            </w:r>
            <w:r>
              <w:rPr>
                <w:rFonts w:eastAsia="Times New Roman"/>
                <w:sz w:val="20"/>
                <w:szCs w:val="20"/>
              </w:rPr>
              <w:t>d of the marketing effort, exceed any product revenue for several years;</w:t>
            </w:r>
          </w:p>
        </w:tc>
      </w:tr>
    </w:tbl>
    <w:p w:rsidR="00000000" w:rsidRDefault="001E618F">
      <w:pPr>
        <w:pStyle w:val="a3"/>
        <w:spacing w:before="0" w:beforeAutospacing="0" w:after="0" w:afterAutospacing="0"/>
        <w:ind w:left="1080"/>
        <w:divId w:val="148504877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5048770"/>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our ability to retain effective sales and marketing personnel and medical science liaisons in the US;</w:t>
            </w:r>
          </w:p>
        </w:tc>
      </w:tr>
    </w:tbl>
    <w:p w:rsidR="00000000" w:rsidRDefault="001E618F">
      <w:pPr>
        <w:pStyle w:val="a3"/>
        <w:spacing w:before="0" w:beforeAutospacing="0" w:after="0" w:afterAutospacing="0"/>
        <w:ind w:left="1080"/>
        <w:divId w:val="148504877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5048770"/>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ability of our sales and marketing personnel to obtain access to, and educate adequate numbers of prescribers about prescribing YUPELRI, in appropriate clinical situations; and</w:t>
            </w:r>
          </w:p>
        </w:tc>
      </w:tr>
    </w:tbl>
    <w:p w:rsidR="00000000" w:rsidRDefault="001E618F">
      <w:pPr>
        <w:pStyle w:val="a3"/>
        <w:spacing w:before="0" w:beforeAutospacing="0" w:after="0" w:afterAutospacing="0"/>
        <w:ind w:left="1080"/>
        <w:divId w:val="148504877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85048770"/>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 xml:space="preserve">the lack of complementary products to be offered by sales personnel, </w:t>
            </w:r>
            <w:r>
              <w:rPr>
                <w:rFonts w:eastAsia="Times New Roman"/>
                <w:sz w:val="20"/>
                <w:szCs w:val="20"/>
              </w:rPr>
              <w:t>which may put us at a competitive disadvantage relative to companies with more extensive product lines.</w:t>
            </w:r>
          </w:p>
        </w:tc>
      </w:tr>
    </w:tbl>
    <w:p w:rsidR="00000000" w:rsidRDefault="001E618F">
      <w:pPr>
        <w:pStyle w:val="a3"/>
        <w:spacing w:before="0" w:beforeAutospacing="0" w:after="0" w:afterAutospacing="0"/>
        <w:divId w:val="1485048770"/>
        <w:rPr>
          <w:sz w:val="20"/>
          <w:szCs w:val="20"/>
        </w:rPr>
      </w:pPr>
      <w:r>
        <w:rPr>
          <w:sz w:val="20"/>
          <w:szCs w:val="20"/>
        </w:rPr>
        <w:t>​</w:t>
      </w:r>
    </w:p>
    <w:p w:rsidR="00000000" w:rsidRDefault="001E618F">
      <w:pPr>
        <w:pStyle w:val="a3"/>
        <w:spacing w:before="0" w:beforeAutospacing="0" w:after="200" w:afterAutospacing="0"/>
        <w:ind w:firstLine="720"/>
        <w:divId w:val="1485048770"/>
        <w:rPr>
          <w:sz w:val="20"/>
          <w:szCs w:val="20"/>
        </w:rPr>
      </w:pPr>
      <w:r>
        <w:rPr>
          <w:sz w:val="20"/>
          <w:szCs w:val="20"/>
        </w:rPr>
        <w:t>If we are not successful in maintaining a sales and marketing organization with appropriate experience, technical expertise, supporting infrastructur</w:t>
      </w:r>
      <w:r>
        <w:rPr>
          <w:sz w:val="20"/>
          <w:szCs w:val="20"/>
        </w:rPr>
        <w:t>e and the ability to obtain access to and educate adequate numbers of physicians about prescribing YUPELRI in appropriate clinical situations, we will have difficulty maintaining effective commercialization of YUPELRI in the hospital setting, which would a</w:t>
      </w:r>
      <w:r>
        <w:rPr>
          <w:sz w:val="20"/>
          <w:szCs w:val="20"/>
        </w:rPr>
        <w:t>dversely affect our business and financial results, and the condition and the price of our securities could fall.</w:t>
      </w:r>
    </w:p>
    <w:p w:rsidR="00000000" w:rsidRDefault="001E618F">
      <w:pPr>
        <w:pStyle w:val="a3"/>
        <w:spacing w:before="360" w:beforeAutospacing="0" w:after="0" w:afterAutospacing="0"/>
        <w:jc w:val="center"/>
        <w:divId w:val="713234628"/>
        <w:rPr>
          <w:sz w:val="20"/>
          <w:szCs w:val="20"/>
        </w:rPr>
      </w:pPr>
      <w:r>
        <w:rPr>
          <w:sz w:val="20"/>
          <w:szCs w:val="20"/>
        </w:rPr>
        <w:t>38</w:t>
      </w:r>
    </w:p>
    <w:p w:rsidR="00000000" w:rsidRDefault="001E618F">
      <w:pPr>
        <w:pStyle w:val="a3"/>
        <w:spacing w:before="0" w:beforeAutospacing="0" w:after="600" w:afterAutospacing="0"/>
        <w:divId w:val="888027796"/>
        <w:rPr>
          <w:sz w:val="20"/>
          <w:szCs w:val="20"/>
        </w:rPr>
      </w:pPr>
      <w:hyperlink w:anchor="TOC" w:history="1">
        <w:r>
          <w:rPr>
            <w:rStyle w:val="a4"/>
            <w:sz w:val="20"/>
            <w:szCs w:val="20"/>
          </w:rPr>
          <w:t>Table of Contents</w:t>
        </w:r>
      </w:hyperlink>
    </w:p>
    <w:p w:rsidR="00000000" w:rsidRDefault="001E618F">
      <w:pPr>
        <w:pStyle w:val="a3"/>
        <w:spacing w:before="0" w:beforeAutospacing="0" w:after="120" w:afterAutospacing="0"/>
        <w:divId w:val="1381855101"/>
        <w:rPr>
          <w:sz w:val="20"/>
          <w:szCs w:val="20"/>
        </w:rPr>
      </w:pPr>
      <w:r>
        <w:rPr>
          <w:b/>
          <w:bCs/>
          <w:i/>
          <w:iCs/>
          <w:sz w:val="20"/>
          <w:szCs w:val="20"/>
        </w:rPr>
        <w:t>Any delay in commencing or completing clinical studies for product candidates and any adverse r</w:t>
      </w:r>
      <w:r>
        <w:rPr>
          <w:b/>
          <w:bCs/>
          <w:i/>
          <w:iCs/>
          <w:sz w:val="20"/>
          <w:szCs w:val="20"/>
        </w:rPr>
        <w:t>esults from clinical or non-clinical studies or regulatory obstacles product candidates may face, would harm our business and the price of our securities could fall.</w:t>
      </w:r>
    </w:p>
    <w:p w:rsidR="00000000" w:rsidRDefault="001E618F">
      <w:pPr>
        <w:pStyle w:val="a3"/>
        <w:spacing w:before="0" w:beforeAutospacing="0" w:after="200" w:afterAutospacing="0"/>
        <w:ind w:firstLine="720"/>
        <w:divId w:val="1381855101"/>
        <w:rPr>
          <w:sz w:val="20"/>
          <w:szCs w:val="20"/>
        </w:rPr>
      </w:pPr>
      <w:r>
        <w:rPr>
          <w:sz w:val="20"/>
          <w:szCs w:val="20"/>
        </w:rPr>
        <w:t>Each of our product candidates must undergo extensive non-clinical and clinical studies as a condition to regulatory approval. Non-clinical and clinical studies are expensive, take many years to complete and study results may lead to delays in further stud</w:t>
      </w:r>
      <w:r>
        <w:rPr>
          <w:sz w:val="20"/>
          <w:szCs w:val="20"/>
        </w:rPr>
        <w:t>ies, new requirements for conducting future studies or decisions to terminate programs. The commencement and completion of clinical studies for our product candidates may be delayed and programs may be terminated due to many factors, including, but not lim</w:t>
      </w:r>
      <w:r>
        <w:rPr>
          <w:sz w:val="20"/>
          <w:szCs w:val="20"/>
        </w:rPr>
        <w:t>ited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8185510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lack of effectiveness of product candidates during clinical studies;</w:t>
            </w:r>
          </w:p>
        </w:tc>
      </w:tr>
    </w:tbl>
    <w:p w:rsidR="00000000" w:rsidRDefault="001E618F">
      <w:pPr>
        <w:pStyle w:val="a3"/>
        <w:spacing w:before="0" w:beforeAutospacing="0" w:after="0" w:afterAutospacing="0"/>
        <w:ind w:left="1080"/>
        <w:divId w:val="13818551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8185510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adverse events, safety issues or side effects (or perceived adverse developments or results) relating to the product candidates or their formulation into medicines;</w:t>
            </w:r>
          </w:p>
        </w:tc>
      </w:tr>
    </w:tbl>
    <w:p w:rsidR="00000000" w:rsidRDefault="001E618F">
      <w:pPr>
        <w:pStyle w:val="a3"/>
        <w:spacing w:before="0" w:beforeAutospacing="0" w:after="0" w:afterAutospacing="0"/>
        <w:ind w:left="1080"/>
        <w:divId w:val="13818551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8185510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insufficient capital to continue our development programs, some of which are which are expensive;</w:t>
            </w:r>
          </w:p>
        </w:tc>
      </w:tr>
    </w:tbl>
    <w:p w:rsidR="00000000" w:rsidRDefault="001E618F">
      <w:pPr>
        <w:pStyle w:val="a3"/>
        <w:spacing w:before="0" w:beforeAutospacing="0" w:after="0" w:afterAutospacing="0"/>
        <w:ind w:left="1080"/>
        <w:divId w:val="13818551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8185510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inability to enter into partnering arrangements relating to the development and commercialization of our programs and product candidates or partner de</w:t>
            </w:r>
            <w:r>
              <w:rPr>
                <w:rFonts w:eastAsia="Times New Roman"/>
                <w:sz w:val="20"/>
                <w:szCs w:val="20"/>
              </w:rPr>
              <w:t>cisions not to maintain a partnership with us;</w:t>
            </w:r>
          </w:p>
        </w:tc>
      </w:tr>
    </w:tbl>
    <w:p w:rsidR="00000000" w:rsidRDefault="001E618F">
      <w:pPr>
        <w:pStyle w:val="a3"/>
        <w:spacing w:before="0" w:beforeAutospacing="0" w:after="0" w:afterAutospacing="0"/>
        <w:ind w:left="1080"/>
        <w:divId w:val="13818551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8185510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delays in patient enrollment and variability in the number and types of patients available for clinical studies;</w:t>
            </w:r>
          </w:p>
        </w:tc>
      </w:tr>
    </w:tbl>
    <w:p w:rsidR="00000000" w:rsidRDefault="001E618F">
      <w:pPr>
        <w:pStyle w:val="a3"/>
        <w:spacing w:before="0" w:beforeAutospacing="0" w:after="0" w:afterAutospacing="0"/>
        <w:ind w:left="1080"/>
        <w:divId w:val="13818551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8185510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need to sequence clinical studies as opposed to conducting them concomitantly in order to conserve resources;</w:t>
            </w:r>
          </w:p>
        </w:tc>
      </w:tr>
    </w:tbl>
    <w:p w:rsidR="00000000" w:rsidRDefault="001E618F">
      <w:pPr>
        <w:pStyle w:val="a3"/>
        <w:spacing w:before="0" w:beforeAutospacing="0" w:after="0" w:afterAutospacing="0"/>
        <w:ind w:left="1080"/>
        <w:divId w:val="13818551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8185510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 xml:space="preserve">our inability or </w:t>
            </w:r>
            <w:r>
              <w:rPr>
                <w:rFonts w:eastAsia="Times New Roman"/>
                <w:sz w:val="20"/>
                <w:szCs w:val="20"/>
              </w:rPr>
              <w:t>the inability of our collaborators or licensees to manufacture or obtain from third parties materials sufficient for use in non-clinical and clinical studies;</w:t>
            </w:r>
          </w:p>
        </w:tc>
      </w:tr>
    </w:tbl>
    <w:p w:rsidR="00000000" w:rsidRDefault="001E618F">
      <w:pPr>
        <w:pStyle w:val="a3"/>
        <w:spacing w:before="0" w:beforeAutospacing="0" w:after="0" w:afterAutospacing="0"/>
        <w:ind w:left="1080"/>
        <w:divId w:val="13818551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8185510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 xml:space="preserve">governmental or regulatory delays or suspensions of the conduct of the clinical trials and </w:t>
            </w:r>
            <w:r>
              <w:rPr>
                <w:rFonts w:eastAsia="Times New Roman"/>
                <w:sz w:val="20"/>
                <w:szCs w:val="20"/>
              </w:rPr>
              <w:t>changes in regulatory requirements, policy and guidelines, including as a result of any class-based risks that emerge as an area of FDA or other regulatory agency focus;</w:t>
            </w:r>
          </w:p>
        </w:tc>
      </w:tr>
    </w:tbl>
    <w:p w:rsidR="00000000" w:rsidRDefault="001E618F">
      <w:pPr>
        <w:pStyle w:val="a3"/>
        <w:spacing w:before="0" w:beforeAutospacing="0" w:after="0" w:afterAutospacing="0"/>
        <w:ind w:left="1080"/>
        <w:divId w:val="13818551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8185510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challenges related to the COVID-19 pandemic, including with recruitment and/or progressing patients through studies;</w:t>
            </w:r>
          </w:p>
        </w:tc>
      </w:tr>
    </w:tbl>
    <w:p w:rsidR="00000000" w:rsidRDefault="001E618F">
      <w:pPr>
        <w:pStyle w:val="a3"/>
        <w:spacing w:before="0" w:beforeAutospacing="0" w:after="0" w:afterAutospacing="0"/>
        <w:ind w:left="1080"/>
        <w:divId w:val="13818551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8185510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failure of our partners to advance our product candidates through clinical development;</w:t>
            </w:r>
          </w:p>
        </w:tc>
      </w:tr>
    </w:tbl>
    <w:p w:rsidR="00000000" w:rsidRDefault="001E618F">
      <w:pPr>
        <w:pStyle w:val="a3"/>
        <w:spacing w:before="0" w:beforeAutospacing="0" w:after="0" w:afterAutospacing="0"/>
        <w:ind w:left="1080"/>
        <w:divId w:val="13818551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8185510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 xml:space="preserve">difficulty in maintaining contact with </w:t>
            </w:r>
            <w:r>
              <w:rPr>
                <w:rFonts w:eastAsia="Times New Roman"/>
                <w:sz w:val="20"/>
                <w:szCs w:val="20"/>
              </w:rPr>
              <w:t>patients after treatment, resulting in incomplete data;</w:t>
            </w:r>
          </w:p>
        </w:tc>
      </w:tr>
    </w:tbl>
    <w:p w:rsidR="00000000" w:rsidRDefault="001E618F">
      <w:pPr>
        <w:pStyle w:val="a3"/>
        <w:spacing w:before="0" w:beforeAutospacing="0" w:after="0" w:afterAutospacing="0"/>
        <w:ind w:left="1080"/>
        <w:divId w:val="13818551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8185510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varying regulatory requirements or interpretations of data among the FDA and foreign regulatory authorities; and</w:t>
            </w:r>
          </w:p>
        </w:tc>
      </w:tr>
    </w:tbl>
    <w:p w:rsidR="00000000" w:rsidRDefault="001E618F">
      <w:pPr>
        <w:pStyle w:val="a3"/>
        <w:spacing w:before="0" w:beforeAutospacing="0" w:after="0" w:afterAutospacing="0"/>
        <w:ind w:left="1080"/>
        <w:divId w:val="138185510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8185510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 disturbance where we or our collaborative partners are enrolling patients</w:t>
            </w:r>
            <w:r>
              <w:rPr>
                <w:rFonts w:eastAsia="Times New Roman"/>
                <w:sz w:val="20"/>
                <w:szCs w:val="20"/>
              </w:rPr>
              <w:t xml:space="preserve"> in clinical trials, such as a pandemic, terrorist activities or war, political unrest or a natural disaster.</w:t>
            </w:r>
          </w:p>
        </w:tc>
      </w:tr>
    </w:tbl>
    <w:p w:rsidR="00000000" w:rsidRDefault="001E618F">
      <w:pPr>
        <w:pStyle w:val="a3"/>
        <w:spacing w:before="0" w:beforeAutospacing="0" w:after="0" w:afterAutospacing="0"/>
        <w:divId w:val="1381855101"/>
        <w:rPr>
          <w:sz w:val="20"/>
          <w:szCs w:val="20"/>
        </w:rPr>
      </w:pPr>
      <w:r>
        <w:rPr>
          <w:sz w:val="20"/>
          <w:szCs w:val="20"/>
        </w:rPr>
        <w:t>​</w:t>
      </w:r>
    </w:p>
    <w:p w:rsidR="00000000" w:rsidRDefault="001E618F">
      <w:pPr>
        <w:pStyle w:val="a3"/>
        <w:spacing w:before="0" w:beforeAutospacing="0" w:after="200" w:afterAutospacing="0"/>
        <w:ind w:firstLine="720"/>
        <w:divId w:val="1381855101"/>
        <w:rPr>
          <w:sz w:val="20"/>
          <w:szCs w:val="20"/>
        </w:rPr>
      </w:pPr>
      <w:r>
        <w:rPr>
          <w:sz w:val="20"/>
          <w:szCs w:val="20"/>
        </w:rPr>
        <w:t>Any adverse developments or results or perceived adverse developments or results with respect to our clinical programs including, without limitation, any delays in development in our programs, any halting of development in our programs, any difficulties or</w:t>
      </w:r>
      <w:r>
        <w:rPr>
          <w:sz w:val="20"/>
          <w:szCs w:val="20"/>
        </w:rPr>
        <w:t xml:space="preserve"> delays encountered with regard to the FDA or other third country regulatory authorities with respect to our programs, or any indication from clinical or non-clinical studies that the compounds in our programs are not safe or efficacious, could have a mate</w:t>
      </w:r>
      <w:r>
        <w:rPr>
          <w:sz w:val="20"/>
          <w:szCs w:val="20"/>
        </w:rPr>
        <w:t>rial adverse effect on our business and cause the price of our securities to fall. For example, in August 2021 we announced that our Phase 2b study of izencitinib in ulcerative colitis did not meet its primary endpoint and in September 2021 we announced th</w:t>
      </w:r>
      <w:r>
        <w:rPr>
          <w:sz w:val="20"/>
          <w:szCs w:val="20"/>
        </w:rPr>
        <w:t>at our four-week SEQUOIA Phase 3 study for ampreloxetine did not meet its primary endpoint.</w:t>
      </w:r>
    </w:p>
    <w:p w:rsidR="00000000" w:rsidRDefault="001E618F">
      <w:pPr>
        <w:pStyle w:val="a3"/>
        <w:spacing w:before="360" w:beforeAutospacing="0" w:after="0" w:afterAutospacing="0"/>
        <w:jc w:val="center"/>
        <w:divId w:val="831486159"/>
        <w:rPr>
          <w:sz w:val="20"/>
          <w:szCs w:val="20"/>
        </w:rPr>
      </w:pPr>
      <w:r>
        <w:rPr>
          <w:sz w:val="20"/>
          <w:szCs w:val="20"/>
        </w:rPr>
        <w:t>39</w:t>
      </w:r>
    </w:p>
    <w:p w:rsidR="00000000" w:rsidRDefault="001E618F">
      <w:pPr>
        <w:pStyle w:val="a3"/>
        <w:spacing w:before="0" w:beforeAutospacing="0" w:after="600" w:afterAutospacing="0"/>
        <w:divId w:val="1507402799"/>
        <w:rPr>
          <w:sz w:val="20"/>
          <w:szCs w:val="20"/>
        </w:rPr>
      </w:pPr>
      <w:hyperlink w:anchor="TOC" w:history="1">
        <w:r>
          <w:rPr>
            <w:rStyle w:val="a4"/>
            <w:sz w:val="20"/>
            <w:szCs w:val="20"/>
          </w:rPr>
          <w:t>Table of Contents</w:t>
        </w:r>
      </w:hyperlink>
    </w:p>
    <w:p w:rsidR="00000000" w:rsidRDefault="001E618F">
      <w:pPr>
        <w:pStyle w:val="a3"/>
        <w:spacing w:before="0" w:beforeAutospacing="0" w:after="200" w:afterAutospacing="0"/>
        <w:ind w:firstLine="720"/>
        <w:divId w:val="794173761"/>
        <w:rPr>
          <w:sz w:val="20"/>
          <w:szCs w:val="20"/>
        </w:rPr>
      </w:pPr>
      <w:r>
        <w:rPr>
          <w:sz w:val="20"/>
          <w:szCs w:val="20"/>
        </w:rPr>
        <w:t>In July 2019, the FDA issued a Boxed Warning for a systemically active pan-JAK inhibitor, calling out an increased ri</w:t>
      </w:r>
      <w:r>
        <w:rPr>
          <w:sz w:val="20"/>
          <w:szCs w:val="20"/>
        </w:rPr>
        <w:t>sk of pulmonary embolism and death following the results of a safety study in patients with rheumatoid arthritis. We are planning to develop certain pan-JAK inhibitors that are designed to remain organ-selective so that they do not become systemically acti</w:t>
      </w:r>
      <w:r>
        <w:rPr>
          <w:sz w:val="20"/>
          <w:szCs w:val="20"/>
        </w:rPr>
        <w:t>ve in order to minimize the risk of side effects. It is unknown at this time what, if any, additional requirements the FDA may put in place with respect to the development of JAK inhibitors generally or what other future FDA actions may have on the prospec</w:t>
      </w:r>
      <w:r>
        <w:rPr>
          <w:sz w:val="20"/>
          <w:szCs w:val="20"/>
        </w:rPr>
        <w:t>ts for JAK inhibitors. Delays or adverse developments or results or perceived adverse developments or results relating to JAK inhibitors could harm our business and could cause the price of our securities to fall. Examples of such adverse developments incl</w:t>
      </w:r>
      <w:r>
        <w:rPr>
          <w:sz w:val="20"/>
          <w:szCs w:val="20"/>
        </w:rPr>
        <w:t>ude, but are not limited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9417376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FDA and/or other regulatory authorities determining that additional non-clinical or clinical studies are required with respect to our JAK inhibitor programs;</w:t>
            </w:r>
          </w:p>
        </w:tc>
      </w:tr>
    </w:tbl>
    <w:p w:rsidR="00000000" w:rsidRDefault="001E618F">
      <w:pPr>
        <w:pStyle w:val="a3"/>
        <w:spacing w:before="0" w:beforeAutospacing="0" w:after="0" w:afterAutospacing="0"/>
        <w:ind w:left="1080"/>
        <w:divId w:val="79417376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9417376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safety, efficacy or other concerns relating to our JAK i</w:t>
            </w:r>
            <w:r>
              <w:rPr>
                <w:rFonts w:eastAsia="Times New Roman"/>
                <w:sz w:val="20"/>
                <w:szCs w:val="20"/>
              </w:rPr>
              <w:t>nhibitor programs or JAK inhibitors under development or commercialized by other companies;</w:t>
            </w:r>
          </w:p>
        </w:tc>
      </w:tr>
    </w:tbl>
    <w:p w:rsidR="00000000" w:rsidRDefault="001E618F">
      <w:pPr>
        <w:pStyle w:val="a3"/>
        <w:spacing w:before="0" w:beforeAutospacing="0" w:after="0" w:afterAutospacing="0"/>
        <w:ind w:left="1080"/>
        <w:divId w:val="79417376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9417376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FDA determining that class-based warnings are required for JAK inhibitors generally; or</w:t>
            </w:r>
          </w:p>
        </w:tc>
      </w:tr>
    </w:tbl>
    <w:p w:rsidR="00000000" w:rsidRDefault="001E618F">
      <w:pPr>
        <w:pStyle w:val="a3"/>
        <w:spacing w:before="0" w:beforeAutospacing="0" w:after="0" w:afterAutospacing="0"/>
        <w:ind w:left="1080"/>
        <w:divId w:val="79417376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94173761"/>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any change in FDA policy or guidance regarding JAK inhibitors.</w:t>
            </w:r>
          </w:p>
        </w:tc>
      </w:tr>
    </w:tbl>
    <w:p w:rsidR="00000000" w:rsidRDefault="001E618F">
      <w:pPr>
        <w:pStyle w:val="a3"/>
        <w:spacing w:before="0" w:beforeAutospacing="0" w:after="0" w:afterAutospacing="0"/>
        <w:divId w:val="794173761"/>
        <w:rPr>
          <w:sz w:val="20"/>
          <w:szCs w:val="20"/>
        </w:rPr>
      </w:pPr>
      <w:r>
        <w:rPr>
          <w:sz w:val="20"/>
          <w:szCs w:val="20"/>
        </w:rPr>
        <w:t>​</w:t>
      </w:r>
    </w:p>
    <w:p w:rsidR="00000000" w:rsidRDefault="001E618F">
      <w:pPr>
        <w:pStyle w:val="a3"/>
        <w:spacing w:before="0" w:beforeAutospacing="0" w:after="120" w:afterAutospacing="0"/>
        <w:divId w:val="794173761"/>
        <w:rPr>
          <w:sz w:val="20"/>
          <w:szCs w:val="20"/>
        </w:rPr>
      </w:pPr>
      <w:r>
        <w:rPr>
          <w:b/>
          <w:bCs/>
          <w:i/>
          <w:iCs/>
          <w:sz w:val="20"/>
          <w:szCs w:val="20"/>
        </w:rPr>
        <w:t>If our product candidates are not approved by regulatory authorities, including the FDA, we will be unable to commercialize them.</w:t>
      </w:r>
    </w:p>
    <w:p w:rsidR="00000000" w:rsidRDefault="001E618F">
      <w:pPr>
        <w:pStyle w:val="a3"/>
        <w:spacing w:before="0" w:beforeAutospacing="0" w:after="200" w:afterAutospacing="0"/>
        <w:ind w:firstLine="720"/>
        <w:divId w:val="794173761"/>
        <w:rPr>
          <w:sz w:val="20"/>
          <w:szCs w:val="20"/>
        </w:rPr>
      </w:pPr>
      <w:r>
        <w:rPr>
          <w:sz w:val="20"/>
          <w:szCs w:val="20"/>
        </w:rPr>
        <w:t>The FDA must approve any new medicine before it can be marketed and sold in the US. We will not obtain this approval for a product candidate unless and until the FDA approves an NDA. We, or our collaborative partners, must provide the FDA and similar forei</w:t>
      </w:r>
      <w:r>
        <w:rPr>
          <w:sz w:val="20"/>
          <w:szCs w:val="20"/>
        </w:rPr>
        <w:t xml:space="preserve">gn regulatory authorities with data from preclinical and clinical studies that demonstrate that our product candidates comply with the regulatory requirements for the quality of medicinal products and are safe and effective for a defined indication before </w:t>
      </w:r>
      <w:r>
        <w:rPr>
          <w:sz w:val="20"/>
          <w:szCs w:val="20"/>
        </w:rPr>
        <w:t>they can be approved for commercial distribution. FDA or foreign regulatory authorities may disagree with our trial design and our interpretation of data from preclinical studies and clinical trials. The processes by which regulatory approvals are obtained</w:t>
      </w:r>
      <w:r>
        <w:rPr>
          <w:sz w:val="20"/>
          <w:szCs w:val="20"/>
        </w:rPr>
        <w:t xml:space="preserve"> from the FDA and foreign regulatory authorities to market and sell a new product are complex, require a number of years, depend upon the type, complexity and novelty of the product candidate and involve the expenditure of substantial resources for researc</w:t>
      </w:r>
      <w:r>
        <w:rPr>
          <w:sz w:val="20"/>
          <w:szCs w:val="20"/>
        </w:rPr>
        <w:t>h, development and testing. The FDA has substantial discretion in the drug approval process and may require us to conduct additional non-clinical and clinical testing or to perform post-marketing studies. Further, the implementation of new laws and regulat</w:t>
      </w:r>
      <w:r>
        <w:rPr>
          <w:sz w:val="20"/>
          <w:szCs w:val="20"/>
        </w:rPr>
        <w:t>ions, and revisions to FDA clinical trial design guidance may lead to increased uncertainty regarding the approvability of new drugs. See the risk factor entitled “</w:t>
      </w:r>
      <w:r>
        <w:rPr>
          <w:i/>
          <w:iCs/>
          <w:sz w:val="20"/>
          <w:szCs w:val="20"/>
        </w:rPr>
        <w:t>Any delay in commencing or completing clinical studies for product candidates and any advers</w:t>
      </w:r>
      <w:r>
        <w:rPr>
          <w:i/>
          <w:iCs/>
          <w:sz w:val="20"/>
          <w:szCs w:val="20"/>
        </w:rPr>
        <w:t>e results from clinical or non-clinical studies or regulatory obstacles product candidates may face, would harm our business and the price of our securities could fall</w:t>
      </w:r>
      <w:r>
        <w:rPr>
          <w:sz w:val="20"/>
          <w:szCs w:val="20"/>
        </w:rPr>
        <w:t>” above for additional information. The rapidly shifting environment surrounding the coll</w:t>
      </w:r>
      <w:r>
        <w:rPr>
          <w:sz w:val="20"/>
          <w:szCs w:val="20"/>
        </w:rPr>
        <w:t>ective response to the COVID-19 pandemic has led to additional guidance from US and foreign regulatory agencies with respect to numerous matters regarding the conduct of clinical trials in general and the development of COVID-19 related therapies, which is</w:t>
      </w:r>
      <w:r>
        <w:rPr>
          <w:sz w:val="20"/>
          <w:szCs w:val="20"/>
        </w:rPr>
        <w:t xml:space="preserve"> subject to the risk of further change, misinterpretation or non-compliance due to the rapidly changing regulatory landscape. In addition, the FDA has additional standards for approval of new drugs, including recommended advisory committee meetings for cer</w:t>
      </w:r>
      <w:r>
        <w:rPr>
          <w:sz w:val="20"/>
          <w:szCs w:val="20"/>
        </w:rPr>
        <w:t>tain new molecular entities, and formal risk evaluation and mitigation requirements at the FDA’s discretion. Even if we receive regulatory approval of a product, the approval may limit the indicated uses for which the drug may be marketed or impose signifi</w:t>
      </w:r>
      <w:r>
        <w:rPr>
          <w:sz w:val="20"/>
          <w:szCs w:val="20"/>
        </w:rPr>
        <w:t>cant restrictions or limitations on the use and/or distribution of such product.</w:t>
      </w:r>
    </w:p>
    <w:p w:rsidR="00000000" w:rsidRDefault="001E618F">
      <w:pPr>
        <w:pStyle w:val="a3"/>
        <w:spacing w:before="0" w:beforeAutospacing="0" w:after="200" w:afterAutospacing="0"/>
        <w:ind w:firstLine="720"/>
        <w:divId w:val="794173761"/>
        <w:rPr>
          <w:sz w:val="20"/>
          <w:szCs w:val="20"/>
        </w:rPr>
      </w:pPr>
      <w:r>
        <w:rPr>
          <w:sz w:val="20"/>
          <w:szCs w:val="20"/>
        </w:rPr>
        <w:t>In addition, in order to market our medicines in foreign jurisdictions, we or our collaborative partners must obtain separate regulatory approvals in each country. The approva</w:t>
      </w:r>
      <w:r>
        <w:rPr>
          <w:sz w:val="20"/>
          <w:szCs w:val="20"/>
        </w:rPr>
        <w:t>l procedure varies among countries and can involve additional testing, and the time required to obtain approval may differ from that required to obtain FDA approval. Approval by the FDA does not ensure approval by regulatory authorities in other countries,</w:t>
      </w:r>
      <w:r>
        <w:rPr>
          <w:sz w:val="20"/>
          <w:szCs w:val="20"/>
        </w:rPr>
        <w:t xml:space="preserve"> and approval by one foreign regulatory authority does not ensure approval by regulatory authorities in other foreign countries or by the FDA. Conversely, failure to obtain approval in one or more jurisdictions may make approval in other jurisdictions more</w:t>
      </w:r>
      <w:r>
        <w:rPr>
          <w:sz w:val="20"/>
          <w:szCs w:val="20"/>
        </w:rPr>
        <w:t xml:space="preserve"> difficult. These laws, regulations, additional requirements and changes in interpretation could cause non-approval or further delays in the FDA’s or other regulatory authorities’ review and approval of our and our collaborative partner’s product candidate</w:t>
      </w:r>
      <w:r>
        <w:rPr>
          <w:sz w:val="20"/>
          <w:szCs w:val="20"/>
        </w:rPr>
        <w:t>s, which would materially harm our business and financial condition and could cause the price of our securities to fall.</w:t>
      </w:r>
    </w:p>
    <w:p w:rsidR="00000000" w:rsidRDefault="001E618F">
      <w:pPr>
        <w:pStyle w:val="a3"/>
        <w:spacing w:before="360" w:beforeAutospacing="0" w:after="0" w:afterAutospacing="0"/>
        <w:jc w:val="center"/>
        <w:divId w:val="969165350"/>
        <w:rPr>
          <w:sz w:val="20"/>
          <w:szCs w:val="20"/>
        </w:rPr>
      </w:pPr>
      <w:r>
        <w:rPr>
          <w:sz w:val="20"/>
          <w:szCs w:val="20"/>
        </w:rPr>
        <w:t>40</w:t>
      </w:r>
    </w:p>
    <w:p w:rsidR="00000000" w:rsidRDefault="001E618F">
      <w:pPr>
        <w:pStyle w:val="a3"/>
        <w:spacing w:before="0" w:beforeAutospacing="0" w:after="600" w:afterAutospacing="0"/>
        <w:divId w:val="750395044"/>
        <w:rPr>
          <w:sz w:val="20"/>
          <w:szCs w:val="20"/>
        </w:rPr>
      </w:pPr>
      <w:hyperlink w:anchor="TOC" w:history="1">
        <w:r>
          <w:rPr>
            <w:rStyle w:val="a4"/>
            <w:sz w:val="20"/>
            <w:szCs w:val="20"/>
          </w:rPr>
          <w:t>Table of Contents</w:t>
        </w:r>
      </w:hyperlink>
    </w:p>
    <w:p w:rsidR="00000000" w:rsidRDefault="001E618F">
      <w:pPr>
        <w:pStyle w:val="a3"/>
        <w:spacing w:before="0" w:beforeAutospacing="0" w:after="120" w:afterAutospacing="0"/>
        <w:divId w:val="1080836045"/>
        <w:rPr>
          <w:sz w:val="20"/>
          <w:szCs w:val="20"/>
        </w:rPr>
      </w:pPr>
      <w:r>
        <w:rPr>
          <w:b/>
          <w:bCs/>
          <w:i/>
          <w:iCs/>
          <w:sz w:val="20"/>
          <w:szCs w:val="20"/>
        </w:rPr>
        <w:t xml:space="preserve">If sufficient capital is not available, we may have to further curtail operations or we </w:t>
      </w:r>
      <w:r>
        <w:rPr>
          <w:b/>
          <w:bCs/>
          <w:i/>
          <w:iCs/>
          <w:sz w:val="20"/>
          <w:szCs w:val="20"/>
        </w:rPr>
        <w:t>could be forced to share our rights to commercialize our product candidates with third parties on terms that may not be favorable to us.</w:t>
      </w:r>
    </w:p>
    <w:p w:rsidR="00000000" w:rsidRDefault="001E618F">
      <w:pPr>
        <w:pStyle w:val="a3"/>
        <w:spacing w:before="0" w:beforeAutospacing="0" w:after="200" w:afterAutospacing="0"/>
        <w:ind w:firstLine="720"/>
        <w:divId w:val="1080836045"/>
        <w:rPr>
          <w:sz w:val="20"/>
          <w:szCs w:val="20"/>
        </w:rPr>
      </w:pPr>
      <w:r>
        <w:rPr>
          <w:sz w:val="20"/>
          <w:szCs w:val="20"/>
        </w:rPr>
        <w:t>Based on our current operating plans and financial forecasts, we believe that our existing cash, cash equivalents and m</w:t>
      </w:r>
      <w:r>
        <w:rPr>
          <w:sz w:val="20"/>
          <w:szCs w:val="20"/>
        </w:rPr>
        <w:t>arketable securities will be sufficient to meet our anticipated operating needs for at least the next twelve months. However, our current operating plans or financial forecasts occasionally change. For example, in August 2017, we announced an increase in o</w:t>
      </w:r>
      <w:r>
        <w:rPr>
          <w:sz w:val="20"/>
          <w:szCs w:val="20"/>
        </w:rPr>
        <w:t>ur anticipated operating loss for 2017, primarily driven by our decision to accelerate funding associated with the next phase of development of izencitinib in our JAK inhibitor program. In addition, following unfavorable results from our late-stage develop</w:t>
      </w:r>
      <w:r>
        <w:rPr>
          <w:sz w:val="20"/>
          <w:szCs w:val="20"/>
        </w:rPr>
        <w:t>ment programs, in September 2021, we announced a strategic update and corporate restructuring (the “Restructuring”) to focus on leveraging our expertise in developing and commercializing respiratory therapeutics, including a reduction in headcount by appro</w:t>
      </w:r>
      <w:r>
        <w:rPr>
          <w:sz w:val="20"/>
          <w:szCs w:val="20"/>
        </w:rPr>
        <w:t>ximately 75% through a reduction in our workforce of regular and contingent workers. If our current operating plans or financial forecasts change, we may require or seek additional funding sooner in the form of public or private equity or equity-linked off</w:t>
      </w:r>
      <w:r>
        <w:rPr>
          <w:sz w:val="20"/>
          <w:szCs w:val="20"/>
        </w:rPr>
        <w:t>erings, debt financings or additional collaborations and licensing arrangements. In addition, we have outstanding $230.0 million of 3.25% Convertible Notes that mature on November 1, 2023 and as of March 31, 2022, we had cash, cash equivalents and short-te</w:t>
      </w:r>
      <w:r>
        <w:rPr>
          <w:sz w:val="20"/>
          <w:szCs w:val="20"/>
        </w:rPr>
        <w:t>rm marketable securities of $147.5 million.</w:t>
      </w:r>
    </w:p>
    <w:p w:rsidR="00000000" w:rsidRDefault="001E618F">
      <w:pPr>
        <w:pStyle w:val="a3"/>
        <w:spacing w:before="0" w:beforeAutospacing="0" w:after="200" w:afterAutospacing="0"/>
        <w:ind w:firstLine="720"/>
        <w:divId w:val="1080836045"/>
        <w:rPr>
          <w:sz w:val="20"/>
          <w:szCs w:val="20"/>
        </w:rPr>
      </w:pPr>
      <w:r>
        <w:rPr>
          <w:sz w:val="20"/>
          <w:szCs w:val="20"/>
        </w:rPr>
        <w:t>We may need to raise additional capital in the future to, among other things: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836045"/>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fund our discovery efforts and research and development programs;</w:t>
            </w:r>
          </w:p>
        </w:tc>
      </w:tr>
    </w:tbl>
    <w:p w:rsidR="00000000" w:rsidRDefault="001E618F">
      <w:pPr>
        <w:pStyle w:val="a3"/>
        <w:spacing w:before="0" w:beforeAutospacing="0" w:after="0" w:afterAutospacing="0"/>
        <w:ind w:left="1080"/>
        <w:divId w:val="108083604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836045"/>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fund our commercialization strategies for any approved products and to prepare for potential product approvals;</w:t>
            </w:r>
          </w:p>
        </w:tc>
      </w:tr>
    </w:tbl>
    <w:p w:rsidR="00000000" w:rsidRDefault="001E618F">
      <w:pPr>
        <w:pStyle w:val="a3"/>
        <w:spacing w:before="0" w:beforeAutospacing="0" w:after="0" w:afterAutospacing="0"/>
        <w:ind w:left="1080"/>
        <w:divId w:val="108083604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836045"/>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support our independent sales and marketing organization and medical affairs team;</w:t>
            </w:r>
          </w:p>
        </w:tc>
      </w:tr>
    </w:tbl>
    <w:p w:rsidR="00000000" w:rsidRDefault="001E618F">
      <w:pPr>
        <w:pStyle w:val="a3"/>
        <w:spacing w:before="0" w:beforeAutospacing="0" w:after="0" w:afterAutospacing="0"/>
        <w:ind w:left="1080"/>
        <w:divId w:val="108083604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836045"/>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support our additional investments in YUPELRI, in</w:t>
            </w:r>
            <w:r>
              <w:rPr>
                <w:rFonts w:eastAsia="Times New Roman"/>
                <w:sz w:val="20"/>
                <w:szCs w:val="20"/>
              </w:rPr>
              <w:t>cluding post-marketing clinical studies;</w:t>
            </w:r>
          </w:p>
        </w:tc>
      </w:tr>
    </w:tbl>
    <w:p w:rsidR="00000000" w:rsidRDefault="001E618F">
      <w:pPr>
        <w:pStyle w:val="a3"/>
        <w:spacing w:before="0" w:beforeAutospacing="0" w:after="0" w:afterAutospacing="0"/>
        <w:ind w:left="1080"/>
        <w:divId w:val="108083604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836045"/>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progress any additional product candidates into later-stage development without funding from a collaboration partner;</w:t>
            </w:r>
          </w:p>
        </w:tc>
      </w:tr>
    </w:tbl>
    <w:p w:rsidR="00000000" w:rsidRDefault="001E618F">
      <w:pPr>
        <w:pStyle w:val="a3"/>
        <w:spacing w:before="0" w:beforeAutospacing="0" w:after="0" w:afterAutospacing="0"/>
        <w:ind w:left="1080"/>
        <w:divId w:val="108083604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836045"/>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progress mid-to-late stage product candidates into later-stage development, if warranted;</w:t>
            </w:r>
          </w:p>
        </w:tc>
      </w:tr>
    </w:tbl>
    <w:p w:rsidR="00000000" w:rsidRDefault="001E618F">
      <w:pPr>
        <w:pStyle w:val="a3"/>
        <w:spacing w:before="0" w:beforeAutospacing="0" w:after="0" w:afterAutospacing="0"/>
        <w:ind w:left="1080"/>
        <w:divId w:val="108083604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836045"/>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respond to competitive pressures; and</w:t>
            </w:r>
          </w:p>
        </w:tc>
      </w:tr>
    </w:tbl>
    <w:p w:rsidR="00000000" w:rsidRDefault="001E618F">
      <w:pPr>
        <w:pStyle w:val="a3"/>
        <w:spacing w:before="0" w:beforeAutospacing="0" w:after="0" w:afterAutospacing="0"/>
        <w:ind w:left="1080"/>
        <w:divId w:val="108083604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836045"/>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acquire complementary businesses or technologies.</w:t>
            </w:r>
          </w:p>
        </w:tc>
      </w:tr>
    </w:tbl>
    <w:p w:rsidR="00000000" w:rsidRDefault="001E618F">
      <w:pPr>
        <w:pStyle w:val="a3"/>
        <w:spacing w:before="0" w:beforeAutospacing="0" w:after="0" w:afterAutospacing="0"/>
        <w:ind w:firstLine="720"/>
        <w:divId w:val="1080836045"/>
        <w:rPr>
          <w:sz w:val="20"/>
          <w:szCs w:val="20"/>
        </w:rPr>
      </w:pPr>
      <w:r>
        <w:rPr>
          <w:sz w:val="20"/>
          <w:szCs w:val="20"/>
        </w:rPr>
        <w:t>​</w:t>
      </w:r>
    </w:p>
    <w:p w:rsidR="00000000" w:rsidRDefault="001E618F">
      <w:pPr>
        <w:pStyle w:val="a3"/>
        <w:spacing w:before="0" w:beforeAutospacing="0" w:after="200" w:afterAutospacing="0"/>
        <w:ind w:firstLine="720"/>
        <w:divId w:val="1080836045"/>
        <w:rPr>
          <w:sz w:val="20"/>
          <w:szCs w:val="20"/>
        </w:rPr>
      </w:pPr>
      <w:r>
        <w:rPr>
          <w:sz w:val="20"/>
          <w:szCs w:val="20"/>
        </w:rPr>
        <w:t>Our future capital needs depend on many factors, including: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836045"/>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scope, duration and expenditures associated with our discovery efforts and research and development programs;</w:t>
            </w:r>
          </w:p>
        </w:tc>
      </w:tr>
    </w:tbl>
    <w:p w:rsidR="00000000" w:rsidRDefault="001E618F">
      <w:pPr>
        <w:pStyle w:val="a3"/>
        <w:spacing w:before="0" w:beforeAutospacing="0" w:after="0" w:afterAutospacing="0"/>
        <w:ind w:left="1080"/>
        <w:divId w:val="108083604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836045"/>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continued scientific progress in these programs;</w:t>
            </w:r>
          </w:p>
        </w:tc>
      </w:tr>
    </w:tbl>
    <w:p w:rsidR="00000000" w:rsidRDefault="001E618F">
      <w:pPr>
        <w:pStyle w:val="a3"/>
        <w:spacing w:before="0" w:beforeAutospacing="0" w:after="0" w:afterAutospacing="0"/>
        <w:ind w:left="1080"/>
        <w:divId w:val="108083604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836045"/>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extent to which we encounter technical obstacles in our research and development programs;</w:t>
            </w:r>
          </w:p>
        </w:tc>
      </w:tr>
    </w:tbl>
    <w:p w:rsidR="00000000" w:rsidRDefault="001E618F">
      <w:pPr>
        <w:pStyle w:val="a3"/>
        <w:spacing w:before="0" w:beforeAutospacing="0" w:after="0" w:afterAutospacing="0"/>
        <w:ind w:left="1080"/>
        <w:divId w:val="108083604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836045"/>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outcome of potential licensing or partnering transactions, if any;</w:t>
            </w:r>
          </w:p>
        </w:tc>
      </w:tr>
    </w:tbl>
    <w:p w:rsidR="00000000" w:rsidRDefault="001E618F">
      <w:pPr>
        <w:pStyle w:val="a3"/>
        <w:spacing w:before="0" w:beforeAutospacing="0" w:after="0" w:afterAutospacing="0"/>
        <w:ind w:left="1080"/>
        <w:divId w:val="108083604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836045"/>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competing technological developments;</w:t>
            </w:r>
          </w:p>
        </w:tc>
      </w:tr>
    </w:tbl>
    <w:p w:rsidR="00000000" w:rsidRDefault="001E618F">
      <w:pPr>
        <w:pStyle w:val="a3"/>
        <w:spacing w:before="0" w:beforeAutospacing="0" w:after="0" w:afterAutospacing="0"/>
        <w:ind w:left="1080"/>
        <w:divId w:val="108083604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836045"/>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extent of our proprietary patent position in any approved products and our product candidates;</w:t>
            </w:r>
          </w:p>
        </w:tc>
      </w:tr>
    </w:tbl>
    <w:p w:rsidR="00000000" w:rsidRDefault="001E618F">
      <w:pPr>
        <w:pStyle w:val="a3"/>
        <w:spacing w:before="0" w:beforeAutospacing="0" w:after="0" w:afterAutospacing="0"/>
        <w:ind w:left="1080"/>
        <w:divId w:val="108083604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836045"/>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our facilities expenses, which will vary depending on the time and terms of any facility lease or sublease we may enter into, and other operating expen</w:t>
            </w:r>
            <w:r>
              <w:rPr>
                <w:rFonts w:eastAsia="Times New Roman"/>
                <w:sz w:val="20"/>
                <w:szCs w:val="20"/>
              </w:rPr>
              <w:t>ses;</w:t>
            </w:r>
          </w:p>
        </w:tc>
      </w:tr>
    </w:tbl>
    <w:p w:rsidR="00000000" w:rsidRDefault="001E618F">
      <w:pPr>
        <w:pStyle w:val="a3"/>
        <w:spacing w:before="0" w:beforeAutospacing="0" w:after="0" w:afterAutospacing="0"/>
        <w:ind w:left="1080"/>
        <w:divId w:val="108083604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80836045"/>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scope and extent of the expansion of our sales and marketing efforts;</w:t>
            </w:r>
          </w:p>
        </w:tc>
      </w:tr>
    </w:tbl>
    <w:p w:rsidR="00000000" w:rsidRDefault="001E618F">
      <w:pPr>
        <w:pStyle w:val="a3"/>
        <w:spacing w:before="360" w:beforeAutospacing="0" w:after="0" w:afterAutospacing="0"/>
        <w:jc w:val="center"/>
        <w:divId w:val="1199126168"/>
        <w:rPr>
          <w:sz w:val="20"/>
          <w:szCs w:val="20"/>
        </w:rPr>
      </w:pPr>
      <w:r>
        <w:rPr>
          <w:sz w:val="20"/>
          <w:szCs w:val="20"/>
        </w:rPr>
        <w:t>41</w:t>
      </w:r>
    </w:p>
    <w:p w:rsidR="00000000" w:rsidRDefault="001E618F">
      <w:pPr>
        <w:pStyle w:val="a3"/>
        <w:spacing w:before="0" w:beforeAutospacing="0" w:after="600" w:afterAutospacing="0"/>
        <w:divId w:val="1678386642"/>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ind w:left="1080"/>
        <w:divId w:val="87851939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78519397"/>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potential litigation and other contingencies; and</w:t>
            </w:r>
          </w:p>
        </w:tc>
      </w:tr>
    </w:tbl>
    <w:p w:rsidR="00000000" w:rsidRDefault="001E618F">
      <w:pPr>
        <w:pStyle w:val="a3"/>
        <w:spacing w:before="0" w:beforeAutospacing="0" w:after="0" w:afterAutospacing="0"/>
        <w:ind w:left="1080"/>
        <w:divId w:val="87851939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78519397"/>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regulatory approval process for our product candidates.</w:t>
            </w:r>
          </w:p>
        </w:tc>
      </w:tr>
    </w:tbl>
    <w:p w:rsidR="00000000" w:rsidRDefault="001E618F">
      <w:pPr>
        <w:pStyle w:val="a3"/>
        <w:spacing w:before="0" w:beforeAutospacing="0" w:after="0" w:afterAutospacing="0"/>
        <w:ind w:firstLine="720"/>
        <w:divId w:val="878519397"/>
        <w:rPr>
          <w:sz w:val="20"/>
          <w:szCs w:val="20"/>
        </w:rPr>
      </w:pPr>
      <w:r>
        <w:rPr>
          <w:sz w:val="20"/>
          <w:szCs w:val="20"/>
        </w:rPr>
        <w:t>​</w:t>
      </w:r>
    </w:p>
    <w:p w:rsidR="00000000" w:rsidRDefault="001E618F">
      <w:pPr>
        <w:pStyle w:val="a3"/>
        <w:spacing w:before="0" w:beforeAutospacing="0" w:after="200" w:afterAutospacing="0"/>
        <w:ind w:firstLine="720"/>
        <w:divId w:val="878519397"/>
        <w:rPr>
          <w:sz w:val="20"/>
          <w:szCs w:val="20"/>
        </w:rPr>
      </w:pPr>
      <w:r>
        <w:rPr>
          <w:sz w:val="20"/>
          <w:szCs w:val="20"/>
        </w:rPr>
        <w:t xml:space="preserve">We may seek to raise additional capital or obtain future funding through public or private equity offerings, debt financings or additional collaborations and licensing arrangements to meet our </w:t>
      </w:r>
      <w:r>
        <w:rPr>
          <w:sz w:val="20"/>
          <w:szCs w:val="20"/>
        </w:rPr>
        <w:t>capital needs or to take advantage of opportunistic market conditions. We may not be able to obtain additional financing on terms favorable to us, if at all. General market conditions may make it difficult for us to seek financing from the capital markets.</w:t>
      </w:r>
      <w:r>
        <w:rPr>
          <w:sz w:val="20"/>
          <w:szCs w:val="20"/>
        </w:rPr>
        <w:t xml:space="preserve"> We may be required to relinquish rights to our technologies, product candidates or territories, or grant licenses on terms that are not favorable to us, in order to raise additional funds through collaborations or licensing arrangements. We may also have </w:t>
      </w:r>
      <w:r>
        <w:rPr>
          <w:sz w:val="20"/>
          <w:szCs w:val="20"/>
        </w:rPr>
        <w:t>to sequence preclinical and clinical studies as opposed to conducting them concomitantly in order to conserve resources, or, as we announced in September 2021, we may need to delay, reduce, or eliminate one or more of our research or development programs a</w:t>
      </w:r>
      <w:r>
        <w:rPr>
          <w:sz w:val="20"/>
          <w:szCs w:val="20"/>
        </w:rPr>
        <w:t xml:space="preserve">nd reduce overall overhead expenses. In addition, we may have to make reductions in our workforce and may be prevented from continuing our discovery, development and commercialization efforts and exploiting other corporate opportunities. This would likely </w:t>
      </w:r>
      <w:r>
        <w:rPr>
          <w:sz w:val="20"/>
          <w:szCs w:val="20"/>
        </w:rPr>
        <w:t>harm our business, prospects and financial condition, and cause the price of our securities to fall.</w:t>
      </w:r>
    </w:p>
    <w:p w:rsidR="00000000" w:rsidRDefault="001E618F">
      <w:pPr>
        <w:pStyle w:val="a3"/>
        <w:spacing w:before="0" w:beforeAutospacing="0" w:after="140" w:afterAutospacing="0"/>
        <w:divId w:val="878519397"/>
        <w:rPr>
          <w:sz w:val="20"/>
          <w:szCs w:val="20"/>
        </w:rPr>
      </w:pPr>
      <w:r>
        <w:rPr>
          <w:b/>
          <w:bCs/>
          <w:i/>
          <w:iCs/>
          <w:sz w:val="20"/>
          <w:szCs w:val="20"/>
        </w:rPr>
        <w:t>We may seek to obtain future financing through the issuance of debt or equity, which may have an adverse effect on our shareholders or may otherwise advers</w:t>
      </w:r>
      <w:r>
        <w:rPr>
          <w:b/>
          <w:bCs/>
          <w:i/>
          <w:iCs/>
          <w:sz w:val="20"/>
          <w:szCs w:val="20"/>
        </w:rPr>
        <w:t xml:space="preserve">ely affect our business. </w:t>
      </w:r>
    </w:p>
    <w:p w:rsidR="00000000" w:rsidRDefault="001E618F">
      <w:pPr>
        <w:pStyle w:val="a3"/>
        <w:spacing w:before="0" w:beforeAutospacing="0" w:after="200" w:afterAutospacing="0"/>
        <w:ind w:firstLine="720"/>
        <w:divId w:val="878519397"/>
        <w:rPr>
          <w:sz w:val="20"/>
          <w:szCs w:val="20"/>
        </w:rPr>
      </w:pPr>
      <w:r>
        <w:rPr>
          <w:sz w:val="20"/>
          <w:szCs w:val="20"/>
        </w:rPr>
        <w:t>We may in the future need to raise additional funds to continue to progress our business. If we raise funds through the issuance of additional debt, including convertible debt or debt secured by some or all of our assets, or equit</w:t>
      </w:r>
      <w:r>
        <w:rPr>
          <w:sz w:val="20"/>
          <w:szCs w:val="20"/>
        </w:rPr>
        <w:t>y, any debt securities or preferred shares issued will have rights, preferences and privileges senior to those of holders of our ordinary shares in the event of liquidation. Neither the terms of our $230.0 million of 3.25% convertible senior notes, due 202</w:t>
      </w:r>
      <w:r>
        <w:rPr>
          <w:sz w:val="20"/>
          <w:szCs w:val="20"/>
        </w:rPr>
        <w:t>3 (the “Convertible Senior 2023 Notes”) nor the terms of the Issuer II’s 9.5% Fixed Rate Term Notes due on or before 2035 (the “Non-Recourse 2035 Notes”) restrict our ability to issue additional debt. If additional debt is issued or we otherwise borrow add</w:t>
      </w:r>
      <w:r>
        <w:rPr>
          <w:sz w:val="20"/>
          <w:szCs w:val="20"/>
        </w:rPr>
        <w:t>itional funds, there is a possibility that once all senior claims are settled, there may be no assets remaining to pay out to the holders of ordinary shares. Moreover, 75% of the income from our investment in TRC, as evidenced by the Issuer II Class C Unit</w:t>
      </w:r>
      <w:r>
        <w:rPr>
          <w:sz w:val="20"/>
          <w:szCs w:val="20"/>
        </w:rPr>
        <w:t>s, is currently available only for payment of the Non-Recourse 2035 Notes and is not available to pay our other obligations or the claims of our other creditors. Additionally, the conversion price of our Convertible Senior 2023 Notes is $34.45 per share an</w:t>
      </w:r>
      <w:r>
        <w:rPr>
          <w:sz w:val="20"/>
          <w:szCs w:val="20"/>
        </w:rPr>
        <w:t>d as of March 31, 2022, we had cash, cash equivalents and short-term marketable securities of $147.5 million. If the trading price of our ordinary shares does not exceed this amount, we would be required to repay or refinance the Convertible Senior 2023 No</w:t>
      </w:r>
      <w:r>
        <w:rPr>
          <w:sz w:val="20"/>
          <w:szCs w:val="20"/>
        </w:rPr>
        <w:t>tes, and we cannot assure you that we would be able to do so. In addition, if we raise funds through the issuance of additional equity, whether through private placements or public offerings, such an issuance would dilute ownership of our current sharehold</w:t>
      </w:r>
      <w:r>
        <w:rPr>
          <w:sz w:val="20"/>
          <w:szCs w:val="20"/>
        </w:rPr>
        <w:t>ers that do not participate in the issuance. If we are unable to obtain any needed additional funding, we may be required to reduce the scope of, delay, or eliminate some or all of, our planned research, development and commercialization activities or to l</w:t>
      </w:r>
      <w:r>
        <w:rPr>
          <w:sz w:val="20"/>
          <w:szCs w:val="20"/>
        </w:rPr>
        <w:t>icense to third parties the rights to develop and/or commercialize products or technologies that we would otherwise seek to develop and/or commercialize ourselves or on terms that are less attractive than they might otherwise be, any of which could materia</w:t>
      </w:r>
      <w:r>
        <w:rPr>
          <w:sz w:val="20"/>
          <w:szCs w:val="20"/>
        </w:rPr>
        <w:t>lly harm our business.</w:t>
      </w:r>
    </w:p>
    <w:p w:rsidR="00000000" w:rsidRDefault="001E618F">
      <w:pPr>
        <w:pStyle w:val="a3"/>
        <w:spacing w:before="0" w:beforeAutospacing="0" w:after="200" w:afterAutospacing="0"/>
        <w:ind w:firstLine="720"/>
        <w:divId w:val="878519397"/>
        <w:rPr>
          <w:sz w:val="20"/>
          <w:szCs w:val="20"/>
        </w:rPr>
      </w:pPr>
      <w:r>
        <w:rPr>
          <w:sz w:val="20"/>
          <w:szCs w:val="20"/>
        </w:rPr>
        <w:t>Furthermore, the terms of any additional debt securities we may issue in the future may impose restrictions on our operations, which may include limiting our ability to incur additional indebtedness, pay dividends on or repurchase ou</w:t>
      </w:r>
      <w:r>
        <w:rPr>
          <w:sz w:val="20"/>
          <w:szCs w:val="20"/>
        </w:rPr>
        <w:t>r share capital, or make certain acquisitions or investments. In addition, we may be subject to covenants requiring us to satisfy certain financial tests and ratios, and our ability to satisfy such covenants may be affected by events outside of our control</w:t>
      </w:r>
      <w:r>
        <w:rPr>
          <w:sz w:val="20"/>
          <w:szCs w:val="20"/>
        </w:rPr>
        <w:t>.</w:t>
      </w:r>
    </w:p>
    <w:p w:rsidR="00000000" w:rsidRDefault="001E618F">
      <w:pPr>
        <w:pStyle w:val="a3"/>
        <w:spacing w:before="0" w:beforeAutospacing="0" w:after="140" w:afterAutospacing="0"/>
        <w:divId w:val="878519397"/>
        <w:rPr>
          <w:sz w:val="20"/>
          <w:szCs w:val="20"/>
        </w:rPr>
      </w:pPr>
      <w:r>
        <w:rPr>
          <w:b/>
          <w:bCs/>
          <w:i/>
          <w:iCs/>
          <w:sz w:val="20"/>
          <w:szCs w:val="20"/>
        </w:rPr>
        <w:t>If our partners do not satisfy their obligations under our agreements with them, or if they terminate our partnerships with them, we may not be able to develop or commercialize our partnered product candidates as planned.</w:t>
      </w:r>
    </w:p>
    <w:p w:rsidR="00000000" w:rsidRDefault="001E618F">
      <w:pPr>
        <w:pStyle w:val="a3"/>
        <w:spacing w:before="0" w:beforeAutospacing="0" w:after="0" w:afterAutospacing="0"/>
        <w:ind w:firstLine="720"/>
        <w:divId w:val="878519397"/>
        <w:rPr>
          <w:sz w:val="20"/>
          <w:szCs w:val="20"/>
        </w:rPr>
      </w:pPr>
      <w:r>
        <w:rPr>
          <w:sz w:val="20"/>
          <w:szCs w:val="20"/>
        </w:rPr>
        <w:t>In January 2015, we entered into</w:t>
      </w:r>
      <w:r>
        <w:rPr>
          <w:sz w:val="20"/>
          <w:szCs w:val="20"/>
        </w:rPr>
        <w:t xml:space="preserve"> a collaboration agreement with Viatris for the development and commercialization of a nebulized formulation of our LAMA revefenacin, including YUPELRI. Under the terms of the agreement, we and Viatris will co-develop nebulized revefenacin, including YUPEL</w:t>
      </w:r>
      <w:r>
        <w:rPr>
          <w:sz w:val="20"/>
          <w:szCs w:val="20"/>
        </w:rPr>
        <w:t>RI, for COPD and other respiratory diseases. In June 2016, we entered into a License and Collaboration Agreement with Millennium Pharmaceuticals, Inc., an indirect wholly-owned subsidiary of Takeda Pharmaceutical Company Limited (collectively with Millenni</w:t>
      </w:r>
      <w:r>
        <w:rPr>
          <w:sz w:val="20"/>
          <w:szCs w:val="20"/>
        </w:rPr>
        <w:t xml:space="preserve">um, “Takeda”) in order to establish a collaboration for the development and commercialization of TD-8954, a selective 5-HT4 receptor agonist in development for gastrointestinal motility disorders. In December 2019, we entered into a License Agreement with </w:t>
      </w:r>
      <w:r>
        <w:rPr>
          <w:sz w:val="20"/>
          <w:szCs w:val="20"/>
        </w:rPr>
        <w:t xml:space="preserve">Pfizer Inc. (“Pfizer”). </w:t>
      </w:r>
    </w:p>
    <w:p w:rsidR="00000000" w:rsidRDefault="001E618F">
      <w:pPr>
        <w:pStyle w:val="a3"/>
        <w:spacing w:before="360" w:beforeAutospacing="0" w:after="0" w:afterAutospacing="0"/>
        <w:jc w:val="center"/>
        <w:divId w:val="1209731661"/>
        <w:rPr>
          <w:sz w:val="20"/>
          <w:szCs w:val="20"/>
        </w:rPr>
      </w:pPr>
      <w:r>
        <w:rPr>
          <w:sz w:val="20"/>
          <w:szCs w:val="20"/>
        </w:rPr>
        <w:t>42</w:t>
      </w:r>
    </w:p>
    <w:p w:rsidR="00000000" w:rsidRDefault="001E618F">
      <w:pPr>
        <w:pStyle w:val="a3"/>
        <w:spacing w:before="0" w:beforeAutospacing="0" w:after="600" w:afterAutospacing="0"/>
        <w:divId w:val="830563073"/>
        <w:rPr>
          <w:sz w:val="20"/>
          <w:szCs w:val="20"/>
        </w:rPr>
      </w:pPr>
      <w:hyperlink w:anchor="TOC" w:history="1">
        <w:r>
          <w:rPr>
            <w:rStyle w:val="a4"/>
            <w:sz w:val="20"/>
            <w:szCs w:val="20"/>
          </w:rPr>
          <w:t>Table of Contents</w:t>
        </w:r>
      </w:hyperlink>
    </w:p>
    <w:p w:rsidR="00000000" w:rsidRDefault="001E618F">
      <w:pPr>
        <w:pStyle w:val="a3"/>
        <w:spacing w:before="0" w:beforeAutospacing="0" w:after="200" w:afterAutospacing="0"/>
        <w:divId w:val="866136125"/>
        <w:rPr>
          <w:sz w:val="20"/>
          <w:szCs w:val="20"/>
        </w:rPr>
      </w:pPr>
      <w:r>
        <w:rPr>
          <w:sz w:val="20"/>
          <w:szCs w:val="20"/>
        </w:rPr>
        <w:t>Under the license agreement, we provide Pfizer with an exclusive global license to develop, manufacture and commercialize compounds from our preclinical program for skin-targeted, loca</w:t>
      </w:r>
      <w:r>
        <w:rPr>
          <w:sz w:val="20"/>
          <w:szCs w:val="20"/>
        </w:rPr>
        <w:t>lly-acting pan-Janus kinase (JAK) inhibitors that can be rapidly metabolized. We also have an exclusive development and commercialization agreement with Alfasigma for velusetrag, our internally discovered 5-HT4 agonist for the treatment of gastromotility d</w:t>
      </w:r>
      <w:r>
        <w:rPr>
          <w:sz w:val="20"/>
          <w:szCs w:val="20"/>
        </w:rPr>
        <w:t>isorders, under which we have transferred to Alfasigma global rights for velusetrag. In connection with these agreements, these parties have certain rights regarding the use of patents and technology with respect to the compounds in our development program</w:t>
      </w:r>
      <w:r>
        <w:rPr>
          <w:sz w:val="20"/>
          <w:szCs w:val="20"/>
        </w:rPr>
        <w:t>s, including development and marketing rights.</w:t>
      </w:r>
    </w:p>
    <w:p w:rsidR="00000000" w:rsidRDefault="001E618F">
      <w:pPr>
        <w:pStyle w:val="a3"/>
        <w:spacing w:before="0" w:beforeAutospacing="0" w:after="200" w:afterAutospacing="0"/>
        <w:ind w:firstLine="720"/>
        <w:divId w:val="866136125"/>
        <w:rPr>
          <w:sz w:val="20"/>
          <w:szCs w:val="20"/>
        </w:rPr>
      </w:pPr>
      <w:r>
        <w:rPr>
          <w:sz w:val="20"/>
          <w:szCs w:val="20"/>
        </w:rPr>
        <w:t>Our partners may not fulfill their obligations under these agreements, and, in certain circumstances, they or we may terminate our partnership with them. In either event, we may be unable to assume the develop</w:t>
      </w:r>
      <w:r>
        <w:rPr>
          <w:sz w:val="20"/>
          <w:szCs w:val="20"/>
        </w:rPr>
        <w:t>ment and commercialization responsibilities covered by the agreements or enter into alternative arrangements with a third-party to develop and commercialize such product candidates. If a partner elected to promote alternative products and product candidate</w:t>
      </w:r>
      <w:r>
        <w:rPr>
          <w:sz w:val="20"/>
          <w:szCs w:val="20"/>
        </w:rPr>
        <w:t>s such as its own products and product candidates in preference to those licensed from us, does not devote an adequate amount of time and resources to our product candidates or is otherwise unsuccessful in its efforts with respect to our products or produc</w:t>
      </w:r>
      <w:r>
        <w:rPr>
          <w:sz w:val="20"/>
          <w:szCs w:val="20"/>
        </w:rPr>
        <w:t>t candidates, the development and commercialization of product candidates covered by the agreements could be delayed or terminated, and future payments to us could be delayed, reduced or eliminated and our business and financial condition could be material</w:t>
      </w:r>
      <w:r>
        <w:rPr>
          <w:sz w:val="20"/>
          <w:szCs w:val="20"/>
        </w:rPr>
        <w:t>ly and adversely affected. Accordingly, our ability to receive any revenue from the product candidates covered by these agreements is dependent on the efforts of our partners. If a partner terminates or breaches its agreements with us, otherwise fails to c</w:t>
      </w:r>
      <w:r>
        <w:rPr>
          <w:sz w:val="20"/>
          <w:szCs w:val="20"/>
        </w:rPr>
        <w:t>omplete its obligations in a timely manner or alleges that we have breached our contractual obligations under these agreements, the chances of successfully developing or commercializing product candidates under the collaboration could be materially and adv</w:t>
      </w:r>
      <w:r>
        <w:rPr>
          <w:sz w:val="20"/>
          <w:szCs w:val="20"/>
        </w:rPr>
        <w:t>ersely affected. In addition, effective collaboration with a partner requires coordination to achieve complex and detail-intensive goals between entities that potentially have different priorities, capabilities and processes and successful navigation of th</w:t>
      </w:r>
      <w:r>
        <w:rPr>
          <w:sz w:val="20"/>
          <w:szCs w:val="20"/>
        </w:rPr>
        <w:t>e challenges such coordination entails. We could also become involved in disputes with a partner, which could lead to delays in or termination of our development and commercialization programs and time-consuming and expensive litigation or arbitration. Fur</w:t>
      </w:r>
      <w:r>
        <w:rPr>
          <w:sz w:val="20"/>
          <w:szCs w:val="20"/>
        </w:rPr>
        <w:t>thermore, termination of an agreement by a partner could have an adverse effect on the price of our ordinary shares or other securities even if not material to our business.</w:t>
      </w:r>
    </w:p>
    <w:p w:rsidR="00000000" w:rsidRDefault="001E618F">
      <w:pPr>
        <w:pStyle w:val="a3"/>
        <w:spacing w:before="0" w:beforeAutospacing="0" w:after="120" w:afterAutospacing="0"/>
        <w:divId w:val="866136125"/>
        <w:rPr>
          <w:sz w:val="20"/>
          <w:szCs w:val="20"/>
        </w:rPr>
      </w:pPr>
      <w:r>
        <w:rPr>
          <w:b/>
          <w:bCs/>
          <w:i/>
          <w:iCs/>
          <w:sz w:val="20"/>
          <w:szCs w:val="20"/>
        </w:rPr>
        <w:t>Our ongoing drug discovery and development efforts might not generate additional successful product candidates or approvable drugs.</w:t>
      </w:r>
    </w:p>
    <w:p w:rsidR="00000000" w:rsidRDefault="001E618F">
      <w:pPr>
        <w:pStyle w:val="a3"/>
        <w:spacing w:before="0" w:beforeAutospacing="0" w:after="200" w:afterAutospacing="0"/>
        <w:ind w:firstLine="720"/>
        <w:divId w:val="866136125"/>
        <w:rPr>
          <w:sz w:val="20"/>
          <w:szCs w:val="20"/>
        </w:rPr>
      </w:pPr>
      <w:r>
        <w:rPr>
          <w:sz w:val="20"/>
          <w:szCs w:val="20"/>
        </w:rPr>
        <w:t>Our compounds in clinical trials and our future leads for potential drug compounds are subject to the risks and failures inh</w:t>
      </w:r>
      <w:r>
        <w:rPr>
          <w:sz w:val="20"/>
          <w:szCs w:val="20"/>
        </w:rPr>
        <w:t xml:space="preserve">erent in the development of pharmaceutical products. These risks include, but are not limited to, the inherent difficulty in selecting the right drug and drug target and avoiding unwanted side effects, as well as unanticipated problems relating to product </w:t>
      </w:r>
      <w:r>
        <w:rPr>
          <w:sz w:val="20"/>
          <w:szCs w:val="20"/>
        </w:rPr>
        <w:t>development, testing, enrollment, obtaining regulatory approvals, maintaining regulatory compliance, manufacturing, competition and costs and expenses that may exceed current estimates.</w:t>
      </w:r>
    </w:p>
    <w:p w:rsidR="00000000" w:rsidRDefault="001E618F">
      <w:pPr>
        <w:pStyle w:val="a3"/>
        <w:spacing w:before="0" w:beforeAutospacing="0" w:after="200" w:afterAutospacing="0"/>
        <w:ind w:firstLine="720"/>
        <w:divId w:val="866136125"/>
        <w:rPr>
          <w:sz w:val="20"/>
          <w:szCs w:val="20"/>
        </w:rPr>
      </w:pPr>
      <w:r>
        <w:rPr>
          <w:sz w:val="20"/>
          <w:szCs w:val="20"/>
        </w:rPr>
        <w:t>Clinical studies involving our product candidates may reveal that thos</w:t>
      </w:r>
      <w:r>
        <w:rPr>
          <w:sz w:val="20"/>
          <w:szCs w:val="20"/>
        </w:rPr>
        <w:t>e candidates are ineffective, inferior to existing approved medicines, unacceptably toxic, or that they have other unacceptable side effects. In addition, the results of preclinical studies do not necessarily predict clinical success, and larger and later-</w:t>
      </w:r>
      <w:r>
        <w:rPr>
          <w:sz w:val="20"/>
          <w:szCs w:val="20"/>
        </w:rPr>
        <w:t xml:space="preserve">stage clinical studies may not produce the same results as earlier-stage clinical studies. For example, despite promising early stage studies, we recently announced that two late stage clinical programs failed to meet their primary endpoints and we now no </w:t>
      </w:r>
      <w:r>
        <w:rPr>
          <w:sz w:val="20"/>
          <w:szCs w:val="20"/>
        </w:rPr>
        <w:t>longer plan to continue to pursue the development programs for those compounds as planned.</w:t>
      </w:r>
    </w:p>
    <w:p w:rsidR="00000000" w:rsidRDefault="001E618F">
      <w:pPr>
        <w:pStyle w:val="a3"/>
        <w:spacing w:before="0" w:beforeAutospacing="0" w:after="0" w:afterAutospacing="0"/>
        <w:ind w:firstLine="720"/>
        <w:divId w:val="866136125"/>
        <w:rPr>
          <w:sz w:val="20"/>
          <w:szCs w:val="20"/>
        </w:rPr>
      </w:pPr>
      <w:r>
        <w:rPr>
          <w:sz w:val="20"/>
          <w:szCs w:val="20"/>
        </w:rPr>
        <w:t>Frequently, product candidates that have shown promising results in early preclinical or clinical studies have subsequently suffered significant setbacks or failed i</w:t>
      </w:r>
      <w:r>
        <w:rPr>
          <w:sz w:val="20"/>
          <w:szCs w:val="20"/>
        </w:rPr>
        <w:t>n later non-clinical or clinical studies. In some instances, there can be significant variability in safety and/or efficacy results between different trials of the same product candidate due to numerous factors, including changes in trial protocols, differ</w:t>
      </w:r>
      <w:r>
        <w:rPr>
          <w:sz w:val="20"/>
          <w:szCs w:val="20"/>
        </w:rPr>
        <w:t>ences in size and type of the patient populations, varying levels of adherence to the dosing regimen and other trial protocols and the rate of dropout among clinical trial participants. Clinical and non-clinical studies of product candidates often reveal t</w:t>
      </w:r>
      <w:r>
        <w:rPr>
          <w:sz w:val="20"/>
          <w:szCs w:val="20"/>
        </w:rPr>
        <w:t>hat it is not possible or practical to continue development efforts for these product candidates. In addition, the design of a clinical trial can determine whether its results will support regulatory approval and flaws in the design of a clinical trial may</w:t>
      </w:r>
      <w:r>
        <w:rPr>
          <w:sz w:val="20"/>
          <w:szCs w:val="20"/>
        </w:rPr>
        <w:t xml:space="preserve"> not become apparent until the clinical trial is well underway or completed. As our clinical studies for two of our current product candidates suggested that our product candidates were not efficacious in the indications we were investigating, we choose to</w:t>
      </w:r>
      <w:r>
        <w:rPr>
          <w:sz w:val="20"/>
          <w:szCs w:val="20"/>
        </w:rPr>
        <w:t xml:space="preserve"> cease development of these product candidates and are currently winding down our development programs for these product candidates. In addition, our product candidates may have undesirable side effects or other unexpected characteristics that could cause </w:t>
      </w:r>
      <w:r>
        <w:rPr>
          <w:sz w:val="20"/>
          <w:szCs w:val="20"/>
        </w:rPr>
        <w:t xml:space="preserve">us or regulatory authorities to interrupt, </w:t>
      </w:r>
    </w:p>
    <w:p w:rsidR="00000000" w:rsidRDefault="001E618F">
      <w:pPr>
        <w:pStyle w:val="a3"/>
        <w:spacing w:before="360" w:beforeAutospacing="0" w:after="0" w:afterAutospacing="0"/>
        <w:jc w:val="center"/>
        <w:divId w:val="650793252"/>
        <w:rPr>
          <w:sz w:val="20"/>
          <w:szCs w:val="20"/>
        </w:rPr>
      </w:pPr>
      <w:r>
        <w:rPr>
          <w:sz w:val="20"/>
          <w:szCs w:val="20"/>
        </w:rPr>
        <w:t>43</w:t>
      </w:r>
    </w:p>
    <w:p w:rsidR="00000000" w:rsidRDefault="001E618F">
      <w:pPr>
        <w:pStyle w:val="a3"/>
        <w:spacing w:before="0" w:beforeAutospacing="0" w:after="600" w:afterAutospacing="0"/>
        <w:divId w:val="1511677143"/>
        <w:rPr>
          <w:sz w:val="20"/>
          <w:szCs w:val="20"/>
        </w:rPr>
      </w:pPr>
      <w:hyperlink w:anchor="TOC" w:history="1">
        <w:r>
          <w:rPr>
            <w:rStyle w:val="a4"/>
            <w:sz w:val="20"/>
            <w:szCs w:val="20"/>
          </w:rPr>
          <w:t>Table of Contents</w:t>
        </w:r>
      </w:hyperlink>
    </w:p>
    <w:p w:rsidR="00000000" w:rsidRDefault="001E618F">
      <w:pPr>
        <w:pStyle w:val="a3"/>
        <w:spacing w:before="0" w:beforeAutospacing="0" w:after="200" w:afterAutospacing="0"/>
        <w:divId w:val="613176798"/>
        <w:rPr>
          <w:sz w:val="20"/>
          <w:szCs w:val="20"/>
        </w:rPr>
      </w:pPr>
      <w:r>
        <w:rPr>
          <w:sz w:val="20"/>
          <w:szCs w:val="20"/>
        </w:rPr>
        <w:t>delay or halt clinical trials and could result in a more restricted label or the delay or denial of regulatory approval by regulatory authorities.</w:t>
      </w:r>
    </w:p>
    <w:p w:rsidR="00000000" w:rsidRDefault="001E618F">
      <w:pPr>
        <w:pStyle w:val="a3"/>
        <w:spacing w:before="0" w:beforeAutospacing="0" w:after="120" w:afterAutospacing="0"/>
        <w:divId w:val="613176798"/>
        <w:rPr>
          <w:sz w:val="20"/>
          <w:szCs w:val="20"/>
        </w:rPr>
      </w:pPr>
      <w:r>
        <w:rPr>
          <w:b/>
          <w:bCs/>
          <w:i/>
          <w:iCs/>
          <w:sz w:val="20"/>
          <w:szCs w:val="20"/>
        </w:rPr>
        <w:t>We face substantia</w:t>
      </w:r>
      <w:r>
        <w:rPr>
          <w:b/>
          <w:bCs/>
          <w:i/>
          <w:iCs/>
          <w:sz w:val="20"/>
          <w:szCs w:val="20"/>
        </w:rPr>
        <w:t>l competition from companies with more resources and experience than we have, which may result in others discovering, developing, receiving approval for or commercializing products before or more successfully than we do.</w:t>
      </w:r>
    </w:p>
    <w:p w:rsidR="00000000" w:rsidRDefault="001E618F">
      <w:pPr>
        <w:pStyle w:val="a3"/>
        <w:spacing w:before="0" w:beforeAutospacing="0" w:after="200" w:afterAutospacing="0"/>
        <w:ind w:firstLine="720"/>
        <w:divId w:val="613176798"/>
        <w:rPr>
          <w:sz w:val="20"/>
          <w:szCs w:val="20"/>
        </w:rPr>
      </w:pPr>
      <w:r>
        <w:rPr>
          <w:sz w:val="20"/>
          <w:szCs w:val="20"/>
        </w:rPr>
        <w:t>Our ability to succeed in the futur</w:t>
      </w:r>
      <w:r>
        <w:rPr>
          <w:sz w:val="20"/>
          <w:szCs w:val="20"/>
        </w:rPr>
        <w:t>e depends on our ability to demonstrate and maintain a competitive advantage with respect to our approach to the discovery, development and commercialization of medicines. Our objective is to discover, develop and commercialize new small molecule medicines</w:t>
      </w:r>
      <w:r>
        <w:rPr>
          <w:sz w:val="20"/>
          <w:szCs w:val="20"/>
        </w:rPr>
        <w:t xml:space="preserve"> with superior efficacy, convenience, tolerability and/or safety using our proprietary insights, where applicable. We expect that any medicines that we commercialize with or without our collaborative partners will compete with existing or future market-lea</w:t>
      </w:r>
      <w:r>
        <w:rPr>
          <w:sz w:val="20"/>
          <w:szCs w:val="20"/>
        </w:rPr>
        <w:t>ding medicines.</w:t>
      </w:r>
    </w:p>
    <w:p w:rsidR="00000000" w:rsidRDefault="001E618F">
      <w:pPr>
        <w:pStyle w:val="a3"/>
        <w:spacing w:before="0" w:beforeAutospacing="0" w:after="200" w:afterAutospacing="0"/>
        <w:ind w:firstLine="720"/>
        <w:divId w:val="613176798"/>
        <w:rPr>
          <w:sz w:val="20"/>
          <w:szCs w:val="20"/>
        </w:rPr>
      </w:pPr>
      <w:r>
        <w:rPr>
          <w:sz w:val="20"/>
          <w:szCs w:val="20"/>
        </w:rPr>
        <w:t>Many of our current and potential competitors have substantially greater financial, technical and personnel resources than we have. In addition, many of these competitors have significantly greater commercial infrastructures than we have. O</w:t>
      </w:r>
      <w:r>
        <w:rPr>
          <w:sz w:val="20"/>
          <w:szCs w:val="20"/>
        </w:rPr>
        <w:t>ur ability to compete successfully will depend largely on our ability to leverage our experience in drug discovery and development, and, more recently, commercialization,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13176798"/>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discover and develop medicines that are superior to other products in the mark</w:t>
            </w:r>
            <w:r>
              <w:rPr>
                <w:rFonts w:eastAsia="Times New Roman"/>
                <w:sz w:val="20"/>
                <w:szCs w:val="20"/>
              </w:rPr>
              <w:t>et;</w:t>
            </w:r>
          </w:p>
        </w:tc>
      </w:tr>
    </w:tbl>
    <w:p w:rsidR="00000000" w:rsidRDefault="001E618F">
      <w:pPr>
        <w:pStyle w:val="a3"/>
        <w:spacing w:before="0" w:beforeAutospacing="0" w:after="0" w:afterAutospacing="0"/>
        <w:ind w:left="1080"/>
        <w:divId w:val="61317679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13176798"/>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attract and retain qualified personnel;</w:t>
            </w:r>
          </w:p>
        </w:tc>
      </w:tr>
    </w:tbl>
    <w:p w:rsidR="00000000" w:rsidRDefault="001E618F">
      <w:pPr>
        <w:pStyle w:val="a3"/>
        <w:spacing w:before="0" w:beforeAutospacing="0" w:after="0" w:afterAutospacing="0"/>
        <w:ind w:left="1080"/>
        <w:divId w:val="61317679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13176798"/>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obtain and enforce patent and/or other proprietary protection for our medicines and technologies;</w:t>
            </w:r>
          </w:p>
        </w:tc>
      </w:tr>
    </w:tbl>
    <w:p w:rsidR="00000000" w:rsidRDefault="001E618F">
      <w:pPr>
        <w:pStyle w:val="a3"/>
        <w:spacing w:before="0" w:beforeAutospacing="0" w:after="0" w:afterAutospacing="0"/>
        <w:ind w:left="1080"/>
        <w:divId w:val="61317679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13176798"/>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conduct effective clinical trials and obtain required regulatory approvals;</w:t>
            </w:r>
          </w:p>
        </w:tc>
      </w:tr>
    </w:tbl>
    <w:p w:rsidR="00000000" w:rsidRDefault="001E618F">
      <w:pPr>
        <w:pStyle w:val="a3"/>
        <w:spacing w:before="0" w:beforeAutospacing="0" w:after="0" w:afterAutospacing="0"/>
        <w:ind w:left="1080"/>
        <w:divId w:val="61317679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13176798"/>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develop and effectively implement commercialization strategies, with or without collaborative partners; and</w:t>
            </w:r>
          </w:p>
        </w:tc>
      </w:tr>
    </w:tbl>
    <w:p w:rsidR="00000000" w:rsidRDefault="001E618F">
      <w:pPr>
        <w:pStyle w:val="a3"/>
        <w:spacing w:before="0" w:beforeAutospacing="0" w:after="0" w:afterAutospacing="0"/>
        <w:ind w:left="1080"/>
        <w:divId w:val="61317679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13176798"/>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successfully collaborate with pharmaceutical companies in th</w:t>
            </w:r>
            <w:r>
              <w:rPr>
                <w:rFonts w:eastAsia="Times New Roman"/>
                <w:sz w:val="20"/>
                <w:szCs w:val="20"/>
              </w:rPr>
              <w:t>e discovery, development and commercialization of new medicines.</w:t>
            </w:r>
          </w:p>
        </w:tc>
      </w:tr>
    </w:tbl>
    <w:p w:rsidR="00000000" w:rsidRDefault="001E618F">
      <w:pPr>
        <w:pStyle w:val="a3"/>
        <w:spacing w:before="0" w:beforeAutospacing="0" w:after="0" w:afterAutospacing="0"/>
        <w:ind w:firstLine="720"/>
        <w:divId w:val="613176798"/>
        <w:rPr>
          <w:sz w:val="20"/>
          <w:szCs w:val="20"/>
        </w:rPr>
      </w:pPr>
      <w:r>
        <w:rPr>
          <w:sz w:val="20"/>
          <w:szCs w:val="20"/>
        </w:rPr>
        <w:t>​</w:t>
      </w:r>
    </w:p>
    <w:p w:rsidR="00000000" w:rsidRDefault="001E618F">
      <w:pPr>
        <w:pStyle w:val="a3"/>
        <w:spacing w:before="0" w:beforeAutospacing="0" w:after="200" w:afterAutospacing="0"/>
        <w:ind w:firstLine="720"/>
        <w:divId w:val="613176798"/>
        <w:rPr>
          <w:sz w:val="20"/>
          <w:szCs w:val="20"/>
        </w:rPr>
      </w:pPr>
      <w:r>
        <w:rPr>
          <w:sz w:val="20"/>
          <w:szCs w:val="20"/>
        </w:rPr>
        <w:t>Pharmaceutical companies, including companies with which we collaborate, may invest heavily to quickly discover and develop or in-license novel compounds that could make our product candidates obsolete. Accordingly, our competitors may succeed in obtaining</w:t>
      </w:r>
      <w:r>
        <w:rPr>
          <w:sz w:val="20"/>
          <w:szCs w:val="20"/>
        </w:rPr>
        <w:t xml:space="preserve"> patent protection, receiving FDA or equivalent regulatory approval outside the US or discovering, developing and commercializing medicines before we do. Other companies are engaged in the discovery of medicines that would compete with the product candidat</w:t>
      </w:r>
      <w:r>
        <w:rPr>
          <w:sz w:val="20"/>
          <w:szCs w:val="20"/>
        </w:rPr>
        <w:t>es that we are developing.</w:t>
      </w:r>
    </w:p>
    <w:p w:rsidR="00000000" w:rsidRDefault="001E618F">
      <w:pPr>
        <w:pStyle w:val="a3"/>
        <w:spacing w:before="0" w:beforeAutospacing="0" w:after="200" w:afterAutospacing="0"/>
        <w:ind w:firstLine="720"/>
        <w:divId w:val="613176798"/>
        <w:rPr>
          <w:sz w:val="20"/>
          <w:szCs w:val="20"/>
        </w:rPr>
      </w:pPr>
      <w:r>
        <w:rPr>
          <w:sz w:val="20"/>
          <w:szCs w:val="20"/>
        </w:rPr>
        <w:t>Any new medicine that competes with a generic or proprietary market leading medicine must demonstrate compelling advantages in efficacy, convenience, tolerability and/or safety in order to overcome severe price competition and be</w:t>
      </w:r>
      <w:r>
        <w:rPr>
          <w:sz w:val="20"/>
          <w:szCs w:val="20"/>
        </w:rPr>
        <w:t xml:space="preserve"> commercially successful. For example, YUPELRI competes predominantly with the nebulized LAMA Lonhal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w:t>
      </w:r>
      <w:r>
        <w:rPr>
          <w:sz w:val="20"/>
          <w:szCs w:val="20"/>
        </w:rPr>
        <w:t>(glycopyrrolate) dosed two times per day and with short acting nebulized bronchodilators that are dosed three to four times per day. If we are not able to compete effectively against our current and future competitors, our business will not grow, our finan</w:t>
      </w:r>
      <w:r>
        <w:rPr>
          <w:sz w:val="20"/>
          <w:szCs w:val="20"/>
        </w:rPr>
        <w:t>cial condition and operations will suffer and the price of our securities could fall.</w:t>
      </w:r>
    </w:p>
    <w:p w:rsidR="00000000" w:rsidRDefault="001E618F">
      <w:pPr>
        <w:pStyle w:val="a3"/>
        <w:spacing w:before="0" w:beforeAutospacing="0" w:after="120" w:afterAutospacing="0"/>
        <w:divId w:val="613176798"/>
        <w:rPr>
          <w:sz w:val="20"/>
          <w:szCs w:val="20"/>
        </w:rPr>
      </w:pPr>
      <w:r>
        <w:rPr>
          <w:b/>
          <w:bCs/>
          <w:i/>
          <w:iCs/>
          <w:sz w:val="20"/>
          <w:szCs w:val="20"/>
        </w:rPr>
        <w:t>If we are unable to enter into future collaboration arrangements or if any such collaborations with third parties are unsuccessful, we will be unable to fully develop and</w:t>
      </w:r>
      <w:r>
        <w:rPr>
          <w:b/>
          <w:bCs/>
          <w:i/>
          <w:iCs/>
          <w:sz w:val="20"/>
          <w:szCs w:val="20"/>
        </w:rPr>
        <w:t xml:space="preserve"> commercialize all of our product candidates and our business will be adversely affected.</w:t>
      </w:r>
    </w:p>
    <w:p w:rsidR="00000000" w:rsidRDefault="001E618F">
      <w:pPr>
        <w:pStyle w:val="a3"/>
        <w:spacing w:before="0" w:beforeAutospacing="0" w:after="0" w:afterAutospacing="0"/>
        <w:ind w:firstLine="720"/>
        <w:divId w:val="613176798"/>
        <w:rPr>
          <w:sz w:val="20"/>
          <w:szCs w:val="20"/>
        </w:rPr>
      </w:pPr>
      <w:r>
        <w:rPr>
          <w:sz w:val="20"/>
          <w:szCs w:val="20"/>
        </w:rPr>
        <w:t xml:space="preserve">We have collaborations with a number of third parties including Viatris for the development and commercialization of a nebulized formulation of revefenacin, our LAMA </w:t>
      </w:r>
      <w:r>
        <w:rPr>
          <w:sz w:val="20"/>
          <w:szCs w:val="20"/>
        </w:rPr>
        <w:t>compound (including YUPELRI). Also, through our interest in TRC we may participate economically in Innoviva’s collaborations with GSK with respect to the GSK-Partnered Respiratory Programs. Additional collaborations will likely be needed to fund developmen</w:t>
      </w:r>
      <w:r>
        <w:rPr>
          <w:sz w:val="20"/>
          <w:szCs w:val="20"/>
        </w:rPr>
        <w:t>t of certain programs that have not been licensed to a collaborator and to commercialize the product candidates in our programs if approved by the necessary regulatory authorities. We evaluate commercial strategy on a product by product basis either to eng</w:t>
      </w:r>
      <w:r>
        <w:rPr>
          <w:sz w:val="20"/>
          <w:szCs w:val="20"/>
        </w:rPr>
        <w:t>age pharmaceutical or other healthcare companies with an existing sales and marketing organization and distribution system to market, sell and distribute our products or to commercialize a product ourselves. However, we may not be able to establish these s</w:t>
      </w:r>
      <w:r>
        <w:rPr>
          <w:sz w:val="20"/>
          <w:szCs w:val="20"/>
        </w:rPr>
        <w:t xml:space="preserve">ales and </w:t>
      </w:r>
    </w:p>
    <w:p w:rsidR="00000000" w:rsidRDefault="001E618F">
      <w:pPr>
        <w:pStyle w:val="a3"/>
        <w:spacing w:before="360" w:beforeAutospacing="0" w:after="0" w:afterAutospacing="0"/>
        <w:jc w:val="center"/>
        <w:divId w:val="954676716"/>
        <w:rPr>
          <w:sz w:val="20"/>
          <w:szCs w:val="20"/>
        </w:rPr>
      </w:pPr>
      <w:r>
        <w:rPr>
          <w:sz w:val="20"/>
          <w:szCs w:val="20"/>
        </w:rPr>
        <w:t>44</w:t>
      </w:r>
    </w:p>
    <w:p w:rsidR="00000000" w:rsidRDefault="001E618F">
      <w:pPr>
        <w:pStyle w:val="a3"/>
        <w:spacing w:before="0" w:beforeAutospacing="0" w:after="600" w:afterAutospacing="0"/>
        <w:divId w:val="2051303365"/>
        <w:rPr>
          <w:sz w:val="20"/>
          <w:szCs w:val="20"/>
        </w:rPr>
      </w:pPr>
      <w:hyperlink w:anchor="TOC" w:history="1">
        <w:r>
          <w:rPr>
            <w:rStyle w:val="a4"/>
            <w:sz w:val="20"/>
            <w:szCs w:val="20"/>
          </w:rPr>
          <w:t>Table of Contents</w:t>
        </w:r>
      </w:hyperlink>
    </w:p>
    <w:p w:rsidR="00000000" w:rsidRDefault="001E618F">
      <w:pPr>
        <w:pStyle w:val="a3"/>
        <w:spacing w:before="0" w:beforeAutospacing="0" w:after="200" w:afterAutospacing="0"/>
        <w:divId w:val="230576443"/>
        <w:rPr>
          <w:sz w:val="20"/>
          <w:szCs w:val="20"/>
        </w:rPr>
      </w:pPr>
      <w:r>
        <w:rPr>
          <w:sz w:val="20"/>
          <w:szCs w:val="20"/>
        </w:rPr>
        <w:t xml:space="preserve">distribution relationships on acceptable terms, or at all, or may encounter difficulties in commercializing a product ourselves. For any of our product candidates that receive regulatory approval in </w:t>
      </w:r>
      <w:r>
        <w:rPr>
          <w:sz w:val="20"/>
          <w:szCs w:val="20"/>
        </w:rPr>
        <w:t>the future and are not covered by our current collaboration agreements, we will need a partner in order to commercialize such products unless we establish independent sales, marketing and distribution capabilities with appropriate technical expertise and s</w:t>
      </w:r>
      <w:r>
        <w:rPr>
          <w:sz w:val="20"/>
          <w:szCs w:val="20"/>
        </w:rPr>
        <w:t>upporting infrastructure.</w:t>
      </w:r>
    </w:p>
    <w:p w:rsidR="00000000" w:rsidRDefault="001E618F">
      <w:pPr>
        <w:pStyle w:val="a3"/>
        <w:spacing w:before="0" w:beforeAutospacing="0" w:after="200" w:afterAutospacing="0"/>
        <w:ind w:firstLine="720"/>
        <w:divId w:val="230576443"/>
        <w:rPr>
          <w:sz w:val="20"/>
          <w:szCs w:val="20"/>
        </w:rPr>
      </w:pPr>
      <w:r>
        <w:rPr>
          <w:sz w:val="20"/>
          <w:szCs w:val="20"/>
        </w:rPr>
        <w:t xml:space="preserve">Collaborations with third parties regarding our programs may require us to relinquish material rights, including revenue from commercialization of our medicines, or to assume material ongoing development obligations that we would </w:t>
      </w:r>
      <w:r>
        <w:rPr>
          <w:sz w:val="20"/>
          <w:szCs w:val="20"/>
        </w:rPr>
        <w:t>have to fund. These collaboration arrangements are complex and time-consuming to negotiate, and if we are unable to reach agreements with third-party collaborators, we may fail to meet our business objectives and our financial condition may be adversely af</w:t>
      </w:r>
      <w:r>
        <w:rPr>
          <w:sz w:val="20"/>
          <w:szCs w:val="20"/>
        </w:rPr>
        <w:t>fected. We face significant competition in seeking third-party collaborators. We may be unable to find third parties to pursue product collaborations on a timely basis or on acceptable terms. Furthermore, for any collaboration, we may not be able to contro</w:t>
      </w:r>
      <w:r>
        <w:rPr>
          <w:sz w:val="20"/>
          <w:szCs w:val="20"/>
        </w:rPr>
        <w:t>l the amount of time and resources that our partners devote to our product candidates and our partners may choose to prioritize alternative programs or otherwise be unsuccessful in their efforts with respect to our products or product candidates. In additi</w:t>
      </w:r>
      <w:r>
        <w:rPr>
          <w:sz w:val="20"/>
          <w:szCs w:val="20"/>
        </w:rPr>
        <w:t>on, effective collaboration with a partner requires coordination to achieve complex and detail-intensive goals between entities that potentially have different priorities, capabilities and processes and successful navigation of the challenges such coordina</w:t>
      </w:r>
      <w:r>
        <w:rPr>
          <w:sz w:val="20"/>
          <w:szCs w:val="20"/>
        </w:rPr>
        <w:t>tion entails. For example, Viatris has a substantial existing product portfolio and other considerations that influence its resource allocation, and other priorities and internal organizational processes that differ from our own. As a result of these diffe</w:t>
      </w:r>
      <w:r>
        <w:rPr>
          <w:sz w:val="20"/>
          <w:szCs w:val="20"/>
        </w:rPr>
        <w:t>ring interests and processes, Viatris may take actions that it believes are in its best interest but which might not be in the best interests of either us or our other shareholders. Our inability to successfully collaborate with third parties would increas</w:t>
      </w:r>
      <w:r>
        <w:rPr>
          <w:sz w:val="20"/>
          <w:szCs w:val="20"/>
        </w:rPr>
        <w:t>e our development costs and may cause us to choose not to continue development of certain product candidates, would limit the likelihood of successful commercialization of some of our product candidates, may cause us not to continue commercialization of ou</w:t>
      </w:r>
      <w:r>
        <w:rPr>
          <w:sz w:val="20"/>
          <w:szCs w:val="20"/>
        </w:rPr>
        <w:t>r authorized products and could cause the price of our securities to fall.</w:t>
      </w:r>
    </w:p>
    <w:p w:rsidR="00000000" w:rsidRDefault="001E618F">
      <w:pPr>
        <w:pStyle w:val="a3"/>
        <w:spacing w:before="0" w:beforeAutospacing="0" w:after="120" w:afterAutospacing="0"/>
        <w:divId w:val="230576443"/>
        <w:rPr>
          <w:sz w:val="20"/>
          <w:szCs w:val="20"/>
        </w:rPr>
      </w:pPr>
      <w:r>
        <w:rPr>
          <w:b/>
          <w:bCs/>
          <w:i/>
          <w:iCs/>
          <w:sz w:val="20"/>
          <w:szCs w:val="20"/>
        </w:rPr>
        <w:t>We depend on third parties in the conduct of our non-clinical and clinical studies for our product candidates.</w:t>
      </w:r>
    </w:p>
    <w:p w:rsidR="00000000" w:rsidRDefault="001E618F">
      <w:pPr>
        <w:pStyle w:val="a3"/>
        <w:spacing w:before="0" w:beforeAutospacing="0" w:after="200" w:afterAutospacing="0"/>
        <w:ind w:firstLine="720"/>
        <w:divId w:val="230576443"/>
        <w:rPr>
          <w:sz w:val="20"/>
          <w:szCs w:val="20"/>
        </w:rPr>
      </w:pPr>
      <w:r>
        <w:rPr>
          <w:sz w:val="20"/>
          <w:szCs w:val="20"/>
        </w:rPr>
        <w:t>We depend on independent clinical investigators, contract research and</w:t>
      </w:r>
      <w:r>
        <w:rPr>
          <w:sz w:val="20"/>
          <w:szCs w:val="20"/>
        </w:rPr>
        <w:t xml:space="preserve"> manufacturing organizations and other third-party service providers in the conduct of our non-clinical and clinical studies for our product candidates. We rely heavily on these parties for execution of our non-clinical and clinical studies, and control on</w:t>
      </w:r>
      <w:r>
        <w:rPr>
          <w:sz w:val="20"/>
          <w:szCs w:val="20"/>
        </w:rPr>
        <w:t>ly certain aspects of their activities. Nevertheless, we are responsible for ensuring that our clinical studies are conducted in accordance with good clinical, laboratory and manufacturing practices (“GXPs”) and other regulations as required by the FDA and</w:t>
      </w:r>
      <w:r>
        <w:rPr>
          <w:sz w:val="20"/>
          <w:szCs w:val="20"/>
        </w:rPr>
        <w:t xml:space="preserve"> foreign regulatory authorities, and the applicable protocol. Failure by these parties to comply with applicable regulations and practices in conducting studies of our product candidates can result in a delay in our development programs or non-approval of </w:t>
      </w:r>
      <w:r>
        <w:rPr>
          <w:sz w:val="20"/>
          <w:szCs w:val="20"/>
        </w:rPr>
        <w:t>our product candidates by regulatory authorities. Furthermore, to the extent the operations of these third parties are disrupted as result of the COVID-19 pandemic or otherwise, our development programs could be delayed.</w:t>
      </w:r>
    </w:p>
    <w:p w:rsidR="00000000" w:rsidRDefault="001E618F">
      <w:pPr>
        <w:pStyle w:val="a3"/>
        <w:spacing w:before="0" w:beforeAutospacing="0" w:after="200" w:afterAutospacing="0"/>
        <w:ind w:firstLine="720"/>
        <w:divId w:val="230576443"/>
        <w:rPr>
          <w:sz w:val="20"/>
          <w:szCs w:val="20"/>
        </w:rPr>
      </w:pPr>
      <w:r>
        <w:rPr>
          <w:sz w:val="20"/>
          <w:szCs w:val="20"/>
        </w:rPr>
        <w:t>The FDA, and equivalent authorities</w:t>
      </w:r>
      <w:r>
        <w:rPr>
          <w:sz w:val="20"/>
          <w:szCs w:val="20"/>
        </w:rPr>
        <w:t xml:space="preserve"> in third countries, enforces GXPs and other regulations through periodic inspections of trial sponsors, clinical research organizations (“CROs”), principal investigators and trial sites. If we or any of the third parties on which we have relied to conduct</w:t>
      </w:r>
      <w:r>
        <w:rPr>
          <w:sz w:val="20"/>
          <w:szCs w:val="20"/>
        </w:rPr>
        <w:t xml:space="preserve"> our clinical studies are determined to have failed to comply with GXPs (or other equivalent regulations outside the US), the study protocol or applicable regulations, the clinical data generated in our studies may be deemed unreliable. This could result i</w:t>
      </w:r>
      <w:r>
        <w:rPr>
          <w:sz w:val="20"/>
          <w:szCs w:val="20"/>
        </w:rPr>
        <w:t>n non-approval of our product candidates by the FDA, or equivalent authorities in other countries, or we, the FDA, or equivalent authorities in other countries may decide to conduct additional audits or require additional clinical studies, which would dela</w:t>
      </w:r>
      <w:r>
        <w:rPr>
          <w:sz w:val="20"/>
          <w:szCs w:val="20"/>
        </w:rPr>
        <w:t>y our development programs, could result in significant additional costs and cause the price of our securities to fall.</w:t>
      </w:r>
    </w:p>
    <w:p w:rsidR="00000000" w:rsidRDefault="001E618F">
      <w:pPr>
        <w:pStyle w:val="a3"/>
        <w:spacing w:before="0" w:beforeAutospacing="0" w:after="120" w:afterAutospacing="0"/>
        <w:divId w:val="230576443"/>
        <w:rPr>
          <w:sz w:val="20"/>
          <w:szCs w:val="20"/>
        </w:rPr>
      </w:pPr>
      <w:r>
        <w:rPr>
          <w:b/>
          <w:bCs/>
          <w:i/>
          <w:iCs/>
          <w:sz w:val="20"/>
          <w:szCs w:val="20"/>
        </w:rPr>
        <w:t>There is a single source of supply for a number of our product candidates and for YUPELRI, and our business will be harmed if any of the</w:t>
      </w:r>
      <w:r>
        <w:rPr>
          <w:b/>
          <w:bCs/>
          <w:i/>
          <w:iCs/>
          <w:sz w:val="20"/>
          <w:szCs w:val="20"/>
        </w:rPr>
        <w:t>se single-source manufacturers are not able to satisfy demand and alternative sources are not available.</w:t>
      </w:r>
    </w:p>
    <w:p w:rsidR="00000000" w:rsidRDefault="001E618F">
      <w:pPr>
        <w:pStyle w:val="a3"/>
        <w:spacing w:before="0" w:beforeAutospacing="0" w:after="0" w:afterAutospacing="0"/>
        <w:divId w:val="230576443"/>
        <w:rPr>
          <w:sz w:val="20"/>
          <w:szCs w:val="20"/>
        </w:rPr>
      </w:pPr>
      <w:r>
        <w:rPr>
          <w:sz w:val="20"/>
          <w:szCs w:val="20"/>
        </w:rPr>
        <w:t>We have limited in-house production capabilities for preclinical and clinical study purposes and depend primarily on a number of third-party Active Pha</w:t>
      </w:r>
      <w:r>
        <w:rPr>
          <w:sz w:val="20"/>
          <w:szCs w:val="20"/>
        </w:rPr>
        <w:t>rmaceutical Ingredient (“API”) and drug product manufacturers. We may not have long-term agreements with these third parties and our agreements with these parties may be terminable at will by either party at any time. In addition, there is a single supplie</w:t>
      </w:r>
      <w:r>
        <w:rPr>
          <w:sz w:val="20"/>
          <w:szCs w:val="20"/>
        </w:rPr>
        <w:t xml:space="preserve">r of YUPELRI API and a single supplier of YUPELRI drug product. If, for any reason, any of these third-party manufacturers are unable or unwilling to perform, or if their performance does not meet regulatory requirements, alternative manufacturers may not </w:t>
      </w:r>
      <w:r>
        <w:rPr>
          <w:sz w:val="20"/>
          <w:szCs w:val="20"/>
        </w:rPr>
        <w:t>be available or may not be available on acceptable terms. Any inability to acquire sufficient quantities of API and drug product in a timely manner from these third parties could delay preclinical and clinical studies, prevent us from developing our produc</w:t>
      </w:r>
      <w:r>
        <w:rPr>
          <w:sz w:val="20"/>
          <w:szCs w:val="20"/>
        </w:rPr>
        <w:t xml:space="preserve">t candidates in a cost-effective manner or on a timely </w:t>
      </w:r>
    </w:p>
    <w:p w:rsidR="00000000" w:rsidRDefault="001E618F">
      <w:pPr>
        <w:pStyle w:val="a3"/>
        <w:spacing w:before="360" w:beforeAutospacing="0" w:after="0" w:afterAutospacing="0"/>
        <w:jc w:val="center"/>
        <w:divId w:val="1431007833"/>
        <w:rPr>
          <w:sz w:val="20"/>
          <w:szCs w:val="20"/>
        </w:rPr>
      </w:pPr>
      <w:r>
        <w:rPr>
          <w:sz w:val="20"/>
          <w:szCs w:val="20"/>
        </w:rPr>
        <w:t>45</w:t>
      </w:r>
    </w:p>
    <w:p w:rsidR="00000000" w:rsidRDefault="001E618F">
      <w:pPr>
        <w:pStyle w:val="a3"/>
        <w:spacing w:before="0" w:beforeAutospacing="0" w:after="600" w:afterAutospacing="0"/>
        <w:divId w:val="1213424908"/>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divId w:val="1458454316"/>
        <w:rPr>
          <w:sz w:val="20"/>
          <w:szCs w:val="20"/>
        </w:rPr>
      </w:pPr>
      <w:r>
        <w:rPr>
          <w:sz w:val="20"/>
          <w:szCs w:val="20"/>
        </w:rPr>
        <w:t>basis or adversely impact the commercialization of YUPELRI. In addition, manufacturers of our API and drug product are subject to the FDA’s current Good Manufacturing Practice (“cGMP”) regulations and similar foreign standards and we do not have control ov</w:t>
      </w:r>
      <w:r>
        <w:rPr>
          <w:sz w:val="20"/>
          <w:szCs w:val="20"/>
        </w:rPr>
        <w:t>er compliance with these regulations by our manufacturers.</w:t>
      </w:r>
    </w:p>
    <w:p w:rsidR="00000000" w:rsidRDefault="001E618F">
      <w:pPr>
        <w:pStyle w:val="a3"/>
        <w:spacing w:before="0" w:beforeAutospacing="0" w:after="0" w:afterAutospacing="0"/>
        <w:ind w:firstLine="720"/>
        <w:divId w:val="1458454316"/>
        <w:rPr>
          <w:sz w:val="20"/>
          <w:szCs w:val="20"/>
        </w:rPr>
      </w:pPr>
      <w:r>
        <w:rPr>
          <w:sz w:val="20"/>
          <w:szCs w:val="20"/>
        </w:rPr>
        <w:t>​</w:t>
      </w:r>
    </w:p>
    <w:p w:rsidR="00000000" w:rsidRDefault="001E618F">
      <w:pPr>
        <w:pStyle w:val="a3"/>
        <w:spacing w:before="0" w:beforeAutospacing="0" w:after="200" w:afterAutospacing="0"/>
        <w:ind w:firstLine="720"/>
        <w:divId w:val="1458454316"/>
        <w:rPr>
          <w:sz w:val="20"/>
          <w:szCs w:val="20"/>
        </w:rPr>
      </w:pPr>
      <w:r>
        <w:rPr>
          <w:sz w:val="20"/>
          <w:szCs w:val="20"/>
        </w:rPr>
        <w:t>Our manufacturing strategy presents the following additional risks: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5845431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because of the complex nature of many of our compounds, our manufacturers may not be able to successfully manufacture our AP</w:t>
            </w:r>
            <w:r>
              <w:rPr>
                <w:rFonts w:eastAsia="Times New Roman"/>
                <w:sz w:val="20"/>
                <w:szCs w:val="20"/>
              </w:rPr>
              <w:t>Is and/or drug products in a cost-effective and/or timely manner and changing manufacturers for our APIs or drug products could involve lengthy technology transfer, validation and regulatory qualification activities for the new manufacturer;</w:t>
            </w:r>
          </w:p>
        </w:tc>
      </w:tr>
    </w:tbl>
    <w:p w:rsidR="00000000" w:rsidRDefault="001E618F">
      <w:pPr>
        <w:pStyle w:val="a3"/>
        <w:spacing w:before="0" w:beforeAutospacing="0" w:after="0" w:afterAutospacing="0"/>
        <w:ind w:left="1080"/>
        <w:divId w:val="145845431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5845431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proc</w:t>
            </w:r>
            <w:r>
              <w:rPr>
                <w:rFonts w:eastAsia="Times New Roman"/>
                <w:sz w:val="20"/>
                <w:szCs w:val="20"/>
              </w:rPr>
              <w:t>esses required to manufacture certain of our APIs and drug products are specialized and available only from a limited number of third-party manufacturers;</w:t>
            </w:r>
          </w:p>
        </w:tc>
      </w:tr>
    </w:tbl>
    <w:p w:rsidR="00000000" w:rsidRDefault="001E618F">
      <w:pPr>
        <w:pStyle w:val="a3"/>
        <w:spacing w:before="0" w:beforeAutospacing="0" w:after="0" w:afterAutospacing="0"/>
        <w:ind w:left="1080"/>
        <w:divId w:val="145845431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5845431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some of the manufacturing processes for our APIs and drug products have not been scaled to quantities needed for continued clinical studies or commercial sales, and delays in scale-up to higher quantities could delay clinical studies, regulatory submission</w:t>
            </w:r>
            <w:r>
              <w:rPr>
                <w:rFonts w:eastAsia="Times New Roman"/>
                <w:sz w:val="20"/>
                <w:szCs w:val="20"/>
              </w:rPr>
              <w:t>s and commercialization of our product candidates; and</w:t>
            </w:r>
          </w:p>
        </w:tc>
      </w:tr>
    </w:tbl>
    <w:p w:rsidR="00000000" w:rsidRDefault="001E618F">
      <w:pPr>
        <w:pStyle w:val="a3"/>
        <w:spacing w:before="0" w:beforeAutospacing="0" w:after="0" w:afterAutospacing="0"/>
        <w:ind w:left="1080"/>
        <w:divId w:val="145845431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5845431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because some of the third-party manufacturers are located outside of the US, there may be difficulties in importing our APIs and drug products or their components into the US as a result of, amon</w:t>
            </w:r>
            <w:r>
              <w:rPr>
                <w:rFonts w:eastAsia="Times New Roman"/>
                <w:sz w:val="20"/>
                <w:szCs w:val="20"/>
              </w:rPr>
              <w:t>g other things, FDA import inspections, incomplete or inaccurate import documentation or defective packaging.</w:t>
            </w:r>
          </w:p>
        </w:tc>
      </w:tr>
    </w:tbl>
    <w:p w:rsidR="00000000" w:rsidRDefault="001E618F">
      <w:pPr>
        <w:pStyle w:val="a3"/>
        <w:spacing w:before="0" w:beforeAutospacing="0" w:after="0" w:afterAutospacing="0"/>
        <w:divId w:val="1458454316"/>
        <w:rPr>
          <w:sz w:val="20"/>
          <w:szCs w:val="20"/>
        </w:rPr>
      </w:pPr>
      <w:r>
        <w:rPr>
          <w:b/>
          <w:bCs/>
          <w:i/>
          <w:iCs/>
          <w:sz w:val="20"/>
          <w:szCs w:val="20"/>
        </w:rPr>
        <w:t>​</w:t>
      </w:r>
    </w:p>
    <w:p w:rsidR="00000000" w:rsidRDefault="001E618F">
      <w:pPr>
        <w:pStyle w:val="a3"/>
        <w:spacing w:before="0" w:beforeAutospacing="0" w:after="120" w:afterAutospacing="0"/>
        <w:divId w:val="1458454316"/>
        <w:rPr>
          <w:sz w:val="20"/>
          <w:szCs w:val="20"/>
        </w:rPr>
      </w:pPr>
      <w:r>
        <w:rPr>
          <w:b/>
          <w:bCs/>
          <w:i/>
          <w:iCs/>
          <w:sz w:val="20"/>
          <w:szCs w:val="20"/>
        </w:rPr>
        <w:t>We have a significant amount of debt, including our Non-Recourse 2035 Notes and Convertible Senior 2023 Notes, that are senior in capital struc</w:t>
      </w:r>
      <w:r>
        <w:rPr>
          <w:b/>
          <w:bCs/>
          <w:i/>
          <w:iCs/>
          <w:sz w:val="20"/>
          <w:szCs w:val="20"/>
        </w:rPr>
        <w:t xml:space="preserve">ture and cash flow, respectively, to holders of our ordinary shares. Satisfying the obligations relating to our debt could adversely affect the amount or timing of distributions to our shareholders. </w:t>
      </w:r>
    </w:p>
    <w:p w:rsidR="00000000" w:rsidRDefault="001E618F">
      <w:pPr>
        <w:pStyle w:val="a3"/>
        <w:spacing w:before="0" w:beforeAutospacing="0" w:after="200" w:afterAutospacing="0"/>
        <w:ind w:firstLine="720"/>
        <w:divId w:val="1458454316"/>
        <w:rPr>
          <w:sz w:val="20"/>
          <w:szCs w:val="20"/>
        </w:rPr>
      </w:pPr>
      <w:r>
        <w:rPr>
          <w:sz w:val="20"/>
          <w:szCs w:val="20"/>
        </w:rPr>
        <w:t>As of March 31, 2022, we had $662.6 million in total lon</w:t>
      </w:r>
      <w:r>
        <w:rPr>
          <w:sz w:val="20"/>
          <w:szCs w:val="20"/>
        </w:rPr>
        <w:t>g-term liabilities outstanding, comprised primarily of $388.3 million in net principal that remains outstanding under the Issuer II’s (defined below) Non-Recourse 2035 Notes and $230.0 million in principal that remains outstanding under our Convertible Sen</w:t>
      </w:r>
      <w:r>
        <w:rPr>
          <w:sz w:val="20"/>
          <w:szCs w:val="20"/>
        </w:rPr>
        <w:t>ior 2023 Notes (together with the Non-Recourse 2035 Notes, the “Notes”).</w:t>
      </w:r>
    </w:p>
    <w:p w:rsidR="00000000" w:rsidRDefault="001E618F">
      <w:pPr>
        <w:pStyle w:val="a3"/>
        <w:spacing w:before="0" w:beforeAutospacing="0" w:after="200" w:afterAutospacing="0"/>
        <w:ind w:firstLine="720"/>
        <w:divId w:val="1458454316"/>
        <w:rPr>
          <w:sz w:val="20"/>
          <w:szCs w:val="20"/>
        </w:rPr>
      </w:pPr>
      <w:r>
        <w:rPr>
          <w:sz w:val="20"/>
          <w:szCs w:val="20"/>
        </w:rPr>
        <w:t>The Convertible Senior 2023 Notes are unsecured debt and are not redeemable by us prior to the maturity date except for certain changes in tax law. Holders of the Convertible Senior 2</w:t>
      </w:r>
      <w:r>
        <w:rPr>
          <w:sz w:val="20"/>
          <w:szCs w:val="20"/>
        </w:rPr>
        <w:t>023 Notes may require us to purchase all or any portion of their notes at 100% of their principal amount, plus any unpaid interest, upon a fundamental change such as a change of control of us or the termination of trading of our ordinary shares in accordan</w:t>
      </w:r>
      <w:r>
        <w:rPr>
          <w:sz w:val="20"/>
          <w:szCs w:val="20"/>
        </w:rPr>
        <w:t>ce with the indenture governing the Convertible Senior 2023 Notes.</w:t>
      </w:r>
    </w:p>
    <w:p w:rsidR="00000000" w:rsidRDefault="001E618F">
      <w:pPr>
        <w:pStyle w:val="a3"/>
        <w:spacing w:before="0" w:beforeAutospacing="0" w:after="200" w:afterAutospacing="0"/>
        <w:ind w:firstLine="720"/>
        <w:divId w:val="1458454316"/>
        <w:rPr>
          <w:sz w:val="20"/>
          <w:szCs w:val="20"/>
        </w:rPr>
      </w:pPr>
      <w:r>
        <w:rPr>
          <w:sz w:val="20"/>
          <w:szCs w:val="20"/>
        </w:rPr>
        <w:t>Until the Non-Recourse 2035 Notes are paid in full, holders of the Non-Recourse 2035 Notes have a perfected security interest in the Issuer II Class C Units that represent a 63.75% economic</w:t>
      </w:r>
      <w:r>
        <w:rPr>
          <w:sz w:val="20"/>
          <w:szCs w:val="20"/>
        </w:rPr>
        <w:t xml:space="preserve"> interest in any future payments that may be made by GSK to TRC under the strategic alliance agreement and under the portion of the collaboration agreement assigned to TRC by Innoviva (net of TRC expenses paid and the amount of cash, if any, expected to be</w:t>
      </w:r>
      <w:r>
        <w:rPr>
          <w:sz w:val="20"/>
          <w:szCs w:val="20"/>
        </w:rPr>
        <w:t xml:space="preserve"> used by TRC pursuant to the TRC LLC Agreement over the next four fiscal quarters) relating to the GSK-Partnered Respiratory Programs, including the TRELEGY program.</w:t>
      </w:r>
    </w:p>
    <w:p w:rsidR="00000000" w:rsidRDefault="001E618F">
      <w:pPr>
        <w:pStyle w:val="a3"/>
        <w:spacing w:before="0" w:beforeAutospacing="0" w:after="200" w:afterAutospacing="0"/>
        <w:ind w:firstLine="720"/>
        <w:divId w:val="1458454316"/>
        <w:rPr>
          <w:sz w:val="20"/>
          <w:szCs w:val="20"/>
        </w:rPr>
      </w:pPr>
      <w:r>
        <w:rPr>
          <w:sz w:val="20"/>
          <w:szCs w:val="20"/>
        </w:rPr>
        <w:t xml:space="preserve">Prior to and including the December 5, 2024 payment date, </w:t>
      </w:r>
      <w:r>
        <w:rPr>
          <w:sz w:val="20"/>
          <w:szCs w:val="20"/>
        </w:rPr>
        <w:t>t</w:t>
      </w:r>
      <w:r>
        <w:rPr>
          <w:sz w:val="20"/>
          <w:szCs w:val="20"/>
        </w:rPr>
        <w:t>he terms of the Non-Recourse 20</w:t>
      </w:r>
      <w:r>
        <w:rPr>
          <w:sz w:val="20"/>
          <w:szCs w:val="20"/>
        </w:rPr>
        <w:t>35 Notes provide that in the event that the distributions received by the Issuer II from TRC in a quarter is less than the interest accrued for that quarter, the principal amount of the Non-Recourse 2035 Notes will increase by the interest shortfall amount</w:t>
      </w:r>
      <w:r>
        <w:rPr>
          <w:sz w:val="20"/>
          <w:szCs w:val="20"/>
        </w:rPr>
        <w:t xml:space="preserve"> for that quarter. The terms of the Non-Recourse 2035 Notes also provide that Theravance Biopharma, at its option, may satisfy the quarterly interest payment obligations by making a capital contribution to the Issuer II.</w:t>
      </w:r>
    </w:p>
    <w:p w:rsidR="00000000" w:rsidRDefault="001E618F">
      <w:pPr>
        <w:pStyle w:val="a3"/>
        <w:spacing w:before="0" w:beforeAutospacing="0" w:after="0" w:afterAutospacing="0"/>
        <w:ind w:firstLine="720"/>
        <w:divId w:val="1458454316"/>
        <w:rPr>
          <w:sz w:val="20"/>
          <w:szCs w:val="20"/>
        </w:rPr>
      </w:pPr>
      <w:r>
        <w:rPr>
          <w:sz w:val="20"/>
          <w:szCs w:val="20"/>
        </w:rPr>
        <w:t>Satisfying the obligations of these</w:t>
      </w:r>
      <w:r>
        <w:rPr>
          <w:sz w:val="20"/>
          <w:szCs w:val="20"/>
        </w:rPr>
        <w:t xml:space="preserve"> Notes could adversely affect the amount or timing of any distributions to our shareholders. In addition, the Non-Recourse 2035 Notes may be redeemed by Issuer II on and after February 28, 2022, in whole or in part, at specified redemption premiums. We may</w:t>
      </w:r>
      <w:r>
        <w:rPr>
          <w:sz w:val="20"/>
          <w:szCs w:val="20"/>
        </w:rPr>
        <w:t xml:space="preserve"> further choose to satisfy, repurchase, or refinance any Non-Recourse 2035 Notes, to the extent allowable, through public or private equity or debt financings if we deem such financings are available on favorable terms. If any or all of the Convertible Sen</w:t>
      </w:r>
      <w:r>
        <w:rPr>
          <w:sz w:val="20"/>
          <w:szCs w:val="20"/>
        </w:rPr>
        <w:t xml:space="preserve">ior 2023 Notes are not converted into our </w:t>
      </w:r>
    </w:p>
    <w:p w:rsidR="00000000" w:rsidRDefault="001E618F">
      <w:pPr>
        <w:pStyle w:val="a3"/>
        <w:spacing w:before="360" w:beforeAutospacing="0" w:after="0" w:afterAutospacing="0"/>
        <w:jc w:val="center"/>
        <w:divId w:val="454911092"/>
        <w:rPr>
          <w:sz w:val="20"/>
          <w:szCs w:val="20"/>
        </w:rPr>
      </w:pPr>
      <w:r>
        <w:rPr>
          <w:sz w:val="20"/>
          <w:szCs w:val="20"/>
        </w:rPr>
        <w:t>46</w:t>
      </w:r>
    </w:p>
    <w:p w:rsidR="00000000" w:rsidRDefault="001E618F">
      <w:pPr>
        <w:pStyle w:val="a3"/>
        <w:spacing w:before="0" w:beforeAutospacing="0" w:after="600" w:afterAutospacing="0"/>
        <w:divId w:val="111480229"/>
        <w:rPr>
          <w:sz w:val="20"/>
          <w:szCs w:val="20"/>
        </w:rPr>
      </w:pPr>
      <w:hyperlink w:anchor="TOC" w:history="1">
        <w:r>
          <w:rPr>
            <w:rStyle w:val="a4"/>
            <w:sz w:val="20"/>
            <w:szCs w:val="20"/>
          </w:rPr>
          <w:t>Table of Contents</w:t>
        </w:r>
      </w:hyperlink>
    </w:p>
    <w:p w:rsidR="00000000" w:rsidRDefault="001E618F">
      <w:pPr>
        <w:pStyle w:val="a3"/>
        <w:spacing w:before="0" w:beforeAutospacing="0" w:after="200" w:afterAutospacing="0"/>
        <w:divId w:val="2106264304"/>
        <w:rPr>
          <w:sz w:val="20"/>
          <w:szCs w:val="20"/>
        </w:rPr>
      </w:pPr>
      <w:r>
        <w:rPr>
          <w:sz w:val="20"/>
          <w:szCs w:val="20"/>
        </w:rPr>
        <w:t>ordinary shares before the maturity date, we will have to pay the holders the full aggregate principal amount of the Convertible Senior 2023 Notes then outstanding. If the Non-Recourse 2035 Notes are not refinanced or paid in full the holders of the Non-Re</w:t>
      </w:r>
      <w:r>
        <w:rPr>
          <w:sz w:val="20"/>
          <w:szCs w:val="20"/>
        </w:rPr>
        <w:t>course 2035 Notes will have the right to foreclose on the Issuer II Class C Units that represent a 63.75% economic interest in future royalties due on net sales of TRELEGY and related assets. If the Issuer II Class C Units are foreclosed upon, we will lose</w:t>
      </w:r>
      <w:r>
        <w:rPr>
          <w:sz w:val="20"/>
          <w:szCs w:val="20"/>
        </w:rPr>
        <w:t xml:space="preserve"> any right to receive 75% of the future royalty payments made by GSK in connection with the net sales of TRELEGY and related assets. Any of the above payments could have a material adverse effect on our cash position. Our failure to satisfy these obligatio</w:t>
      </w:r>
      <w:r>
        <w:rPr>
          <w:sz w:val="20"/>
          <w:szCs w:val="20"/>
        </w:rPr>
        <w:t>ns may result in a default under the applicable indenture governing these Notes, which could result in a default under certain of our other debt instruments, if any. Any such default would harm our business and the price of our securities could fall. For m</w:t>
      </w:r>
      <w:r>
        <w:rPr>
          <w:sz w:val="20"/>
          <w:szCs w:val="20"/>
        </w:rPr>
        <w:t>ore information, see Part II—Item 7—Management’s Discussion and Analysis of Financial Condition and Results of Operations—Liquidity and Capital Resources</w:t>
      </w:r>
      <w:r>
        <w:rPr>
          <w:b/>
          <w:bCs/>
          <w:sz w:val="20"/>
          <w:szCs w:val="20"/>
        </w:rPr>
        <w:t>.</w:t>
      </w:r>
    </w:p>
    <w:p w:rsidR="00000000" w:rsidRDefault="001E618F">
      <w:pPr>
        <w:pStyle w:val="a3"/>
        <w:spacing w:before="0" w:beforeAutospacing="0" w:after="120" w:afterAutospacing="0"/>
        <w:divId w:val="2106264304"/>
        <w:rPr>
          <w:sz w:val="20"/>
          <w:szCs w:val="20"/>
        </w:rPr>
      </w:pPr>
      <w:r>
        <w:rPr>
          <w:b/>
          <w:bCs/>
          <w:i/>
          <w:iCs/>
          <w:sz w:val="20"/>
          <w:szCs w:val="20"/>
        </w:rPr>
        <w:t>Servicing our Convertible Senior 2023 Notes requires a significant amount of cash, and we may not hav</w:t>
      </w:r>
      <w:r>
        <w:rPr>
          <w:b/>
          <w:bCs/>
          <w:i/>
          <w:iCs/>
          <w:sz w:val="20"/>
          <w:szCs w:val="20"/>
        </w:rPr>
        <w:t xml:space="preserve">e sufficient cash flow from our business to pay our debt. Additionally, holders may require us to repurchase our Convertible Senior 2023 Notes under certain circumstances, and we may not have sufficient cash to do so. </w:t>
      </w:r>
    </w:p>
    <w:p w:rsidR="00000000" w:rsidRDefault="001E618F">
      <w:pPr>
        <w:pStyle w:val="a3"/>
        <w:spacing w:before="0" w:beforeAutospacing="0" w:after="200" w:afterAutospacing="0"/>
        <w:ind w:firstLine="720"/>
        <w:divId w:val="2106264304"/>
        <w:rPr>
          <w:sz w:val="20"/>
          <w:szCs w:val="20"/>
        </w:rPr>
      </w:pPr>
      <w:r>
        <w:rPr>
          <w:sz w:val="20"/>
          <w:szCs w:val="20"/>
        </w:rPr>
        <w:t>Our ability to make interest or princ</w:t>
      </w:r>
      <w:r>
        <w:rPr>
          <w:sz w:val="20"/>
          <w:szCs w:val="20"/>
        </w:rPr>
        <w:t>ipal payments when due or to refinance the Convertible Senior 2023 Notes depends on our future performance, which is subject to economic, financial, competitive and other factors beyond our control. Our business may not generate cash flow from operations s</w:t>
      </w:r>
      <w:r>
        <w:rPr>
          <w:sz w:val="20"/>
          <w:szCs w:val="20"/>
        </w:rPr>
        <w:t xml:space="preserve">ufficient to satisfy our obligations under the Convertible Senior 2023 Notes and any future indebtedness we may incur and to make necessary capital expenditures. In addition, the issuance of the Non-Recourse 2035 Notes reduced the cash available for us to </w:t>
      </w:r>
      <w:r>
        <w:rPr>
          <w:sz w:val="20"/>
          <w:szCs w:val="20"/>
        </w:rPr>
        <w:t>make interest or principal payments on, or to refinance, the Convertible Senior 2023 Notes. We may be required to adopt one or more alternatives, such as reducing or delaying investments or capital expenditures, selling assets, refinancing or obtaining add</w:t>
      </w:r>
      <w:r>
        <w:rPr>
          <w:sz w:val="20"/>
          <w:szCs w:val="20"/>
        </w:rPr>
        <w:t>itional equity capital on terms that may be onerous or highly dilutive. Our ability to refinance the Convertible Senior 2023 Notes or future indebtedness will depend on the capital markets and our financial condition at such time. We may not be able to eng</w:t>
      </w:r>
      <w:r>
        <w:rPr>
          <w:sz w:val="20"/>
          <w:szCs w:val="20"/>
        </w:rPr>
        <w:t>age in any of these activities on desirable terms or at all, which could result in a default on the Convertible Senior 2023 Notes or future indebtedness.</w:t>
      </w:r>
    </w:p>
    <w:p w:rsidR="00000000" w:rsidRDefault="001E618F">
      <w:pPr>
        <w:pStyle w:val="a3"/>
        <w:spacing w:before="0" w:beforeAutospacing="0" w:after="200" w:afterAutospacing="0"/>
        <w:ind w:firstLine="720"/>
        <w:divId w:val="2106264304"/>
        <w:rPr>
          <w:sz w:val="20"/>
          <w:szCs w:val="20"/>
        </w:rPr>
      </w:pPr>
      <w:r>
        <w:rPr>
          <w:sz w:val="20"/>
          <w:szCs w:val="20"/>
        </w:rPr>
        <w:t>The holders of the Convertible Senior 2023 Notes may have the right to require us to repurchase the Co</w:t>
      </w:r>
      <w:r>
        <w:rPr>
          <w:sz w:val="20"/>
          <w:szCs w:val="20"/>
        </w:rPr>
        <w:t>nvertible Senior 2023 Notes upon the occurrence of a “fundamental change” such as a change of control of our Company or the termination of trading of our ordinary shares, as defined in the indenture governing the Convertible Senior 2023 Notes. We may not h</w:t>
      </w:r>
      <w:r>
        <w:rPr>
          <w:sz w:val="20"/>
          <w:szCs w:val="20"/>
        </w:rPr>
        <w:t>ave sufficient funds to repurchase the Convertible Senior 2023 Notes in cash or have the ability to arrange necessary financing on acceptable terms. Our failure to repurchase the Convertible Senior 2023 Notes when required would result in an event of defau</w:t>
      </w:r>
      <w:r>
        <w:rPr>
          <w:sz w:val="20"/>
          <w:szCs w:val="20"/>
        </w:rPr>
        <w:t>lt with respect to the Convertible Senior 2023 Notes. In addition, any acceleration of the repayment of the Convertible Senior 2023 Notes or future indebtedness after any applicable notice or grace periods could have a material adverse effect on our busine</w:t>
      </w:r>
      <w:r>
        <w:rPr>
          <w:sz w:val="20"/>
          <w:szCs w:val="20"/>
        </w:rPr>
        <w:t>ss, results of operations and financial condition.</w:t>
      </w:r>
    </w:p>
    <w:p w:rsidR="00000000" w:rsidRDefault="001E618F">
      <w:pPr>
        <w:pStyle w:val="a3"/>
        <w:spacing w:before="0" w:beforeAutospacing="0" w:after="120" w:afterAutospacing="0"/>
        <w:divId w:val="2106264304"/>
        <w:rPr>
          <w:sz w:val="20"/>
          <w:szCs w:val="20"/>
        </w:rPr>
      </w:pPr>
      <w:r>
        <w:rPr>
          <w:b/>
          <w:bCs/>
          <w:i/>
          <w:iCs/>
          <w:sz w:val="20"/>
          <w:szCs w:val="20"/>
        </w:rPr>
        <w:t>We may fail to achieve the expected cost savings and related benefits from our September 2021 Restructuring.</w:t>
      </w:r>
    </w:p>
    <w:p w:rsidR="00000000" w:rsidRDefault="001E618F">
      <w:pPr>
        <w:pStyle w:val="a3"/>
        <w:spacing w:before="0" w:beforeAutospacing="0" w:after="0" w:afterAutospacing="0"/>
        <w:ind w:firstLine="720"/>
        <w:divId w:val="2106264304"/>
        <w:rPr>
          <w:sz w:val="20"/>
          <w:szCs w:val="20"/>
        </w:rPr>
      </w:pPr>
      <w:r>
        <w:rPr>
          <w:sz w:val="20"/>
          <w:szCs w:val="20"/>
        </w:rPr>
        <w:t>In September 2021, our Board approved a plan to restructure our business operations to drive lon</w:t>
      </w:r>
      <w:r>
        <w:rPr>
          <w:sz w:val="20"/>
          <w:szCs w:val="20"/>
        </w:rPr>
        <w:t>g term sustainable revenue growth, better align resources, improve operational efficiencies and to increase profitability. Following the substantial completion of this Restructuring, our management and employees are primarily focused on managing our most p</w:t>
      </w:r>
      <w:r>
        <w:rPr>
          <w:sz w:val="20"/>
          <w:szCs w:val="20"/>
        </w:rPr>
        <w:t xml:space="preserve">romising programs. As part of the Restructuring, we reduced employee headcount by approximately 75%. We expect to incur total estimated Restructuring and related expenses of approximately $33.0 million comprised of $17.1 million in cash expenses and $15.9 </w:t>
      </w:r>
      <w:r>
        <w:rPr>
          <w:sz w:val="20"/>
          <w:szCs w:val="20"/>
        </w:rPr>
        <w:t>million in non-cash expenses. The Restructuring and related expenses are primarily comprised of severance, retention, and other costs relating to the Restructuring and are expected to be incurred through the third quarter of 2022. Affected employees receiv</w:t>
      </w:r>
      <w:r>
        <w:rPr>
          <w:sz w:val="20"/>
          <w:szCs w:val="20"/>
        </w:rPr>
        <w:t>ed notification and were eligible to receive severance payments based on their responsibilities within the organization and years of service, contingent upon effectiveness of an affected employee's a separation agreement, which includes a general release o</w:t>
      </w:r>
      <w:r>
        <w:rPr>
          <w:sz w:val="20"/>
          <w:szCs w:val="20"/>
        </w:rPr>
        <w:t xml:space="preserve">f claims against us. The estimated Restructuring and related expenses are subject to a number of assumptions, and actual results may differ. We may also incur additional costs not currently contemplated due to events that may occur as a result of, or that </w:t>
      </w:r>
      <w:r>
        <w:rPr>
          <w:sz w:val="20"/>
          <w:szCs w:val="20"/>
        </w:rPr>
        <w:t>are associated with, the Restructuring.</w:t>
      </w:r>
    </w:p>
    <w:p w:rsidR="00000000" w:rsidRDefault="001E618F">
      <w:pPr>
        <w:pStyle w:val="a3"/>
        <w:spacing w:before="0" w:beforeAutospacing="0" w:after="0" w:afterAutospacing="0"/>
        <w:divId w:val="2106264304"/>
        <w:rPr>
          <w:sz w:val="20"/>
          <w:szCs w:val="20"/>
        </w:rPr>
      </w:pPr>
      <w:r>
        <w:rPr>
          <w:sz w:val="20"/>
          <w:szCs w:val="20"/>
        </w:rPr>
        <w:t>​</w:t>
      </w:r>
    </w:p>
    <w:p w:rsidR="00000000" w:rsidRDefault="001E618F">
      <w:pPr>
        <w:pStyle w:val="a3"/>
        <w:spacing w:before="0" w:beforeAutospacing="0" w:after="0" w:afterAutospacing="0"/>
        <w:ind w:firstLine="720"/>
        <w:divId w:val="2106264304"/>
        <w:rPr>
          <w:sz w:val="20"/>
          <w:szCs w:val="20"/>
        </w:rPr>
      </w:pPr>
      <w:r>
        <w:rPr>
          <w:sz w:val="20"/>
          <w:szCs w:val="20"/>
        </w:rPr>
        <w:t>We may fail to effectively execute on our Restructuring or our plans may change as we continue to optimize our asset portfolio to maximize shareholder value. We may not be able to drive long term sustainable revenu</w:t>
      </w:r>
      <w:r>
        <w:rPr>
          <w:sz w:val="20"/>
          <w:szCs w:val="20"/>
        </w:rPr>
        <w:t>e growth, better align resources, improve operational efficiencies and to increase profitability. Any failure to properly execute our Restructuring could cause us not to achieve the expected benefits of these actions, and adversely affect our financial con</w:t>
      </w:r>
      <w:r>
        <w:rPr>
          <w:sz w:val="20"/>
          <w:szCs w:val="20"/>
        </w:rPr>
        <w:t>dition.</w:t>
      </w:r>
    </w:p>
    <w:p w:rsidR="00000000" w:rsidRDefault="001E618F">
      <w:pPr>
        <w:pStyle w:val="a3"/>
        <w:spacing w:before="360" w:beforeAutospacing="0" w:after="0" w:afterAutospacing="0"/>
        <w:jc w:val="center"/>
        <w:divId w:val="803696927"/>
        <w:rPr>
          <w:sz w:val="20"/>
          <w:szCs w:val="20"/>
        </w:rPr>
      </w:pPr>
      <w:r>
        <w:rPr>
          <w:sz w:val="20"/>
          <w:szCs w:val="20"/>
        </w:rPr>
        <w:t>47</w:t>
      </w:r>
    </w:p>
    <w:p w:rsidR="00000000" w:rsidRDefault="001E618F">
      <w:pPr>
        <w:pStyle w:val="a3"/>
        <w:spacing w:before="0" w:beforeAutospacing="0" w:after="600" w:afterAutospacing="0"/>
        <w:divId w:val="1705398210"/>
        <w:rPr>
          <w:sz w:val="20"/>
          <w:szCs w:val="20"/>
        </w:rPr>
      </w:pPr>
      <w:hyperlink w:anchor="TOC" w:history="1">
        <w:r>
          <w:rPr>
            <w:rStyle w:val="a4"/>
            <w:sz w:val="20"/>
            <w:szCs w:val="20"/>
          </w:rPr>
          <w:t>Table of Contents</w:t>
        </w:r>
      </w:hyperlink>
    </w:p>
    <w:p w:rsidR="00000000" w:rsidRDefault="001E618F">
      <w:pPr>
        <w:pStyle w:val="a3"/>
        <w:spacing w:before="0" w:beforeAutospacing="0" w:after="120" w:afterAutospacing="0"/>
        <w:divId w:val="1403673912"/>
        <w:rPr>
          <w:sz w:val="20"/>
          <w:szCs w:val="20"/>
        </w:rPr>
      </w:pPr>
      <w:r>
        <w:rPr>
          <w:b/>
          <w:bCs/>
          <w:i/>
          <w:iCs/>
          <w:sz w:val="20"/>
          <w:szCs w:val="20"/>
        </w:rPr>
        <w:t xml:space="preserve">If we lose key management or scientific personnel, or if we fail to attract and retain key employees, our ability to discover and develop our product candidates and commercialize our products, if any, </w:t>
      </w:r>
      <w:r>
        <w:rPr>
          <w:b/>
          <w:bCs/>
          <w:i/>
          <w:iCs/>
          <w:sz w:val="20"/>
          <w:szCs w:val="20"/>
        </w:rPr>
        <w:t>will be impaired.</w:t>
      </w:r>
    </w:p>
    <w:p w:rsidR="00000000" w:rsidRDefault="001E618F">
      <w:pPr>
        <w:pStyle w:val="a3"/>
        <w:spacing w:before="0" w:beforeAutospacing="0" w:after="200" w:afterAutospacing="0"/>
        <w:ind w:firstLine="720"/>
        <w:divId w:val="1403673912"/>
        <w:rPr>
          <w:sz w:val="20"/>
          <w:szCs w:val="20"/>
        </w:rPr>
      </w:pPr>
      <w:r>
        <w:rPr>
          <w:sz w:val="20"/>
          <w:szCs w:val="20"/>
        </w:rPr>
        <w:t>We are highly dependent on principal members of our management team and scientific staff, and in particular, our Chief Executive Officer, Rick E Winningham, to operate our business. Mr. Winningham has significant pharmaceutical industry e</w:t>
      </w:r>
      <w:r>
        <w:rPr>
          <w:sz w:val="20"/>
          <w:szCs w:val="20"/>
        </w:rPr>
        <w:t>xperience. The loss of Mr. Winningham’s services could impair our ability to discover, develop and commercialize new medicines.</w:t>
      </w:r>
    </w:p>
    <w:p w:rsidR="00000000" w:rsidRDefault="001E618F">
      <w:pPr>
        <w:pStyle w:val="a3"/>
        <w:spacing w:before="0" w:beforeAutospacing="0" w:after="200" w:afterAutospacing="0"/>
        <w:ind w:firstLine="720"/>
        <w:divId w:val="1403673912"/>
        <w:rPr>
          <w:sz w:val="20"/>
          <w:szCs w:val="20"/>
        </w:rPr>
      </w:pPr>
      <w:r>
        <w:rPr>
          <w:sz w:val="20"/>
          <w:szCs w:val="20"/>
        </w:rPr>
        <w:t>If we fail to retain our qualified personnel or replace them when they leave, we may be unable to continue our discovery, develo</w:t>
      </w:r>
      <w:r>
        <w:rPr>
          <w:sz w:val="20"/>
          <w:szCs w:val="20"/>
        </w:rPr>
        <w:t>pment and commercialization activities, which may cause the price of our securities to fall. The Restructuring announced in September 2021 may make retention of our current personnel both more important and more challenging.</w:t>
      </w:r>
      <w:r>
        <w:rPr>
          <w:sz w:val="20"/>
          <w:szCs w:val="20"/>
        </w:rPr>
        <w:t xml:space="preserve"> </w:t>
      </w:r>
    </w:p>
    <w:p w:rsidR="00000000" w:rsidRDefault="001E618F">
      <w:pPr>
        <w:pStyle w:val="a3"/>
        <w:spacing w:before="0" w:beforeAutospacing="0" w:after="0" w:afterAutospacing="0"/>
        <w:ind w:firstLine="720"/>
        <w:divId w:val="1403673912"/>
        <w:rPr>
          <w:sz w:val="20"/>
          <w:szCs w:val="20"/>
        </w:rPr>
      </w:pPr>
      <w:r>
        <w:rPr>
          <w:sz w:val="20"/>
          <w:szCs w:val="20"/>
        </w:rPr>
        <w:t xml:space="preserve">In addition, our US operating </w:t>
      </w:r>
      <w:r>
        <w:rPr>
          <w:sz w:val="20"/>
          <w:szCs w:val="20"/>
        </w:rPr>
        <w:t>subsidiary’s facility and most of its employees are located in northern California, headquarters to many other biotechnology and biopharmaceutical companies and many academic and research institutions. As a result, competition for certain skilled personnel</w:t>
      </w:r>
      <w:r>
        <w:rPr>
          <w:sz w:val="20"/>
          <w:szCs w:val="20"/>
        </w:rPr>
        <w:t xml:space="preserve"> in our market is intense. None of our employees have employment commitments for any fixed period of time and they all may leave our employment at will. If we fail to retain our qualified personnel or replace them when they leave, we may be unable to conti</w:t>
      </w:r>
      <w:r>
        <w:rPr>
          <w:sz w:val="20"/>
          <w:szCs w:val="20"/>
        </w:rPr>
        <w:t>nue our development and commercialization activities and the price of our securities could fall.</w:t>
      </w:r>
      <w:r>
        <w:t xml:space="preserve"> </w:t>
      </w:r>
    </w:p>
    <w:p w:rsidR="00000000" w:rsidRDefault="001E618F">
      <w:pPr>
        <w:pStyle w:val="a3"/>
        <w:spacing w:before="0" w:beforeAutospacing="0" w:after="0" w:afterAutospacing="0"/>
        <w:divId w:val="1403673912"/>
        <w:rPr>
          <w:sz w:val="20"/>
          <w:szCs w:val="20"/>
        </w:rPr>
      </w:pPr>
      <w:r>
        <w:rPr>
          <w:sz w:val="20"/>
          <w:szCs w:val="20"/>
        </w:rPr>
        <w:t>​</w:t>
      </w:r>
    </w:p>
    <w:p w:rsidR="00000000" w:rsidRDefault="001E618F">
      <w:pPr>
        <w:pStyle w:val="a3"/>
        <w:spacing w:before="0" w:beforeAutospacing="0" w:after="120" w:afterAutospacing="0"/>
        <w:divId w:val="1403673912"/>
        <w:rPr>
          <w:sz w:val="20"/>
          <w:szCs w:val="20"/>
        </w:rPr>
      </w:pPr>
      <w:r>
        <w:rPr>
          <w:b/>
          <w:bCs/>
          <w:i/>
          <w:iCs/>
          <w:sz w:val="20"/>
          <w:szCs w:val="20"/>
        </w:rPr>
        <w:t>Our business and operations would suffer in the event of significant disruptions of information technology systems or security breaches.</w:t>
      </w:r>
    </w:p>
    <w:p w:rsidR="00000000" w:rsidRDefault="001E618F">
      <w:pPr>
        <w:pStyle w:val="a3"/>
        <w:spacing w:before="0" w:beforeAutospacing="0" w:after="200" w:afterAutospacing="0"/>
        <w:ind w:firstLine="720"/>
        <w:divId w:val="1403673912"/>
        <w:rPr>
          <w:sz w:val="20"/>
          <w:szCs w:val="20"/>
        </w:rPr>
      </w:pPr>
      <w:r>
        <w:rPr>
          <w:sz w:val="20"/>
          <w:szCs w:val="20"/>
        </w:rPr>
        <w:t>We rely extensively</w:t>
      </w:r>
      <w:r>
        <w:rPr>
          <w:sz w:val="20"/>
          <w:szCs w:val="20"/>
        </w:rPr>
        <w:t xml:space="preserve"> on computer systems to maintain information and manage our finances and business. In the ordinary course of business, we collect, store and transmit large amounts of confidential information (including but not limited to trade secrets or other intellectua</w:t>
      </w:r>
      <w:r>
        <w:rPr>
          <w:sz w:val="20"/>
          <w:szCs w:val="20"/>
        </w:rPr>
        <w:t xml:space="preserve">l property, proprietary business information and personal information) and it is critical that we maintain the confidentiality and integrity of such confidential information. Although we have security measures in place, our internal information technology </w:t>
      </w:r>
      <w:r>
        <w:rPr>
          <w:sz w:val="20"/>
          <w:szCs w:val="20"/>
        </w:rPr>
        <w:t xml:space="preserve">systems and those of our CROs and other service providers, including cloud based and hosted applications, data and services, may be vulnerable to service interruptions and security breaches from inadvertent or intentional actions by our employees, service </w:t>
      </w:r>
      <w:r>
        <w:rPr>
          <w:sz w:val="20"/>
          <w:szCs w:val="20"/>
        </w:rPr>
        <w:t>providers and/or business partners, from cyber-attacks by malicious third parties, including but not limited to those involving malware and ransomware, which can disrupt operations significantly, and/or from, natural disasters, terrorism, war and telecommu</w:t>
      </w:r>
      <w:r>
        <w:rPr>
          <w:sz w:val="20"/>
          <w:szCs w:val="20"/>
        </w:rPr>
        <w:t>nication and electrical failures. Cyber-attacks are increasing in their frequency, sophistication, and intensity, and have become increasingly difficult to detect. Significant disruptions of information technology systems or security breaches could adverse</w:t>
      </w:r>
      <w:r>
        <w:rPr>
          <w:sz w:val="20"/>
          <w:szCs w:val="20"/>
        </w:rPr>
        <w:t>ly affect our business operations and result in financial, legal, business and reputational harm to us, including significant liability and/or significant disruption to our business. If a disruption of information technology systems or security breach resu</w:t>
      </w:r>
      <w:r>
        <w:rPr>
          <w:sz w:val="20"/>
          <w:szCs w:val="20"/>
        </w:rPr>
        <w:t>lts in a loss of or damage to our data or regulatory applications, unauthorized access, use, or disclosure of, or the prevention of access to, confidential information, or other harm to our business, we could incur liability and reputational harm, we could</w:t>
      </w:r>
      <w:r>
        <w:rPr>
          <w:sz w:val="20"/>
          <w:szCs w:val="20"/>
        </w:rPr>
        <w:t xml:space="preserve"> be required to comply with federal and/or state breach notification laws and foreign law equivalents, we may incur legal expenses to protect our confidential information, the further development of our product candidates could be delayed and the price of </w:t>
      </w:r>
      <w:r>
        <w:rPr>
          <w:sz w:val="20"/>
          <w:szCs w:val="20"/>
        </w:rPr>
        <w:t>our securities could fall. For example, the loss of clinical trial data from completed or ongoing clinical trials of our product candidates could result in delays in our regulatory approval efforts and significantly increase our costs to recover or reprodu</w:t>
      </w:r>
      <w:r>
        <w:rPr>
          <w:sz w:val="20"/>
          <w:szCs w:val="20"/>
        </w:rPr>
        <w:t xml:space="preserve">ce the data. As another example, we may incur penalties imposed by the competent authorities in the EU Member States in case of breach of the EU rules governing the collection and processing of personal data, including unauthorized access to or disclosure </w:t>
      </w:r>
      <w:r>
        <w:rPr>
          <w:sz w:val="20"/>
          <w:szCs w:val="20"/>
        </w:rPr>
        <w:t>of personal data. Although we have security and fraud prevention measures in place, we have been subject to immaterial payment fraud activity. In 2017, we filed a lawsuit (which has since been resolved) against a former employee for misappropriation of our</w:t>
      </w:r>
      <w:r>
        <w:rPr>
          <w:sz w:val="20"/>
          <w:szCs w:val="20"/>
        </w:rPr>
        <w:t xml:space="preserve"> confidential, proprietary and trade secret information. Moreover, there can be no assurance that our security measures will prevent service interruptions or security breaches that could adversely affect our business. These same risks also apply to our par</w:t>
      </w:r>
      <w:r>
        <w:rPr>
          <w:sz w:val="20"/>
          <w:szCs w:val="20"/>
        </w:rPr>
        <w:t>tners and vendors, who similarly hold sensitive and critical information related to our business in computer systems and are similarly potentially vulnerable to service interruptions and security breaches.</w:t>
      </w:r>
    </w:p>
    <w:p w:rsidR="00000000" w:rsidRDefault="001E618F">
      <w:pPr>
        <w:pStyle w:val="a3"/>
        <w:spacing w:before="360" w:beforeAutospacing="0" w:after="0" w:afterAutospacing="0"/>
        <w:jc w:val="center"/>
        <w:divId w:val="1415542977"/>
        <w:rPr>
          <w:sz w:val="20"/>
          <w:szCs w:val="20"/>
        </w:rPr>
      </w:pPr>
      <w:r>
        <w:rPr>
          <w:sz w:val="20"/>
          <w:szCs w:val="20"/>
        </w:rPr>
        <w:t>48</w:t>
      </w:r>
    </w:p>
    <w:p w:rsidR="00000000" w:rsidRDefault="001E618F">
      <w:pPr>
        <w:pStyle w:val="a3"/>
        <w:spacing w:before="0" w:beforeAutospacing="0" w:after="600" w:afterAutospacing="0"/>
        <w:divId w:val="1330712454"/>
        <w:rPr>
          <w:sz w:val="20"/>
          <w:szCs w:val="20"/>
        </w:rPr>
      </w:pPr>
      <w:hyperlink w:anchor="TOC" w:history="1">
        <w:r>
          <w:rPr>
            <w:rStyle w:val="a4"/>
            <w:sz w:val="20"/>
            <w:szCs w:val="20"/>
          </w:rPr>
          <w:t>Table of Contents</w:t>
        </w:r>
      </w:hyperlink>
    </w:p>
    <w:p w:rsidR="00000000" w:rsidRDefault="001E618F">
      <w:pPr>
        <w:pStyle w:val="a3"/>
        <w:spacing w:before="0" w:beforeAutospacing="0" w:after="120" w:afterAutospacing="0"/>
        <w:divId w:val="424156661"/>
        <w:rPr>
          <w:sz w:val="20"/>
          <w:szCs w:val="20"/>
        </w:rPr>
      </w:pPr>
      <w:r>
        <w:rPr>
          <w:b/>
          <w:bCs/>
          <w:i/>
          <w:iCs/>
          <w:sz w:val="20"/>
          <w:szCs w:val="20"/>
        </w:rPr>
        <w:t>Glo</w:t>
      </w:r>
      <w:r>
        <w:rPr>
          <w:b/>
          <w:bCs/>
          <w:i/>
          <w:iCs/>
          <w:sz w:val="20"/>
          <w:szCs w:val="20"/>
        </w:rPr>
        <w:t>bal economic, political and social conditions may harm our ability to do business, increase our costs and negatively affect our stock price.</w:t>
      </w:r>
    </w:p>
    <w:p w:rsidR="00000000" w:rsidRDefault="001E618F">
      <w:pPr>
        <w:pStyle w:val="a3"/>
        <w:spacing w:before="0" w:beforeAutospacing="0" w:after="200" w:afterAutospacing="0"/>
        <w:ind w:firstLine="720"/>
        <w:divId w:val="424156661"/>
        <w:rPr>
          <w:sz w:val="20"/>
          <w:szCs w:val="20"/>
        </w:rPr>
      </w:pPr>
      <w:r>
        <w:rPr>
          <w:sz w:val="20"/>
          <w:szCs w:val="20"/>
        </w:rPr>
        <w:t xml:space="preserve">Worldwide economic conditions remain uncertain due to the United Kingdom’s (“UK”) withdrawal from the EU (often referred to as “Brexit”), current global economic challenges, the COVID-19 pandemic, and other disruptions to global and regional economies and </w:t>
      </w:r>
      <w:r>
        <w:rPr>
          <w:sz w:val="20"/>
          <w:szCs w:val="20"/>
        </w:rPr>
        <w:t>markets.</w:t>
      </w:r>
    </w:p>
    <w:p w:rsidR="00000000" w:rsidRDefault="001E618F">
      <w:pPr>
        <w:pStyle w:val="a3"/>
        <w:spacing w:before="0" w:beforeAutospacing="0" w:after="200" w:afterAutospacing="0"/>
        <w:ind w:firstLine="720"/>
        <w:divId w:val="424156661"/>
        <w:rPr>
          <w:sz w:val="20"/>
          <w:szCs w:val="20"/>
        </w:rPr>
      </w:pPr>
      <w:r>
        <w:rPr>
          <w:sz w:val="20"/>
          <w:szCs w:val="20"/>
        </w:rPr>
        <w:t>Brexit has created significant uncertainty about the future relationship between the UK and the EU, including with respect to the laws and regulations that will apply as the UK determines which EU laws to replace or replicate after withdrawal. Fro</w:t>
      </w:r>
      <w:r>
        <w:rPr>
          <w:sz w:val="20"/>
          <w:szCs w:val="20"/>
        </w:rPr>
        <w:t xml:space="preserve">m a regulatory perspective, the UK’s withdrawal bears significant complexity and risks. </w:t>
      </w:r>
    </w:p>
    <w:p w:rsidR="00000000" w:rsidRDefault="001E618F">
      <w:pPr>
        <w:pStyle w:val="a3"/>
        <w:spacing w:before="0" w:beforeAutospacing="0" w:after="200" w:afterAutospacing="0"/>
        <w:ind w:firstLine="720"/>
        <w:divId w:val="424156661"/>
        <w:rPr>
          <w:sz w:val="20"/>
          <w:szCs w:val="20"/>
        </w:rPr>
      </w:pPr>
      <w:r>
        <w:rPr>
          <w:sz w:val="20"/>
          <w:szCs w:val="20"/>
        </w:rPr>
        <w:t>In light of the fact that a significant portion of the regulatory framework in the UK is derived from EU laws, Brexit could materially impact the regulatory regime gov</w:t>
      </w:r>
      <w:r>
        <w:rPr>
          <w:sz w:val="20"/>
          <w:szCs w:val="20"/>
        </w:rPr>
        <w:t>erning development, manufacture, importation, approval and commercialization of our product candidates in the UK or the EU. For example, a marketing authorization for a medicinal product granted by the European Commission or by the competent authorities of</w:t>
      </w:r>
      <w:r>
        <w:rPr>
          <w:sz w:val="20"/>
          <w:szCs w:val="20"/>
        </w:rPr>
        <w:t xml:space="preserve"> EU member states will no longer encompass the UK. A separate authorization granted by the UK competent authorities will be required to place medicinal products on the UK market. In addition, the UK’s withdrawal from the EU affects manufacturing sites that</w:t>
      </w:r>
      <w:r>
        <w:rPr>
          <w:sz w:val="20"/>
          <w:szCs w:val="20"/>
        </w:rPr>
        <w:t xml:space="preserve"> hold an EU manufacturing authorization issued by the UK competent authorities which could impact our ability to rely on UK manufacturing sites to supply medicinal products intended for the EU market will depend on. All of these changes could increase our </w:t>
      </w:r>
      <w:r>
        <w:rPr>
          <w:sz w:val="20"/>
          <w:szCs w:val="20"/>
        </w:rPr>
        <w:t>costs and otherwise adversely affect our business. In addition, currency exchange rates for the British Pound and the Euro with respect to each other and to the US dollar have already been, and may continue to be, negatively affected by Brexit, which could</w:t>
      </w:r>
      <w:r>
        <w:rPr>
          <w:sz w:val="20"/>
          <w:szCs w:val="20"/>
        </w:rPr>
        <w:t xml:space="preserve"> cause volatility in our quarterly financial results.</w:t>
      </w:r>
    </w:p>
    <w:p w:rsidR="00000000" w:rsidRDefault="001E618F">
      <w:pPr>
        <w:pStyle w:val="a3"/>
        <w:spacing w:before="0" w:beforeAutospacing="0" w:after="200" w:afterAutospacing="0"/>
        <w:ind w:firstLine="720"/>
        <w:divId w:val="424156661"/>
        <w:rPr>
          <w:sz w:val="20"/>
          <w:szCs w:val="20"/>
        </w:rPr>
      </w:pPr>
      <w:r>
        <w:rPr>
          <w:sz w:val="20"/>
          <w:szCs w:val="20"/>
        </w:rPr>
        <w:t>Further, development of our product candidates and/or regulatory approval may be delayed for other political events beyond our control. For example, a US federal government shutdown or budget sequestrat</w:t>
      </w:r>
      <w:r>
        <w:rPr>
          <w:sz w:val="20"/>
          <w:szCs w:val="20"/>
        </w:rPr>
        <w:t>ion, such as ones that occurred during 2013, 2018, and 2019, may result in significant reductions to the FDA’s budget, employees and operations, which may lead to slower response times and longer review periods, potentially affecting our ability to progres</w:t>
      </w:r>
      <w:r>
        <w:rPr>
          <w:sz w:val="20"/>
          <w:szCs w:val="20"/>
        </w:rPr>
        <w:t>s development of our product candidates or obtain regulatory approval for our product candidates. Further, future government shutdowns could impact our ability to access the public markets and obtain necessary capital in order to properly capitalize and co</w:t>
      </w:r>
      <w:r>
        <w:rPr>
          <w:sz w:val="20"/>
          <w:szCs w:val="20"/>
        </w:rPr>
        <w:t>ntinue our operations.</w:t>
      </w:r>
    </w:p>
    <w:p w:rsidR="00000000" w:rsidRDefault="001E618F">
      <w:pPr>
        <w:pStyle w:val="a3"/>
        <w:spacing w:before="0" w:beforeAutospacing="0" w:after="200" w:afterAutospacing="0"/>
        <w:ind w:firstLine="720"/>
        <w:divId w:val="424156661"/>
        <w:rPr>
          <w:sz w:val="20"/>
          <w:szCs w:val="20"/>
        </w:rPr>
      </w:pPr>
      <w:r>
        <w:rPr>
          <w:sz w:val="20"/>
          <w:szCs w:val="20"/>
        </w:rPr>
        <w:t>Our operations also depend upon favorable trade relations between the US and those foreign countries in which our materials suppliers have operations. A protectionist trade environment in either the US or those foreign countries in w</w:t>
      </w:r>
      <w:r>
        <w:rPr>
          <w:sz w:val="20"/>
          <w:szCs w:val="20"/>
        </w:rPr>
        <w:t>hich we do business, such as a change in the current tariff structures, export compliance or other trade policies, may materially and adversely affect our operations.</w:t>
      </w:r>
    </w:p>
    <w:p w:rsidR="00000000" w:rsidRDefault="001E618F">
      <w:pPr>
        <w:pStyle w:val="a3"/>
        <w:spacing w:before="0" w:beforeAutospacing="0" w:after="200" w:afterAutospacing="0"/>
        <w:ind w:firstLine="720"/>
        <w:divId w:val="424156661"/>
        <w:rPr>
          <w:sz w:val="20"/>
          <w:szCs w:val="20"/>
        </w:rPr>
      </w:pPr>
      <w:r>
        <w:rPr>
          <w:sz w:val="20"/>
          <w:szCs w:val="20"/>
        </w:rPr>
        <w:t>External factors, such as potential terrorist attacks, acts of war, geopolitical and soci</w:t>
      </w:r>
      <w:r>
        <w:rPr>
          <w:sz w:val="20"/>
          <w:szCs w:val="20"/>
        </w:rPr>
        <w:t>al turmoil or similar events in many parts of the world, could also prevent or hinder our ability to do business, increase our costs and negatively affect our stock price. These geopolitical, social and economic conditions could harm our business.</w:t>
      </w:r>
    </w:p>
    <w:p w:rsidR="00000000" w:rsidRDefault="001E618F">
      <w:pPr>
        <w:pStyle w:val="a3"/>
        <w:spacing w:before="0" w:beforeAutospacing="0" w:after="120" w:afterAutospacing="0"/>
        <w:divId w:val="424156661"/>
        <w:rPr>
          <w:sz w:val="20"/>
          <w:szCs w:val="20"/>
        </w:rPr>
      </w:pPr>
      <w:r>
        <w:rPr>
          <w:b/>
          <w:bCs/>
          <w:i/>
          <w:iCs/>
          <w:sz w:val="20"/>
          <w:szCs w:val="20"/>
        </w:rPr>
        <w:t>Our US o</w:t>
      </w:r>
      <w:r>
        <w:rPr>
          <w:b/>
          <w:bCs/>
          <w:i/>
          <w:iCs/>
          <w:sz w:val="20"/>
          <w:szCs w:val="20"/>
        </w:rPr>
        <w:t>perating subsidiary’s facility is located near known earthquake fault zones, and the occurrence of an earthquake, extremist attack or other catastrophic disaster could cause damage to our facilities and equipment, which could require us to cease or curtail</w:t>
      </w:r>
      <w:r>
        <w:rPr>
          <w:b/>
          <w:bCs/>
          <w:i/>
          <w:iCs/>
          <w:sz w:val="20"/>
          <w:szCs w:val="20"/>
        </w:rPr>
        <w:t xml:space="preserve"> operations.</w:t>
      </w:r>
    </w:p>
    <w:p w:rsidR="00000000" w:rsidRDefault="001E618F">
      <w:pPr>
        <w:pStyle w:val="a3"/>
        <w:spacing w:before="0" w:beforeAutospacing="0" w:after="200" w:afterAutospacing="0"/>
        <w:ind w:firstLine="720"/>
        <w:divId w:val="424156661"/>
        <w:rPr>
          <w:sz w:val="20"/>
          <w:szCs w:val="20"/>
        </w:rPr>
      </w:pPr>
      <w:r>
        <w:rPr>
          <w:sz w:val="20"/>
          <w:szCs w:val="20"/>
        </w:rPr>
        <w:t>Our US operating subsidiary’s facility is located in the San Francisco Bay Area near known earthquake fault zones and therefore will be vulnerable to damage from earthquakes. In October 1989, a major earthquake struck this area and caused sign</w:t>
      </w:r>
      <w:r>
        <w:rPr>
          <w:sz w:val="20"/>
          <w:szCs w:val="20"/>
        </w:rPr>
        <w:t>ificant property damage and a number of fatalities. We are also vulnerable to damage from other types of disasters, including power loss, attacks from extremist organizations, fire, floods, communications failures and similar events. If any disaster were t</w:t>
      </w:r>
      <w:r>
        <w:rPr>
          <w:sz w:val="20"/>
          <w:szCs w:val="20"/>
        </w:rPr>
        <w:t>o occur, our ability to operate our business could be seriously impaired. In addition, the unique nature of our research activities and of much of our equipment could make it difficult and costly for us to recover from this type of disaster. We may not hav</w:t>
      </w:r>
      <w:r>
        <w:rPr>
          <w:sz w:val="20"/>
          <w:szCs w:val="20"/>
        </w:rPr>
        <w:t>e adequate insurance to cover our losses resulting from disasters or other similar significant business interruptions and we do not plan to purchase additional insurance to cover such losses due to the cost of obtaining such coverage. Any significant losse</w:t>
      </w:r>
      <w:r>
        <w:rPr>
          <w:sz w:val="20"/>
          <w:szCs w:val="20"/>
        </w:rPr>
        <w:t>s that are not recoverable under our insurance policies could seriously impair our business and financial condition, which could cause the price of our securities to fall.</w:t>
      </w:r>
    </w:p>
    <w:p w:rsidR="00000000" w:rsidRDefault="001E618F">
      <w:pPr>
        <w:pStyle w:val="a3"/>
        <w:spacing w:before="360" w:beforeAutospacing="0" w:after="0" w:afterAutospacing="0"/>
        <w:jc w:val="center"/>
        <w:divId w:val="1567568967"/>
        <w:rPr>
          <w:sz w:val="20"/>
          <w:szCs w:val="20"/>
        </w:rPr>
      </w:pPr>
      <w:r>
        <w:rPr>
          <w:sz w:val="20"/>
          <w:szCs w:val="20"/>
        </w:rPr>
        <w:t>49</w:t>
      </w:r>
    </w:p>
    <w:p w:rsidR="00000000" w:rsidRDefault="001E618F">
      <w:pPr>
        <w:pStyle w:val="a3"/>
        <w:spacing w:before="0" w:beforeAutospacing="0" w:after="600" w:afterAutospacing="0"/>
        <w:divId w:val="325744054"/>
        <w:rPr>
          <w:sz w:val="20"/>
          <w:szCs w:val="20"/>
        </w:rPr>
      </w:pPr>
      <w:hyperlink w:anchor="TOC" w:history="1">
        <w:r>
          <w:rPr>
            <w:rStyle w:val="a4"/>
            <w:sz w:val="20"/>
            <w:szCs w:val="20"/>
          </w:rPr>
          <w:t>Table of Contents</w:t>
        </w:r>
      </w:hyperlink>
    </w:p>
    <w:p w:rsidR="00000000" w:rsidRDefault="001E618F">
      <w:pPr>
        <w:pStyle w:val="a3"/>
        <w:spacing w:before="0" w:beforeAutospacing="0" w:after="120" w:afterAutospacing="0"/>
        <w:divId w:val="1874223255"/>
        <w:rPr>
          <w:sz w:val="20"/>
          <w:szCs w:val="20"/>
        </w:rPr>
      </w:pPr>
      <w:r>
        <w:rPr>
          <w:b/>
          <w:bCs/>
          <w:i/>
          <w:iCs/>
          <w:sz w:val="20"/>
          <w:szCs w:val="20"/>
        </w:rPr>
        <w:t>We are subject to extensive and ongoi</w:t>
      </w:r>
      <w:r>
        <w:rPr>
          <w:b/>
          <w:bCs/>
          <w:i/>
          <w:iCs/>
          <w:sz w:val="20"/>
          <w:szCs w:val="20"/>
        </w:rPr>
        <w:t>ng regulation, oversight and other requirements by the FDA and failure to comply with these regulations and requirements may subject us to penalties that may adversely affect our financial condition or our ability to commercialize any approved products.</w:t>
      </w:r>
    </w:p>
    <w:p w:rsidR="00000000" w:rsidRDefault="001E618F">
      <w:pPr>
        <w:pStyle w:val="a3"/>
        <w:spacing w:before="0" w:beforeAutospacing="0" w:after="200" w:afterAutospacing="0"/>
        <w:ind w:firstLine="720"/>
        <w:divId w:val="1874223255"/>
        <w:rPr>
          <w:sz w:val="20"/>
          <w:szCs w:val="20"/>
        </w:rPr>
      </w:pPr>
      <w:r>
        <w:rPr>
          <w:sz w:val="20"/>
          <w:szCs w:val="20"/>
        </w:rPr>
        <w:t>Pr</w:t>
      </w:r>
      <w:r>
        <w:rPr>
          <w:sz w:val="20"/>
          <w:szCs w:val="20"/>
        </w:rPr>
        <w:t>escription drug advertising and promotion are closely scrutinized by the FDA, including substantiation of promotional claims, disclosure of risks and safety information, and the use of themes and imagery in advertising and promotional materials. As with al</w:t>
      </w:r>
      <w:r>
        <w:rPr>
          <w:sz w:val="20"/>
          <w:szCs w:val="20"/>
        </w:rPr>
        <w:t xml:space="preserve">l companies selling and marketing products regulated by the FDA in the US, we are prohibited from promoting any uses of an approved product, such as YUPELRI, that are outside the scope of those uses that have been expressly approved by the FDA as safe and </w:t>
      </w:r>
      <w:r>
        <w:rPr>
          <w:sz w:val="20"/>
          <w:szCs w:val="20"/>
        </w:rPr>
        <w:t>effective on the product’s label.</w:t>
      </w:r>
    </w:p>
    <w:p w:rsidR="00000000" w:rsidRDefault="001E618F">
      <w:pPr>
        <w:pStyle w:val="a3"/>
        <w:spacing w:before="0" w:beforeAutospacing="0" w:after="200" w:afterAutospacing="0"/>
        <w:ind w:firstLine="720"/>
        <w:divId w:val="1874223255"/>
        <w:rPr>
          <w:sz w:val="20"/>
          <w:szCs w:val="20"/>
        </w:rPr>
      </w:pPr>
      <w:r>
        <w:rPr>
          <w:sz w:val="20"/>
          <w:szCs w:val="20"/>
        </w:rPr>
        <w:t>The manufacturing, labeling, packaging, adverse event reporting, advertising, promotion and recordkeeping for an approved product remain subject to extensive and ongoing regulatory requirements. If we become aware of previ</w:t>
      </w:r>
      <w:r>
        <w:rPr>
          <w:sz w:val="20"/>
          <w:szCs w:val="20"/>
        </w:rPr>
        <w:t xml:space="preserve">ously unknown problems with an approved product in the US or overseas or at a contract manufacturer’s facilities, a regulatory authority may impose restrictions on the product, the contract manufacturers or on us, including requiring us to reformulate the </w:t>
      </w:r>
      <w:r>
        <w:rPr>
          <w:sz w:val="20"/>
          <w:szCs w:val="20"/>
        </w:rPr>
        <w:t>product, conduct additional clinical studies, change the labeling of the product, withdraw the product from the market or require the contract manufacturer to implement changes to its facilities.</w:t>
      </w:r>
    </w:p>
    <w:p w:rsidR="00000000" w:rsidRDefault="001E618F">
      <w:pPr>
        <w:pStyle w:val="a3"/>
        <w:spacing w:before="0" w:beforeAutospacing="0" w:after="200" w:afterAutospacing="0"/>
        <w:ind w:firstLine="720"/>
        <w:divId w:val="1874223255"/>
        <w:rPr>
          <w:sz w:val="20"/>
          <w:szCs w:val="20"/>
        </w:rPr>
      </w:pPr>
      <w:r>
        <w:rPr>
          <w:sz w:val="20"/>
          <w:szCs w:val="20"/>
        </w:rPr>
        <w:t>We are also subject to regulation by regional, national, sta</w:t>
      </w:r>
      <w:r>
        <w:rPr>
          <w:sz w:val="20"/>
          <w:szCs w:val="20"/>
        </w:rPr>
        <w:t>te and local agencies, including the Department of Justice, the Federal Trade Commission, the Office of Inspector General of the US Department of Health and Human Services (“OIG”) and other regulatory bodies with respect to any approved product, such as YU</w:t>
      </w:r>
      <w:r>
        <w:rPr>
          <w:sz w:val="20"/>
          <w:szCs w:val="20"/>
        </w:rPr>
        <w:t>PELRI, as well as governmental authorities in those foreign countries in which any product is approved for commercialization. The Federal Food, Drug, and Cosmetic Act, the Public Health Service Act and other federal and state statutes and regulations gover</w:t>
      </w:r>
      <w:r>
        <w:rPr>
          <w:sz w:val="20"/>
          <w:szCs w:val="20"/>
        </w:rPr>
        <w:t>n to varying degrees the research, development, manufacturing and commercial activities relating to prescription pharmaceutical products, including non-clinical and clinical testing, approval, production, labeling, sale, distribution, import, export, post-</w:t>
      </w:r>
      <w:r>
        <w:rPr>
          <w:sz w:val="20"/>
          <w:szCs w:val="20"/>
        </w:rPr>
        <w:t>market surveillance, advertising, dissemination of information and promotion. If we or any third parties that provide these services for us are unable to comply, we may be subject to regulatory or civil actions or penalties that could significantly and adv</w:t>
      </w:r>
      <w:r>
        <w:rPr>
          <w:sz w:val="20"/>
          <w:szCs w:val="20"/>
        </w:rPr>
        <w:t>ersely affect our business.</w:t>
      </w:r>
    </w:p>
    <w:p w:rsidR="00000000" w:rsidRDefault="001E618F">
      <w:pPr>
        <w:pStyle w:val="a3"/>
        <w:spacing w:before="0" w:beforeAutospacing="0" w:after="200" w:afterAutospacing="0"/>
        <w:ind w:firstLine="720"/>
        <w:divId w:val="1874223255"/>
        <w:rPr>
          <w:sz w:val="20"/>
          <w:szCs w:val="20"/>
        </w:rPr>
      </w:pPr>
      <w:r>
        <w:rPr>
          <w:sz w:val="20"/>
          <w:szCs w:val="20"/>
        </w:rPr>
        <w:t>Regulatory approval for our product candidates, if any, may include similar or other limitations on the indicated uses for which we can market our medicines or the patient population that may utilize our medicines, which may lim</w:t>
      </w:r>
      <w:r>
        <w:rPr>
          <w:sz w:val="20"/>
          <w:szCs w:val="20"/>
        </w:rPr>
        <w:t>it the market for our medicines or put us at a competitive disadvantage relative to alternative therapies.</w:t>
      </w:r>
    </w:p>
    <w:p w:rsidR="00000000" w:rsidRDefault="001E618F">
      <w:pPr>
        <w:pStyle w:val="a3"/>
        <w:spacing w:before="0" w:beforeAutospacing="0" w:after="200" w:afterAutospacing="0"/>
        <w:ind w:firstLine="720"/>
        <w:divId w:val="1874223255"/>
        <w:rPr>
          <w:sz w:val="20"/>
          <w:szCs w:val="20"/>
        </w:rPr>
      </w:pPr>
      <w:r>
        <w:rPr>
          <w:sz w:val="20"/>
          <w:szCs w:val="20"/>
        </w:rPr>
        <w:t>Failure to satisfy required post-approval requirements and/or commitments may have implications for a product’s approval and may carry civil monetary</w:t>
      </w:r>
      <w:r>
        <w:rPr>
          <w:sz w:val="20"/>
          <w:szCs w:val="20"/>
        </w:rPr>
        <w:t xml:space="preserve"> penalties. Any failure to maintain regulatory approval will materially limit the ability to commercialize a product or any future product candidates and if we fail to comply with FDA regulations and requirements, the FDA could potentially take a number of</w:t>
      </w:r>
      <w:r>
        <w:rPr>
          <w:sz w:val="20"/>
          <w:szCs w:val="20"/>
        </w:rPr>
        <w:t xml:space="preserve"> enforcement actions against us, including the issuance of untitled letters, warning letters, preventing the introduction or delivery of the product into interstate commerce in the US, misbranding charges, product seizures, injunctions, and civil monetary </w:t>
      </w:r>
      <w:r>
        <w:rPr>
          <w:sz w:val="20"/>
          <w:szCs w:val="20"/>
        </w:rPr>
        <w:t>penalties, which would materially and adversely affect our business and financial condition and may cause the price of our securities to fall.</w:t>
      </w:r>
    </w:p>
    <w:p w:rsidR="00000000" w:rsidRDefault="001E618F">
      <w:pPr>
        <w:pStyle w:val="a3"/>
        <w:spacing w:before="0" w:beforeAutospacing="0" w:after="200" w:afterAutospacing="0"/>
        <w:ind w:firstLine="720"/>
        <w:divId w:val="1874223255"/>
        <w:rPr>
          <w:sz w:val="20"/>
          <w:szCs w:val="20"/>
        </w:rPr>
      </w:pPr>
      <w:r>
        <w:rPr>
          <w:sz w:val="20"/>
          <w:szCs w:val="20"/>
        </w:rPr>
        <w:t>The risks identified in this risk factor relating to regulatory actions and oversight by agencies in the US and t</w:t>
      </w:r>
      <w:r>
        <w:rPr>
          <w:sz w:val="20"/>
          <w:szCs w:val="20"/>
        </w:rPr>
        <w:t>hroughout the world also apply to the commercialization of any partnered products by our collaboration partners and those commercializing products with respect to which we have an economic interest or right to receive royalties, including GSK, and such reg</w:t>
      </w:r>
      <w:r>
        <w:rPr>
          <w:sz w:val="20"/>
          <w:szCs w:val="20"/>
        </w:rPr>
        <w:t>ulatory actions and oversight may limit those parties’ ability to commercialize such products, which could materially and adversely affect our business and financial condition, and which may cause the price of our securities to fall.</w:t>
      </w:r>
    </w:p>
    <w:p w:rsidR="00000000" w:rsidRDefault="001E618F">
      <w:pPr>
        <w:pStyle w:val="a3"/>
        <w:spacing w:before="0" w:beforeAutospacing="0" w:after="120" w:afterAutospacing="0"/>
        <w:divId w:val="1874223255"/>
        <w:rPr>
          <w:sz w:val="20"/>
          <w:szCs w:val="20"/>
        </w:rPr>
      </w:pPr>
      <w:r>
        <w:rPr>
          <w:b/>
          <w:bCs/>
          <w:i/>
          <w:iCs/>
          <w:sz w:val="20"/>
          <w:szCs w:val="20"/>
        </w:rPr>
        <w:t>We and/or our collabor</w:t>
      </w:r>
      <w:r>
        <w:rPr>
          <w:b/>
          <w:bCs/>
          <w:i/>
          <w:iCs/>
          <w:sz w:val="20"/>
          <w:szCs w:val="20"/>
        </w:rPr>
        <w:t>ation partners and those commercializing products with respect to which we have an economic interest or right to receive royalties may face competition from companies seeking to market generic versions of any approved products in which we have an interest,</w:t>
      </w:r>
      <w:r>
        <w:rPr>
          <w:b/>
          <w:bCs/>
          <w:i/>
          <w:iCs/>
          <w:sz w:val="20"/>
          <w:szCs w:val="20"/>
        </w:rPr>
        <w:t xml:space="preserve"> such as TRELEGY or YUPELRI.</w:t>
      </w:r>
    </w:p>
    <w:p w:rsidR="00000000" w:rsidRDefault="001E618F">
      <w:pPr>
        <w:pStyle w:val="a3"/>
        <w:spacing w:before="0" w:beforeAutospacing="0" w:after="0" w:afterAutospacing="0"/>
        <w:ind w:firstLine="720"/>
        <w:divId w:val="1874223255"/>
        <w:rPr>
          <w:sz w:val="20"/>
          <w:szCs w:val="20"/>
        </w:rPr>
      </w:pPr>
      <w:r>
        <w:rPr>
          <w:sz w:val="20"/>
          <w:szCs w:val="20"/>
        </w:rPr>
        <w:t>Under the Drug Price Competition and Patent Term Restoration Act of 1984, a company may submit an abbreviated new drug application (“ANDA”) under section 505(j) of the Federal Food, Drug, and Cosmetic Act to market a generic ve</w:t>
      </w:r>
      <w:r>
        <w:rPr>
          <w:sz w:val="20"/>
          <w:szCs w:val="20"/>
        </w:rPr>
        <w:t>rsion of an approved drug. Because a generic applicant does not conduct its own clinical studies, but instead relies on the FDA’s finding of safety and effectiveness for the approved drug, it is able to introduce a competing product into the market at a co</w:t>
      </w:r>
      <w:r>
        <w:rPr>
          <w:sz w:val="20"/>
          <w:szCs w:val="20"/>
        </w:rPr>
        <w:t xml:space="preserve">st significantly below that of the original drug. Although we have multiple patents protecting YUPELRI until at least 2025 that are listed in the FDA’s Approved Drug Products with Therapeutic Equivalence Evaluations, commonly known as </w:t>
      </w:r>
    </w:p>
    <w:p w:rsidR="00000000" w:rsidRDefault="001E618F">
      <w:pPr>
        <w:pStyle w:val="a3"/>
        <w:spacing w:before="360" w:beforeAutospacing="0" w:after="0" w:afterAutospacing="0"/>
        <w:jc w:val="center"/>
        <w:divId w:val="605964738"/>
        <w:rPr>
          <w:sz w:val="20"/>
          <w:szCs w:val="20"/>
        </w:rPr>
      </w:pPr>
      <w:r>
        <w:rPr>
          <w:sz w:val="20"/>
          <w:szCs w:val="20"/>
        </w:rPr>
        <w:t>50</w:t>
      </w:r>
    </w:p>
    <w:p w:rsidR="00000000" w:rsidRDefault="001E618F">
      <w:pPr>
        <w:pStyle w:val="a3"/>
        <w:spacing w:before="0" w:beforeAutospacing="0" w:after="600" w:afterAutospacing="0"/>
        <w:divId w:val="1668168440"/>
        <w:rPr>
          <w:sz w:val="20"/>
          <w:szCs w:val="20"/>
        </w:rPr>
      </w:pPr>
      <w:hyperlink w:anchor="TOC" w:history="1">
        <w:r>
          <w:rPr>
            <w:rStyle w:val="a4"/>
            <w:sz w:val="20"/>
            <w:szCs w:val="20"/>
          </w:rPr>
          <w:t>Table of Contents</w:t>
        </w:r>
      </w:hyperlink>
    </w:p>
    <w:p w:rsidR="00000000" w:rsidRDefault="001E618F">
      <w:pPr>
        <w:pStyle w:val="a3"/>
        <w:spacing w:before="0" w:beforeAutospacing="0" w:after="200" w:afterAutospacing="0"/>
        <w:divId w:val="1612005760"/>
        <w:rPr>
          <w:sz w:val="20"/>
          <w:szCs w:val="20"/>
        </w:rPr>
      </w:pPr>
      <w:r>
        <w:rPr>
          <w:sz w:val="20"/>
          <w:szCs w:val="20"/>
        </w:rPr>
        <w:t>the Orange Book, and those commercializing products with respect to which we have an economic interest or right to receive royalties similarly have patents protecting their products, such as TRELEGY and VIBATIV, generic applicant</w:t>
      </w:r>
      <w:r>
        <w:rPr>
          <w:sz w:val="20"/>
          <w:szCs w:val="20"/>
        </w:rPr>
        <w:t>s could potentially submit “paragraph IV certifications” to FDA stating that such patents are invalid or will not be infringed by the applicant’s product. We have not received any such paragraph IV notifications nor are we aware of any with respect to prod</w:t>
      </w:r>
      <w:r>
        <w:rPr>
          <w:sz w:val="20"/>
          <w:szCs w:val="20"/>
        </w:rPr>
        <w:t xml:space="preserve">ucts in which we have an economic interest or right to receive royalties, but if any competitors successfully challenge the patents related to these products, we and/or our collaboration partners and those commercializing products with respect to which we </w:t>
      </w:r>
      <w:r>
        <w:rPr>
          <w:sz w:val="20"/>
          <w:szCs w:val="20"/>
        </w:rPr>
        <w:t>have an economic interest or right to receive royalties would face substantial competition. If we are not able to compete effectively against such future competition, our business will not grow, our financial condition and operations will suffer and the pr</w:t>
      </w:r>
      <w:r>
        <w:rPr>
          <w:sz w:val="20"/>
          <w:szCs w:val="20"/>
        </w:rPr>
        <w:t>ice of our securities could fall.</w:t>
      </w:r>
    </w:p>
    <w:p w:rsidR="00000000" w:rsidRDefault="001E618F">
      <w:pPr>
        <w:pStyle w:val="a3"/>
        <w:spacing w:before="0" w:beforeAutospacing="0" w:after="200" w:afterAutospacing="0"/>
        <w:ind w:firstLine="720"/>
        <w:divId w:val="1612005760"/>
        <w:rPr>
          <w:sz w:val="20"/>
          <w:szCs w:val="20"/>
        </w:rPr>
      </w:pPr>
      <w:r>
        <w:rPr>
          <w:sz w:val="20"/>
          <w:szCs w:val="20"/>
        </w:rPr>
        <w:t>For additional discussion of the risk of generic competition to YUPELRI, please see the following risk factor below “</w:t>
      </w:r>
      <w:r>
        <w:rPr>
          <w:i/>
          <w:iCs/>
          <w:sz w:val="20"/>
          <w:szCs w:val="20"/>
        </w:rPr>
        <w:t>If our efforts to protect the proprietary nature of the intellectual property related to our technologies are not adequate, we may not be a</w:t>
      </w:r>
      <w:r>
        <w:rPr>
          <w:i/>
          <w:iCs/>
          <w:sz w:val="20"/>
          <w:szCs w:val="20"/>
        </w:rPr>
        <w:t>ble to compete effectively in our current or future markets</w:t>
      </w:r>
      <w:r>
        <w:rPr>
          <w:sz w:val="20"/>
          <w:szCs w:val="20"/>
        </w:rPr>
        <w:t>.”</w:t>
      </w:r>
    </w:p>
    <w:p w:rsidR="00000000" w:rsidRDefault="001E618F">
      <w:pPr>
        <w:pStyle w:val="a3"/>
        <w:spacing w:before="0" w:beforeAutospacing="0" w:after="120" w:afterAutospacing="0"/>
        <w:divId w:val="1612005760"/>
        <w:rPr>
          <w:sz w:val="20"/>
          <w:szCs w:val="20"/>
        </w:rPr>
      </w:pPr>
      <w:r>
        <w:rPr>
          <w:b/>
          <w:bCs/>
          <w:i/>
          <w:iCs/>
          <w:sz w:val="20"/>
          <w:szCs w:val="20"/>
        </w:rPr>
        <w:t>We may be treated as a US corporation for US federal income tax purposes.</w:t>
      </w:r>
    </w:p>
    <w:p w:rsidR="00000000" w:rsidRDefault="001E618F">
      <w:pPr>
        <w:pStyle w:val="a3"/>
        <w:spacing w:before="0" w:beforeAutospacing="0" w:after="200" w:afterAutospacing="0"/>
        <w:ind w:firstLine="720"/>
        <w:divId w:val="1612005760"/>
        <w:rPr>
          <w:sz w:val="20"/>
          <w:szCs w:val="20"/>
        </w:rPr>
      </w:pPr>
      <w:r>
        <w:rPr>
          <w:sz w:val="20"/>
          <w:szCs w:val="20"/>
        </w:rPr>
        <w:t>For US federal income tax purposes, a corporation generally is considered tax resident in the place of its incorporation. Theravance Biopharma is incorporated under Cayman Islands law and established tax residency in Ireland effective July 1, 2015. Therefo</w:t>
      </w:r>
      <w:r>
        <w:rPr>
          <w:sz w:val="20"/>
          <w:szCs w:val="20"/>
        </w:rPr>
        <w:t>re, it should be a non-US corporation under this general rule. However, Section 7874 of the Internal Revenue Code of 1986, as amended (the “Code”), contains rules that may result in a foreign corporation being treated as a US corporation for US federal inc</w:t>
      </w:r>
      <w:r>
        <w:rPr>
          <w:sz w:val="20"/>
          <w:szCs w:val="20"/>
        </w:rPr>
        <w:t>ome tax purposes. The application of these rules is complex and there is little guidance regarding certain aspects of their application.</w:t>
      </w:r>
    </w:p>
    <w:p w:rsidR="00000000" w:rsidRDefault="001E618F">
      <w:pPr>
        <w:pStyle w:val="a3"/>
        <w:spacing w:before="0" w:beforeAutospacing="0" w:after="200" w:afterAutospacing="0"/>
        <w:ind w:firstLine="720"/>
        <w:divId w:val="1612005760"/>
        <w:rPr>
          <w:sz w:val="20"/>
          <w:szCs w:val="20"/>
        </w:rPr>
      </w:pPr>
      <w:r>
        <w:rPr>
          <w:sz w:val="20"/>
          <w:szCs w:val="20"/>
        </w:rPr>
        <w:t>Under Section 7874 of the Code, a corporation created or organized outside the US will be treated as a US corporation f</w:t>
      </w:r>
      <w:r>
        <w:rPr>
          <w:sz w:val="20"/>
          <w:szCs w:val="20"/>
        </w:rPr>
        <w:t xml:space="preserve">or US federal tax purposes if (i) the foreign corporation directly or indirectly acquires substantially all of the properties held directly or indirectly by a US corporation, (ii) the former shareholders of the acquired US corporation hold at least 80% of </w:t>
      </w:r>
      <w:r>
        <w:rPr>
          <w:sz w:val="20"/>
          <w:szCs w:val="20"/>
        </w:rPr>
        <w:t>the vote or value of the shares of the foreign acquiring corporation by reason of holding stock in the US acquired corporation, and (iii) the foreign corporation’s “expanded affiliated group” does not have “substantial business activities” in the foreign c</w:t>
      </w:r>
      <w:r>
        <w:rPr>
          <w:sz w:val="20"/>
          <w:szCs w:val="20"/>
        </w:rPr>
        <w:t>orporation’s country of incorporation relative to its expanded affiliated group’s worldwide activities. For this purpose, “expanded affiliated group” generally means the foreign corporation and all subsidiaries in which the foreign corporation, directly or</w:t>
      </w:r>
      <w:r>
        <w:rPr>
          <w:sz w:val="20"/>
          <w:szCs w:val="20"/>
        </w:rPr>
        <w:t xml:space="preserve"> indirectly, owns more than 50% of the stock by vote and value, and “substantial business activities” generally means at least 25% of employees (by number and compensation), assets and gross income of our expanded affiliated group are based, located and de</w:t>
      </w:r>
      <w:r>
        <w:rPr>
          <w:sz w:val="20"/>
          <w:szCs w:val="20"/>
        </w:rPr>
        <w:t>rived, respectively, in the country of incorporation.</w:t>
      </w:r>
    </w:p>
    <w:p w:rsidR="00000000" w:rsidRDefault="001E618F">
      <w:pPr>
        <w:pStyle w:val="a3"/>
        <w:spacing w:before="0" w:beforeAutospacing="0" w:after="200" w:afterAutospacing="0"/>
        <w:ind w:firstLine="720"/>
        <w:divId w:val="1612005760"/>
        <w:rPr>
          <w:sz w:val="20"/>
          <w:szCs w:val="20"/>
        </w:rPr>
      </w:pPr>
      <w:r>
        <w:rPr>
          <w:sz w:val="20"/>
          <w:szCs w:val="20"/>
        </w:rPr>
        <w:t>We do not expect to be treated as a US corporation under Section 7874 of the Code, because we do not believe that the assets contributed to us by Innoviva constituted “substantially all” of the properti</w:t>
      </w:r>
      <w:r>
        <w:rPr>
          <w:sz w:val="20"/>
          <w:szCs w:val="20"/>
        </w:rPr>
        <w:t>es of Innoviva (as determined on both a gross and net fair market value basis). However, the Internal Revenue Service may disagree with our conclusion on this point and assert that, in its view, the assets contributed to us by Innoviva did constitute “subs</w:t>
      </w:r>
      <w:r>
        <w:rPr>
          <w:sz w:val="20"/>
          <w:szCs w:val="20"/>
        </w:rPr>
        <w:t>tantially all” of the properties of Innoviva. In addition, there could be legislative proposals to expand the scope of US corporate tax residence and there could be changes to Section 7874 of the Code or the Treasury Regulations promulgated thereunder that</w:t>
      </w:r>
      <w:r>
        <w:rPr>
          <w:sz w:val="20"/>
          <w:szCs w:val="20"/>
        </w:rPr>
        <w:t xml:space="preserve"> could apply retroactively and could result in Theravance Biopharma being treated as a US corporation.</w:t>
      </w:r>
    </w:p>
    <w:p w:rsidR="00000000" w:rsidRDefault="001E618F">
      <w:pPr>
        <w:pStyle w:val="a3"/>
        <w:spacing w:before="0" w:beforeAutospacing="0" w:after="200" w:afterAutospacing="0"/>
        <w:ind w:firstLine="720"/>
        <w:divId w:val="1612005760"/>
        <w:rPr>
          <w:sz w:val="20"/>
          <w:szCs w:val="20"/>
        </w:rPr>
      </w:pPr>
      <w:r>
        <w:rPr>
          <w:sz w:val="20"/>
          <w:szCs w:val="20"/>
        </w:rPr>
        <w:t xml:space="preserve">If it were determined that we should be treated as a US corporation for US federal income tax purposes, we could be liable for substantial additional US </w:t>
      </w:r>
      <w:r>
        <w:rPr>
          <w:sz w:val="20"/>
          <w:szCs w:val="20"/>
        </w:rPr>
        <w:t>federal income tax on our post-Spin-Off taxable income. In addition, though we have no current plans to pay any dividends, payments of any dividends to non-US holders may be subject to US withholding tax.</w:t>
      </w:r>
    </w:p>
    <w:p w:rsidR="00000000" w:rsidRDefault="001E618F">
      <w:pPr>
        <w:pStyle w:val="a3"/>
        <w:spacing w:before="0" w:beforeAutospacing="0" w:after="120" w:afterAutospacing="0"/>
        <w:divId w:val="1612005760"/>
        <w:rPr>
          <w:sz w:val="20"/>
          <w:szCs w:val="20"/>
        </w:rPr>
      </w:pPr>
      <w:r>
        <w:rPr>
          <w:b/>
          <w:bCs/>
          <w:i/>
          <w:iCs/>
          <w:sz w:val="20"/>
          <w:szCs w:val="20"/>
        </w:rPr>
        <w:t>Future tax reform, including changes in tax rates a</w:t>
      </w:r>
      <w:r>
        <w:rPr>
          <w:b/>
          <w:bCs/>
          <w:i/>
          <w:iCs/>
          <w:sz w:val="20"/>
          <w:szCs w:val="20"/>
        </w:rPr>
        <w:t>nd imposition of new taxes, could impact our results of operations and financial condition.</w:t>
      </w:r>
    </w:p>
    <w:p w:rsidR="00000000" w:rsidRDefault="001E618F">
      <w:pPr>
        <w:pStyle w:val="a3"/>
        <w:spacing w:before="0" w:beforeAutospacing="0" w:after="0" w:afterAutospacing="0"/>
        <w:ind w:firstLine="720"/>
        <w:divId w:val="1612005760"/>
        <w:rPr>
          <w:sz w:val="20"/>
          <w:szCs w:val="20"/>
        </w:rPr>
      </w:pPr>
      <w:r>
        <w:rPr>
          <w:sz w:val="20"/>
          <w:szCs w:val="20"/>
        </w:rPr>
        <w:t>We are incorporated in the Cayman Islands, maintain subsidiaries in the Cayman Islands (until December 2020), the US, the UK and Ireland, and effective July 1, 2015</w:t>
      </w:r>
      <w:r>
        <w:rPr>
          <w:sz w:val="20"/>
          <w:szCs w:val="20"/>
        </w:rPr>
        <w:t>, we migrated our tax residency from the Cayman Islands to Ireland. We are subject to new, evolving or revised tax laws and regulations in such jurisdictions, and the enactment of or increases in taxes, or other changes in the application of existing taxes</w:t>
      </w:r>
      <w:r>
        <w:rPr>
          <w:sz w:val="20"/>
          <w:szCs w:val="20"/>
        </w:rPr>
        <w:t>, in such jurisdictions may have an adverse effect on our business or on our results of operations. Due to economic and political conditions, tax rates in various jurisdictions may be subject to significant change. Our future effective tax rate could be af</w:t>
      </w:r>
      <w:r>
        <w:rPr>
          <w:sz w:val="20"/>
          <w:szCs w:val="20"/>
        </w:rPr>
        <w:t>fected by changes in our mix of earnings in countries with differing statutory tax rates, changes in valuation of our deferred tax assets and liabilities, or changes in tax laws or their</w:t>
      </w:r>
      <w:r>
        <w:rPr>
          <w:sz w:val="20"/>
          <w:szCs w:val="20"/>
        </w:rPr>
        <w:t xml:space="preserve"> </w:t>
      </w:r>
    </w:p>
    <w:p w:rsidR="00000000" w:rsidRDefault="001E618F">
      <w:pPr>
        <w:pStyle w:val="a3"/>
        <w:spacing w:before="360" w:beforeAutospacing="0" w:after="0" w:afterAutospacing="0"/>
        <w:jc w:val="center"/>
        <w:divId w:val="1919318506"/>
        <w:rPr>
          <w:sz w:val="20"/>
          <w:szCs w:val="20"/>
        </w:rPr>
      </w:pPr>
      <w:r>
        <w:rPr>
          <w:sz w:val="20"/>
          <w:szCs w:val="20"/>
        </w:rPr>
        <w:t>51</w:t>
      </w:r>
    </w:p>
    <w:p w:rsidR="00000000" w:rsidRDefault="001E618F">
      <w:pPr>
        <w:pStyle w:val="a3"/>
        <w:spacing w:before="0" w:beforeAutospacing="0" w:after="600" w:afterAutospacing="0"/>
        <w:divId w:val="1518881564"/>
        <w:rPr>
          <w:sz w:val="20"/>
          <w:szCs w:val="20"/>
        </w:rPr>
      </w:pPr>
      <w:hyperlink w:anchor="TOC" w:history="1">
        <w:r>
          <w:rPr>
            <w:rStyle w:val="a4"/>
            <w:sz w:val="20"/>
            <w:szCs w:val="20"/>
          </w:rPr>
          <w:t>Table of Contents</w:t>
        </w:r>
      </w:hyperlink>
    </w:p>
    <w:p w:rsidR="00000000" w:rsidRDefault="001E618F">
      <w:pPr>
        <w:pStyle w:val="a3"/>
        <w:spacing w:before="0" w:beforeAutospacing="0" w:after="200" w:afterAutospacing="0"/>
        <w:divId w:val="2096440816"/>
        <w:rPr>
          <w:sz w:val="20"/>
          <w:szCs w:val="20"/>
        </w:rPr>
      </w:pPr>
      <w:r>
        <w:rPr>
          <w:sz w:val="20"/>
          <w:szCs w:val="20"/>
        </w:rPr>
        <w:t>interpretation, inclu</w:t>
      </w:r>
      <w:r>
        <w:rPr>
          <w:sz w:val="20"/>
          <w:szCs w:val="20"/>
        </w:rPr>
        <w:t>ding possible US tax reform and contemplated changes in other countries of long-standing tax principles. These and other similar changes, if finalized and adopted, could have a material impact on our income tax expense and deferred tax balances</w:t>
      </w:r>
      <w:r>
        <w:rPr>
          <w:sz w:val="20"/>
          <w:szCs w:val="20"/>
        </w:rPr>
        <w:t>.</w:t>
      </w:r>
    </w:p>
    <w:p w:rsidR="00000000" w:rsidRDefault="001E618F">
      <w:pPr>
        <w:pStyle w:val="a3"/>
        <w:spacing w:before="0" w:beforeAutospacing="0" w:after="120" w:afterAutospacing="0"/>
        <w:divId w:val="2096440816"/>
        <w:rPr>
          <w:sz w:val="20"/>
          <w:szCs w:val="20"/>
        </w:rPr>
      </w:pPr>
      <w:r>
        <w:rPr>
          <w:b/>
          <w:bCs/>
          <w:i/>
          <w:iCs/>
          <w:sz w:val="20"/>
          <w:szCs w:val="20"/>
        </w:rPr>
        <w:t>Taxing aut</w:t>
      </w:r>
      <w:r>
        <w:rPr>
          <w:b/>
          <w:bCs/>
          <w:i/>
          <w:iCs/>
          <w:sz w:val="20"/>
          <w:szCs w:val="20"/>
        </w:rPr>
        <w:t>horities may challenge our structure and transfer pricing arrangements.</w:t>
      </w:r>
    </w:p>
    <w:p w:rsidR="00000000" w:rsidRDefault="001E618F">
      <w:pPr>
        <w:pStyle w:val="a3"/>
        <w:spacing w:before="0" w:beforeAutospacing="0" w:after="200" w:afterAutospacing="0"/>
        <w:ind w:firstLine="720"/>
        <w:divId w:val="2096440816"/>
        <w:rPr>
          <w:sz w:val="20"/>
          <w:szCs w:val="20"/>
        </w:rPr>
      </w:pPr>
      <w:r>
        <w:rPr>
          <w:sz w:val="20"/>
          <w:szCs w:val="20"/>
        </w:rPr>
        <w:t>We are incorporated in the Cayman Islands, maintain subsidiaries in the Cayman Islands (until December 2020), the US, the UK and Ireland, and effective July 1, 2015, we migrated our ta</w:t>
      </w:r>
      <w:r>
        <w:rPr>
          <w:sz w:val="20"/>
          <w:szCs w:val="20"/>
        </w:rPr>
        <w:t>x residency from the Cayman Islands to Ireland. Due to economic and political conditions, various countries are actively considering changes to existing tax laws. We cannot predict the form or timing of potential legislative changes that could have a mater</w:t>
      </w:r>
      <w:r>
        <w:rPr>
          <w:sz w:val="20"/>
          <w:szCs w:val="20"/>
        </w:rPr>
        <w:t>ial adverse impact on our results of operations. Ireland has implemented further tax law changes through the Finance Act 2021 to comply with the European Union Anti-Tax Avoidance Directives. Changes to date, including reverse-hybrid mismatch and interest l</w:t>
      </w:r>
      <w:r>
        <w:rPr>
          <w:sz w:val="20"/>
          <w:szCs w:val="20"/>
        </w:rPr>
        <w:t xml:space="preserve">imitation rules, are not expected to have a material impact on the Company’s tax position. </w:t>
      </w:r>
    </w:p>
    <w:p w:rsidR="00000000" w:rsidRDefault="001E618F">
      <w:pPr>
        <w:pStyle w:val="a3"/>
        <w:spacing w:before="0" w:beforeAutospacing="0" w:after="200" w:afterAutospacing="0"/>
        <w:ind w:firstLine="720"/>
        <w:divId w:val="2096440816"/>
        <w:rPr>
          <w:rFonts w:ascii="Calibri" w:hAnsi="Calibri" w:cs="Calibri"/>
          <w:sz w:val="20"/>
          <w:szCs w:val="20"/>
        </w:rPr>
      </w:pPr>
      <w:r>
        <w:rPr>
          <w:sz w:val="20"/>
          <w:szCs w:val="20"/>
        </w:rPr>
        <w:t>In April 2020, we became aware of a withholding tax regulation that could be interpreted to apply to certain of our previous intra-group transactions. Additional dr</w:t>
      </w:r>
      <w:r>
        <w:rPr>
          <w:sz w:val="20"/>
          <w:szCs w:val="20"/>
        </w:rPr>
        <w:t>aft guidance on this withholding tax regime was released in late 2020 and early 2021, and based on our analysis of this guidance, we do not believe the exposure to be material. We continue to monitor the evolving legislation relating to this matter and wil</w:t>
      </w:r>
      <w:r>
        <w:rPr>
          <w:sz w:val="20"/>
          <w:szCs w:val="20"/>
        </w:rPr>
        <w:t>l consider its impact on our condensed consolidated financial statements.</w:t>
      </w:r>
    </w:p>
    <w:p w:rsidR="00000000" w:rsidRDefault="001E618F">
      <w:pPr>
        <w:pStyle w:val="a3"/>
        <w:spacing w:before="0" w:beforeAutospacing="0" w:after="200" w:afterAutospacing="0"/>
        <w:ind w:firstLine="720"/>
        <w:divId w:val="2096440816"/>
        <w:rPr>
          <w:sz w:val="20"/>
          <w:szCs w:val="20"/>
        </w:rPr>
      </w:pPr>
      <w:r>
        <w:rPr>
          <w:sz w:val="20"/>
          <w:szCs w:val="20"/>
        </w:rPr>
        <w:t>In addition, significant judgment is required in determining our worldwide provision for income taxes. Various factors may have favorable or unfavorable effects on our income tax rat</w:t>
      </w:r>
      <w:r>
        <w:rPr>
          <w:sz w:val="20"/>
          <w:szCs w:val="20"/>
        </w:rPr>
        <w:t>e including, but not limited to the performance of certain functions and ownership of certain assets in tax-efficient jurisdictions such as the Cayman Islands and Ireland, together with intra-group transfer pricing agreements. Taxing authorities may challe</w:t>
      </w:r>
      <w:r>
        <w:rPr>
          <w:sz w:val="20"/>
          <w:szCs w:val="20"/>
        </w:rPr>
        <w:t>nge our structure and transfer pricing arrangements through an audit or lawsuit. Responding to or defending such a challenge could be expensive and consume time and other resources, and divert management’s time and focus from operating our business. We can</w:t>
      </w:r>
      <w:r>
        <w:rPr>
          <w:sz w:val="20"/>
          <w:szCs w:val="20"/>
        </w:rPr>
        <w:t>not predict whether taxing authorities will conduct an audit or file a lawsuit challenging this structure, the cost involved in responding to any such audit or lawsuit, or the outcome. We may be required to pay taxes for prior periods, interest, fines or p</w:t>
      </w:r>
      <w:r>
        <w:rPr>
          <w:sz w:val="20"/>
          <w:szCs w:val="20"/>
        </w:rPr>
        <w:t>enalties, and may be obligated to pay increased taxes in the future which could result in reduced cash flows and have a material adverse effect on our business, financial condition and growth prospects.</w:t>
      </w:r>
    </w:p>
    <w:p w:rsidR="00000000" w:rsidRDefault="001E618F">
      <w:pPr>
        <w:pStyle w:val="a3"/>
        <w:spacing w:before="0" w:beforeAutospacing="0" w:after="120" w:afterAutospacing="0"/>
        <w:divId w:val="2096440816"/>
        <w:rPr>
          <w:sz w:val="20"/>
          <w:szCs w:val="20"/>
        </w:rPr>
      </w:pPr>
      <w:r>
        <w:rPr>
          <w:b/>
          <w:bCs/>
          <w:i/>
          <w:iCs/>
          <w:sz w:val="20"/>
          <w:szCs w:val="20"/>
        </w:rPr>
        <w:t>We were a passive foreign investment company, or “PFI</w:t>
      </w:r>
      <w:r>
        <w:rPr>
          <w:b/>
          <w:bCs/>
          <w:i/>
          <w:iCs/>
          <w:sz w:val="20"/>
          <w:szCs w:val="20"/>
        </w:rPr>
        <w:t>C,” for 2014, but we were not a PFIC from 2015 through 2021, and we do not expect to be a PFIC for the foreseeable future.</w:t>
      </w:r>
    </w:p>
    <w:p w:rsidR="00000000" w:rsidRDefault="001E618F">
      <w:pPr>
        <w:pStyle w:val="a3"/>
        <w:spacing w:before="0" w:beforeAutospacing="0" w:after="240" w:afterAutospacing="0"/>
        <w:ind w:firstLine="720"/>
        <w:divId w:val="2096440816"/>
        <w:rPr>
          <w:sz w:val="20"/>
          <w:szCs w:val="20"/>
        </w:rPr>
      </w:pPr>
      <w:r>
        <w:rPr>
          <w:sz w:val="20"/>
          <w:szCs w:val="20"/>
        </w:rPr>
        <w:t xml:space="preserve">For US federal income tax purposes, we generally would be classified as a PFIC for any taxable year if either (i) 75% or more of our </w:t>
      </w:r>
      <w:r>
        <w:rPr>
          <w:sz w:val="20"/>
          <w:szCs w:val="20"/>
        </w:rPr>
        <w:t>gross income (including gross income of certain 25% or more owned corporate subsidiaries) is “passive income” (as defined for such purposes) or (ii) the average percentage of our assets (including the assets of certain 25% or more owned corporate subsidiar</w:t>
      </w:r>
      <w:r>
        <w:rPr>
          <w:sz w:val="20"/>
          <w:szCs w:val="20"/>
        </w:rPr>
        <w:t xml:space="preserve">ies) that produce passive income or that are held for the production of passive income is at least 50%. In addition, whether our Company will be a PFIC for any taxable year depends on our assets and income over the course of each such taxable year and, as </w:t>
      </w:r>
      <w:r>
        <w:rPr>
          <w:sz w:val="20"/>
          <w:szCs w:val="20"/>
        </w:rPr>
        <w:t>a result, cannot be predicted with certainty until after the end of the year.</w:t>
      </w:r>
    </w:p>
    <w:p w:rsidR="00000000" w:rsidRDefault="001E618F">
      <w:pPr>
        <w:pStyle w:val="a3"/>
        <w:spacing w:before="0" w:beforeAutospacing="0" w:after="0" w:afterAutospacing="0"/>
        <w:ind w:firstLine="720"/>
        <w:divId w:val="2096440816"/>
        <w:rPr>
          <w:sz w:val="20"/>
          <w:szCs w:val="20"/>
        </w:rPr>
      </w:pPr>
      <w:r>
        <w:rPr>
          <w:sz w:val="20"/>
          <w:szCs w:val="20"/>
        </w:rPr>
        <w:t>Based upon our assets and income during the course of 2014, we believe that our Company and one of our Company’s wholly-owned subsidiaries, Theravance Biopharma R&amp;D, Inc. was a P</w:t>
      </w:r>
      <w:r>
        <w:rPr>
          <w:sz w:val="20"/>
          <w:szCs w:val="20"/>
        </w:rPr>
        <w:t>FIC for 2014. Based upon our assets and income from 2015 through 2021, we do not believe that our Company is a PFIC since 2015. Based on existing tax law, we do not expect to be a PFIC for the foreseeable future based on our current business plans and curr</w:t>
      </w:r>
      <w:r>
        <w:rPr>
          <w:sz w:val="20"/>
          <w:szCs w:val="20"/>
        </w:rPr>
        <w:t>ent business model. For any taxable year (or portion thereof) in which our Company is a PFIC that is included in the holding period of a US holder, the US holder is generally subject to additional US federal income taxes plus an interest charge with respec</w:t>
      </w:r>
      <w:r>
        <w:rPr>
          <w:sz w:val="20"/>
          <w:szCs w:val="20"/>
        </w:rPr>
        <w:t>t to certain distributions from Theravance Biopharma or gain recognized on a sale of Theravance Biopharma shares. Similar rules would apply with respect to distributions from or gain recognized on an indirect sale of Theravance Biopharma Ireland Limited. U</w:t>
      </w:r>
      <w:r>
        <w:rPr>
          <w:sz w:val="20"/>
          <w:szCs w:val="20"/>
        </w:rPr>
        <w:t>S holders of our ordinary shares may have filed an election with respect to Company shares held at any time during 2014 to be treated as owning an interest in a “qualified electing fund” (“QEF”) or to “mark to market” their ordinary shares to avoid the oth</w:t>
      </w:r>
      <w:r>
        <w:rPr>
          <w:sz w:val="20"/>
          <w:szCs w:val="20"/>
        </w:rPr>
        <w:t>erwise applicable interest charge consequences of PFIC treatment with respect to our ordinary shares. A foreign corporation will not be treated as a QEF for any taxable year in which such foreign corporation is not treated as a PFIC. QEF and mark to market</w:t>
      </w:r>
      <w:r>
        <w:rPr>
          <w:sz w:val="20"/>
          <w:szCs w:val="20"/>
        </w:rPr>
        <w:t xml:space="preserve"> elections generally apply to the taxable year for which the election is made and all subsequent taxable years unless the election is revoked with consent of the Secretary of Treasury. US holders of our ordinary shares should </w:t>
      </w:r>
    </w:p>
    <w:p w:rsidR="00000000" w:rsidRDefault="001E618F">
      <w:pPr>
        <w:pStyle w:val="a3"/>
        <w:spacing w:before="360" w:beforeAutospacing="0" w:after="0" w:afterAutospacing="0"/>
        <w:jc w:val="center"/>
        <w:divId w:val="17972136"/>
        <w:rPr>
          <w:sz w:val="20"/>
          <w:szCs w:val="20"/>
        </w:rPr>
      </w:pPr>
      <w:r>
        <w:rPr>
          <w:sz w:val="20"/>
          <w:szCs w:val="20"/>
        </w:rPr>
        <w:t>52</w:t>
      </w:r>
    </w:p>
    <w:p w:rsidR="00000000" w:rsidRDefault="001E618F">
      <w:pPr>
        <w:pStyle w:val="a3"/>
        <w:spacing w:before="0" w:beforeAutospacing="0" w:after="600" w:afterAutospacing="0"/>
        <w:divId w:val="1458648104"/>
        <w:rPr>
          <w:sz w:val="20"/>
          <w:szCs w:val="20"/>
        </w:rPr>
      </w:pPr>
      <w:hyperlink w:anchor="TOC" w:history="1">
        <w:r>
          <w:rPr>
            <w:rStyle w:val="a4"/>
            <w:sz w:val="20"/>
            <w:szCs w:val="20"/>
          </w:rPr>
          <w:t>Table of Contents</w:t>
        </w:r>
      </w:hyperlink>
    </w:p>
    <w:p w:rsidR="00000000" w:rsidRDefault="001E618F">
      <w:pPr>
        <w:pStyle w:val="a3"/>
        <w:spacing w:before="0" w:beforeAutospacing="0" w:after="200" w:afterAutospacing="0"/>
        <w:divId w:val="1847356531"/>
        <w:rPr>
          <w:sz w:val="20"/>
          <w:szCs w:val="20"/>
        </w:rPr>
      </w:pPr>
      <w:r>
        <w:rPr>
          <w:sz w:val="20"/>
          <w:szCs w:val="20"/>
        </w:rPr>
        <w:t>consult their tax advisers regarding the tax reporting implications with respect to any QEF and mark to market elections made with respect to our Company and with respect to their indirect interests in Theravance Biopharma R&amp;D, Inc.</w:t>
      </w:r>
    </w:p>
    <w:p w:rsidR="00000000" w:rsidRDefault="001E618F">
      <w:pPr>
        <w:pStyle w:val="a3"/>
        <w:spacing w:before="0" w:beforeAutospacing="0" w:after="120" w:afterAutospacing="0"/>
        <w:divId w:val="1847356531"/>
        <w:rPr>
          <w:sz w:val="20"/>
          <w:szCs w:val="20"/>
        </w:rPr>
      </w:pPr>
      <w:r>
        <w:rPr>
          <w:b/>
          <w:bCs/>
          <w:i/>
          <w:iCs/>
          <w:sz w:val="20"/>
          <w:szCs w:val="20"/>
        </w:rPr>
        <w:t>If we are unable to mai</w:t>
      </w:r>
      <w:r>
        <w:rPr>
          <w:b/>
          <w:bCs/>
          <w:i/>
          <w:iCs/>
          <w:sz w:val="20"/>
          <w:szCs w:val="20"/>
        </w:rPr>
        <w:t>ntain effective internal controls, our business, financial position and results of operations could be adversely affected.</w:t>
      </w:r>
    </w:p>
    <w:p w:rsidR="00000000" w:rsidRDefault="001E618F">
      <w:pPr>
        <w:pStyle w:val="a3"/>
        <w:spacing w:before="0" w:beforeAutospacing="0" w:after="200" w:afterAutospacing="0"/>
        <w:ind w:firstLine="720"/>
        <w:divId w:val="1847356531"/>
        <w:rPr>
          <w:sz w:val="20"/>
          <w:szCs w:val="20"/>
        </w:rPr>
      </w:pPr>
      <w:r>
        <w:rPr>
          <w:sz w:val="20"/>
          <w:szCs w:val="20"/>
        </w:rPr>
        <w:t>If we are unable to maintain effective internal controls, our business, financial position and results of operations could be adverse</w:t>
      </w:r>
      <w:r>
        <w:rPr>
          <w:sz w:val="20"/>
          <w:szCs w:val="20"/>
        </w:rPr>
        <w:t>ly affected. We are subject to the reporting and other obligations under the Exchange Act, including the requirements of Section 404 of the Sarbanes-Oxley Act of 2002, which require annual management assessments of the effectiveness of our internal control</w:t>
      </w:r>
      <w:r>
        <w:rPr>
          <w:sz w:val="20"/>
          <w:szCs w:val="20"/>
        </w:rPr>
        <w:t xml:space="preserve"> over financial reporting. Our management is responsible for establishing and maintaining adequate internal control over financial reporting as defined in Rules 13a-15(f) under the Exchange Act. Our internal control over financial reporting is a process de</w:t>
      </w:r>
      <w:r>
        <w:rPr>
          <w:sz w:val="20"/>
          <w:szCs w:val="20"/>
        </w:rPr>
        <w:t>signed to provide reasonable assurance regarding the reliability of financial reporting and the preparation of financial statements for external purposes in accordance with accounting principles generally accepted in the US. Any failure to achieve and main</w:t>
      </w:r>
      <w:r>
        <w:rPr>
          <w:sz w:val="20"/>
          <w:szCs w:val="20"/>
        </w:rPr>
        <w:t>tain effective internal controls could have an adverse effect on our business, financial position and results of operations. In addition, our independent registered public accounting firm is required to attest to the effectiveness of our internal control o</w:t>
      </w:r>
      <w:r>
        <w:rPr>
          <w:sz w:val="20"/>
          <w:szCs w:val="20"/>
        </w:rPr>
        <w:t>ver financial reporting annually. If our independent registered public accounting firm is unable to attest to the effectiveness of our internal control over financial reporting, investor confidence in our reported results will be harmed and the price of ou</w:t>
      </w:r>
      <w:r>
        <w:rPr>
          <w:sz w:val="20"/>
          <w:szCs w:val="20"/>
        </w:rPr>
        <w:t>r securities may fall. These reporting and other obligations place significant demands on our management and administrative and operational resources, including accounting resources.</w:t>
      </w:r>
    </w:p>
    <w:p w:rsidR="00000000" w:rsidRDefault="001E618F">
      <w:pPr>
        <w:pStyle w:val="a3"/>
        <w:spacing w:before="0" w:beforeAutospacing="0" w:after="120" w:afterAutospacing="0"/>
        <w:divId w:val="1847356531"/>
        <w:rPr>
          <w:sz w:val="20"/>
          <w:szCs w:val="20"/>
        </w:rPr>
      </w:pPr>
      <w:r>
        <w:rPr>
          <w:b/>
          <w:bCs/>
          <w:i/>
          <w:iCs/>
          <w:sz w:val="20"/>
          <w:szCs w:val="20"/>
        </w:rPr>
        <w:t>Agreements entered into with or for the benefit of GSK in connection with</w:t>
      </w:r>
      <w:r>
        <w:rPr>
          <w:b/>
          <w:bCs/>
          <w:i/>
          <w:iCs/>
          <w:sz w:val="20"/>
          <w:szCs w:val="20"/>
        </w:rPr>
        <w:t xml:space="preserve"> the Spin-Off may significantly restrict our business and affairs.</w:t>
      </w:r>
    </w:p>
    <w:p w:rsidR="00000000" w:rsidRDefault="001E618F">
      <w:pPr>
        <w:pStyle w:val="a3"/>
        <w:spacing w:before="0" w:beforeAutospacing="0" w:after="200" w:afterAutospacing="0"/>
        <w:ind w:firstLine="720"/>
        <w:divId w:val="1847356531"/>
        <w:rPr>
          <w:sz w:val="20"/>
          <w:szCs w:val="20"/>
        </w:rPr>
      </w:pPr>
      <w:r>
        <w:rPr>
          <w:sz w:val="20"/>
          <w:szCs w:val="20"/>
        </w:rPr>
        <w:t>On March 3, 2014, in connection with the Spin-Off, we, Innoviva and GSK entered into a number of agreements that may significantly restrict our business and affairs. In particular, we, Inno</w:t>
      </w:r>
      <w:r>
        <w:rPr>
          <w:sz w:val="20"/>
          <w:szCs w:val="20"/>
        </w:rPr>
        <w:t>viva and GSK entered into the Master Agreement which, among other things, requires GSK’s consent to make any changes to (i) a Separation and Distribution Agreement and ancillary agreements that would, individually or in the aggregate, reasonably be expecte</w:t>
      </w:r>
      <w:r>
        <w:rPr>
          <w:sz w:val="20"/>
          <w:szCs w:val="20"/>
        </w:rPr>
        <w:t>d to adversely affect GSK in any material respect or (ii) the TRC LLC Agreement, which consent is not to be unreasonably withheld, conditioned or delayed, provided that GSK may withhold, condition or delay such consent in its sole discretion with respect t</w:t>
      </w:r>
      <w:r>
        <w:rPr>
          <w:sz w:val="20"/>
          <w:szCs w:val="20"/>
        </w:rPr>
        <w:t>o certain sections of the TRC LLC Agreement and any changes to the governance structure of TRC, the confidentiality restrictions, the consent rights, and the transfer restrictions in the TRC LLC Agreement. We and GSK also entered into (i) the Governance Ag</w:t>
      </w:r>
      <w:r>
        <w:rPr>
          <w:sz w:val="20"/>
          <w:szCs w:val="20"/>
        </w:rPr>
        <w:t>reement that expired on December 31, 2017, (ii) a registration rights agreement that gives GSK certain registration rights with respect to our ordinary shares held by GSK and (iii) an extension agreement that extends to us certain restrictive covenants sim</w:t>
      </w:r>
      <w:r>
        <w:rPr>
          <w:sz w:val="20"/>
          <w:szCs w:val="20"/>
        </w:rPr>
        <w:t>ilar to those applicable to Innoviva under the GSK Agreements. There can be no assurance that these restrictions will not materially harm our business, particularly given that GSK’s interests may not be aligned with the interests of our business or our oth</w:t>
      </w:r>
      <w:r>
        <w:rPr>
          <w:sz w:val="20"/>
          <w:szCs w:val="20"/>
        </w:rPr>
        <w:t>er shareholders.</w:t>
      </w:r>
    </w:p>
    <w:p w:rsidR="00000000" w:rsidRDefault="001E618F">
      <w:pPr>
        <w:pStyle w:val="a3"/>
        <w:spacing w:before="0" w:beforeAutospacing="0" w:after="120" w:afterAutospacing="0"/>
        <w:divId w:val="1847356531"/>
        <w:rPr>
          <w:sz w:val="20"/>
          <w:szCs w:val="20"/>
        </w:rPr>
      </w:pPr>
      <w:r>
        <w:rPr>
          <w:b/>
          <w:bCs/>
          <w:i/>
          <w:iCs/>
          <w:sz w:val="20"/>
          <w:szCs w:val="20"/>
        </w:rPr>
        <w:t>Certain of our directors and officers may have actual or potential conflicts of interest because of their equity ownership in Innoviva, which actual or potential conflicts may harm our business, prospects and financial condition and result</w:t>
      </w:r>
      <w:r>
        <w:rPr>
          <w:b/>
          <w:bCs/>
          <w:i/>
          <w:iCs/>
          <w:sz w:val="20"/>
          <w:szCs w:val="20"/>
        </w:rPr>
        <w:t xml:space="preserve"> in the diversion of corporate opportunities to Innoviva.</w:t>
      </w:r>
    </w:p>
    <w:p w:rsidR="00000000" w:rsidRDefault="001E618F">
      <w:pPr>
        <w:pStyle w:val="a3"/>
        <w:spacing w:before="0" w:beforeAutospacing="0" w:after="200" w:afterAutospacing="0"/>
        <w:ind w:firstLine="720"/>
        <w:divId w:val="1847356531"/>
        <w:rPr>
          <w:sz w:val="20"/>
          <w:szCs w:val="20"/>
        </w:rPr>
      </w:pPr>
      <w:r>
        <w:rPr>
          <w:sz w:val="20"/>
          <w:szCs w:val="20"/>
        </w:rPr>
        <w:t>Certain of our directors and officers hold shares of Innoviva’s common stock or rights to acquire such shares, and these holdings may be significant for some of these individuals compared to their t</w:t>
      </w:r>
      <w:r>
        <w:rPr>
          <w:sz w:val="20"/>
          <w:szCs w:val="20"/>
        </w:rPr>
        <w:t>otal assets. This ownership of Innoviva common stock by certain of our directors and officers may create, or may create the appearance of, conflicts of interest when these directors and officers are faced with decisions that could have different implicatio</w:t>
      </w:r>
      <w:r>
        <w:rPr>
          <w:sz w:val="20"/>
          <w:szCs w:val="20"/>
        </w:rPr>
        <w:t>ns for Innoviva and for us. For example, potential or actual conflicts could arise relating to: our relationship with Innoviva, including Innoviva’s and our respective rights and obligations under agreements entered into in connection with the Spin-Off; In</w:t>
      </w:r>
      <w:r>
        <w:rPr>
          <w:sz w:val="20"/>
          <w:szCs w:val="20"/>
        </w:rPr>
        <w:t>noviva’s management of TRC, particularly given that we and Innoviva have different economic interests in TRC; and corporate opportunities that may be available to both companies in the future. Although we and Innoviva have implemented policies and procedur</w:t>
      </w:r>
      <w:r>
        <w:rPr>
          <w:sz w:val="20"/>
          <w:szCs w:val="20"/>
        </w:rPr>
        <w:t>es to identify and properly address such potential and actual conflicts of interest, there can be no assurance that, when such conflicts are resolved in accordance with applicable laws, such conflicts of interest will not harm our business, prospects and f</w:t>
      </w:r>
      <w:r>
        <w:rPr>
          <w:sz w:val="20"/>
          <w:szCs w:val="20"/>
        </w:rPr>
        <w:t>inancial condition and result in the diversion of corporate opportunities to Innoviva.</w:t>
      </w:r>
    </w:p>
    <w:p w:rsidR="00000000" w:rsidRDefault="001E618F">
      <w:pPr>
        <w:pStyle w:val="a3"/>
        <w:spacing w:before="360" w:beforeAutospacing="0" w:after="0" w:afterAutospacing="0"/>
        <w:jc w:val="center"/>
        <w:divId w:val="348340970"/>
        <w:rPr>
          <w:sz w:val="20"/>
          <w:szCs w:val="20"/>
        </w:rPr>
      </w:pPr>
      <w:r>
        <w:rPr>
          <w:sz w:val="20"/>
          <w:szCs w:val="20"/>
        </w:rPr>
        <w:t>53</w:t>
      </w:r>
    </w:p>
    <w:p w:rsidR="00000000" w:rsidRDefault="001E618F">
      <w:pPr>
        <w:pStyle w:val="a3"/>
        <w:spacing w:before="0" w:beforeAutospacing="0" w:after="600" w:afterAutospacing="0"/>
        <w:divId w:val="23754273"/>
        <w:rPr>
          <w:sz w:val="20"/>
          <w:szCs w:val="20"/>
        </w:rPr>
      </w:pPr>
      <w:hyperlink w:anchor="TOC" w:history="1">
        <w:r>
          <w:rPr>
            <w:rStyle w:val="a4"/>
            <w:sz w:val="20"/>
            <w:szCs w:val="20"/>
          </w:rPr>
          <w:t>Table of Contents</w:t>
        </w:r>
      </w:hyperlink>
    </w:p>
    <w:p w:rsidR="00000000" w:rsidRDefault="001E618F">
      <w:pPr>
        <w:pStyle w:val="a3"/>
        <w:spacing w:before="0" w:beforeAutospacing="0" w:after="120" w:afterAutospacing="0"/>
        <w:divId w:val="1804273835"/>
        <w:rPr>
          <w:sz w:val="20"/>
          <w:szCs w:val="20"/>
        </w:rPr>
      </w:pPr>
      <w:r>
        <w:rPr>
          <w:b/>
          <w:bCs/>
          <w:i/>
          <w:iCs/>
          <w:sz w:val="20"/>
          <w:szCs w:val="20"/>
        </w:rPr>
        <w:t>If we are required to indemnify Innoviva or Cumberland, or if we are not able to enforce our indemnification rights agains</w:t>
      </w:r>
      <w:r>
        <w:rPr>
          <w:b/>
          <w:bCs/>
          <w:i/>
          <w:iCs/>
          <w:sz w:val="20"/>
          <w:szCs w:val="20"/>
        </w:rPr>
        <w:t>t Innoviva or Cumberland, our business prospects and financial condition may be harmed.</w:t>
      </w:r>
    </w:p>
    <w:p w:rsidR="00000000" w:rsidRDefault="001E618F">
      <w:pPr>
        <w:pStyle w:val="a3"/>
        <w:spacing w:before="0" w:beforeAutospacing="0" w:after="200" w:afterAutospacing="0"/>
        <w:ind w:firstLine="720"/>
        <w:divId w:val="1804273835"/>
        <w:rPr>
          <w:sz w:val="20"/>
          <w:szCs w:val="20"/>
        </w:rPr>
      </w:pPr>
      <w:r>
        <w:rPr>
          <w:sz w:val="20"/>
          <w:szCs w:val="20"/>
        </w:rPr>
        <w:t>We agreed to indemnify Innoviva from and after the Spin-Off with respect to (i) all debts, liabilities and obligations transferred to us in connection with the Spin-Off</w:t>
      </w:r>
      <w:r>
        <w:rPr>
          <w:sz w:val="20"/>
          <w:szCs w:val="20"/>
        </w:rPr>
        <w:t xml:space="preserve"> (including our failure to pay, perform or otherwise promptly discharge any such debts, liabilities or obligations after the Spin-Off), (ii) any misstatement or omission of a material fact resulting in a misleading statement in our Information Statement di</w:t>
      </w:r>
      <w:r>
        <w:rPr>
          <w:sz w:val="20"/>
          <w:szCs w:val="20"/>
        </w:rPr>
        <w:t>stributed to Innoviva stockholders in connection with the Spin-Off and (iii) any breach by us of certain agreements entered into with Innoviva in connection with the Spin-Off (namely, the Separation and Distribution Agreement, a Transition Services Agreeme</w:t>
      </w:r>
      <w:r>
        <w:rPr>
          <w:sz w:val="20"/>
          <w:szCs w:val="20"/>
        </w:rPr>
        <w:t>nt, an Employee Matters Agreement, a Tax Matters Agreement, and a Facility Sublease Agreement). We are not aware of any existing indemnification obligations at this time, but any such indemnification obligations that may arise could be significant. Under t</w:t>
      </w:r>
      <w:r>
        <w:rPr>
          <w:sz w:val="20"/>
          <w:szCs w:val="20"/>
        </w:rPr>
        <w:t xml:space="preserve">he terms of the Separation and Distribution Agreement, Innoviva agreed to indemnify us from and after the Spin-Off with respect to (i) all debts, liabilities and obligations retained by Innoviva after the Spin-Off (including its failure to pay, perform or </w:t>
      </w:r>
      <w:r>
        <w:rPr>
          <w:sz w:val="20"/>
          <w:szCs w:val="20"/>
        </w:rPr>
        <w:t>otherwise promptly discharge any such debts, liabilities or obligations after the Spin-Off) and (ii) any breach by Innoviva of the Separation and Distribution Agreement, the Transition Services Agreement, the Employee Matters Agreement, the Tax Matters Agr</w:t>
      </w:r>
      <w:r>
        <w:rPr>
          <w:sz w:val="20"/>
          <w:szCs w:val="20"/>
        </w:rPr>
        <w:t>eement, and the Facility Sublease Agreement. Our and Innoviva’s ability to satisfy these indemnities, if called upon to do so, will depend upon our and Innoviva’s future financial strength. If we are required to indemnify Innoviva, or if we are not able to</w:t>
      </w:r>
      <w:r>
        <w:rPr>
          <w:sz w:val="20"/>
          <w:szCs w:val="20"/>
        </w:rPr>
        <w:t xml:space="preserve"> enforce our indemnification rights against Innoviva, our business prospects and financial condition may be harmed.</w:t>
      </w:r>
    </w:p>
    <w:p w:rsidR="00000000" w:rsidRDefault="001E618F">
      <w:pPr>
        <w:pStyle w:val="a3"/>
        <w:spacing w:before="0" w:beforeAutospacing="0" w:after="200" w:afterAutospacing="0"/>
        <w:ind w:firstLine="720"/>
        <w:divId w:val="1804273835"/>
        <w:rPr>
          <w:sz w:val="20"/>
          <w:szCs w:val="20"/>
        </w:rPr>
      </w:pPr>
      <w:r>
        <w:rPr>
          <w:sz w:val="20"/>
          <w:szCs w:val="20"/>
        </w:rPr>
        <w:t>In addition, the agreement relating to the sale of VIBATIV to Cumberland Pharmaceuticals Inc. (“Cumberland”) contains indemnification obliga</w:t>
      </w:r>
      <w:r>
        <w:rPr>
          <w:sz w:val="20"/>
          <w:szCs w:val="20"/>
        </w:rPr>
        <w:t>tions of both us and Cumberland. If we are required to indemnify Cumberland or if we are unable to enforce our indemnification rights against Cumberland for any reason, our business and financial condition may be harmed.</w:t>
      </w:r>
    </w:p>
    <w:p w:rsidR="00000000" w:rsidRDefault="001E618F">
      <w:pPr>
        <w:pStyle w:val="a3"/>
        <w:spacing w:before="0" w:beforeAutospacing="0" w:after="0" w:afterAutospacing="0"/>
        <w:ind w:hanging="202"/>
        <w:divId w:val="1804273835"/>
        <w:rPr>
          <w:sz w:val="20"/>
          <w:szCs w:val="20"/>
        </w:rPr>
      </w:pPr>
      <w:r>
        <w:rPr>
          <w:b/>
          <w:bCs/>
          <w:sz w:val="20"/>
          <w:szCs w:val="20"/>
        </w:rPr>
        <w:t>RISKS RELATED TO LEGAL AND REGULATO</w:t>
      </w:r>
      <w:r>
        <w:rPr>
          <w:b/>
          <w:bCs/>
          <w:sz w:val="20"/>
          <w:szCs w:val="20"/>
        </w:rPr>
        <w:t xml:space="preserve">RY UNCERTAINTY </w:t>
      </w:r>
    </w:p>
    <w:p w:rsidR="00000000" w:rsidRDefault="001E618F">
      <w:pPr>
        <w:pStyle w:val="a3"/>
        <w:spacing w:before="0" w:beforeAutospacing="0" w:after="0" w:afterAutospacing="0"/>
        <w:ind w:hanging="202"/>
        <w:divId w:val="1804273835"/>
        <w:rPr>
          <w:sz w:val="20"/>
          <w:szCs w:val="20"/>
        </w:rPr>
      </w:pPr>
      <w:r>
        <w:rPr>
          <w:sz w:val="20"/>
          <w:szCs w:val="20"/>
        </w:rPr>
        <w:t>​</w:t>
      </w:r>
    </w:p>
    <w:p w:rsidR="00000000" w:rsidRDefault="001E618F">
      <w:pPr>
        <w:pStyle w:val="a3"/>
        <w:spacing w:before="0" w:beforeAutospacing="0" w:after="120" w:afterAutospacing="0"/>
        <w:divId w:val="1804273835"/>
        <w:rPr>
          <w:sz w:val="20"/>
          <w:szCs w:val="20"/>
        </w:rPr>
      </w:pPr>
      <w:r>
        <w:rPr>
          <w:b/>
          <w:bCs/>
          <w:i/>
          <w:iCs/>
          <w:sz w:val="20"/>
          <w:szCs w:val="20"/>
        </w:rPr>
        <w:t>If our efforts to protect the proprietary nature of the intellectual property related to our technologies are not adequate, we may not be able to compete effectively in our current or future markets.</w:t>
      </w:r>
    </w:p>
    <w:p w:rsidR="00000000" w:rsidRDefault="001E618F">
      <w:pPr>
        <w:pStyle w:val="a3"/>
        <w:spacing w:before="0" w:beforeAutospacing="0" w:after="200" w:afterAutospacing="0"/>
        <w:ind w:firstLine="720"/>
        <w:divId w:val="1804273835"/>
        <w:rPr>
          <w:sz w:val="20"/>
          <w:szCs w:val="20"/>
        </w:rPr>
      </w:pPr>
      <w:r>
        <w:rPr>
          <w:sz w:val="20"/>
          <w:szCs w:val="20"/>
        </w:rPr>
        <w:t>We rely upon a combination of patents,</w:t>
      </w:r>
      <w:r>
        <w:rPr>
          <w:sz w:val="20"/>
          <w:szCs w:val="20"/>
        </w:rPr>
        <w:t xml:space="preserve"> patent applications, trade secret protection and confidentiality agreements to protect the intellectual property related to our technologies. Any involuntary disclosure to or misappropriation by third parties of this proprietary information could enable c</w:t>
      </w:r>
      <w:r>
        <w:rPr>
          <w:sz w:val="20"/>
          <w:szCs w:val="20"/>
        </w:rPr>
        <w:t xml:space="preserve">ompetitors to quickly duplicate or surpass our technological achievements, thus eroding our competitive position in our market. The status of patents in the biotechnology and pharmaceutical field involves complex legal and scientific questions and is very </w:t>
      </w:r>
      <w:r>
        <w:rPr>
          <w:sz w:val="20"/>
          <w:szCs w:val="20"/>
        </w:rPr>
        <w:t>uncertain. As of March 31, 2022, we owned 290 issued US patents and 1,968 granted foreign patents, as well as additional pending US and foreign patent applications. Our patent applications may be challenged or fail to result in issued patents and our exist</w:t>
      </w:r>
      <w:r>
        <w:rPr>
          <w:sz w:val="20"/>
          <w:szCs w:val="20"/>
        </w:rPr>
        <w:t>ing or future patents may be invalidated or be too narrow to prevent third parties from developing or designing around these patents. If the sufficiency of the breadth or strength of protection provided by our patents with respect to a product candidate is</w:t>
      </w:r>
      <w:r>
        <w:rPr>
          <w:sz w:val="20"/>
          <w:szCs w:val="20"/>
        </w:rPr>
        <w:t xml:space="preserve"> threatened, it could dissuade companies from collaborating with us to develop product candidates and threaten our ability to commercialize products. Further, if we encounter delays in our clinical trials or in obtaining regulatory approval of our product </w:t>
      </w:r>
      <w:r>
        <w:rPr>
          <w:sz w:val="20"/>
          <w:szCs w:val="20"/>
        </w:rPr>
        <w:t>candidates, the patent lives of the related product candidates would be reduced.</w:t>
      </w:r>
    </w:p>
    <w:p w:rsidR="00000000" w:rsidRDefault="001E618F">
      <w:pPr>
        <w:pStyle w:val="a3"/>
        <w:spacing w:before="0" w:beforeAutospacing="0" w:after="200" w:afterAutospacing="0"/>
        <w:ind w:firstLine="720"/>
        <w:divId w:val="1804273835"/>
        <w:rPr>
          <w:sz w:val="20"/>
          <w:szCs w:val="20"/>
        </w:rPr>
      </w:pPr>
      <w:r>
        <w:rPr>
          <w:sz w:val="20"/>
          <w:szCs w:val="20"/>
        </w:rPr>
        <w:t>In addition, we rely on trade secret protection and confidentiality agreements to protect proprietary know-how that is not patentable, for processes for which patents are diff</w:t>
      </w:r>
      <w:r>
        <w:rPr>
          <w:sz w:val="20"/>
          <w:szCs w:val="20"/>
        </w:rPr>
        <w:t>icult to enforce and for any other elements of our drug discovery and development processes that involve proprietary know-how, information and technology that is not covered by patent applications. Although we require our employees, consultants, advisors a</w:t>
      </w:r>
      <w:r>
        <w:rPr>
          <w:sz w:val="20"/>
          <w:szCs w:val="20"/>
        </w:rPr>
        <w:t>nd any third parties who have access to our proprietary know-how, information and technology to enter into confidentiality agreements, we cannot be certain that this know-how, information and technology will not be misappropriated, disclosed or used for un</w:t>
      </w:r>
      <w:r>
        <w:rPr>
          <w:sz w:val="20"/>
          <w:szCs w:val="20"/>
        </w:rPr>
        <w:t>authorized purposes or that competitors will not otherwise gain access to our trade secrets or independently develop substantially equivalent information and techniques. Further, the laws of some foreign countries do not protect proprietary rights to the s</w:t>
      </w:r>
      <w:r>
        <w:rPr>
          <w:sz w:val="20"/>
          <w:szCs w:val="20"/>
        </w:rPr>
        <w:t>ame extent as the laws of the US. As a result, we may encounter significant problems in protecting and defending our intellectual property both in the US and abroad. If we are unable to prevent material disclosure of the intellectual property related to ou</w:t>
      </w:r>
      <w:r>
        <w:rPr>
          <w:sz w:val="20"/>
          <w:szCs w:val="20"/>
        </w:rPr>
        <w:t>r technologies to third parties, we will not be able to establish or, if established, maintain a competitive advantage in our market, which could materially adversely affect our business, financial condition and results of operations, which could cause the</w:t>
      </w:r>
      <w:r>
        <w:rPr>
          <w:sz w:val="20"/>
          <w:szCs w:val="20"/>
        </w:rPr>
        <w:t xml:space="preserve"> price of our securities to fall.</w:t>
      </w:r>
    </w:p>
    <w:p w:rsidR="00000000" w:rsidRDefault="001E618F">
      <w:pPr>
        <w:pStyle w:val="a3"/>
        <w:spacing w:before="360" w:beforeAutospacing="0" w:after="0" w:afterAutospacing="0"/>
        <w:jc w:val="center"/>
        <w:divId w:val="599490172"/>
        <w:rPr>
          <w:sz w:val="20"/>
          <w:szCs w:val="20"/>
        </w:rPr>
      </w:pPr>
      <w:r>
        <w:rPr>
          <w:sz w:val="20"/>
          <w:szCs w:val="20"/>
        </w:rPr>
        <w:t>54</w:t>
      </w:r>
    </w:p>
    <w:p w:rsidR="00000000" w:rsidRDefault="001E618F">
      <w:pPr>
        <w:pStyle w:val="a3"/>
        <w:spacing w:before="0" w:beforeAutospacing="0" w:after="600" w:afterAutospacing="0"/>
        <w:divId w:val="1219442793"/>
        <w:rPr>
          <w:sz w:val="20"/>
          <w:szCs w:val="20"/>
        </w:rPr>
      </w:pPr>
      <w:hyperlink w:anchor="TOC" w:history="1">
        <w:r>
          <w:rPr>
            <w:rStyle w:val="a4"/>
            <w:sz w:val="20"/>
            <w:szCs w:val="20"/>
          </w:rPr>
          <w:t>Table of Contents</w:t>
        </w:r>
      </w:hyperlink>
    </w:p>
    <w:p w:rsidR="00000000" w:rsidRDefault="001E618F">
      <w:pPr>
        <w:pStyle w:val="a3"/>
        <w:spacing w:before="0" w:beforeAutospacing="0" w:after="120" w:afterAutospacing="0"/>
        <w:divId w:val="1072699098"/>
        <w:rPr>
          <w:sz w:val="20"/>
          <w:szCs w:val="20"/>
        </w:rPr>
      </w:pPr>
      <w:r>
        <w:rPr>
          <w:b/>
          <w:bCs/>
          <w:i/>
          <w:iCs/>
          <w:sz w:val="20"/>
          <w:szCs w:val="20"/>
        </w:rPr>
        <w:t>Litigation to protect or defend our intellectual property or third-party claims of intellectual property infringement would require us to divert resources and may prevent or d</w:t>
      </w:r>
      <w:r>
        <w:rPr>
          <w:b/>
          <w:bCs/>
          <w:i/>
          <w:iCs/>
          <w:sz w:val="20"/>
          <w:szCs w:val="20"/>
        </w:rPr>
        <w:t>elay our drug discovery and development efforts.</w:t>
      </w:r>
    </w:p>
    <w:p w:rsidR="00000000" w:rsidRDefault="001E618F">
      <w:pPr>
        <w:pStyle w:val="a3"/>
        <w:spacing w:before="0" w:beforeAutospacing="0" w:after="200" w:afterAutospacing="0"/>
        <w:ind w:firstLine="720"/>
        <w:divId w:val="1072699098"/>
        <w:rPr>
          <w:sz w:val="20"/>
          <w:szCs w:val="20"/>
        </w:rPr>
      </w:pPr>
      <w:r>
        <w:rPr>
          <w:sz w:val="20"/>
          <w:szCs w:val="20"/>
        </w:rPr>
        <w:t xml:space="preserve">Our commercial success depends in part on us and our partners not infringing the patents and proprietary rights of third parties. Third parties may assert that we or our partners are using their proprietary </w:t>
      </w:r>
      <w:r>
        <w:rPr>
          <w:sz w:val="20"/>
          <w:szCs w:val="20"/>
        </w:rPr>
        <w:t>rights without authorization. There are third-party patents that may cover materials or methods for treatment related to our product candidates. At present, we are not aware of any patent infringement claims with merit that would adversely and materially a</w:t>
      </w:r>
      <w:r>
        <w:rPr>
          <w:sz w:val="20"/>
          <w:szCs w:val="20"/>
        </w:rPr>
        <w:t>ffect our ability to develop our product candidates, but nevertheless the possibility of third-party allegations cannot be ruled out. In addition, third parties may obtain patents in the future and claim that use of our technologies infringes upon these pa</w:t>
      </w:r>
      <w:r>
        <w:rPr>
          <w:sz w:val="20"/>
          <w:szCs w:val="20"/>
        </w:rPr>
        <w:t>tents. Furthermore, parties making claims against us or our partners may obtain injunctive or other equitable relief, which could effectively block our ability to further develop and commercialize one or more of our product candidates. Defense against thes</w:t>
      </w:r>
      <w:r>
        <w:rPr>
          <w:sz w:val="20"/>
          <w:szCs w:val="20"/>
        </w:rPr>
        <w:t>e claims, regardless of their merit, would involve substantial litigation expense and would be a substantial diversion of employee resources from our business.</w:t>
      </w:r>
    </w:p>
    <w:p w:rsidR="00000000" w:rsidRDefault="001E618F">
      <w:pPr>
        <w:pStyle w:val="a3"/>
        <w:spacing w:before="0" w:beforeAutospacing="0" w:after="200" w:afterAutospacing="0"/>
        <w:ind w:firstLine="720"/>
        <w:divId w:val="1072699098"/>
        <w:rPr>
          <w:sz w:val="20"/>
          <w:szCs w:val="20"/>
        </w:rPr>
      </w:pPr>
      <w:r>
        <w:rPr>
          <w:sz w:val="20"/>
          <w:szCs w:val="20"/>
        </w:rPr>
        <w:t>In the event of a successful claim of infringement against us, we may have to pay substantial da</w:t>
      </w:r>
      <w:r>
        <w:rPr>
          <w:sz w:val="20"/>
          <w:szCs w:val="20"/>
        </w:rPr>
        <w:t>mages, obtain one or more licenses from third parties or pay royalties. In addition, even in the absence of litigation, we may need to obtain licenses from third parties to advance our research or allow commercialization of our product candidates, and we h</w:t>
      </w:r>
      <w:r>
        <w:rPr>
          <w:sz w:val="20"/>
          <w:szCs w:val="20"/>
        </w:rPr>
        <w:t>ave done so from time to time. We may fail to obtain any of these licenses at a reasonable cost or on reasonable terms, if at all. In that event, we would be unable to further develop and commercialize one or more of our product candidates, which could har</w:t>
      </w:r>
      <w:r>
        <w:rPr>
          <w:sz w:val="20"/>
          <w:szCs w:val="20"/>
        </w:rPr>
        <w:t>m our business significantly.</w:t>
      </w:r>
    </w:p>
    <w:p w:rsidR="00000000" w:rsidRDefault="001E618F">
      <w:pPr>
        <w:pStyle w:val="a3"/>
        <w:spacing w:before="0" w:beforeAutospacing="0" w:after="200" w:afterAutospacing="0"/>
        <w:ind w:firstLine="720"/>
        <w:divId w:val="1072699098"/>
        <w:rPr>
          <w:sz w:val="20"/>
          <w:szCs w:val="20"/>
        </w:rPr>
      </w:pPr>
      <w:r>
        <w:rPr>
          <w:sz w:val="20"/>
          <w:szCs w:val="20"/>
        </w:rPr>
        <w:t>In addition, in the future we could be required to initiate litigation to enforce our proprietary rights against infringement by third parties, prevent the unauthorized use or disclosure of our trade secrets and confidential information, or defend the vali</w:t>
      </w:r>
      <w:r>
        <w:rPr>
          <w:sz w:val="20"/>
          <w:szCs w:val="20"/>
        </w:rPr>
        <w:t>dity of our patents. For example, in 2017, we filed a lawsuit against a former employee for misappropriation of certain of our confidential, proprietary and trade secret information. While this litigation has since been resolved, prosecution of claims to e</w:t>
      </w:r>
      <w:r>
        <w:rPr>
          <w:sz w:val="20"/>
          <w:szCs w:val="20"/>
        </w:rPr>
        <w:t>nforce or defend our rights against others involve substantial litigation expenses and divert substantial employee resources from our business but may not result in adequate remedy to us or sufficiently mitigate the harm to our business caused by any intel</w:t>
      </w:r>
      <w:r>
        <w:rPr>
          <w:sz w:val="20"/>
          <w:szCs w:val="20"/>
        </w:rPr>
        <w:t>lectual property infringement, unauthorized access, use or disclosure of trade secrets. If we fail to effectively enforce our proprietary rights against others, our business will be harmed and the price of our securities could fall.</w:t>
      </w:r>
    </w:p>
    <w:p w:rsidR="00000000" w:rsidRDefault="001E618F">
      <w:pPr>
        <w:pStyle w:val="a3"/>
        <w:spacing w:before="0" w:beforeAutospacing="0" w:after="120" w:afterAutospacing="0"/>
        <w:divId w:val="1072699098"/>
        <w:rPr>
          <w:sz w:val="20"/>
          <w:szCs w:val="20"/>
        </w:rPr>
      </w:pPr>
      <w:r>
        <w:rPr>
          <w:b/>
          <w:bCs/>
          <w:i/>
          <w:iCs/>
          <w:sz w:val="20"/>
          <w:szCs w:val="20"/>
        </w:rPr>
        <w:t>If the efforts of our p</w:t>
      </w:r>
      <w:r>
        <w:rPr>
          <w:b/>
          <w:bCs/>
          <w:i/>
          <w:iCs/>
          <w:sz w:val="20"/>
          <w:szCs w:val="20"/>
        </w:rPr>
        <w:t>artners or future partners to protect the proprietary nature of the intellectual property related to collaboration assets are not adequate, the future commercialization of any medicines resulting from collaborations could be delayed or prevented, which wou</w:t>
      </w:r>
      <w:r>
        <w:rPr>
          <w:b/>
          <w:bCs/>
          <w:i/>
          <w:iCs/>
          <w:sz w:val="20"/>
          <w:szCs w:val="20"/>
        </w:rPr>
        <w:t>ld materially harm our business and could cause the price of our securities to fall.</w:t>
      </w:r>
    </w:p>
    <w:p w:rsidR="00000000" w:rsidRDefault="001E618F">
      <w:pPr>
        <w:pStyle w:val="a3"/>
        <w:spacing w:before="0" w:beforeAutospacing="0" w:after="200" w:afterAutospacing="0"/>
        <w:ind w:firstLine="720"/>
        <w:divId w:val="1072699098"/>
        <w:rPr>
          <w:sz w:val="20"/>
          <w:szCs w:val="20"/>
        </w:rPr>
      </w:pPr>
      <w:r>
        <w:rPr>
          <w:sz w:val="20"/>
          <w:szCs w:val="20"/>
        </w:rPr>
        <w:t>The risks identified in the two preceding risk factors may also apply to the intellectual property protection efforts of our partners or future partners and to GSK with re</w:t>
      </w:r>
      <w:r>
        <w:rPr>
          <w:sz w:val="20"/>
          <w:szCs w:val="20"/>
        </w:rPr>
        <w:t>spect to the GSK-Partnered Respiratory Programs in which we hold an economic interest. To the extent the intellectual property protection of any partnered assets is successfully challenged or encounters problems with the US Patent and Trademark Office or o</w:t>
      </w:r>
      <w:r>
        <w:rPr>
          <w:sz w:val="20"/>
          <w:szCs w:val="20"/>
        </w:rPr>
        <w:t>ther comparable agencies throughout the world, the future commercialization of these potential medicines could be delayed or prevented. Any challenge to the intellectual property protection of a late-stage development asset, particularly those of the GSK-P</w:t>
      </w:r>
      <w:r>
        <w:rPr>
          <w:sz w:val="20"/>
          <w:szCs w:val="20"/>
        </w:rPr>
        <w:t>artnered Respiratory Programs in which we hold an economic interest, could harm our business and cause the price of our securities to fall.</w:t>
      </w:r>
    </w:p>
    <w:p w:rsidR="00000000" w:rsidRDefault="001E618F">
      <w:pPr>
        <w:pStyle w:val="a3"/>
        <w:spacing w:before="0" w:beforeAutospacing="0" w:after="120" w:afterAutospacing="0"/>
        <w:divId w:val="1072699098"/>
        <w:rPr>
          <w:sz w:val="20"/>
          <w:szCs w:val="20"/>
        </w:rPr>
      </w:pPr>
      <w:r>
        <w:rPr>
          <w:b/>
          <w:bCs/>
          <w:i/>
          <w:iCs/>
          <w:sz w:val="20"/>
          <w:szCs w:val="20"/>
        </w:rPr>
        <w:t>Product liability and other lawsuits could divert our resources, result in substantial liabilities and reduce the co</w:t>
      </w:r>
      <w:r>
        <w:rPr>
          <w:b/>
          <w:bCs/>
          <w:i/>
          <w:iCs/>
          <w:sz w:val="20"/>
          <w:szCs w:val="20"/>
        </w:rPr>
        <w:t>mmercial potential of our medicines.</w:t>
      </w:r>
    </w:p>
    <w:p w:rsidR="00000000" w:rsidRDefault="001E618F">
      <w:pPr>
        <w:pStyle w:val="a3"/>
        <w:spacing w:before="0" w:beforeAutospacing="0" w:after="0" w:afterAutospacing="0"/>
        <w:ind w:firstLine="720"/>
        <w:divId w:val="1072699098"/>
        <w:rPr>
          <w:sz w:val="20"/>
          <w:szCs w:val="20"/>
        </w:rPr>
      </w:pPr>
      <w:r>
        <w:rPr>
          <w:sz w:val="20"/>
          <w:szCs w:val="20"/>
        </w:rPr>
        <w:t>The risk that we may be sued on product liability claims is inherent in the development and commercialization of pharmaceutical products. Side effects of, or manufacturing defects in, products that we or our partners de</w:t>
      </w:r>
      <w:r>
        <w:rPr>
          <w:sz w:val="20"/>
          <w:szCs w:val="20"/>
        </w:rPr>
        <w:t>velop or commercialize could result in the deterioration of a patient’s condition, injury or even death. Once a product is approved for sale and commercialized, the likelihood of product liability lawsuits tends to increase. Claims may be brought by indivi</w:t>
      </w:r>
      <w:r>
        <w:rPr>
          <w:sz w:val="20"/>
          <w:szCs w:val="20"/>
        </w:rPr>
        <w:t>duals seeking relief for themselves or by individuals or groups seeking to represent a class, asserting injuries based both on potential adverse effects described in the label as well as adverse events not yet observed. We also face an inherent risk of pro</w:t>
      </w:r>
      <w:r>
        <w:rPr>
          <w:sz w:val="20"/>
          <w:szCs w:val="20"/>
        </w:rPr>
        <w:t>duct liability exposure related to the testing of our product candidates in human clinical trials. In addition, changes in laws outside the US are expanding our potential liability for injuries that occur during clinical trials. Product liability claims co</w:t>
      </w:r>
      <w:r>
        <w:rPr>
          <w:sz w:val="20"/>
          <w:szCs w:val="20"/>
        </w:rPr>
        <w:t>uld harm our reputation, regardless of the merit or ultimate success of the claim, which may adversely affect our and our partners’ ability to commercialize our products and cause the price of our securities to fall. These lawsuits may divert our managemen</w:t>
      </w:r>
      <w:r>
        <w:rPr>
          <w:sz w:val="20"/>
          <w:szCs w:val="20"/>
        </w:rPr>
        <w:t xml:space="preserve">t from pursuing our business strategy and may be costly to defend. In addition, if we are held liable in any of </w:t>
      </w:r>
    </w:p>
    <w:p w:rsidR="00000000" w:rsidRDefault="001E618F">
      <w:pPr>
        <w:pStyle w:val="a3"/>
        <w:spacing w:before="360" w:beforeAutospacing="0" w:after="0" w:afterAutospacing="0"/>
        <w:jc w:val="center"/>
        <w:divId w:val="1135097121"/>
        <w:rPr>
          <w:sz w:val="20"/>
          <w:szCs w:val="20"/>
        </w:rPr>
      </w:pPr>
      <w:r>
        <w:rPr>
          <w:sz w:val="20"/>
          <w:szCs w:val="20"/>
        </w:rPr>
        <w:t>55</w:t>
      </w:r>
    </w:p>
    <w:p w:rsidR="00000000" w:rsidRDefault="001E618F">
      <w:pPr>
        <w:pStyle w:val="a3"/>
        <w:spacing w:before="0" w:beforeAutospacing="0" w:after="600" w:afterAutospacing="0"/>
        <w:divId w:val="1008755488"/>
        <w:rPr>
          <w:sz w:val="20"/>
          <w:szCs w:val="20"/>
        </w:rPr>
      </w:pPr>
      <w:hyperlink w:anchor="TOC" w:history="1">
        <w:r>
          <w:rPr>
            <w:rStyle w:val="a4"/>
            <w:sz w:val="20"/>
            <w:szCs w:val="20"/>
          </w:rPr>
          <w:t>Table of Contents</w:t>
        </w:r>
      </w:hyperlink>
    </w:p>
    <w:p w:rsidR="00000000" w:rsidRDefault="001E618F">
      <w:pPr>
        <w:pStyle w:val="a3"/>
        <w:spacing w:before="0" w:beforeAutospacing="0" w:after="200" w:afterAutospacing="0"/>
        <w:divId w:val="1479951885"/>
        <w:rPr>
          <w:sz w:val="20"/>
          <w:szCs w:val="20"/>
        </w:rPr>
      </w:pPr>
      <w:r>
        <w:rPr>
          <w:sz w:val="20"/>
          <w:szCs w:val="20"/>
        </w:rPr>
        <w:t>these lawsuits, we may incur substantial liabilities and may be forced to limit or forgo further</w:t>
      </w:r>
      <w:r>
        <w:rPr>
          <w:sz w:val="20"/>
          <w:szCs w:val="20"/>
        </w:rPr>
        <w:t xml:space="preserve"> commercialization of the applicable products.</w:t>
      </w:r>
    </w:p>
    <w:p w:rsidR="00000000" w:rsidRDefault="001E618F">
      <w:pPr>
        <w:pStyle w:val="a3"/>
        <w:spacing w:before="0" w:beforeAutospacing="0" w:after="200" w:afterAutospacing="0"/>
        <w:ind w:firstLine="720"/>
        <w:divId w:val="1479951885"/>
        <w:rPr>
          <w:sz w:val="20"/>
          <w:szCs w:val="20"/>
        </w:rPr>
      </w:pPr>
      <w:r>
        <w:rPr>
          <w:sz w:val="20"/>
          <w:szCs w:val="20"/>
        </w:rPr>
        <w:t>Although we maintain general liability and product liability insurance, this insurance may not fully cover potential liabilities and we cannot be sure that our insurer will not disclaim coverage as to a future</w:t>
      </w:r>
      <w:r>
        <w:rPr>
          <w:sz w:val="20"/>
          <w:szCs w:val="20"/>
        </w:rPr>
        <w:t xml:space="preserve"> claim. In addition, inability to obtain or maintain sufficient insurance coverage at an acceptable cost or to otherwise protect against potential product liability claims could prevent or inhibit the commercial production and sale of our products, which c</w:t>
      </w:r>
      <w:r>
        <w:rPr>
          <w:sz w:val="20"/>
          <w:szCs w:val="20"/>
        </w:rPr>
        <w:t>ould adversely affect our business.</w:t>
      </w:r>
    </w:p>
    <w:p w:rsidR="00000000" w:rsidRDefault="001E618F">
      <w:pPr>
        <w:pStyle w:val="a3"/>
        <w:spacing w:before="0" w:beforeAutospacing="0" w:after="200" w:afterAutospacing="0"/>
        <w:ind w:firstLine="720"/>
        <w:divId w:val="1479951885"/>
        <w:rPr>
          <w:sz w:val="20"/>
          <w:szCs w:val="20"/>
        </w:rPr>
      </w:pPr>
      <w:r>
        <w:rPr>
          <w:sz w:val="20"/>
          <w:szCs w:val="20"/>
        </w:rPr>
        <w:t xml:space="preserve">We may also be required to prosecute or defend general commercial, intellectual property, securities and other lawsuits. Litigation typically involves substantial expenses and diverts substantial employee resources from </w:t>
      </w:r>
      <w:r>
        <w:rPr>
          <w:sz w:val="20"/>
          <w:szCs w:val="20"/>
        </w:rPr>
        <w:t xml:space="preserve">our business. The cost of defending any product liability litigation or engaging in any other legal proceeding, even if resolved in our favor, could be substantial and uncertainties resulting from the initiation and continuation of the litigation or other </w:t>
      </w:r>
      <w:r>
        <w:rPr>
          <w:sz w:val="20"/>
          <w:szCs w:val="20"/>
        </w:rPr>
        <w:t>proceedings could have a material adverse effect on our ability to compete in the marketplace and achieve our business goals.</w:t>
      </w:r>
    </w:p>
    <w:p w:rsidR="00000000" w:rsidRDefault="001E618F">
      <w:pPr>
        <w:pStyle w:val="a3"/>
        <w:spacing w:before="0" w:beforeAutospacing="0" w:after="120" w:afterAutospacing="0"/>
        <w:divId w:val="1479951885"/>
        <w:rPr>
          <w:sz w:val="20"/>
          <w:szCs w:val="20"/>
        </w:rPr>
      </w:pPr>
      <w:r>
        <w:rPr>
          <w:b/>
          <w:bCs/>
          <w:i/>
          <w:iCs/>
          <w:sz w:val="20"/>
          <w:szCs w:val="20"/>
        </w:rPr>
        <w:t>If we fail to comply with data protection laws and regulations, we could be subject to government enforcement actions (which could</w:t>
      </w:r>
      <w:r>
        <w:rPr>
          <w:b/>
          <w:bCs/>
          <w:i/>
          <w:iCs/>
          <w:sz w:val="20"/>
          <w:szCs w:val="20"/>
        </w:rPr>
        <w:t xml:space="preserve"> include civil or criminal penalties), private litigation and/or adverse publicity, which could negatively affect our operating results and business.</w:t>
      </w:r>
    </w:p>
    <w:p w:rsidR="00000000" w:rsidRDefault="001E618F">
      <w:pPr>
        <w:pStyle w:val="a3"/>
        <w:spacing w:before="0" w:beforeAutospacing="0" w:after="200" w:afterAutospacing="0"/>
        <w:ind w:firstLine="720"/>
        <w:divId w:val="1479951885"/>
        <w:rPr>
          <w:sz w:val="20"/>
          <w:szCs w:val="20"/>
        </w:rPr>
      </w:pPr>
      <w:r>
        <w:rPr>
          <w:sz w:val="20"/>
          <w:szCs w:val="20"/>
        </w:rPr>
        <w:t>We are subject to data protection laws and regulations (i.e., laws and regulations that address privacy an</w:t>
      </w:r>
      <w:r>
        <w:rPr>
          <w:sz w:val="20"/>
          <w:szCs w:val="20"/>
        </w:rPr>
        <w:t>d data security). In the US, numerous federal and state laws and regulations, including state data breach notification laws, state health information and/or genetic privacy laws, and federal and state consumer protection laws (e.g., Section 5 of the FTC Ac</w:t>
      </w:r>
      <w:r>
        <w:rPr>
          <w:sz w:val="20"/>
          <w:szCs w:val="20"/>
        </w:rPr>
        <w:t xml:space="preserve">t), govern the collection, use, disclosure, and protection of health related and other personal information. In California, the California Consumer Privacy Act (“CCPA”) took effect on January 1, 2020. The CCPA establishes certain requirements for data use </w:t>
      </w:r>
      <w:r>
        <w:rPr>
          <w:sz w:val="20"/>
          <w:szCs w:val="20"/>
        </w:rPr>
        <w:t>and sharing transparency, and provides California residents certain rights concerning the use, disclosure, and retention of their personal data. In addition, in November 2020, California voters approved the California Privacy Rights Act (“CPRA”) ballot ini</w:t>
      </w:r>
      <w:r>
        <w:rPr>
          <w:sz w:val="20"/>
          <w:szCs w:val="20"/>
        </w:rPr>
        <w:t>tiative which introduced significant amendments to the CCPA and established and funded a dedicated California privacy regulator, the California Privacy Protection Agency (“CPPA”). The amendments introduced by the CPRA go into effect on January 1, 2023, and</w:t>
      </w:r>
      <w:r>
        <w:rPr>
          <w:sz w:val="20"/>
          <w:szCs w:val="20"/>
        </w:rPr>
        <w:t xml:space="preserve"> new implementing regulations are expected to be introduced by the CPPA. And in 2021, Virginia and Colorado adopted laws, effective January 1, 2023, and July 1, 2023, respectively, introducing new privacy obligations for which we may need to take additiona</w:t>
      </w:r>
      <w:r>
        <w:rPr>
          <w:sz w:val="20"/>
          <w:szCs w:val="20"/>
        </w:rPr>
        <w:t>l steps to comply. Similarly, there are a number of legislative proposals and enactments in the United States, at both the federal and state level, that could impose new obligations or limitations in areas affecting our business. These laws and regulations</w:t>
      </w:r>
      <w:r>
        <w:rPr>
          <w:sz w:val="20"/>
          <w:szCs w:val="20"/>
        </w:rPr>
        <w:t xml:space="preserve"> are evolving and subject to interpretation, and may impose limitations on our activities or otherwise adversely affect our business. The obligations to comply with the CCPA and evolving legislation involve, among other things, updates to our notices and t</w:t>
      </w:r>
      <w:r>
        <w:rPr>
          <w:sz w:val="20"/>
          <w:szCs w:val="20"/>
        </w:rPr>
        <w:t xml:space="preserve">he development of new processes internally and with our partners. We may be subject to fines, penalties, or private actions in the event of non-compliance with such laws. </w:t>
      </w:r>
    </w:p>
    <w:p w:rsidR="00000000" w:rsidRDefault="001E618F">
      <w:pPr>
        <w:pStyle w:val="a3"/>
        <w:spacing w:before="0" w:beforeAutospacing="0" w:after="200" w:afterAutospacing="0"/>
        <w:ind w:firstLine="720"/>
        <w:divId w:val="1479951885"/>
        <w:rPr>
          <w:sz w:val="20"/>
          <w:szCs w:val="20"/>
        </w:rPr>
      </w:pPr>
      <w:r>
        <w:rPr>
          <w:sz w:val="20"/>
          <w:szCs w:val="20"/>
        </w:rPr>
        <w:t>In addition, we may obtain health information from third parties (e.g., healthcare p</w:t>
      </w:r>
      <w:r>
        <w:rPr>
          <w:sz w:val="20"/>
          <w:szCs w:val="20"/>
        </w:rPr>
        <w:t>roviders who prescribe our products) that are subject to privacy and security requirements under the Health Insurance Portability and Accountability Act of 1996, the Health Information Technology for Economic and Clinical Health Act, and their implementing</w:t>
      </w:r>
      <w:r>
        <w:rPr>
          <w:sz w:val="20"/>
          <w:szCs w:val="20"/>
        </w:rPr>
        <w:t xml:space="preserve"> regulations, (collectively, “HIPAA”). Although we are not directly subject to HIPAA, we could be subject to criminal penalties if we knowingly obtain, use, or disclose individually identifiable health information maintained by a HIPAA covered entity in a </w:t>
      </w:r>
      <w:r>
        <w:rPr>
          <w:sz w:val="20"/>
          <w:szCs w:val="20"/>
        </w:rPr>
        <w:t>manner that is not authorized or permitted by HIPAA. HIPAA generally requires that healthcare providers and other covered entities obtain written authorizations from patients prior to disclosing protected health information of the patient (unless an except</w:t>
      </w:r>
      <w:r>
        <w:rPr>
          <w:sz w:val="20"/>
          <w:szCs w:val="20"/>
        </w:rPr>
        <w:t>ion to the authorization requirement applies). If authorization is required and the patient fails to execute an authorization or the authorization fails to contain all required provisions, then we may not be allowed access to and use of the patient’s infor</w:t>
      </w:r>
      <w:r>
        <w:rPr>
          <w:sz w:val="20"/>
          <w:szCs w:val="20"/>
        </w:rPr>
        <w:t>mation and our research efforts could be impaired or delayed. Furthermore, use and disclosure of protected health information that is provided to us pursuant to a valid patient authorization is subject to the limits set forth in the authorization (e.g., fo</w:t>
      </w:r>
      <w:r>
        <w:rPr>
          <w:sz w:val="20"/>
          <w:szCs w:val="20"/>
        </w:rPr>
        <w:t xml:space="preserve">r use in research and in submissions to regulatory authorities for product approvals). Moreover, patients about whom we or our partners obtain information, as well as the providers who share this information with us, may have contractual rights that limit </w:t>
      </w:r>
      <w:r>
        <w:rPr>
          <w:sz w:val="20"/>
          <w:szCs w:val="20"/>
        </w:rPr>
        <w:t>our ability to use and disclose the information. In addition, HIPAA does not replace federal, state, international or other laws that may grant individuals even greater privacy protections.</w:t>
      </w:r>
    </w:p>
    <w:p w:rsidR="00000000" w:rsidRDefault="001E618F">
      <w:pPr>
        <w:pStyle w:val="a3"/>
        <w:spacing w:before="0" w:beforeAutospacing="0" w:after="0" w:afterAutospacing="0"/>
        <w:ind w:firstLine="720"/>
        <w:divId w:val="1479951885"/>
        <w:rPr>
          <w:sz w:val="20"/>
          <w:szCs w:val="20"/>
        </w:rPr>
      </w:pPr>
      <w:r>
        <w:rPr>
          <w:sz w:val="20"/>
          <w:szCs w:val="20"/>
        </w:rPr>
        <w:t>EU Member States and other jurisdictions where we operate have ado</w:t>
      </w:r>
      <w:r>
        <w:rPr>
          <w:sz w:val="20"/>
          <w:szCs w:val="20"/>
        </w:rPr>
        <w:t xml:space="preserve">pted data protection laws and regulations, which impose significant compliance obligations. For example, the General Data Protection Regulation (“GDPR”) which </w:t>
      </w:r>
    </w:p>
    <w:p w:rsidR="00000000" w:rsidRDefault="001E618F">
      <w:pPr>
        <w:pStyle w:val="a3"/>
        <w:spacing w:before="360" w:beforeAutospacing="0" w:after="0" w:afterAutospacing="0"/>
        <w:jc w:val="center"/>
        <w:divId w:val="1785881589"/>
        <w:rPr>
          <w:sz w:val="20"/>
          <w:szCs w:val="20"/>
        </w:rPr>
      </w:pPr>
      <w:r>
        <w:rPr>
          <w:sz w:val="20"/>
          <w:szCs w:val="20"/>
        </w:rPr>
        <w:t>56</w:t>
      </w:r>
    </w:p>
    <w:p w:rsidR="00000000" w:rsidRDefault="001E618F">
      <w:pPr>
        <w:pStyle w:val="a3"/>
        <w:spacing w:before="0" w:beforeAutospacing="0" w:after="600" w:afterAutospacing="0"/>
        <w:divId w:val="535970691"/>
        <w:rPr>
          <w:sz w:val="20"/>
          <w:szCs w:val="20"/>
        </w:rPr>
      </w:pPr>
      <w:hyperlink w:anchor="TOC" w:history="1">
        <w:r>
          <w:rPr>
            <w:rStyle w:val="a4"/>
            <w:sz w:val="20"/>
            <w:szCs w:val="20"/>
          </w:rPr>
          <w:t>Table of Contents</w:t>
        </w:r>
      </w:hyperlink>
    </w:p>
    <w:p w:rsidR="00000000" w:rsidRDefault="001E618F">
      <w:pPr>
        <w:pStyle w:val="a3"/>
        <w:spacing w:before="0" w:beforeAutospacing="0" w:after="200" w:afterAutospacing="0"/>
        <w:divId w:val="346761505"/>
        <w:rPr>
          <w:sz w:val="20"/>
          <w:szCs w:val="20"/>
        </w:rPr>
      </w:pPr>
      <w:r>
        <w:rPr>
          <w:sz w:val="20"/>
          <w:szCs w:val="20"/>
        </w:rPr>
        <w:t xml:space="preserve">became applicable on May 25, 2018, replacing the </w:t>
      </w:r>
      <w:r>
        <w:rPr>
          <w:sz w:val="20"/>
          <w:szCs w:val="20"/>
        </w:rPr>
        <w:t>EU Data Protection Directive, imposes strict obligations and restrictions on the ability to collect, analyze and transfer personal data, including health data from clinical trials and adverse event reporting.</w:t>
      </w:r>
    </w:p>
    <w:p w:rsidR="00000000" w:rsidRDefault="001E618F">
      <w:pPr>
        <w:pStyle w:val="a3"/>
        <w:spacing w:before="0" w:beforeAutospacing="0" w:after="200" w:afterAutospacing="0"/>
        <w:ind w:firstLine="720"/>
        <w:divId w:val="346761505"/>
        <w:rPr>
          <w:sz w:val="20"/>
          <w:szCs w:val="20"/>
        </w:rPr>
      </w:pPr>
      <w:r>
        <w:rPr>
          <w:sz w:val="20"/>
          <w:szCs w:val="20"/>
        </w:rPr>
        <w:t>Switzerland has adopted laws that impose restri</w:t>
      </w:r>
      <w:r>
        <w:rPr>
          <w:sz w:val="20"/>
          <w:szCs w:val="20"/>
        </w:rPr>
        <w:t>ctions and obligations similar to the GDPR. The obligations and restrictions under the GDPR and Switzerland’s laws concern, in particular, in some instances the consent of the individuals to whom the personal data relate, the information provided to the in</w:t>
      </w:r>
      <w:r>
        <w:rPr>
          <w:sz w:val="20"/>
          <w:szCs w:val="20"/>
        </w:rPr>
        <w:t>dividuals, the transfer of personal data out of the European Economic Area (“EEA”) or Switzerland, security breach notifications, security and confidentiality of the personal data, as well as substantial potential fines, in some cases up to 4% of global re</w:t>
      </w:r>
      <w:r>
        <w:rPr>
          <w:sz w:val="20"/>
          <w:szCs w:val="20"/>
        </w:rPr>
        <w:t>venues, for breaches of the data protection obligations. Data protection authorities from the different EU Member States and the EEA may interpret the GDPR and applicable related national laws differently which could effectively result in requirements addi</w:t>
      </w:r>
      <w:r>
        <w:rPr>
          <w:sz w:val="20"/>
          <w:szCs w:val="20"/>
        </w:rPr>
        <w:t>tional to those currently understood to apply under the GDPR. In addition, guidance on implementation and compliance practices may be updated or otherwise revised, which adds to the complexity of processing personal data in the EU. When processing personal</w:t>
      </w:r>
      <w:r>
        <w:rPr>
          <w:sz w:val="20"/>
          <w:szCs w:val="20"/>
        </w:rPr>
        <w:t xml:space="preserve"> data of subjects in the EU, we have to comply with applicable data protection and electronic communications laws. In particular, as we rely on service providers processing personal data of subjects in the EU, we have to enter into suitable contract terms </w:t>
      </w:r>
      <w:r>
        <w:rPr>
          <w:sz w:val="20"/>
          <w:szCs w:val="20"/>
        </w:rPr>
        <w:t>with such providers and receive sufficient guarantees that such providers meet the requirements of the applicable data protection laws, particularly the GDPR which imposes specific and relevant obligations</w:t>
      </w:r>
      <w:r>
        <w:rPr>
          <w:sz w:val="20"/>
          <w:szCs w:val="20"/>
        </w:rPr>
        <w:t>.</w:t>
      </w:r>
    </w:p>
    <w:p w:rsidR="00000000" w:rsidRDefault="001E618F">
      <w:pPr>
        <w:pStyle w:val="a3"/>
        <w:spacing w:before="0" w:beforeAutospacing="0" w:after="200" w:afterAutospacing="0"/>
        <w:ind w:firstLine="720"/>
        <w:divId w:val="346761505"/>
        <w:rPr>
          <w:sz w:val="20"/>
          <w:szCs w:val="20"/>
        </w:rPr>
      </w:pPr>
      <w:r>
        <w:rPr>
          <w:sz w:val="20"/>
          <w:szCs w:val="20"/>
        </w:rPr>
        <w:t>Legal mechanisms to allow for the transfer of per</w:t>
      </w:r>
      <w:r>
        <w:rPr>
          <w:sz w:val="20"/>
          <w:szCs w:val="20"/>
        </w:rPr>
        <w:t>sonal data from the EEA to the US have been challenged in the European Court of Justice, which generally increases uncertainty around compliance with EU privacy law requirements as these relate to transfer of data from the EU to the US. In 2016, the Europe</w:t>
      </w:r>
      <w:r>
        <w:rPr>
          <w:sz w:val="20"/>
          <w:szCs w:val="20"/>
        </w:rPr>
        <w:t>an Commission and the US Department of Commerce (“DOC”) put in place the EU US “Privacy Shield,” which has been relied on by some US companies since that time to transfer data to the US. However, on July 16, 2020, the European Court of Justice ruled that t</w:t>
      </w:r>
      <w:r>
        <w:rPr>
          <w:sz w:val="20"/>
          <w:szCs w:val="20"/>
        </w:rPr>
        <w:t>he Privacy Shield is invalid. As a result, from July 16, 2020 companies could no longer rely on the Privacy Shield as a basis on which to transfer personal data from the EU to the US. Data exporters and US-based companies are permitted to rely on other aut</w:t>
      </w:r>
      <w:r>
        <w:rPr>
          <w:sz w:val="20"/>
          <w:szCs w:val="20"/>
        </w:rPr>
        <w:t>horized means and procedures to transfer personal data subject to the GDPR to the US. Recent changes have been made to another commonly used authorized procedure to transfer personal data out of the EU, the European Commission’s Standard Contractual Clause</w:t>
      </w:r>
      <w:r>
        <w:rPr>
          <w:sz w:val="20"/>
          <w:szCs w:val="20"/>
        </w:rPr>
        <w:t>s (SCCs). In June 2021, the European Commission published updated versions of the SCCs, which, if companies are relying on them as the mechanism to transfer personal information from the EEA to the US (or to other jurisdictions not recognized as adequate b</w:t>
      </w:r>
      <w:r>
        <w:rPr>
          <w:sz w:val="20"/>
          <w:szCs w:val="20"/>
        </w:rPr>
        <w:t>y the EU), must be incorporated into new and existing agreements within prescribed timeframes. The UK is expected to publish final versions of their own SCCs during 2022. Updating agreements to incorporate these new SCCs for the EEA and UK may require sign</w:t>
      </w:r>
      <w:r>
        <w:rPr>
          <w:sz w:val="20"/>
          <w:szCs w:val="20"/>
        </w:rPr>
        <w:t>ificant time and resources to implement, including through adjusting our operations, conducting requisite data transfer assessments, and revising our contracts. Companies that have not taken steps to demonstrate that their SCCs and personal data recipients</w:t>
      </w:r>
      <w:r>
        <w:rPr>
          <w:sz w:val="20"/>
          <w:szCs w:val="20"/>
        </w:rPr>
        <w:t xml:space="preserve"> in the US or other non-adequate jurisdictions are suitable to receive the personal data may be subject to enforcement actions by competent authorities in the EU for failure to comply with related data privacy rules. </w:t>
      </w:r>
    </w:p>
    <w:p w:rsidR="00000000" w:rsidRDefault="001E618F">
      <w:pPr>
        <w:pStyle w:val="a3"/>
        <w:spacing w:before="0" w:beforeAutospacing="0" w:after="200" w:afterAutospacing="0"/>
        <w:ind w:firstLine="720"/>
        <w:divId w:val="346761505"/>
        <w:rPr>
          <w:sz w:val="20"/>
          <w:szCs w:val="20"/>
        </w:rPr>
      </w:pPr>
      <w:r>
        <w:rPr>
          <w:sz w:val="20"/>
          <w:szCs w:val="20"/>
        </w:rPr>
        <w:t>If we or our vendors fail to comply wi</w:t>
      </w:r>
      <w:r>
        <w:rPr>
          <w:sz w:val="20"/>
          <w:szCs w:val="20"/>
        </w:rPr>
        <w:t>th applicable data privacy laws concerning, or if the legal mechanisms we or our vendors rely upon to allow, the transfer of personal data from the EEA or Switzerland to the US (or other countries not considered by the European Commission to provide an ade</w:t>
      </w:r>
      <w:r>
        <w:rPr>
          <w:sz w:val="20"/>
          <w:szCs w:val="20"/>
        </w:rPr>
        <w:t>quate level of data protection) are not considered adequate, we could be subject to government enforcement actions, including an order to stop transferring the personal data outside of the EEA and significant penalties against us. Moreover, our business co</w:t>
      </w:r>
      <w:r>
        <w:rPr>
          <w:sz w:val="20"/>
          <w:szCs w:val="20"/>
        </w:rPr>
        <w:t>uld be adversely impacted if our ability to transfer personal data out of the EEA or Switzerland to the US is restricted, which could adversely impact our operating results.</w:t>
      </w:r>
    </w:p>
    <w:p w:rsidR="00000000" w:rsidRDefault="001E618F">
      <w:pPr>
        <w:pStyle w:val="a3"/>
        <w:spacing w:before="0" w:beforeAutospacing="0" w:after="200" w:afterAutospacing="0"/>
        <w:ind w:firstLine="720"/>
        <w:divId w:val="346761505"/>
        <w:rPr>
          <w:sz w:val="20"/>
          <w:szCs w:val="20"/>
        </w:rPr>
      </w:pPr>
      <w:r>
        <w:rPr>
          <w:sz w:val="20"/>
          <w:szCs w:val="20"/>
        </w:rPr>
        <w:t>Failure to comply with data protection laws and regulations could result in unfavo</w:t>
      </w:r>
      <w:r>
        <w:rPr>
          <w:sz w:val="20"/>
          <w:szCs w:val="20"/>
        </w:rPr>
        <w:t>rable outcomes, including increased compliance costs, delays or impediments in the development of new products, increased operating costs, diversion of management time and attention, government enforcement actions and create liability for us (which could i</w:t>
      </w:r>
      <w:r>
        <w:rPr>
          <w:sz w:val="20"/>
          <w:szCs w:val="20"/>
        </w:rPr>
        <w:t>nclude civil, administrative, and/or criminal penalties), private litigation and/or adverse publicity that could negatively affect our operating results and business.</w:t>
      </w:r>
    </w:p>
    <w:p w:rsidR="00000000" w:rsidRDefault="001E618F">
      <w:pPr>
        <w:pStyle w:val="a3"/>
        <w:spacing w:before="360" w:beforeAutospacing="0" w:after="0" w:afterAutospacing="0"/>
        <w:jc w:val="center"/>
        <w:divId w:val="2098820593"/>
        <w:rPr>
          <w:sz w:val="20"/>
          <w:szCs w:val="20"/>
        </w:rPr>
      </w:pPr>
      <w:r>
        <w:rPr>
          <w:sz w:val="20"/>
          <w:szCs w:val="20"/>
        </w:rPr>
        <w:t>57</w:t>
      </w:r>
    </w:p>
    <w:p w:rsidR="00000000" w:rsidRDefault="001E618F">
      <w:pPr>
        <w:pStyle w:val="a3"/>
        <w:spacing w:before="0" w:beforeAutospacing="0" w:after="600" w:afterAutospacing="0"/>
        <w:divId w:val="130905261"/>
        <w:rPr>
          <w:sz w:val="20"/>
          <w:szCs w:val="20"/>
        </w:rPr>
      </w:pPr>
      <w:hyperlink w:anchor="TOC" w:history="1">
        <w:r>
          <w:rPr>
            <w:rStyle w:val="a4"/>
            <w:sz w:val="20"/>
            <w:szCs w:val="20"/>
          </w:rPr>
          <w:t>Table of Contents</w:t>
        </w:r>
      </w:hyperlink>
    </w:p>
    <w:p w:rsidR="00000000" w:rsidRDefault="001E618F">
      <w:pPr>
        <w:pStyle w:val="a3"/>
        <w:spacing w:before="0" w:beforeAutospacing="0" w:after="120" w:afterAutospacing="0"/>
        <w:divId w:val="886183648"/>
        <w:rPr>
          <w:sz w:val="20"/>
          <w:szCs w:val="20"/>
        </w:rPr>
      </w:pPr>
      <w:r>
        <w:rPr>
          <w:b/>
          <w:bCs/>
          <w:i/>
          <w:iCs/>
          <w:sz w:val="20"/>
          <w:szCs w:val="20"/>
        </w:rPr>
        <w:t>Changes in healthcare law and implementing regulations, including government restrictions on pricing and reimbursement, as well as healthcare policy and other healthcare payor cost-containment initiatives, may negatively impact us, our collaboration partne</w:t>
      </w:r>
      <w:r>
        <w:rPr>
          <w:b/>
          <w:bCs/>
          <w:i/>
          <w:iCs/>
          <w:sz w:val="20"/>
          <w:szCs w:val="20"/>
        </w:rPr>
        <w:t>rs, or those commercializing products with respect to which we have an economic interest or right to receive royalties.</w:t>
      </w:r>
    </w:p>
    <w:p w:rsidR="00000000" w:rsidRDefault="001E618F">
      <w:pPr>
        <w:pStyle w:val="a3"/>
        <w:spacing w:before="0" w:beforeAutospacing="0" w:after="200" w:afterAutospacing="0"/>
        <w:ind w:firstLine="720"/>
        <w:divId w:val="886183648"/>
        <w:rPr>
          <w:sz w:val="20"/>
          <w:szCs w:val="20"/>
        </w:rPr>
      </w:pPr>
      <w:r>
        <w:rPr>
          <w:sz w:val="20"/>
          <w:szCs w:val="20"/>
        </w:rPr>
        <w:t>The continuing efforts of the government, insurance companies, managed care organizations and other payors of health care costs to conta</w:t>
      </w:r>
      <w:r>
        <w:rPr>
          <w:sz w:val="20"/>
          <w:szCs w:val="20"/>
        </w:rPr>
        <w:t>in or reduce costs of health care may adversely affect us, our collaboration partners, or those commercializing products with respect to which we have an economic interest or right to receive royalties in regard to one or more of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86183648"/>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abil</w:t>
            </w:r>
            <w:r>
              <w:rPr>
                <w:rFonts w:eastAsia="Times New Roman"/>
                <w:sz w:val="20"/>
                <w:szCs w:val="20"/>
              </w:rPr>
              <w:t>ity to set and collect a price believed to be reasonable for products;</w:t>
            </w:r>
          </w:p>
        </w:tc>
      </w:tr>
    </w:tbl>
    <w:p w:rsidR="00000000" w:rsidRDefault="001E618F">
      <w:pPr>
        <w:pStyle w:val="a3"/>
        <w:spacing w:before="0" w:beforeAutospacing="0" w:after="0" w:afterAutospacing="0"/>
        <w:ind w:left="1080"/>
        <w:divId w:val="88618364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86183648"/>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ability to generate revenues and achieve profitability; and</w:t>
            </w:r>
          </w:p>
        </w:tc>
      </w:tr>
    </w:tbl>
    <w:p w:rsidR="00000000" w:rsidRDefault="001E618F">
      <w:pPr>
        <w:pStyle w:val="a3"/>
        <w:spacing w:before="0" w:beforeAutospacing="0" w:after="0" w:afterAutospacing="0"/>
        <w:ind w:left="1080"/>
        <w:divId w:val="88618364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86183648"/>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availability of capital.</w:t>
            </w:r>
          </w:p>
        </w:tc>
      </w:tr>
    </w:tbl>
    <w:p w:rsidR="00000000" w:rsidRDefault="001E618F">
      <w:pPr>
        <w:pStyle w:val="a3"/>
        <w:spacing w:before="0" w:beforeAutospacing="0" w:after="0" w:afterAutospacing="0"/>
        <w:divId w:val="886183648"/>
        <w:rPr>
          <w:sz w:val="20"/>
          <w:szCs w:val="20"/>
        </w:rPr>
      </w:pPr>
      <w:r>
        <w:rPr>
          <w:sz w:val="20"/>
          <w:szCs w:val="20"/>
        </w:rPr>
        <w:t>​</w:t>
      </w:r>
    </w:p>
    <w:p w:rsidR="00000000" w:rsidRDefault="001E618F">
      <w:pPr>
        <w:pStyle w:val="a3"/>
        <w:spacing w:before="0" w:beforeAutospacing="0" w:after="200" w:afterAutospacing="0"/>
        <w:ind w:firstLine="720"/>
        <w:divId w:val="886183648"/>
        <w:rPr>
          <w:sz w:val="20"/>
          <w:szCs w:val="20"/>
        </w:rPr>
      </w:pPr>
      <w:r>
        <w:rPr>
          <w:sz w:val="20"/>
          <w:szCs w:val="20"/>
        </w:rPr>
        <w:t>The pricing and reimbursement environment for products may change in the future and become more challenging due to, among other reasons, policies advanced by the presidential administration, federal agencies, new healthcare legislation passed by Congress o</w:t>
      </w:r>
      <w:r>
        <w:rPr>
          <w:sz w:val="20"/>
          <w:szCs w:val="20"/>
        </w:rPr>
        <w:t>r fiscal challenges faced by all levels of government health administration authorities. Among policy makers and payors in the US and elsewhere, there is significant interest in promoting changes in healthcare systems with the stated goals of containing he</w:t>
      </w:r>
      <w:r>
        <w:rPr>
          <w:sz w:val="20"/>
          <w:szCs w:val="20"/>
        </w:rPr>
        <w:t>althcare costs, improving quality and expanding access to healthcare. In the US, the pharmaceutical industry has been a particular focus of these efforts and has been and may in the future be significantly affected by major regulatory or legislative initia</w:t>
      </w:r>
      <w:r>
        <w:rPr>
          <w:sz w:val="20"/>
          <w:szCs w:val="20"/>
        </w:rPr>
        <w:t>tives, including those related to pricing of or reimbursement for prescription drugs. We expect we, our collaboration partners or those commercializing products with respect to which we have an economic interest or right to receive royalties may experience</w:t>
      </w:r>
      <w:r>
        <w:rPr>
          <w:sz w:val="20"/>
          <w:szCs w:val="20"/>
        </w:rPr>
        <w:t xml:space="preserve"> pricing pressures in connection with the sale of drug products, due to the trend toward managed healthcare, the increasing influence of health maintenance organizations and additional legislative enactments and administrative policies.</w:t>
      </w:r>
    </w:p>
    <w:p w:rsidR="00000000" w:rsidRDefault="001E618F">
      <w:pPr>
        <w:pStyle w:val="a3"/>
        <w:spacing w:before="0" w:beforeAutospacing="0" w:after="200" w:afterAutospacing="0"/>
        <w:ind w:firstLine="720"/>
        <w:divId w:val="886183648"/>
        <w:rPr>
          <w:sz w:val="20"/>
          <w:szCs w:val="20"/>
        </w:rPr>
      </w:pPr>
      <w:r>
        <w:rPr>
          <w:sz w:val="20"/>
          <w:szCs w:val="20"/>
        </w:rPr>
        <w:t>The Patient Protect</w:t>
      </w:r>
      <w:r>
        <w:rPr>
          <w:sz w:val="20"/>
          <w:szCs w:val="20"/>
        </w:rPr>
        <w:t>ion and Affordable Care Act, as amended (the “Healthcare Reform Act”), is a sweeping measure intended to expand healthcare coverage within the US, primarily through the imposition of health insurance mandates on employers and individuals (the latter of whi</w:t>
      </w:r>
      <w:r>
        <w:rPr>
          <w:sz w:val="20"/>
          <w:szCs w:val="20"/>
        </w:rPr>
        <w:t>ch since made non-enforceable), the provision of subsidies to eligible individuals enrolled in plans offered on the health insurance exchanges, and expansion of the Medicaid program. This law has substantially changed the way healthcare is financed by both</w:t>
      </w:r>
      <w:r>
        <w:rPr>
          <w:sz w:val="20"/>
          <w:szCs w:val="20"/>
        </w:rPr>
        <w:t xml:space="preserve"> governmental and private insurers and has significantly impacted the pharmaceutical industry. The Healthcare Reform Act contains a number of provisions that impact our business and operations, including those governing enrollment in federal healthcare pro</w:t>
      </w:r>
      <w:r>
        <w:rPr>
          <w:sz w:val="20"/>
          <w:szCs w:val="20"/>
        </w:rPr>
        <w:t>grams, reimbursement changes, benefits for patients within a coverage gap in the Medicare Part D prescription drug program (commonly known as the “donut hole”), rules regarding prescription drug benefits under the health insurance exchanges, changes to the</w:t>
      </w:r>
      <w:r>
        <w:rPr>
          <w:sz w:val="20"/>
          <w:szCs w:val="20"/>
        </w:rPr>
        <w:t xml:space="preserve"> Medicare Drug Rebate program, expansion of the Public Health Service Act’s 340B drug pricing program, fraud and abuse and enforcement. These changes have impacted previously existing government healthcare programs and have resulted in the development of n</w:t>
      </w:r>
      <w:r>
        <w:rPr>
          <w:sz w:val="20"/>
          <w:szCs w:val="20"/>
        </w:rPr>
        <w:t>ew programs, including Medicare payment for performance initiatives and improvements to the physician quality reporting system and feedback program.</w:t>
      </w:r>
    </w:p>
    <w:p w:rsidR="00000000" w:rsidRDefault="001E618F">
      <w:pPr>
        <w:pStyle w:val="a3"/>
        <w:spacing w:before="0" w:beforeAutospacing="0" w:after="0" w:afterAutospacing="0"/>
        <w:ind w:firstLine="720"/>
        <w:divId w:val="886183648"/>
        <w:rPr>
          <w:sz w:val="20"/>
          <w:szCs w:val="20"/>
        </w:rPr>
      </w:pPr>
      <w:r>
        <w:rPr>
          <w:sz w:val="20"/>
          <w:szCs w:val="20"/>
        </w:rPr>
        <w:t>Congress could enact additional legislation that further increases Medicaid drug rebates or other costs and</w:t>
      </w:r>
      <w:r>
        <w:rPr>
          <w:sz w:val="20"/>
          <w:szCs w:val="20"/>
        </w:rPr>
        <w:t xml:space="preserve"> charges associated with participating in the Medicaid Drug Rebate program or other government programs. For example, Congress is considering Medicare Part B inflation rebate, under which manufacturers would owe additional rebates if the average sales pric</w:t>
      </w:r>
      <w:r>
        <w:rPr>
          <w:sz w:val="20"/>
          <w:szCs w:val="20"/>
        </w:rPr>
        <w:t>e of a drug were to increase faster than the pace of inflation. Congress also could enact a drug price negotiation program under which the prices for certain high Medicare spend single source drugs would be capped by reference to the non-federal average ma</w:t>
      </w:r>
      <w:r>
        <w:rPr>
          <w:sz w:val="20"/>
          <w:szCs w:val="20"/>
        </w:rPr>
        <w:t>nufacturer price. These or any other legislative changes could impact the market conditions for our products. We further expect continued scrutiny on government price reporting from Congress, agencies, and other bodies.</w:t>
      </w:r>
      <w:r>
        <w:t xml:space="preserve"> </w:t>
      </w:r>
    </w:p>
    <w:p w:rsidR="00000000" w:rsidRDefault="001E618F">
      <w:pPr>
        <w:pStyle w:val="a3"/>
        <w:spacing w:before="0" w:beforeAutospacing="0" w:after="0" w:afterAutospacing="0"/>
        <w:divId w:val="886183648"/>
        <w:rPr>
          <w:sz w:val="20"/>
          <w:szCs w:val="20"/>
        </w:rPr>
      </w:pPr>
      <w:r>
        <w:t>​</w:t>
      </w:r>
    </w:p>
    <w:p w:rsidR="00000000" w:rsidRDefault="001E618F">
      <w:pPr>
        <w:pStyle w:val="a3"/>
        <w:spacing w:before="0" w:beforeAutospacing="0" w:after="0" w:afterAutospacing="0"/>
        <w:ind w:firstLine="720"/>
        <w:divId w:val="886183648"/>
        <w:rPr>
          <w:sz w:val="20"/>
          <w:szCs w:val="20"/>
        </w:rPr>
      </w:pPr>
      <w:r>
        <w:rPr>
          <w:sz w:val="20"/>
          <w:szCs w:val="20"/>
        </w:rPr>
        <w:t>On December 21, 2020, CMS issued a final regulation that modified prior Medicaid Drug Rebate program regulations to permit reporting multiple best price figures with regard to value-based purchasing arrangements (beginning in 2022); provide definitions for</w:t>
      </w:r>
      <w:r>
        <w:rPr>
          <w:sz w:val="20"/>
          <w:szCs w:val="20"/>
        </w:rPr>
        <w:t xml:space="preserve"> “line extension,” “new formulation,” and related terms, with the practical effect of expanding the scope of drugs considered to be line extensions that are subject to an alternative rebate formula (beginning in 2022); and revise best price and average man</w:t>
      </w:r>
      <w:r>
        <w:rPr>
          <w:sz w:val="20"/>
          <w:szCs w:val="20"/>
        </w:rPr>
        <w:t xml:space="preserve">ufacturer price exclusions of manufacturer-sponsored patient benefit programs, specifically </w:t>
      </w:r>
    </w:p>
    <w:p w:rsidR="00000000" w:rsidRDefault="001E618F">
      <w:pPr>
        <w:pStyle w:val="a3"/>
        <w:spacing w:before="360" w:beforeAutospacing="0" w:after="0" w:afterAutospacing="0"/>
        <w:jc w:val="center"/>
        <w:divId w:val="287323856"/>
        <w:rPr>
          <w:sz w:val="20"/>
          <w:szCs w:val="20"/>
        </w:rPr>
      </w:pPr>
      <w:r>
        <w:rPr>
          <w:sz w:val="20"/>
          <w:szCs w:val="20"/>
        </w:rPr>
        <w:t>58</w:t>
      </w:r>
    </w:p>
    <w:p w:rsidR="00000000" w:rsidRDefault="001E618F">
      <w:pPr>
        <w:pStyle w:val="a3"/>
        <w:spacing w:before="0" w:beforeAutospacing="0" w:after="600" w:afterAutospacing="0"/>
        <w:divId w:val="1660885366"/>
        <w:rPr>
          <w:sz w:val="20"/>
          <w:szCs w:val="20"/>
        </w:rPr>
      </w:pPr>
      <w:hyperlink w:anchor="TOC" w:history="1">
        <w:r>
          <w:rPr>
            <w:rStyle w:val="a4"/>
            <w:sz w:val="20"/>
            <w:szCs w:val="20"/>
          </w:rPr>
          <w:t>Table of Contents</w:t>
        </w:r>
      </w:hyperlink>
    </w:p>
    <w:p w:rsidR="00000000" w:rsidRDefault="001E618F">
      <w:pPr>
        <w:pStyle w:val="a3"/>
        <w:spacing w:before="0" w:beforeAutospacing="0" w:after="200" w:afterAutospacing="0"/>
        <w:divId w:val="1505896743"/>
        <w:rPr>
          <w:sz w:val="20"/>
          <w:szCs w:val="20"/>
        </w:rPr>
      </w:pPr>
      <w:r>
        <w:rPr>
          <w:sz w:val="20"/>
          <w:szCs w:val="20"/>
        </w:rPr>
        <w:t>regarding applicability of such exclusions in the context of pharmacy benefit manager “accumulator” programs (beginn</w:t>
      </w:r>
      <w:r>
        <w:rPr>
          <w:sz w:val="20"/>
          <w:szCs w:val="20"/>
        </w:rPr>
        <w:t>ing in 2023). The issuance of regulations and coverage expansion by various governmental agencies relating to the Medicaid Drug Rebate program has increased and will continue to increase the costs and the complexity of compliance, has been and will be time</w:t>
      </w:r>
      <w:r>
        <w:rPr>
          <w:sz w:val="20"/>
          <w:szCs w:val="20"/>
        </w:rPr>
        <w:t xml:space="preserve">-consuming to implement, and could have a material adverse effect on results of operations for us, our collaboration partners, or those commercializing products with respect to which we have an economic interest or right to receive royalties, particularly </w:t>
      </w:r>
      <w:r>
        <w:rPr>
          <w:sz w:val="20"/>
          <w:szCs w:val="20"/>
        </w:rPr>
        <w:t>if CMS challenges the approach taken in the implementation of the final regulations.</w:t>
      </w:r>
    </w:p>
    <w:p w:rsidR="00000000" w:rsidRDefault="001E618F">
      <w:pPr>
        <w:pStyle w:val="a3"/>
        <w:spacing w:before="0" w:beforeAutospacing="0" w:after="200" w:afterAutospacing="0"/>
        <w:ind w:firstLine="720"/>
        <w:divId w:val="1505896743"/>
        <w:rPr>
          <w:sz w:val="20"/>
          <w:szCs w:val="20"/>
        </w:rPr>
      </w:pPr>
      <w:r>
        <w:rPr>
          <w:sz w:val="20"/>
          <w:szCs w:val="20"/>
        </w:rPr>
        <w:t>Certain provisions of the Healthcare Reform Act have been subject to judicial challenges as well as efforts to modify them or to alter their interpretation or implementati</w:t>
      </w:r>
      <w:r>
        <w:rPr>
          <w:sz w:val="20"/>
          <w:szCs w:val="20"/>
        </w:rPr>
        <w:t xml:space="preserve">on. For example, the Tax Cuts and Jobs Act enacted on December 22, 2017 (the “Tax Act”), eliminated the shared responsibility payment for individuals who fail to maintain minimum essential coverage under section 5000A of the Internal Revenue Code of 1986, </w:t>
      </w:r>
      <w:r>
        <w:rPr>
          <w:sz w:val="20"/>
          <w:szCs w:val="20"/>
        </w:rPr>
        <w:t>commonly referred to as the individual mandate, effective January 1, 2019. Additional legislative changes to and regulatory changes under the Healthcare Reform Act remain possible, but the nature and extent of such potential additional changes are uncertai</w:t>
      </w:r>
      <w:r>
        <w:rPr>
          <w:sz w:val="20"/>
          <w:szCs w:val="20"/>
        </w:rPr>
        <w:t>n at this time. We expect that the Healthcare Reform Act, its implementation, efforts to modify, or invalidate the Healthcare Reform Act, or portions thereof, or its implementation, and other healthcare reform measures that may be adopted in the future, co</w:t>
      </w:r>
      <w:r>
        <w:rPr>
          <w:sz w:val="20"/>
          <w:szCs w:val="20"/>
        </w:rPr>
        <w:t>uld have a material adverse effect on our industry generally and on the ability of us, our collaboration partners, or those commercializing products with respect to which we have an economic interest or right to receive royalties to maintain or increase sa</w:t>
      </w:r>
      <w:r>
        <w:rPr>
          <w:sz w:val="20"/>
          <w:szCs w:val="20"/>
        </w:rPr>
        <w:t>les of existing products or to successfully commercialize product candidates, if approved.</w:t>
      </w:r>
    </w:p>
    <w:p w:rsidR="00000000" w:rsidRDefault="001E618F">
      <w:pPr>
        <w:pStyle w:val="a3"/>
        <w:spacing w:before="0" w:beforeAutospacing="0" w:after="0" w:afterAutospacing="0"/>
        <w:ind w:firstLine="720"/>
        <w:divId w:val="1505896743"/>
        <w:rPr>
          <w:sz w:val="20"/>
          <w:szCs w:val="20"/>
        </w:rPr>
      </w:pPr>
      <w:r>
        <w:rPr>
          <w:sz w:val="20"/>
          <w:szCs w:val="20"/>
        </w:rPr>
        <w:t>The Bipartisan Budget Act of 2018, among other things, amended the Healthcare Reform Act to increase the point-of-sale discounts that manufacturers must agree to off</w:t>
      </w:r>
      <w:r>
        <w:rPr>
          <w:sz w:val="20"/>
          <w:szCs w:val="20"/>
        </w:rPr>
        <w:t>er under the Medicare Part D coverage discount program from 50% to 70% off negotiated prices of applicable brand drugs to eligible beneficiaries during their coverage gap period, as a condition for the manufacturer’s outpatient drugs to be covered under Me</w:t>
      </w:r>
      <w:r>
        <w:rPr>
          <w:sz w:val="20"/>
          <w:szCs w:val="20"/>
        </w:rPr>
        <w:t xml:space="preserve">dicare Part D. Civil monetary penalties can be applied if a manufacturer fails to provide these discounts in the amount of 125 percent of the discount that was due. Congress could enact legislation that sunsets this discount program and replaces it with a </w:t>
      </w:r>
      <w:r>
        <w:rPr>
          <w:sz w:val="20"/>
          <w:szCs w:val="20"/>
        </w:rPr>
        <w:t>new manufacturer discount program. Congress further could enact a Medicare Part D inflation rebate, under which manufacturers would owe additional rebates if the average manufacturer price of a drug were to increase faster than the pace of inflation.</w:t>
      </w:r>
      <w:r>
        <w:t xml:space="preserve"> </w:t>
      </w:r>
    </w:p>
    <w:p w:rsidR="00000000" w:rsidRDefault="001E618F">
      <w:pPr>
        <w:pStyle w:val="a3"/>
        <w:spacing w:before="0" w:beforeAutospacing="0" w:after="0" w:afterAutospacing="0"/>
        <w:divId w:val="1505896743"/>
        <w:rPr>
          <w:sz w:val="20"/>
          <w:szCs w:val="20"/>
        </w:rPr>
      </w:pPr>
      <w:r>
        <w:t>​</w:t>
      </w:r>
    </w:p>
    <w:p w:rsidR="00000000" w:rsidRDefault="001E618F">
      <w:pPr>
        <w:pStyle w:val="a3"/>
        <w:spacing w:before="0" w:beforeAutospacing="0" w:after="200" w:afterAutospacing="0"/>
        <w:ind w:firstLine="720"/>
        <w:divId w:val="1505896743"/>
        <w:rPr>
          <w:sz w:val="20"/>
          <w:szCs w:val="20"/>
        </w:rPr>
      </w:pPr>
      <w:r>
        <w:rPr>
          <w:sz w:val="20"/>
          <w:szCs w:val="20"/>
        </w:rPr>
        <w:t>Ad</w:t>
      </w:r>
      <w:r>
        <w:rPr>
          <w:sz w:val="20"/>
          <w:szCs w:val="20"/>
        </w:rPr>
        <w:t>ditionally, in November 2020, the US Department of Health and Human Services finalized a previously abandoned proposal to amend the discount safe harbor regulation of the federal anti-kickback statute in a purported effort to create incentives to manufactu</w:t>
      </w:r>
      <w:r>
        <w:rPr>
          <w:sz w:val="20"/>
          <w:szCs w:val="20"/>
        </w:rPr>
        <w:t>rers to lower their list prices, and to lower federal program beneficiary out-of-pocket costs. The rule, for which the effective date was delayed to 2026 in the 2021 Infrastructure Investment and Jobs Act, revises the discount safe harbor to exclude manufa</w:t>
      </w:r>
      <w:r>
        <w:rPr>
          <w:sz w:val="20"/>
          <w:szCs w:val="20"/>
        </w:rPr>
        <w:t>cturer rebates to Medicare Part D plans, either directly or through pharmacy benefit managers (“PBMs”), creates a new safe harbor for point-of-sale price reductions that are set in advance and are available to the beneficiary at the point-of-sale, and crea</w:t>
      </w:r>
      <w:r>
        <w:rPr>
          <w:sz w:val="20"/>
          <w:szCs w:val="20"/>
        </w:rPr>
        <w:t xml:space="preserve">tes a new safe harbor for service fees paid by manufacturers to PBMs for services rendered to the manufacturer. It is unclear whether the rule will be further delayed, rewritten, or allowed to go into effect, and if so, what the effect of the rule will be </w:t>
      </w:r>
      <w:r>
        <w:rPr>
          <w:sz w:val="20"/>
          <w:szCs w:val="20"/>
        </w:rPr>
        <w:t>on negotiations of coverage for our products with Medicare Part D plans, or whether the rule will affect our coverage arrangements with commercial insurers. It is also unclear whether the rule will have the intended effect of reducing net prices and benefi</w:t>
      </w:r>
      <w:r>
        <w:rPr>
          <w:sz w:val="20"/>
          <w:szCs w:val="20"/>
        </w:rPr>
        <w:t>ciary out-of-pocket costs without also increasing Medicare Part D premiums, which may impact the willingness of Part D plans to cover our products and the price concessions or other terms the plans or their PBMs may seek from us. There have been other prop</w:t>
      </w:r>
      <w:r>
        <w:rPr>
          <w:sz w:val="20"/>
          <w:szCs w:val="20"/>
        </w:rPr>
        <w:t>osals to modify the Medicare Part D benefit, including by imposing federally mandated rebates on all drugs dispensed to Medicare Part D enrollees or on only those drugs dispensed to certain groups of lower income beneficiaries. If any of these proposals ar</w:t>
      </w:r>
      <w:r>
        <w:rPr>
          <w:sz w:val="20"/>
          <w:szCs w:val="20"/>
        </w:rPr>
        <w:t>e adopted including any that result in additional rebates, this could have a negative impact on revenues for our collaboration partners, or those commercializing products with respect to which we have an economic interest or right to receive royalties, whi</w:t>
      </w:r>
      <w:r>
        <w:rPr>
          <w:sz w:val="20"/>
          <w:szCs w:val="20"/>
        </w:rPr>
        <w:t>ch could impact our revenues</w:t>
      </w:r>
      <w:r>
        <w:rPr>
          <w:sz w:val="20"/>
          <w:szCs w:val="20"/>
        </w:rPr>
        <w:t>.</w:t>
      </w:r>
    </w:p>
    <w:p w:rsidR="00000000" w:rsidRDefault="001E618F">
      <w:pPr>
        <w:pStyle w:val="a3"/>
        <w:spacing w:before="0" w:beforeAutospacing="0" w:after="200" w:afterAutospacing="0"/>
        <w:ind w:firstLine="720"/>
        <w:divId w:val="1505896743"/>
        <w:rPr>
          <w:sz w:val="20"/>
          <w:szCs w:val="20"/>
        </w:rPr>
      </w:pPr>
      <w:r>
        <w:rPr>
          <w:sz w:val="20"/>
          <w:szCs w:val="20"/>
        </w:rPr>
        <w:t>On August 2, 2011, the Budget Control Act of 2011, among other things, created the Joint Select Committee on Deficit Reduction to recommend to Congress proposals for spending reductions. The Joint Select Committee did not achi</w:t>
      </w:r>
      <w:r>
        <w:rPr>
          <w:sz w:val="20"/>
          <w:szCs w:val="20"/>
        </w:rPr>
        <w:t>eve a targeted deficit reduction, which triggered the legislation’s automatic reductions. In concert with subsequent legislation, this has resulted in aggregate reductions to Medicare payments to providers of, on average, 2% per fiscal year through 2030 (w</w:t>
      </w:r>
      <w:r>
        <w:rPr>
          <w:sz w:val="20"/>
          <w:szCs w:val="20"/>
        </w:rPr>
        <w:t>ith the exception of a temporary suspension from May 1, 2020 through May 31, 2022, due to the COVID-19 pandemic). The law provides for 1% Medicare sequestration in the second quarter of 2022 and allows the full 2% sequestration thereafter until 2030. To of</w:t>
      </w:r>
      <w:r>
        <w:rPr>
          <w:sz w:val="20"/>
          <w:szCs w:val="20"/>
        </w:rPr>
        <w:t xml:space="preserve">fset the temporary suspension during the COVID-19 pandemic, in 2030, the sequestration will be 2.25% for the first half of the year, and 3% in the second half of the year. As long as these cuts remain in effect, they could adversely impact payment for any </w:t>
      </w:r>
      <w:r>
        <w:rPr>
          <w:sz w:val="20"/>
          <w:szCs w:val="20"/>
        </w:rPr>
        <w:t xml:space="preserve">products that are reimbursed under Medicare. </w:t>
      </w:r>
    </w:p>
    <w:p w:rsidR="00000000" w:rsidRDefault="001E618F">
      <w:pPr>
        <w:pStyle w:val="a3"/>
        <w:spacing w:before="360" w:beforeAutospacing="0" w:after="0" w:afterAutospacing="0"/>
        <w:jc w:val="center"/>
        <w:divId w:val="1103498856"/>
        <w:rPr>
          <w:sz w:val="20"/>
          <w:szCs w:val="20"/>
        </w:rPr>
      </w:pPr>
      <w:r>
        <w:rPr>
          <w:sz w:val="20"/>
          <w:szCs w:val="20"/>
        </w:rPr>
        <w:t>59</w:t>
      </w:r>
    </w:p>
    <w:p w:rsidR="00000000" w:rsidRDefault="001E618F">
      <w:pPr>
        <w:pStyle w:val="a3"/>
        <w:spacing w:before="0" w:beforeAutospacing="0" w:after="600" w:afterAutospacing="0"/>
        <w:divId w:val="1232040705"/>
        <w:rPr>
          <w:sz w:val="20"/>
          <w:szCs w:val="20"/>
        </w:rPr>
      </w:pPr>
      <w:hyperlink w:anchor="TOC" w:history="1">
        <w:r>
          <w:rPr>
            <w:rStyle w:val="a4"/>
            <w:sz w:val="20"/>
            <w:szCs w:val="20"/>
          </w:rPr>
          <w:t>Table of Contents</w:t>
        </w:r>
      </w:hyperlink>
    </w:p>
    <w:p w:rsidR="00000000" w:rsidRDefault="001E618F">
      <w:pPr>
        <w:pStyle w:val="a3"/>
        <w:spacing w:before="0" w:beforeAutospacing="0" w:after="200" w:afterAutospacing="0"/>
        <w:ind w:firstLine="720"/>
        <w:divId w:val="436171129"/>
        <w:rPr>
          <w:sz w:val="20"/>
          <w:szCs w:val="20"/>
        </w:rPr>
      </w:pPr>
      <w:r>
        <w:rPr>
          <w:sz w:val="20"/>
          <w:szCs w:val="20"/>
        </w:rPr>
        <w:t>Individual states in the United States have also increasingly passed legislation and implemented regulations designed to control pharmaceutical and biological prod</w:t>
      </w:r>
      <w:r>
        <w:rPr>
          <w:sz w:val="20"/>
          <w:szCs w:val="20"/>
        </w:rPr>
        <w:t>uct pricing, including price or patient reimbursement limitations, marketing cost disclosure and transparency measures, and, in some cases, measures designed to encourage importation from other countries and bulk purchasing. For example, California has ena</w:t>
      </w:r>
      <w:r>
        <w:rPr>
          <w:sz w:val="20"/>
          <w:szCs w:val="20"/>
        </w:rPr>
        <w:t>cted a prescription drug price transparency law requiring prescription drug manufacturers to provide advance notice and explanation for price increases of certain drugs with prices that exceed a specified threshold, and to report new prescription drugs int</w:t>
      </w:r>
      <w:r>
        <w:rPr>
          <w:sz w:val="20"/>
          <w:szCs w:val="20"/>
        </w:rPr>
        <w:t>roduced to the market at a wholesale acquisition cost exceeding the Medicare Part D specialty drug threshold.</w:t>
      </w:r>
      <w:r>
        <w:rPr>
          <w:sz w:val="20"/>
          <w:szCs w:val="20"/>
        </w:rPr>
        <w:t xml:space="preserve"> </w:t>
      </w:r>
    </w:p>
    <w:p w:rsidR="00000000" w:rsidRDefault="001E618F">
      <w:pPr>
        <w:pStyle w:val="a3"/>
        <w:spacing w:before="0" w:beforeAutospacing="0" w:after="200" w:afterAutospacing="0"/>
        <w:ind w:firstLine="720"/>
        <w:divId w:val="436171129"/>
        <w:rPr>
          <w:sz w:val="20"/>
          <w:szCs w:val="20"/>
        </w:rPr>
      </w:pPr>
      <w:r>
        <w:rPr>
          <w:sz w:val="20"/>
          <w:szCs w:val="20"/>
        </w:rPr>
        <w:t>We expect that additional state and federal healthcare reform measures will be adopted in the future, any of which could limit the amounts that f</w:t>
      </w:r>
      <w:r>
        <w:rPr>
          <w:sz w:val="20"/>
          <w:szCs w:val="20"/>
        </w:rPr>
        <w:t xml:space="preserve">ederal and state governments will pay for healthcare products and services, which could result in reduced demand for product or additional pricing pressures for our collaboration partners, or those commercializing products with respect to which we have an </w:t>
      </w:r>
      <w:r>
        <w:rPr>
          <w:sz w:val="20"/>
          <w:szCs w:val="20"/>
        </w:rPr>
        <w:t>economic interest or right to receive royalties, which could impact our revenues.</w:t>
      </w:r>
    </w:p>
    <w:p w:rsidR="00000000" w:rsidRDefault="001E618F">
      <w:pPr>
        <w:pStyle w:val="a3"/>
        <w:spacing w:before="0" w:beforeAutospacing="0" w:after="120" w:afterAutospacing="0"/>
        <w:divId w:val="436171129"/>
        <w:rPr>
          <w:sz w:val="20"/>
          <w:szCs w:val="20"/>
        </w:rPr>
      </w:pPr>
      <w:r>
        <w:rPr>
          <w:b/>
          <w:bCs/>
          <w:i/>
          <w:iCs/>
          <w:sz w:val="20"/>
          <w:szCs w:val="20"/>
        </w:rPr>
        <w:t>If we failed to comply with our reporting and payment obligations under the Medicaid Drug Rebate program or other governmental pricing programs, we could be subject to additi</w:t>
      </w:r>
      <w:r>
        <w:rPr>
          <w:b/>
          <w:bCs/>
          <w:i/>
          <w:iCs/>
          <w:sz w:val="20"/>
          <w:szCs w:val="20"/>
        </w:rPr>
        <w:t>onal reimbursement requirements, penalties, sanctions and fines, which could have a material adverse effect on our business, financial condition, results of operations and growth prospects.</w:t>
      </w:r>
    </w:p>
    <w:p w:rsidR="00000000" w:rsidRDefault="001E618F">
      <w:pPr>
        <w:pStyle w:val="a3"/>
        <w:spacing w:before="0" w:beforeAutospacing="0" w:after="200" w:afterAutospacing="0"/>
        <w:ind w:firstLine="720"/>
        <w:divId w:val="436171129"/>
        <w:rPr>
          <w:sz w:val="20"/>
          <w:szCs w:val="20"/>
        </w:rPr>
      </w:pPr>
      <w:r>
        <w:rPr>
          <w:sz w:val="20"/>
          <w:szCs w:val="20"/>
        </w:rPr>
        <w:t>Prior to the sale of VIBATIV to Cumberland, we had certain price r</w:t>
      </w:r>
      <w:r>
        <w:rPr>
          <w:sz w:val="20"/>
          <w:szCs w:val="20"/>
        </w:rPr>
        <w:t>eporting obligations to the Medicaid Drug Rebate program and other governmental pricing programs, and we had obligations to report average sales price under the Medicare program. Following the consummation of the transaction with Cumberland, our price repo</w:t>
      </w:r>
      <w:r>
        <w:rPr>
          <w:sz w:val="20"/>
          <w:szCs w:val="20"/>
        </w:rPr>
        <w:t>rting obligations related to VIBATIV have been transitioned to Cumberland, and price reporting obligations for YUPELRI reside with Viatris. We retain certain obligations with respect to record retention for these programs.</w:t>
      </w:r>
    </w:p>
    <w:p w:rsidR="00000000" w:rsidRDefault="001E618F">
      <w:pPr>
        <w:pStyle w:val="a3"/>
        <w:spacing w:before="0" w:beforeAutospacing="0" w:after="200" w:afterAutospacing="0"/>
        <w:ind w:firstLine="720"/>
        <w:divId w:val="436171129"/>
        <w:rPr>
          <w:sz w:val="20"/>
          <w:szCs w:val="20"/>
        </w:rPr>
      </w:pPr>
      <w:r>
        <w:rPr>
          <w:sz w:val="20"/>
          <w:szCs w:val="20"/>
        </w:rPr>
        <w:t>Under the Medicaid Drug Rebate pr</w:t>
      </w:r>
      <w:r>
        <w:rPr>
          <w:sz w:val="20"/>
          <w:szCs w:val="20"/>
        </w:rPr>
        <w:t>ogram, a manufacturer is required to pay a rebate to each state Medicaid program for its covered outpatient drugs that are dispensed to Medicaid beneficiaries and paid for by a state Medicaid program as a condition of having federal funds being made availa</w:t>
      </w:r>
      <w:r>
        <w:rPr>
          <w:sz w:val="20"/>
          <w:szCs w:val="20"/>
        </w:rPr>
        <w:t>ble to the states for our drugs under Medicaid and Medicare Part B. Those rebates are based on pricing data reported by the manufacturer on a monthly and quarterly basis to CMS, the federal agency that administers the Medicaid Drug Rebate program. These da</w:t>
      </w:r>
      <w:r>
        <w:rPr>
          <w:sz w:val="20"/>
          <w:szCs w:val="20"/>
        </w:rPr>
        <w:t>ta include the average manufacturer price and, in the case of innovator products, the best price for each drug which, in general, represents the lowest price available from the manufacturer to any entity in the US in any pricing structure, calculated to in</w:t>
      </w:r>
      <w:r>
        <w:rPr>
          <w:sz w:val="20"/>
          <w:szCs w:val="20"/>
        </w:rPr>
        <w:t>clude all sales and associated rebates, discounts and other price concessions. The amount of the rebate is adjusted upward if the average manufacturer price increases at a pace faster than inflation (measured by reference to the Consumer Price Index - Urba</w:t>
      </w:r>
      <w:r>
        <w:rPr>
          <w:sz w:val="20"/>
          <w:szCs w:val="20"/>
        </w:rPr>
        <w:t>n). Currently, the rebate is capped at 100 percent of the average manufacturer price, but, effective January 1, 2024, this cap on the rebate will be removed, and our rebate liability could increase accordingly.</w:t>
      </w:r>
    </w:p>
    <w:p w:rsidR="00000000" w:rsidRDefault="001E618F">
      <w:pPr>
        <w:pStyle w:val="a3"/>
        <w:spacing w:before="0" w:beforeAutospacing="0" w:after="200" w:afterAutospacing="0"/>
        <w:ind w:firstLine="720"/>
        <w:divId w:val="436171129"/>
        <w:rPr>
          <w:sz w:val="20"/>
          <w:szCs w:val="20"/>
        </w:rPr>
      </w:pPr>
      <w:r>
        <w:rPr>
          <w:sz w:val="20"/>
          <w:szCs w:val="20"/>
        </w:rPr>
        <w:t>Federal law requires that any company that pa</w:t>
      </w:r>
      <w:r>
        <w:rPr>
          <w:sz w:val="20"/>
          <w:szCs w:val="20"/>
        </w:rPr>
        <w:t>rticipates in the Medicaid Drug Rebate program also participate in the Public Health Service’s 340B drug pricing program in order for federal funds to be available for the manufacturer’s drugs under Medicaid and Medicare Part B. The 340B program requires p</w:t>
      </w:r>
      <w:r>
        <w:rPr>
          <w:sz w:val="20"/>
          <w:szCs w:val="20"/>
        </w:rPr>
        <w:t>articipating manufacturers to agree to charge no more than the 340B “ceiling price” for the manufacturer’s covered outpatient drugs to a variety of community health clinics and other entities that receive health services grants from the Public Health Servi</w:t>
      </w:r>
      <w:r>
        <w:rPr>
          <w:sz w:val="20"/>
          <w:szCs w:val="20"/>
        </w:rPr>
        <w:t>ce, as well as hospitals that serve a disproportionate share of low-income patients. Manufacturers also are required to report their 340B ceiling prices to HRSA on a quarterly basis, and HRSA then publishes them to 340B covered entities. A final regulation</w:t>
      </w:r>
      <w:r>
        <w:rPr>
          <w:sz w:val="20"/>
          <w:szCs w:val="20"/>
        </w:rPr>
        <w:t xml:space="preserve"> regarding the calculation of the 340B ceiling price and the imposition of civil monetary penalties on manufacturers that knowingly and intentionally overcharge covered entities became effective on January</w:t>
      </w:r>
      <w:r>
        <w:rPr>
          <w:sz w:val="20"/>
          <w:szCs w:val="20"/>
        </w:rPr>
        <w:t> </w:t>
      </w:r>
      <w:r>
        <w:rPr>
          <w:sz w:val="20"/>
          <w:szCs w:val="20"/>
        </w:rPr>
        <w:t>1, 2019. Moreover, under a final regulation effect</w:t>
      </w:r>
      <w:r>
        <w:rPr>
          <w:sz w:val="20"/>
          <w:szCs w:val="20"/>
        </w:rPr>
        <w:t>ive January 13, 2021, HRSA newly established an administrative dispute resolution (“ADR”) process for claims by covered entities that a manufacturer has engaged in overcharging, and by manufacturers that a covered entity violated the prohibitions against d</w:t>
      </w:r>
      <w:r>
        <w:rPr>
          <w:sz w:val="20"/>
          <w:szCs w:val="20"/>
        </w:rPr>
        <w:t xml:space="preserve">iversion or duplicate discounts. Such claims are to be resolved through an ADR panel of government officials rendering a decision that could be appealed only in federal court. An ADR proceeding could subject us to onerous procedural requirements and could </w:t>
      </w:r>
      <w:r>
        <w:rPr>
          <w:sz w:val="20"/>
          <w:szCs w:val="20"/>
        </w:rPr>
        <w:t>result in additional liability.</w:t>
      </w:r>
      <w:r>
        <w:rPr>
          <w:sz w:val="20"/>
          <w:szCs w:val="20"/>
        </w:rPr>
        <w:t xml:space="preserve"> </w:t>
      </w:r>
    </w:p>
    <w:p w:rsidR="00000000" w:rsidRDefault="001E618F">
      <w:pPr>
        <w:pStyle w:val="a3"/>
        <w:spacing w:before="0" w:beforeAutospacing="0" w:after="0" w:afterAutospacing="0"/>
        <w:ind w:firstLine="720"/>
        <w:divId w:val="436171129"/>
        <w:rPr>
          <w:sz w:val="20"/>
          <w:szCs w:val="20"/>
        </w:rPr>
      </w:pPr>
      <w:r>
        <w:rPr>
          <w:sz w:val="20"/>
          <w:szCs w:val="20"/>
        </w:rPr>
        <w:t>Federal law also requires that manufacturers report average sales price information for certain categories of drugs that are paid under the Medicare Part B program to CMS on a quarterly basis. Manufacturers calculate the average sales price based on a stat</w:t>
      </w:r>
      <w:r>
        <w:rPr>
          <w:sz w:val="20"/>
          <w:szCs w:val="20"/>
        </w:rPr>
        <w:t xml:space="preserve">utorily defined formula as well as regulations and interpretations of the statute by CMS. CMS uses these submissions to determine payment rates for drugs under Medicare Part B. Effective January 1, 2023, manufacturers will be </w:t>
      </w:r>
    </w:p>
    <w:p w:rsidR="00000000" w:rsidRDefault="001E618F">
      <w:pPr>
        <w:pStyle w:val="a3"/>
        <w:spacing w:before="360" w:beforeAutospacing="0" w:after="0" w:afterAutospacing="0"/>
        <w:jc w:val="center"/>
        <w:divId w:val="1192036761"/>
        <w:rPr>
          <w:sz w:val="20"/>
          <w:szCs w:val="20"/>
        </w:rPr>
      </w:pPr>
      <w:r>
        <w:rPr>
          <w:sz w:val="20"/>
          <w:szCs w:val="20"/>
        </w:rPr>
        <w:t>60</w:t>
      </w:r>
    </w:p>
    <w:p w:rsidR="00000000" w:rsidRDefault="001E618F">
      <w:pPr>
        <w:pStyle w:val="a3"/>
        <w:spacing w:before="0" w:beforeAutospacing="0" w:after="600" w:afterAutospacing="0"/>
        <w:divId w:val="1523278836"/>
        <w:rPr>
          <w:sz w:val="20"/>
          <w:szCs w:val="20"/>
        </w:rPr>
      </w:pPr>
      <w:hyperlink w:anchor="TOC" w:history="1">
        <w:r>
          <w:rPr>
            <w:rStyle w:val="a4"/>
            <w:sz w:val="20"/>
            <w:szCs w:val="20"/>
          </w:rPr>
          <w:t>Table of Contents</w:t>
        </w:r>
      </w:hyperlink>
    </w:p>
    <w:p w:rsidR="00000000" w:rsidRDefault="001E618F">
      <w:pPr>
        <w:pStyle w:val="a3"/>
        <w:spacing w:before="0" w:beforeAutospacing="0" w:after="200" w:afterAutospacing="0"/>
        <w:divId w:val="805396511"/>
        <w:rPr>
          <w:sz w:val="20"/>
          <w:szCs w:val="20"/>
        </w:rPr>
      </w:pPr>
      <w:r>
        <w:rPr>
          <w:sz w:val="20"/>
          <w:szCs w:val="20"/>
        </w:rPr>
        <w:t>obligated to pay refunds to Medicare for single source drugs or biologicals, or biosimilar biological products, reimbursed under Medicare Part B and packaged in single-dose containers or single-use packages, for units of discarded drug re</w:t>
      </w:r>
      <w:r>
        <w:rPr>
          <w:sz w:val="20"/>
          <w:szCs w:val="20"/>
        </w:rPr>
        <w:t>imbursed by Medicare Part B in excess of 10 percent of total allowed charges under Medicare Part B for that drug. Manufacturers that fail to pay refunds could be subject to civil monetary penalties of 125 percent of the refund amount.</w:t>
      </w:r>
    </w:p>
    <w:p w:rsidR="00000000" w:rsidRDefault="001E618F">
      <w:pPr>
        <w:pStyle w:val="a3"/>
        <w:spacing w:before="0" w:beforeAutospacing="0" w:after="200" w:afterAutospacing="0"/>
        <w:ind w:firstLine="720"/>
        <w:divId w:val="805396511"/>
        <w:rPr>
          <w:sz w:val="20"/>
          <w:szCs w:val="20"/>
        </w:rPr>
      </w:pPr>
      <w:r>
        <w:rPr>
          <w:sz w:val="20"/>
          <w:szCs w:val="20"/>
        </w:rPr>
        <w:t>Pricing and rebate ca</w:t>
      </w:r>
      <w:r>
        <w:rPr>
          <w:sz w:val="20"/>
          <w:szCs w:val="20"/>
        </w:rPr>
        <w:t>lculations vary across products and programs, are complex, and are often subject to interpretation by the manufacturer, governmental or regulatory agencies and the courts. A manufacturer that becomes aware that its Medicaid reporting for a prior quarter wa</w:t>
      </w:r>
      <w:r>
        <w:rPr>
          <w:sz w:val="20"/>
          <w:szCs w:val="20"/>
        </w:rPr>
        <w:t>s incorrect, or has changed as a result of recalculation of the pricing data, is obligated to resubmit the corrected data for up to three years after those data originally were due. Such restatements and recalculations increase the costs for complying with</w:t>
      </w:r>
      <w:r>
        <w:rPr>
          <w:sz w:val="20"/>
          <w:szCs w:val="20"/>
        </w:rPr>
        <w:t xml:space="preserve"> the laws and regulations governing the Medicaid Drug Rebate program and could result in an overage or underage in our rebate liability for past quarters. Price recalculations also may affect the 340B ceiling price.</w:t>
      </w:r>
    </w:p>
    <w:p w:rsidR="00000000" w:rsidRDefault="001E618F">
      <w:pPr>
        <w:pStyle w:val="a3"/>
        <w:spacing w:before="0" w:beforeAutospacing="0" w:after="200" w:afterAutospacing="0"/>
        <w:ind w:firstLine="720"/>
        <w:divId w:val="805396511"/>
        <w:rPr>
          <w:sz w:val="20"/>
          <w:szCs w:val="20"/>
        </w:rPr>
      </w:pPr>
      <w:r>
        <w:rPr>
          <w:sz w:val="20"/>
          <w:szCs w:val="20"/>
        </w:rPr>
        <w:t>We may be liable for errors associated w</w:t>
      </w:r>
      <w:r>
        <w:rPr>
          <w:sz w:val="20"/>
          <w:szCs w:val="20"/>
        </w:rPr>
        <w:t xml:space="preserve">ith our submission of pricing data for VIBATIV for historic periods, and we may retain some liability for price reporting by Cumberland for VIBATIV sold under our labeler code. In addition to retroactive rebates and the potential for 340B program refunds, </w:t>
      </w:r>
      <w:r>
        <w:rPr>
          <w:sz w:val="20"/>
          <w:szCs w:val="20"/>
        </w:rPr>
        <w:t>if we are found to have knowingly submitted any false price information to the government, we may be liable for significant civil monetary penalties per item of false information. If we are found to have made a misrepresentation in the reporting of our ave</w:t>
      </w:r>
      <w:r>
        <w:rPr>
          <w:sz w:val="20"/>
          <w:szCs w:val="20"/>
        </w:rPr>
        <w:t>rage sales price, the Medicare statute provides for significant civil monetary penalties for each misrepresentation for each day in which the misrepresentation was applied. If we are found to have charged 340B covered entities more than the statutorily man</w:t>
      </w:r>
      <w:r>
        <w:rPr>
          <w:sz w:val="20"/>
          <w:szCs w:val="20"/>
        </w:rPr>
        <w:t>dated ceiling price, we could be subject to significant civil monetary penalties and/or such failure also could be grounds for HRSA to terminate a manufacturer’s agreement to participate in the 340B program, in which case covered outpatient drugs under our</w:t>
      </w:r>
      <w:r>
        <w:rPr>
          <w:sz w:val="20"/>
          <w:szCs w:val="20"/>
        </w:rPr>
        <w:t xml:space="preserve"> labeler code may no longer be eligible for federal payment under the Medicaid or Medicare Part B program. If we are found to have not submitted required price data on a timely basis, that could result in a significant civil monetary penalty per day for ea</w:t>
      </w:r>
      <w:r>
        <w:rPr>
          <w:sz w:val="20"/>
          <w:szCs w:val="20"/>
        </w:rPr>
        <w:t>ch day the information is late beyond the due date. Such failure also could be grounds for CMS to terminate our Medicaid drug rebate agreement, pursuant to which we participate in the Medicaid program. In the event that CMS terminates our rebate agreement,</w:t>
      </w:r>
      <w:r>
        <w:rPr>
          <w:sz w:val="20"/>
          <w:szCs w:val="20"/>
        </w:rPr>
        <w:t xml:space="preserve"> federal payments may not be available under Medicaid or Medicare Part B for covered outpatient drugs under our labeler code. </w:t>
      </w:r>
    </w:p>
    <w:p w:rsidR="00000000" w:rsidRDefault="001E618F">
      <w:pPr>
        <w:pStyle w:val="a3"/>
        <w:spacing w:before="0" w:beforeAutospacing="0" w:after="200" w:afterAutospacing="0"/>
        <w:ind w:firstLine="720"/>
        <w:divId w:val="805396511"/>
        <w:rPr>
          <w:sz w:val="20"/>
          <w:szCs w:val="20"/>
        </w:rPr>
      </w:pPr>
      <w:r>
        <w:rPr>
          <w:sz w:val="20"/>
          <w:szCs w:val="20"/>
        </w:rPr>
        <w:t>In order to be eligible to have its products paid for with federal funds under the Medicaid and Medicare Part B programs and purc</w:t>
      </w:r>
      <w:r>
        <w:rPr>
          <w:sz w:val="20"/>
          <w:szCs w:val="20"/>
        </w:rPr>
        <w:t>hased by the Department of Veterans Affairs (“VA”), Department of Defense (“DoD”), Public Health Service, and Coast Guard (the “Big Four agencies”) and certain federal grantees, a manufacturer is required to participate in the VA Federal Supply Schedule (“</w:t>
      </w:r>
      <w:r>
        <w:rPr>
          <w:sz w:val="20"/>
          <w:szCs w:val="20"/>
        </w:rPr>
        <w:t>FSS”) pricing program, established under Section 603 of the Veterans Health Care Act of 1992. Under this program, the manufacturer is obligated to make its covered drugs available for procurement on an FSS contract and charge a price to the Big Four agenci</w:t>
      </w:r>
      <w:r>
        <w:rPr>
          <w:sz w:val="20"/>
          <w:szCs w:val="20"/>
        </w:rPr>
        <w:t>es that is no higher than the Federal Ceiling Price (“FCP”), which is a price calculated pursuant to a statutory formula. The FCP is derived from a calculated price point called the “non-federal average manufacturer price” (“Non-FAMP”), which the manufactu</w:t>
      </w:r>
      <w:r>
        <w:rPr>
          <w:sz w:val="20"/>
          <w:szCs w:val="20"/>
        </w:rPr>
        <w:t>rer calculates and reports to the VA on a quarterly and annual basis. Pursuant to applicable law, knowing provision of false information in connection with a Non-FAMP filing can subject a manufacturer to significant penalties for each item of false informa</w:t>
      </w:r>
      <w:r>
        <w:rPr>
          <w:sz w:val="20"/>
          <w:szCs w:val="20"/>
        </w:rPr>
        <w:t>tion. The FSS contract also contains extensive disclosure and certification requirements.</w:t>
      </w:r>
    </w:p>
    <w:p w:rsidR="00000000" w:rsidRDefault="001E618F">
      <w:pPr>
        <w:pStyle w:val="a3"/>
        <w:spacing w:before="0" w:beforeAutospacing="0" w:after="200" w:afterAutospacing="0"/>
        <w:ind w:firstLine="720"/>
        <w:divId w:val="805396511"/>
        <w:rPr>
          <w:sz w:val="20"/>
          <w:szCs w:val="20"/>
        </w:rPr>
      </w:pPr>
      <w:r>
        <w:rPr>
          <w:sz w:val="20"/>
          <w:szCs w:val="20"/>
        </w:rPr>
        <w:t xml:space="preserve">Under Section 703 of the National Defense Authorization Act for FY 2008, the manufacturer is required to pay quarterly rebates to DoD on utilization of its innovator </w:t>
      </w:r>
      <w:r>
        <w:rPr>
          <w:sz w:val="20"/>
          <w:szCs w:val="20"/>
        </w:rPr>
        <w:t>products that are dispensed through DoD’s Tricare network pharmacies to Tricare beneficiaries. The rebates are calculated as the difference between the annual Non-FAMP and FCP for the calendar year that the product was dispensed. A manufacturer that overch</w:t>
      </w:r>
      <w:r>
        <w:rPr>
          <w:sz w:val="20"/>
          <w:szCs w:val="20"/>
        </w:rPr>
        <w:t>arges the government in connection with the FSS contract or Tricare Retail Pharmacy Rebate Program, whether due to a misstated FCP or otherwise, is required to refund the difference to the government. Failure to make necessary disclosures and/or to identif</w:t>
      </w:r>
      <w:r>
        <w:rPr>
          <w:sz w:val="20"/>
          <w:szCs w:val="20"/>
        </w:rPr>
        <w:t>y contract overcharges can result in allegations against us under the False Claims Act and other laws and regulations.</w:t>
      </w:r>
    </w:p>
    <w:p w:rsidR="00000000" w:rsidRDefault="001E618F">
      <w:pPr>
        <w:pStyle w:val="a3"/>
        <w:spacing w:before="0" w:beforeAutospacing="0" w:after="200" w:afterAutospacing="0"/>
        <w:ind w:firstLine="720"/>
        <w:divId w:val="805396511"/>
        <w:rPr>
          <w:sz w:val="20"/>
          <w:szCs w:val="20"/>
        </w:rPr>
      </w:pPr>
      <w:r>
        <w:rPr>
          <w:sz w:val="20"/>
          <w:szCs w:val="20"/>
        </w:rPr>
        <w:t>Individual states in the United States, as noted, have also passed legislation and implemented regulations designed to control pharmaceut</w:t>
      </w:r>
      <w:r>
        <w:rPr>
          <w:sz w:val="20"/>
          <w:szCs w:val="20"/>
        </w:rPr>
        <w:t>ical and biological product pricing, including marketing cost disclosure and transparency measures. Some states require the submission of reports related to pricing information, including based on the introduction of new prescription drugs, certain increas</w:t>
      </w:r>
      <w:r>
        <w:rPr>
          <w:sz w:val="20"/>
          <w:szCs w:val="20"/>
        </w:rPr>
        <w:t>es in wholesale acquisition cost of prescription drugs, marketing of prescription drugs within the state, and sales of prescription drugs in or into the state. Some states may pursue available enforcement measures, including imposition of civil monetary pe</w:t>
      </w:r>
      <w:r>
        <w:rPr>
          <w:sz w:val="20"/>
          <w:szCs w:val="20"/>
        </w:rPr>
        <w:t xml:space="preserve">nalties, for a manufacturer’s failure to report such information. </w:t>
      </w:r>
    </w:p>
    <w:p w:rsidR="00000000" w:rsidRDefault="001E618F">
      <w:pPr>
        <w:pStyle w:val="a3"/>
        <w:spacing w:before="360" w:beforeAutospacing="0" w:after="0" w:afterAutospacing="0"/>
        <w:jc w:val="center"/>
        <w:divId w:val="506331616"/>
        <w:rPr>
          <w:sz w:val="20"/>
          <w:szCs w:val="20"/>
        </w:rPr>
      </w:pPr>
      <w:r>
        <w:rPr>
          <w:sz w:val="20"/>
          <w:szCs w:val="20"/>
        </w:rPr>
        <w:t>61</w:t>
      </w:r>
    </w:p>
    <w:p w:rsidR="00000000" w:rsidRDefault="001E618F">
      <w:pPr>
        <w:pStyle w:val="a3"/>
        <w:spacing w:before="0" w:beforeAutospacing="0" w:after="600" w:afterAutospacing="0"/>
        <w:divId w:val="1445272096"/>
        <w:rPr>
          <w:sz w:val="20"/>
          <w:szCs w:val="20"/>
        </w:rPr>
      </w:pPr>
      <w:hyperlink w:anchor="TOC" w:history="1">
        <w:r>
          <w:rPr>
            <w:rStyle w:val="a4"/>
            <w:sz w:val="20"/>
            <w:szCs w:val="20"/>
          </w:rPr>
          <w:t>Table of Contents</w:t>
        </w:r>
      </w:hyperlink>
    </w:p>
    <w:p w:rsidR="00000000" w:rsidRDefault="001E618F">
      <w:pPr>
        <w:pStyle w:val="a3"/>
        <w:spacing w:before="0" w:beforeAutospacing="0" w:after="120" w:afterAutospacing="0"/>
        <w:divId w:val="114060546"/>
        <w:rPr>
          <w:sz w:val="20"/>
          <w:szCs w:val="20"/>
        </w:rPr>
      </w:pPr>
      <w:r>
        <w:rPr>
          <w:b/>
          <w:bCs/>
          <w:i/>
          <w:iCs/>
          <w:sz w:val="20"/>
          <w:szCs w:val="20"/>
        </w:rPr>
        <w:t>Our relationships with customers and third-party payors are subject to applicable anti-kickback, fraud and abuse, transparency and other healt</w:t>
      </w:r>
      <w:r>
        <w:rPr>
          <w:b/>
          <w:bCs/>
          <w:i/>
          <w:iCs/>
          <w:sz w:val="20"/>
          <w:szCs w:val="20"/>
        </w:rPr>
        <w:t>hcare laws and regulations, which could expose us to criminal sanctions, civil penalties, exclusion, contractual damages, reputational harm and diminished profits and future earnings.</w:t>
      </w:r>
    </w:p>
    <w:p w:rsidR="00000000" w:rsidRDefault="001E618F">
      <w:pPr>
        <w:pStyle w:val="a3"/>
        <w:spacing w:before="0" w:beforeAutospacing="0" w:after="200" w:afterAutospacing="0"/>
        <w:ind w:firstLine="720"/>
        <w:divId w:val="114060546"/>
        <w:rPr>
          <w:sz w:val="20"/>
          <w:szCs w:val="20"/>
        </w:rPr>
      </w:pPr>
      <w:r>
        <w:rPr>
          <w:sz w:val="20"/>
          <w:szCs w:val="20"/>
        </w:rPr>
        <w:t>Healthcare providers, physicians, distributors and third-party payors pl</w:t>
      </w:r>
      <w:r>
        <w:rPr>
          <w:sz w:val="20"/>
          <w:szCs w:val="20"/>
        </w:rPr>
        <w:t>ay a primary role in the distribution, recommendation and prescription of any pharmaceutical product for which we obtain marketing approval. Our arrangements with third-party payors and customers expose us to broadly applicable fraud and abuse and other he</w:t>
      </w:r>
      <w:r>
        <w:rPr>
          <w:sz w:val="20"/>
          <w:szCs w:val="20"/>
        </w:rPr>
        <w:t>althcare laws and regulations that may constrain the business or financial arrangements through which we market, sell and distribute any products for which we have obtained or may obtain marketing approval. Restrictions under applicable federal and state h</w:t>
      </w:r>
      <w:r>
        <w:rPr>
          <w:sz w:val="20"/>
          <w:szCs w:val="20"/>
        </w:rPr>
        <w:t>ealthcare laws and regulations include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06054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US federal healthcare Anti-Kickback Statute prohibits any person from, among other things, knowingly and willfully offering, paying, soliciting, or receiving remuneration, directly or indirectly,</w:t>
            </w:r>
            <w:r>
              <w:rPr>
                <w:rFonts w:eastAsia="Times New Roman"/>
                <w:sz w:val="20"/>
                <w:szCs w:val="20"/>
              </w:rPr>
              <w:t xml:space="preserve"> in cash or in kind, to induce or reward either the referral of an individual for, or the purchasing, leasing, ordering or arranging for or recommending of any good or service for which payment may be made, in whole or in part, under federal and state heal</w:t>
            </w:r>
            <w:r>
              <w:rPr>
                <w:rFonts w:eastAsia="Times New Roman"/>
                <w:sz w:val="20"/>
                <w:szCs w:val="20"/>
              </w:rPr>
              <w:t xml:space="preserve">thcare programs such as Medicare and Medicaid. The term “remuneration” has been broadly interpreted to include anything of value. The Anti-Kickback Statute is subject to evolving interpretation and has been applied by government enforcement officials to a </w:t>
            </w:r>
            <w:r>
              <w:rPr>
                <w:rFonts w:eastAsia="Times New Roman"/>
                <w:sz w:val="20"/>
                <w:szCs w:val="20"/>
              </w:rPr>
              <w:t>number of common business arrangements in the pharmaceutical industry. The government can establish a violation of the Anti-Kickback Statute without proving that a person or entity had actual knowledge of the statute or specific intent to violate it. There</w:t>
            </w:r>
            <w:r>
              <w:rPr>
                <w:rFonts w:eastAsia="Times New Roman"/>
                <w:sz w:val="20"/>
                <w:szCs w:val="20"/>
              </w:rPr>
              <w:t xml:space="preserve"> are a number of statutory exemptions and regulatory safe harbors protecting some common activities from prosecution; however, those exceptions and safe harbors are drawn narrowly. Failure to meet all of the requirements of a particular statutory exception</w:t>
            </w:r>
            <w:r>
              <w:rPr>
                <w:rFonts w:eastAsia="Times New Roman"/>
                <w:sz w:val="20"/>
                <w:szCs w:val="20"/>
              </w:rPr>
              <w:t xml:space="preserve"> or regulatory safe harbor does not make the conduct per se illegal under the Anti-Kickback Statute, but the legality of the arrangement will be evaluated on a case-by-case basis based on the totality of the facts and circumstances. We seek to comply with </w:t>
            </w:r>
            <w:r>
              <w:rPr>
                <w:rFonts w:eastAsia="Times New Roman"/>
                <w:sz w:val="20"/>
                <w:szCs w:val="20"/>
              </w:rPr>
              <w:t>the available statutory exemptions and safe harbors whenever possible, but our practices may not in all cases meet all of the criteria for safe harbor protection from anti-kickback liability. Moreover, there are no safe harbors for many common practices, s</w:t>
            </w:r>
            <w:r>
              <w:rPr>
                <w:rFonts w:eastAsia="Times New Roman"/>
                <w:sz w:val="20"/>
                <w:szCs w:val="20"/>
              </w:rPr>
              <w:t xml:space="preserve">uch as educational and research grants or patient or product assistance programs. </w:t>
            </w:r>
          </w:p>
        </w:tc>
      </w:tr>
    </w:tbl>
    <w:p w:rsidR="00000000" w:rsidRDefault="001E618F">
      <w:pPr>
        <w:pStyle w:val="a3"/>
        <w:spacing w:before="0" w:beforeAutospacing="0" w:after="0" w:afterAutospacing="0"/>
        <w:ind w:left="1080"/>
        <w:divId w:val="11406054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06054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federal civil False Claims Act prohibits, among other things, knowingly presenting, or causing to be presented, claims for payment of government funds that are false or fraudulent, or knowingly making, or using or causing to be made or used, a false re</w:t>
            </w:r>
            <w:r>
              <w:rPr>
                <w:rFonts w:eastAsia="Times New Roman"/>
                <w:sz w:val="20"/>
                <w:szCs w:val="20"/>
              </w:rPr>
              <w:t xml:space="preserve">cord or statement material to a false or fraudulent claim to avoid, decrease, or conceal an obligation to pay money to the federal government. Private individuals, commonly known as “whistleblowers,” can bring civil False Claims Act </w:t>
            </w:r>
            <w:r>
              <w:rPr>
                <w:rFonts w:eastAsia="Times New Roman"/>
                <w:i/>
                <w:iCs/>
                <w:sz w:val="20"/>
                <w:szCs w:val="20"/>
              </w:rPr>
              <w:t>qui tam</w:t>
            </w:r>
            <w:r>
              <w:rPr>
                <w:rFonts w:eastAsia="Times New Roman"/>
                <w:sz w:val="20"/>
                <w:szCs w:val="20"/>
              </w:rPr>
              <w:t xml:space="preserve"> actions, on beh</w:t>
            </w:r>
            <w:r>
              <w:rPr>
                <w:rFonts w:eastAsia="Times New Roman"/>
                <w:sz w:val="20"/>
                <w:szCs w:val="20"/>
              </w:rPr>
              <w:t>alf of the government and such individuals and may share in amounts paid by the entity to the government in recovery or settlement. In recent years, several pharmaceutical and other healthcare companies have faced enforcement actions under the federal Fals</w:t>
            </w:r>
            <w:r>
              <w:rPr>
                <w:rFonts w:eastAsia="Times New Roman"/>
                <w:sz w:val="20"/>
                <w:szCs w:val="20"/>
              </w:rPr>
              <w:t>e Claims Act for, among other things, allegedly submitting false or misleading pricing information to government health care programs and providing free product to customers with the expectation that the customers would bill federal programs for the produc</w:t>
            </w:r>
            <w:r>
              <w:rPr>
                <w:rFonts w:eastAsia="Times New Roman"/>
                <w:sz w:val="20"/>
                <w:szCs w:val="20"/>
              </w:rPr>
              <w:t xml:space="preserve">t. Federal enforcement agencies also have showed increased interest in pharmaceutical companies’ product and patient assistance programs, including reimbursement and co-pay support services, and a number of investigations into these programs have resulted </w:t>
            </w:r>
            <w:r>
              <w:rPr>
                <w:rFonts w:eastAsia="Times New Roman"/>
                <w:sz w:val="20"/>
                <w:szCs w:val="20"/>
              </w:rPr>
              <w:t>in significant civil and criminal settlements. Other companies have faced enforcement actions for causing false claims to be submitted because of the companies’ marketing the product for unapproved, and thus non-reimbursable, uses. In addition, a claim inc</w:t>
            </w:r>
            <w:r>
              <w:rPr>
                <w:rFonts w:eastAsia="Times New Roman"/>
                <w:sz w:val="20"/>
                <w:szCs w:val="20"/>
              </w:rPr>
              <w:t>luding items or services resulting from a violation of the federal Anti-Kickback Statute constitutes a false or fraudulent claim for purposes of the federal civil False Claims Act. False Claims Act liability is potentially significant in the healthcare ind</w:t>
            </w:r>
            <w:r>
              <w:rPr>
                <w:rFonts w:eastAsia="Times New Roman"/>
                <w:sz w:val="20"/>
                <w:szCs w:val="20"/>
              </w:rPr>
              <w:t>ustry because the statute provides for treble damages and significant mandatory penalties per false claim or statement for violations. Because of the potential for large monetary exposure, healthcare and pharmaceutical companies often resolve allegations w</w:t>
            </w:r>
            <w:r>
              <w:rPr>
                <w:rFonts w:eastAsia="Times New Roman"/>
                <w:sz w:val="20"/>
                <w:szCs w:val="20"/>
              </w:rPr>
              <w:t>ithout admissions of liability for significant and material amounts to avoid the uncertainty of treble damages and per claim penalties that may be awarded in litigation proceedings. As part of these resolutions, Companies may enter into corporate integrity</w:t>
            </w:r>
            <w:r>
              <w:rPr>
                <w:rFonts w:eastAsia="Times New Roman"/>
                <w:sz w:val="20"/>
                <w:szCs w:val="20"/>
              </w:rPr>
              <w:t xml:space="preserve"> agreements with the government, which may impose substantial costs on companies to ensure compliance. Criminal penalties, including imprisonment and criminal fines, are also possible for making or presenting a false, fictitious or fraudulent claim to the </w:t>
            </w:r>
            <w:r>
              <w:rPr>
                <w:rFonts w:eastAsia="Times New Roman"/>
                <w:sz w:val="20"/>
                <w:szCs w:val="20"/>
              </w:rPr>
              <w:t>federal government.</w:t>
            </w:r>
          </w:p>
        </w:tc>
      </w:tr>
    </w:tbl>
    <w:p w:rsidR="00000000" w:rsidRDefault="001E618F">
      <w:pPr>
        <w:pStyle w:val="a3"/>
        <w:spacing w:before="0" w:beforeAutospacing="0" w:after="0" w:afterAutospacing="0"/>
        <w:ind w:left="1080"/>
        <w:divId w:val="114060546"/>
        <w:rPr>
          <w:sz w:val="20"/>
          <w:szCs w:val="20"/>
        </w:rPr>
      </w:pPr>
      <w:r>
        <w:rPr>
          <w:sz w:val="20"/>
          <w:szCs w:val="20"/>
        </w:rPr>
        <w:t>​</w:t>
      </w:r>
    </w:p>
    <w:p w:rsidR="00000000" w:rsidRDefault="001E618F">
      <w:pPr>
        <w:pStyle w:val="a3"/>
        <w:spacing w:before="360" w:beforeAutospacing="0" w:after="0" w:afterAutospacing="0"/>
        <w:jc w:val="center"/>
        <w:divId w:val="169492250"/>
        <w:rPr>
          <w:sz w:val="20"/>
          <w:szCs w:val="20"/>
        </w:rPr>
      </w:pPr>
      <w:r>
        <w:rPr>
          <w:sz w:val="20"/>
          <w:szCs w:val="20"/>
        </w:rPr>
        <w:t>62</w:t>
      </w:r>
    </w:p>
    <w:p w:rsidR="00000000" w:rsidRDefault="001E618F">
      <w:pPr>
        <w:pStyle w:val="a3"/>
        <w:spacing w:before="0" w:beforeAutospacing="0" w:after="600" w:afterAutospacing="0"/>
        <w:divId w:val="1748384114"/>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56738724"/>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HIPAA, among other things, imposes criminal and civil liability for knowingly and willfully executing a scheme to defraud any healthcare benefit program, including private third-party</w:t>
            </w:r>
            <w:r>
              <w:rPr>
                <w:rFonts w:eastAsia="Times New Roman"/>
                <w:sz w:val="20"/>
                <w:szCs w:val="20"/>
              </w:rPr>
              <w:t xml:space="preserve"> payors, and also imposes obligations, including mandatory contractual terms, with respect to safeguarding the privacy, security and transmission of individually identifiable health information. HIPAA also prohibits knowingly and willfully falsifying, conc</w:t>
            </w:r>
            <w:r>
              <w:rPr>
                <w:rFonts w:eastAsia="Times New Roman"/>
                <w:sz w:val="20"/>
                <w:szCs w:val="20"/>
              </w:rPr>
              <w:t>ealing or covering up a material fact or making any materially false, fictitious or fraudulent statement or representation, or making or using any false writing or document knowing the same to contain any materially false fictitious or fraudulent statement</w:t>
            </w:r>
            <w:r>
              <w:rPr>
                <w:rFonts w:eastAsia="Times New Roman"/>
                <w:sz w:val="20"/>
                <w:szCs w:val="20"/>
              </w:rPr>
              <w:t xml:space="preserve"> or entry in connection with the delivery of or payment for healthcare benefits, items or services. Similar to the federal healthcare Anti-Kickback Statute, a person or entity does not need to have actual knowledge of the statute or specific intent to viol</w:t>
            </w:r>
            <w:r>
              <w:rPr>
                <w:rFonts w:eastAsia="Times New Roman"/>
                <w:sz w:val="20"/>
                <w:szCs w:val="20"/>
              </w:rPr>
              <w:t>ate it to have committed a violation.</w:t>
            </w:r>
          </w:p>
        </w:tc>
      </w:tr>
    </w:tbl>
    <w:p w:rsidR="00000000" w:rsidRDefault="001E618F">
      <w:pPr>
        <w:pStyle w:val="a3"/>
        <w:spacing w:before="0" w:beforeAutospacing="0" w:after="0" w:afterAutospacing="0"/>
        <w:ind w:left="1080"/>
        <w:divId w:val="205673872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56738724"/>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federal Physician Payment Sunshine Act, implemented as the Open Payments Program, requires certain manufacturers of drugs, devices, biologics, and medical supplies for which payment is available under Medicar</w:t>
            </w:r>
            <w:r>
              <w:rPr>
                <w:rFonts w:eastAsia="Times New Roman"/>
                <w:sz w:val="20"/>
                <w:szCs w:val="20"/>
              </w:rPr>
              <w:t>e, Medicaid or the Children’s Health Insurance Program (with certain exceptions) to report annually to the US Department of Health and Human Services, Centers for Medicare and Medicaid Services, information related to payments and other transfers of value,</w:t>
            </w:r>
            <w:r>
              <w:rPr>
                <w:rFonts w:eastAsia="Times New Roman"/>
                <w:sz w:val="20"/>
                <w:szCs w:val="20"/>
              </w:rPr>
              <w:t xml:space="preserve"> directly or indirectly, to physicians (defined to include doctors, dentists, optometrists, podiatrists, and chiropractors) and teaching hospitals, as well as ownership and investment interests held by physicians and their immediate family members. Beginni</w:t>
            </w:r>
            <w:r>
              <w:rPr>
                <w:rFonts w:eastAsia="Times New Roman"/>
                <w:sz w:val="20"/>
                <w:szCs w:val="20"/>
              </w:rPr>
              <w:t>ng in 2022, applicable manufacturers also will be required to report information regarding payments and transfers of value provided to physician assistants, nurse practitioners, clinical nurse specialists, certified nurse anesthetists, and certified nurse-</w:t>
            </w:r>
            <w:r>
              <w:rPr>
                <w:rFonts w:eastAsia="Times New Roman"/>
                <w:sz w:val="20"/>
                <w:szCs w:val="20"/>
              </w:rPr>
              <w:t>midwives. A manufacturer’s failure to submit timely, accurately and completely the required information for all payments, transfers of value or ownership or investment interests may result in civil monetary penalties.</w:t>
            </w:r>
          </w:p>
        </w:tc>
      </w:tr>
    </w:tbl>
    <w:p w:rsidR="00000000" w:rsidRDefault="001E618F">
      <w:pPr>
        <w:pStyle w:val="a3"/>
        <w:spacing w:before="0" w:beforeAutospacing="0" w:after="0" w:afterAutospacing="0"/>
        <w:ind w:left="1080"/>
        <w:divId w:val="205673872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56738724"/>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Analogous state laws and regulations, such as state anti-kickback and false claims laws, may apply to sales or marketing arrangements and claims involving healthcare items or services reimbursed by any third-party payors, including private insurers or pati</w:t>
            </w:r>
            <w:r>
              <w:rPr>
                <w:rFonts w:eastAsia="Times New Roman"/>
                <w:sz w:val="20"/>
                <w:szCs w:val="20"/>
              </w:rPr>
              <w:t>ents. Several states also require pharmaceutical companies to report expenses relating to the marketing and promotion of pharmaceutical products in those states and to report gifts and payments to individual health care providers in those states. Some of t</w:t>
            </w:r>
            <w:r>
              <w:rPr>
                <w:rFonts w:eastAsia="Times New Roman"/>
                <w:sz w:val="20"/>
                <w:szCs w:val="20"/>
              </w:rPr>
              <w:t>hese states also prohibit certain marketing-related activities, including the provision of gifts, meals, or other items to certain health care providers, and restrict the ability of manufacturers to offer co-pay support to patients for certain prescription</w:t>
            </w:r>
            <w:r>
              <w:rPr>
                <w:rFonts w:eastAsia="Times New Roman"/>
                <w:sz w:val="20"/>
                <w:szCs w:val="20"/>
              </w:rPr>
              <w:t xml:space="preserve"> drugs. Some states require the posting of information relating to clinical studies and their outcomes. Some states and cities require identification or licensing of sales representatives. In addition, several states require pharmaceutical companies to imp</w:t>
            </w:r>
            <w:r>
              <w:rPr>
                <w:rFonts w:eastAsia="Times New Roman"/>
                <w:sz w:val="20"/>
                <w:szCs w:val="20"/>
              </w:rPr>
              <w:t>lement compliance programs or marketing codes.</w:t>
            </w:r>
          </w:p>
        </w:tc>
      </w:tr>
    </w:tbl>
    <w:p w:rsidR="00000000" w:rsidRDefault="001E618F">
      <w:pPr>
        <w:pStyle w:val="a3"/>
        <w:spacing w:before="0" w:beforeAutospacing="0" w:after="0" w:afterAutospacing="0"/>
        <w:ind w:left="1080"/>
        <w:divId w:val="205673872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56738724"/>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 xml:space="preserve">Similar restrictions are imposed on the promotion and marketing of medicinal products in the EU Member States and other countries, including restrictions prohibiting the promotion of a compound prior to </w:t>
            </w:r>
            <w:r>
              <w:rPr>
                <w:rFonts w:eastAsia="Times New Roman"/>
                <w:sz w:val="20"/>
                <w:szCs w:val="20"/>
              </w:rPr>
              <w:t>its approval. Laws (including those governing promotion, marketing and anti-kickback provisions), industry regulations and professional codes of conduct often are strictly enforced. Even in those countries where we may decide not to directly promote or mar</w:t>
            </w:r>
            <w:r>
              <w:rPr>
                <w:rFonts w:eastAsia="Times New Roman"/>
                <w:sz w:val="20"/>
                <w:szCs w:val="20"/>
              </w:rPr>
              <w:t>ket our products, inappropriate activity by our international distribution partners could have implications for us.</w:t>
            </w:r>
          </w:p>
        </w:tc>
      </w:tr>
    </w:tbl>
    <w:p w:rsidR="00000000" w:rsidRDefault="001E618F">
      <w:pPr>
        <w:pStyle w:val="a3"/>
        <w:spacing w:before="0" w:beforeAutospacing="0" w:after="0" w:afterAutospacing="0"/>
        <w:divId w:val="2056738724"/>
        <w:rPr>
          <w:sz w:val="20"/>
          <w:szCs w:val="20"/>
        </w:rPr>
      </w:pPr>
      <w:r>
        <w:rPr>
          <w:sz w:val="20"/>
          <w:szCs w:val="20"/>
        </w:rPr>
        <w:t>​</w:t>
      </w:r>
    </w:p>
    <w:p w:rsidR="00000000" w:rsidRDefault="001E618F">
      <w:pPr>
        <w:pStyle w:val="a3"/>
        <w:spacing w:before="0" w:beforeAutospacing="0" w:after="0" w:afterAutospacing="0"/>
        <w:ind w:firstLine="720"/>
        <w:divId w:val="2056738724"/>
        <w:rPr>
          <w:sz w:val="20"/>
          <w:szCs w:val="20"/>
        </w:rPr>
      </w:pPr>
      <w:r>
        <w:rPr>
          <w:sz w:val="20"/>
          <w:szCs w:val="20"/>
        </w:rPr>
        <w:t xml:space="preserve">The shifting commercial compliance environment and the need to build and maintain robust and expandable systems to comply with different </w:t>
      </w:r>
      <w:r>
        <w:rPr>
          <w:sz w:val="20"/>
          <w:szCs w:val="20"/>
        </w:rPr>
        <w:t>compliance or reporting requirements in multiple jurisdictions increase the possibility that we or our partners may fail to comply fully with one or more of these requirements. Efforts to ensure that our business arrangements with third parties will comply</w:t>
      </w:r>
      <w:r>
        <w:rPr>
          <w:sz w:val="20"/>
          <w:szCs w:val="20"/>
        </w:rPr>
        <w:t xml:space="preserve"> with applicable healthcare laws and regulations may involve substantial costs. It is possible that governmental authorities will conclude that our business practices may not comply with applicable fraud and abuse or other healthcare laws and regulations o</w:t>
      </w:r>
      <w:r>
        <w:rPr>
          <w:sz w:val="20"/>
          <w:szCs w:val="20"/>
        </w:rPr>
        <w:t>r guidance. If our operations are found to be in violation of any of these laws or any other governmental regulations that may apply to us, we may be subject to significant civil, criminal and administrative penalties, damages, fines, disgorgement, exclusi</w:t>
      </w:r>
      <w:r>
        <w:rPr>
          <w:sz w:val="20"/>
          <w:szCs w:val="20"/>
        </w:rPr>
        <w:t>on from government funded healthcare programs, such as Medicare and Medicaid in the US and similar programs outside the US, contractual damages, diminished profits and future earnings, and the curtailment or restructuring of our operations, any of which co</w:t>
      </w:r>
      <w:r>
        <w:rPr>
          <w:sz w:val="20"/>
          <w:szCs w:val="20"/>
        </w:rPr>
        <w:t>uld adversely affect our ability to operate our business and our financial results. If any of the physicians or other providers or entities with whom we do or expect to do business are found to not be in compliance with applicable laws, they may be subject</w:t>
      </w:r>
      <w:r>
        <w:rPr>
          <w:sz w:val="20"/>
          <w:szCs w:val="20"/>
        </w:rPr>
        <w:t xml:space="preserve"> to criminal, civil or administrative sanctions, including exclusions from government funded healthcare programs. Even if we are not determined to have violated these </w:t>
      </w:r>
    </w:p>
    <w:p w:rsidR="00000000" w:rsidRDefault="001E618F">
      <w:pPr>
        <w:pStyle w:val="a3"/>
        <w:spacing w:before="360" w:beforeAutospacing="0" w:after="0" w:afterAutospacing="0"/>
        <w:jc w:val="center"/>
        <w:divId w:val="1064134938"/>
        <w:rPr>
          <w:sz w:val="20"/>
          <w:szCs w:val="20"/>
        </w:rPr>
      </w:pPr>
      <w:r>
        <w:rPr>
          <w:sz w:val="20"/>
          <w:szCs w:val="20"/>
        </w:rPr>
        <w:t>63</w:t>
      </w:r>
    </w:p>
    <w:p w:rsidR="00000000" w:rsidRDefault="001E618F">
      <w:pPr>
        <w:pStyle w:val="a3"/>
        <w:spacing w:before="0" w:beforeAutospacing="0" w:after="600" w:afterAutospacing="0"/>
        <w:divId w:val="1542133324"/>
        <w:rPr>
          <w:sz w:val="20"/>
          <w:szCs w:val="20"/>
        </w:rPr>
      </w:pPr>
      <w:hyperlink w:anchor="TOC" w:history="1">
        <w:r>
          <w:rPr>
            <w:rStyle w:val="a4"/>
            <w:sz w:val="20"/>
            <w:szCs w:val="20"/>
          </w:rPr>
          <w:t>Table of Contents</w:t>
        </w:r>
      </w:hyperlink>
    </w:p>
    <w:p w:rsidR="00000000" w:rsidRDefault="001E618F">
      <w:pPr>
        <w:pStyle w:val="a3"/>
        <w:spacing w:before="0" w:beforeAutospacing="0" w:after="200" w:afterAutospacing="0"/>
        <w:divId w:val="2062242169"/>
        <w:rPr>
          <w:sz w:val="20"/>
          <w:szCs w:val="20"/>
        </w:rPr>
      </w:pPr>
      <w:r>
        <w:rPr>
          <w:sz w:val="20"/>
          <w:szCs w:val="20"/>
        </w:rPr>
        <w:t>laws, government investigations into thes</w:t>
      </w:r>
      <w:r>
        <w:rPr>
          <w:sz w:val="20"/>
          <w:szCs w:val="20"/>
        </w:rPr>
        <w:t>e issues typically require the expenditure of significant resources and generate negative publicity, which could harm our financial condition and divert resources and the attention of our management from operating our business.</w:t>
      </w:r>
    </w:p>
    <w:p w:rsidR="00000000" w:rsidRDefault="001E618F">
      <w:pPr>
        <w:pStyle w:val="a3"/>
        <w:spacing w:before="0" w:beforeAutospacing="0" w:after="120" w:afterAutospacing="0"/>
        <w:divId w:val="2062242169"/>
        <w:rPr>
          <w:sz w:val="20"/>
          <w:szCs w:val="20"/>
        </w:rPr>
      </w:pPr>
      <w:r>
        <w:rPr>
          <w:b/>
          <w:bCs/>
          <w:i/>
          <w:iCs/>
          <w:sz w:val="20"/>
          <w:szCs w:val="20"/>
        </w:rPr>
        <w:t>Our business and operations,</w:t>
      </w:r>
      <w:r>
        <w:rPr>
          <w:b/>
          <w:bCs/>
          <w:i/>
          <w:iCs/>
          <w:sz w:val="20"/>
          <w:szCs w:val="20"/>
        </w:rPr>
        <w:t xml:space="preserve"> including the use of hazardous and biological materials may result in liabilities with respect to environmental, health and safety matters.</w:t>
      </w:r>
    </w:p>
    <w:p w:rsidR="00000000" w:rsidRDefault="001E618F">
      <w:pPr>
        <w:pStyle w:val="a3"/>
        <w:spacing w:before="0" w:beforeAutospacing="0" w:after="200" w:afterAutospacing="0"/>
        <w:ind w:firstLine="720"/>
        <w:divId w:val="2062242169"/>
        <w:rPr>
          <w:sz w:val="20"/>
          <w:szCs w:val="20"/>
        </w:rPr>
      </w:pPr>
      <w:r>
        <w:rPr>
          <w:sz w:val="20"/>
          <w:szCs w:val="20"/>
        </w:rPr>
        <w:t>Our research and development activities involve the controlled use of potentially hazardous substances, including c</w:t>
      </w:r>
      <w:r>
        <w:rPr>
          <w:sz w:val="20"/>
          <w:szCs w:val="20"/>
        </w:rPr>
        <w:t>hemical, biological and radioactive materials. In addition, our operations produce hazardous waste products, including hazardous waste. Federal, state and local laws and regulations govern the use, manufacture, management, storage, handling and disposal of</w:t>
      </w:r>
      <w:r>
        <w:rPr>
          <w:sz w:val="20"/>
          <w:szCs w:val="20"/>
        </w:rPr>
        <w:t xml:space="preserve"> hazardous materials and wastes. We may incur significant additional costs or liabilities to comply with, or for violations of, these and other applicable laws in the future. Also, even if we are in compliance with applicable laws, we cannot completely eli</w:t>
      </w:r>
      <w:r>
        <w:rPr>
          <w:sz w:val="20"/>
          <w:szCs w:val="20"/>
        </w:rPr>
        <w:t>minate the risk of contamination or injury resulting from hazardous materials and we may incur liability as a result of any such contamination or injury. Further, in the event of a release of or exposure to hazardous materials, including at the sites we cu</w:t>
      </w:r>
      <w:r>
        <w:rPr>
          <w:sz w:val="20"/>
          <w:szCs w:val="20"/>
        </w:rPr>
        <w:t>rrently or formerly operate or at sites such as landfills where we send wastes for disposal, we could be held liable for cleanup costs or damages or subject to other costs or penalties and such liability could exceed our resources. We do not have any insur</w:t>
      </w:r>
      <w:r>
        <w:rPr>
          <w:sz w:val="20"/>
          <w:szCs w:val="20"/>
        </w:rPr>
        <w:t>ance for liabilities arising from hazardous materials or under environmental laws. Compliance with or liability under applicable environmental laws and regulations or with respect to hazardous materials may be expensive, and current or future environmental</w:t>
      </w:r>
      <w:r>
        <w:rPr>
          <w:sz w:val="20"/>
          <w:szCs w:val="20"/>
        </w:rPr>
        <w:t xml:space="preserve"> regulations may impair our research, development and production efforts, which could harm our business, which could cause the price of our securities to fall.</w:t>
      </w:r>
    </w:p>
    <w:p w:rsidR="00000000" w:rsidRDefault="001E618F">
      <w:pPr>
        <w:pStyle w:val="a3"/>
        <w:spacing w:before="0" w:beforeAutospacing="0" w:after="0" w:afterAutospacing="0"/>
        <w:divId w:val="2062242169"/>
        <w:rPr>
          <w:rFonts w:ascii="Times" w:hAnsi="Times"/>
          <w:b/>
          <w:bCs/>
          <w:sz w:val="20"/>
          <w:szCs w:val="20"/>
        </w:rPr>
      </w:pPr>
      <w:r>
        <w:rPr>
          <w:rFonts w:ascii="Times" w:hAnsi="Times"/>
          <w:b/>
          <w:bCs/>
          <w:sz w:val="20"/>
          <w:szCs w:val="20"/>
        </w:rPr>
        <w:t>RISKS RELATING TO OUR ORDINARY SHARES</w:t>
      </w:r>
      <w:r>
        <w:rPr>
          <w:rFonts w:ascii="Times" w:hAnsi="Times"/>
          <w:b/>
          <w:bCs/>
          <w:sz w:val="20"/>
          <w:szCs w:val="20"/>
        </w:rPr>
        <w:t xml:space="preserve"> </w:t>
      </w:r>
    </w:p>
    <w:p w:rsidR="00000000" w:rsidRDefault="001E618F">
      <w:pPr>
        <w:pStyle w:val="a3"/>
        <w:spacing w:before="0" w:beforeAutospacing="0" w:after="0" w:afterAutospacing="0"/>
        <w:divId w:val="2062242169"/>
        <w:rPr>
          <w:rFonts w:ascii="Times" w:hAnsi="Times"/>
          <w:b/>
          <w:bCs/>
          <w:sz w:val="20"/>
          <w:szCs w:val="20"/>
        </w:rPr>
      </w:pPr>
      <w:r>
        <w:rPr>
          <w:b/>
          <w:bCs/>
          <w:sz w:val="20"/>
          <w:szCs w:val="20"/>
        </w:rPr>
        <w:t>​</w:t>
      </w:r>
    </w:p>
    <w:p w:rsidR="00000000" w:rsidRDefault="001E618F">
      <w:pPr>
        <w:pStyle w:val="a3"/>
        <w:spacing w:before="0" w:beforeAutospacing="0" w:after="120" w:afterAutospacing="0"/>
        <w:divId w:val="2062242169"/>
        <w:rPr>
          <w:sz w:val="20"/>
          <w:szCs w:val="20"/>
        </w:rPr>
      </w:pPr>
      <w:r>
        <w:rPr>
          <w:b/>
          <w:bCs/>
          <w:i/>
          <w:iCs/>
          <w:sz w:val="20"/>
          <w:szCs w:val="20"/>
        </w:rPr>
        <w:t>The market price for our shares has and may continue to fluctuate widely and may result in substantial losses for purchasers of our ordinary shares.</w:t>
      </w:r>
    </w:p>
    <w:p w:rsidR="00000000" w:rsidRDefault="001E618F">
      <w:pPr>
        <w:pStyle w:val="a3"/>
        <w:spacing w:before="0" w:beforeAutospacing="0" w:after="200" w:afterAutospacing="0"/>
        <w:ind w:firstLine="720"/>
        <w:divId w:val="2062242169"/>
        <w:rPr>
          <w:sz w:val="20"/>
          <w:szCs w:val="20"/>
        </w:rPr>
      </w:pPr>
      <w:r>
        <w:rPr>
          <w:sz w:val="20"/>
          <w:szCs w:val="20"/>
        </w:rPr>
        <w:t>The market price for our shares has and may continue to fluctuate widely and may result in substantial loss</w:t>
      </w:r>
      <w:r>
        <w:rPr>
          <w:sz w:val="20"/>
          <w:szCs w:val="20"/>
        </w:rPr>
        <w:t>es for purchasers of our ordinary shares. To the extent that low trading volumes for our ordinary shares continues, our stock price may fluctuate significantly more than the stock market as a whole or the stock prices of similar companies. Without a larger</w:t>
      </w:r>
      <w:r>
        <w:rPr>
          <w:sz w:val="20"/>
          <w:szCs w:val="20"/>
        </w:rPr>
        <w:t xml:space="preserve"> public float of actively traded shares, our ordinary shares are likely to be more sensitive to changes in sales volumes, market fluctuations and events or perceived events with respect to our business, than the shares of common stock of companies with bro</w:t>
      </w:r>
      <w:r>
        <w:rPr>
          <w:sz w:val="20"/>
          <w:szCs w:val="20"/>
        </w:rPr>
        <w:t>ader public ownership, and as a result, the trading prices for our ordinary shares may be more volatile. Among other things, trading of a relatively small volume of ordinary shares may have a greater effect on the trading price than would be the case if ou</w:t>
      </w:r>
      <w:r>
        <w:rPr>
          <w:sz w:val="20"/>
          <w:szCs w:val="20"/>
        </w:rPr>
        <w:t>r public float of actively traded shares were larger. In addition, as further described below under the risk factor entitled “—</w:t>
      </w:r>
      <w:r>
        <w:rPr>
          <w:i/>
          <w:iCs/>
          <w:sz w:val="20"/>
          <w:szCs w:val="20"/>
        </w:rPr>
        <w:t>Concentration of ownership will limit your ability to influence corporate matters,”</w:t>
      </w:r>
      <w:r>
        <w:rPr>
          <w:sz w:val="20"/>
          <w:szCs w:val="20"/>
        </w:rPr>
        <w:t xml:space="preserve"> a number of shareholders hold large concentra</w:t>
      </w:r>
      <w:r>
        <w:rPr>
          <w:sz w:val="20"/>
          <w:szCs w:val="20"/>
        </w:rPr>
        <w:t>tions of our shares which, if sold within a relatively short timeframe, could cause the price of our shares to drop significantly. In addition, as a result of the exchangeable note offering by GSK, up to 9,644,792 ordinary shares held by GSK could become f</w:t>
      </w:r>
      <w:r>
        <w:rPr>
          <w:sz w:val="20"/>
          <w:szCs w:val="20"/>
        </w:rPr>
        <w:t>reely tradeable after September 1, 2020, if holders of the GSK Notes were to exchange their notes for our ordinary shares, although our current stock price is below the exchange price.</w:t>
      </w:r>
    </w:p>
    <w:p w:rsidR="00000000" w:rsidRDefault="001E618F">
      <w:pPr>
        <w:pStyle w:val="a3"/>
        <w:spacing w:before="0" w:beforeAutospacing="0" w:after="200" w:afterAutospacing="0"/>
        <w:ind w:firstLine="720"/>
        <w:divId w:val="2062242169"/>
        <w:rPr>
          <w:sz w:val="20"/>
          <w:szCs w:val="20"/>
        </w:rPr>
      </w:pPr>
      <w:r>
        <w:rPr>
          <w:sz w:val="20"/>
          <w:szCs w:val="20"/>
        </w:rPr>
        <w:t>Market prices for securities of biotechnology and biopharmaceutical com</w:t>
      </w:r>
      <w:r>
        <w:rPr>
          <w:sz w:val="20"/>
          <w:szCs w:val="20"/>
        </w:rPr>
        <w:t xml:space="preserve">panies have been highly volatile, and we expect such volatility to continue for the foreseeable future, so that investment in our ordinary shares involves substantial risk. Additionally, the stock market from time to time has experienced significant price </w:t>
      </w:r>
      <w:r>
        <w:rPr>
          <w:sz w:val="20"/>
          <w:szCs w:val="20"/>
        </w:rPr>
        <w:t>and volume fluctuations unrelated to the operating performance of particular companies.</w:t>
      </w:r>
    </w:p>
    <w:p w:rsidR="00000000" w:rsidRDefault="001E618F">
      <w:pPr>
        <w:pStyle w:val="a3"/>
        <w:spacing w:before="0" w:beforeAutospacing="0" w:after="200" w:afterAutospacing="0"/>
        <w:ind w:firstLine="720"/>
        <w:divId w:val="2062242169"/>
        <w:rPr>
          <w:sz w:val="20"/>
          <w:szCs w:val="20"/>
        </w:rPr>
      </w:pPr>
      <w:r>
        <w:rPr>
          <w:sz w:val="20"/>
          <w:szCs w:val="20"/>
        </w:rPr>
        <w:t>The following are some of the factors that may have a significant effect on the market price of our ordinary shares: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62242169"/>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any adverse developments or results or perceived</w:t>
            </w:r>
            <w:r>
              <w:rPr>
                <w:rFonts w:eastAsia="Times New Roman"/>
                <w:sz w:val="20"/>
                <w:szCs w:val="20"/>
              </w:rPr>
              <w:t xml:space="preserve"> adverse developments or results with respect to YUPELRI, including without limitation, lower than expected sales of YUPELRI, difficulties or delays encountered with regard to the FDA or other regulatory authorities in this program or any indication from c</w:t>
            </w:r>
            <w:r>
              <w:rPr>
                <w:rFonts w:eastAsia="Times New Roman"/>
                <w:sz w:val="20"/>
                <w:szCs w:val="20"/>
              </w:rPr>
              <w:t>linical or non-clinical studies that YUPELRI is not safe or efficacious;</w:t>
            </w:r>
          </w:p>
        </w:tc>
      </w:tr>
    </w:tbl>
    <w:p w:rsidR="00000000" w:rsidRDefault="001E618F">
      <w:pPr>
        <w:pStyle w:val="a3"/>
        <w:spacing w:before="0" w:beforeAutospacing="0" w:after="0" w:afterAutospacing="0"/>
        <w:ind w:left="1080"/>
        <w:divId w:val="206224216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62242169"/>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any adverse developments or results or perceived adverse developments or results with respect to the GSK Partnered Respiratory Programs including, without limitation, lower than</w:t>
            </w:r>
            <w:r>
              <w:rPr>
                <w:rFonts w:eastAsia="Times New Roman"/>
                <w:sz w:val="20"/>
                <w:szCs w:val="20"/>
              </w:rPr>
              <w:t xml:space="preserve"> expected sales of TRELEGY, difficulties or delays encountered with regard to the FDA or other regulatory authorities in these programs or </w:t>
            </w:r>
          </w:p>
        </w:tc>
      </w:tr>
    </w:tbl>
    <w:p w:rsidR="00000000" w:rsidRDefault="001E618F">
      <w:pPr>
        <w:pStyle w:val="a3"/>
        <w:spacing w:before="360" w:beforeAutospacing="0" w:after="0" w:afterAutospacing="0"/>
        <w:jc w:val="center"/>
        <w:divId w:val="1011760685"/>
        <w:rPr>
          <w:sz w:val="20"/>
          <w:szCs w:val="20"/>
        </w:rPr>
      </w:pPr>
      <w:r>
        <w:rPr>
          <w:sz w:val="20"/>
          <w:szCs w:val="20"/>
        </w:rPr>
        <w:t>64</w:t>
      </w:r>
    </w:p>
    <w:p w:rsidR="00000000" w:rsidRDefault="001E618F">
      <w:pPr>
        <w:pStyle w:val="a3"/>
        <w:spacing w:before="0" w:beforeAutospacing="0" w:after="600" w:afterAutospacing="0"/>
        <w:divId w:val="1681659596"/>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trPr>
          <w:divId w:val="7221737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any indication from clinical or non-clinical studies that the compounds in such programs are not safe or efficacious;</w:t>
            </w:r>
          </w:p>
        </w:tc>
      </w:tr>
    </w:tbl>
    <w:p w:rsidR="00000000" w:rsidRDefault="001E618F">
      <w:pPr>
        <w:pStyle w:val="a3"/>
        <w:spacing w:before="0" w:beforeAutospacing="0" w:after="0" w:afterAutospacing="0"/>
        <w:ind w:left="1080"/>
        <w:divId w:val="7221737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21737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any adverse developments or results or perceived adverse developments or results with respect to our key clinical development progra</w:t>
            </w:r>
            <w:r>
              <w:rPr>
                <w:rFonts w:eastAsia="Times New Roman"/>
                <w:sz w:val="20"/>
                <w:szCs w:val="20"/>
              </w:rPr>
              <w:t>ms, including, without limitation, any delays in development in these programs, any halting of development in these programs, any difficulties or delays encountered with regard to the FDA or other regulatory authorities in these programs (including any cla</w:t>
            </w:r>
            <w:r>
              <w:rPr>
                <w:rFonts w:eastAsia="Times New Roman"/>
                <w:sz w:val="20"/>
                <w:szCs w:val="20"/>
              </w:rPr>
              <w:t>ss-based risks that emerge as a FDA or other regulatory agency focus), or any indication from clinical or non-clinical studies that the compounds in such programs are not safe or efficacious;</w:t>
            </w:r>
          </w:p>
        </w:tc>
      </w:tr>
    </w:tbl>
    <w:p w:rsidR="00000000" w:rsidRDefault="001E618F">
      <w:pPr>
        <w:pStyle w:val="a3"/>
        <w:spacing w:before="0" w:beforeAutospacing="0" w:after="0" w:afterAutospacing="0"/>
        <w:ind w:left="1080"/>
        <w:divId w:val="7221737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21737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any announcements of developments with, or comments by, th</w:t>
            </w:r>
            <w:r>
              <w:rPr>
                <w:rFonts w:eastAsia="Times New Roman"/>
                <w:sz w:val="20"/>
                <w:szCs w:val="20"/>
              </w:rPr>
              <w:t>e FDA or other regulatory authorities with respect to products we or our partners have under development, are manufacturing or have commercialized;</w:t>
            </w:r>
          </w:p>
        </w:tc>
      </w:tr>
    </w:tbl>
    <w:p w:rsidR="00000000" w:rsidRDefault="001E618F">
      <w:pPr>
        <w:pStyle w:val="a3"/>
        <w:spacing w:before="0" w:beforeAutospacing="0" w:after="0" w:afterAutospacing="0"/>
        <w:ind w:left="1080"/>
        <w:divId w:val="722173756"/>
        <w:rPr>
          <w:sz w:val="20"/>
          <w:szCs w:val="20"/>
        </w:rPr>
      </w:pPr>
      <w:r>
        <w:rPr>
          <w:color w:val="FF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21737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any adverse developments or disagreements or perceived adverse developments or disagreements with resp</w:t>
            </w:r>
            <w:r>
              <w:rPr>
                <w:rFonts w:eastAsia="Times New Roman"/>
                <w:sz w:val="20"/>
                <w:szCs w:val="20"/>
              </w:rPr>
              <w:t>ect to our relationship with Innoviva, such as our 2019 and 2021 arbitration proceedings with them concerning their use of TRC funds, or the relationship of Innoviva or TRC on the one hand and GSK on the other hand, including any such developments or disag</w:t>
            </w:r>
            <w:r>
              <w:rPr>
                <w:rFonts w:eastAsia="Times New Roman"/>
                <w:sz w:val="20"/>
                <w:szCs w:val="20"/>
              </w:rPr>
              <w:t>reements resulting from or relating to the TRC LLC Agreement or to the Spin-Off;</w:t>
            </w:r>
          </w:p>
        </w:tc>
      </w:tr>
    </w:tbl>
    <w:p w:rsidR="00000000" w:rsidRDefault="001E618F">
      <w:pPr>
        <w:pStyle w:val="a3"/>
        <w:spacing w:before="0" w:beforeAutospacing="0" w:after="0" w:afterAutospacing="0"/>
        <w:ind w:left="1080"/>
        <w:divId w:val="7221737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21737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any adverse developments or perceived adverse developments with respect to our relationship with any of our research, development or commercialization partners, including, without limitation, disagreements that may arise between us and any of those partner</w:t>
            </w:r>
            <w:r>
              <w:rPr>
                <w:rFonts w:eastAsia="Times New Roman"/>
                <w:sz w:val="20"/>
                <w:szCs w:val="20"/>
              </w:rPr>
              <w:t>s;</w:t>
            </w:r>
          </w:p>
        </w:tc>
      </w:tr>
    </w:tbl>
    <w:p w:rsidR="00000000" w:rsidRDefault="001E618F">
      <w:pPr>
        <w:pStyle w:val="a3"/>
        <w:spacing w:before="0" w:beforeAutospacing="0" w:after="0" w:afterAutospacing="0"/>
        <w:ind w:left="1080"/>
        <w:divId w:val="7221737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21737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any adverse developments or perceived adverse developments in our programs with respect to partnering efforts or otherwise;</w:t>
            </w:r>
          </w:p>
        </w:tc>
      </w:tr>
    </w:tbl>
    <w:p w:rsidR="00000000" w:rsidRDefault="001E618F">
      <w:pPr>
        <w:pStyle w:val="a3"/>
        <w:spacing w:before="0" w:beforeAutospacing="0" w:after="0" w:afterAutospacing="0"/>
        <w:ind w:left="1080"/>
        <w:divId w:val="7221737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21737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announcements of patent issuances or denials, technological innovations or new commercial products by us or our compe</w:t>
            </w:r>
            <w:r>
              <w:rPr>
                <w:rFonts w:eastAsia="Times New Roman"/>
                <w:sz w:val="20"/>
                <w:szCs w:val="20"/>
              </w:rPr>
              <w:t>titors;</w:t>
            </w:r>
          </w:p>
        </w:tc>
      </w:tr>
    </w:tbl>
    <w:p w:rsidR="00000000" w:rsidRDefault="001E618F">
      <w:pPr>
        <w:pStyle w:val="a3"/>
        <w:spacing w:before="0" w:beforeAutospacing="0" w:after="0" w:afterAutospacing="0"/>
        <w:ind w:left="1080"/>
        <w:divId w:val="7221737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21737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publicity regarding actual or potential study results or the outcome of regulatory review relating to products under development by us, our partners or our competitors;</w:t>
            </w:r>
          </w:p>
        </w:tc>
      </w:tr>
    </w:tbl>
    <w:p w:rsidR="00000000" w:rsidRDefault="001E618F">
      <w:pPr>
        <w:pStyle w:val="a3"/>
        <w:spacing w:before="0" w:beforeAutospacing="0" w:after="0" w:afterAutospacing="0"/>
        <w:ind w:left="1080"/>
        <w:divId w:val="7221737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21737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regulatory developments in the US and foreign countries;</w:t>
            </w:r>
          </w:p>
        </w:tc>
      </w:tr>
    </w:tbl>
    <w:p w:rsidR="00000000" w:rsidRDefault="001E618F">
      <w:pPr>
        <w:pStyle w:val="a3"/>
        <w:spacing w:before="0" w:beforeAutospacing="0" w:after="0" w:afterAutospacing="0"/>
        <w:ind w:left="1080"/>
        <w:divId w:val="7221737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21737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announcements with respect to governmental or private insurer reimbursement policies;</w:t>
            </w:r>
          </w:p>
        </w:tc>
      </w:tr>
    </w:tbl>
    <w:p w:rsidR="00000000" w:rsidRDefault="001E618F">
      <w:pPr>
        <w:pStyle w:val="a3"/>
        <w:spacing w:before="0" w:beforeAutospacing="0" w:after="0" w:afterAutospacing="0"/>
        <w:ind w:left="1080"/>
        <w:divId w:val="7221737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21737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announcements of equity or debt financings;</w:t>
            </w:r>
          </w:p>
        </w:tc>
      </w:tr>
    </w:tbl>
    <w:p w:rsidR="00000000" w:rsidRDefault="001E618F">
      <w:pPr>
        <w:pStyle w:val="a3"/>
        <w:spacing w:before="0" w:beforeAutospacing="0" w:after="0" w:afterAutospacing="0"/>
        <w:ind w:left="1080"/>
        <w:divId w:val="7221737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21737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possible impairment charges on non-marketable equity securities;</w:t>
            </w:r>
          </w:p>
        </w:tc>
      </w:tr>
    </w:tbl>
    <w:p w:rsidR="00000000" w:rsidRDefault="001E618F">
      <w:pPr>
        <w:pStyle w:val="a3"/>
        <w:spacing w:before="0" w:beforeAutospacing="0" w:after="0" w:afterAutospacing="0"/>
        <w:ind w:left="1080"/>
        <w:divId w:val="7221737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21737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 xml:space="preserve">economic and other external factors beyond </w:t>
            </w:r>
            <w:r>
              <w:rPr>
                <w:rFonts w:eastAsia="Times New Roman"/>
                <w:sz w:val="20"/>
                <w:szCs w:val="20"/>
              </w:rPr>
              <w:t>our control, such as the COVID-19 pandemic and fluctuations in interest rates;</w:t>
            </w:r>
          </w:p>
        </w:tc>
      </w:tr>
    </w:tbl>
    <w:p w:rsidR="00000000" w:rsidRDefault="001E618F">
      <w:pPr>
        <w:pStyle w:val="a3"/>
        <w:spacing w:before="0" w:beforeAutospacing="0" w:after="0" w:afterAutospacing="0"/>
        <w:ind w:left="1080"/>
        <w:divId w:val="7221737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21737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loss of key personnel;</w:t>
            </w:r>
          </w:p>
        </w:tc>
      </w:tr>
    </w:tbl>
    <w:p w:rsidR="00000000" w:rsidRDefault="001E618F">
      <w:pPr>
        <w:pStyle w:val="a3"/>
        <w:spacing w:before="0" w:beforeAutospacing="0" w:after="0" w:afterAutospacing="0"/>
        <w:ind w:left="1080"/>
        <w:divId w:val="7221737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21737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likelihood of our ordinary shares to be more sensitive to changes in sales volume, market fluctuations and events or perceived events with respect to our business due to our small public float;</w:t>
            </w:r>
          </w:p>
        </w:tc>
      </w:tr>
    </w:tbl>
    <w:p w:rsidR="00000000" w:rsidRDefault="001E618F">
      <w:pPr>
        <w:pStyle w:val="a3"/>
        <w:spacing w:before="0" w:beforeAutospacing="0" w:after="0" w:afterAutospacing="0"/>
        <w:ind w:left="1080"/>
        <w:divId w:val="7221737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21737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low public market trading volumes for our ordinary share</w:t>
            </w:r>
            <w:r>
              <w:rPr>
                <w:rFonts w:eastAsia="Times New Roman"/>
                <w:sz w:val="20"/>
                <w:szCs w:val="20"/>
              </w:rPr>
              <w:t>s related in part to the concentration of ownership of our shares;</w:t>
            </w:r>
          </w:p>
        </w:tc>
      </w:tr>
    </w:tbl>
    <w:p w:rsidR="00000000" w:rsidRDefault="001E618F">
      <w:pPr>
        <w:pStyle w:val="a3"/>
        <w:spacing w:before="0" w:beforeAutospacing="0" w:after="0" w:afterAutospacing="0"/>
        <w:ind w:left="1080"/>
        <w:divId w:val="7221737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21737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sale of large concentrations of our shares, which may be more likely to occur due to the concentration of ownership of our shares, such as what we experienced when our largest sha</w:t>
            </w:r>
            <w:r>
              <w:rPr>
                <w:rFonts w:eastAsia="Times New Roman"/>
                <w:sz w:val="20"/>
                <w:szCs w:val="20"/>
              </w:rPr>
              <w:t xml:space="preserve">reholder, Woodford Investment </w:t>
            </w:r>
          </w:p>
        </w:tc>
      </w:tr>
    </w:tbl>
    <w:p w:rsidR="00000000" w:rsidRDefault="001E618F">
      <w:pPr>
        <w:pStyle w:val="a3"/>
        <w:spacing w:before="360" w:beforeAutospacing="0" w:after="0" w:afterAutospacing="0"/>
        <w:jc w:val="center"/>
        <w:divId w:val="1327395901"/>
        <w:rPr>
          <w:sz w:val="20"/>
          <w:szCs w:val="20"/>
        </w:rPr>
      </w:pPr>
      <w:r>
        <w:rPr>
          <w:sz w:val="20"/>
          <w:szCs w:val="20"/>
        </w:rPr>
        <w:t>65</w:t>
      </w:r>
    </w:p>
    <w:p w:rsidR="00000000" w:rsidRDefault="001E618F">
      <w:pPr>
        <w:pStyle w:val="a3"/>
        <w:spacing w:before="0" w:beforeAutospacing="0" w:after="600" w:afterAutospacing="0"/>
        <w:divId w:val="422797288"/>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trPr>
          <w:divId w:val="10680682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Management Limited, divested its holdings in 2019 or which may occur as a result of the exchangeable note offering by GSK if holders of the GSK Notes were to exchange their notes for our ordinary shares;</w:t>
            </w:r>
          </w:p>
        </w:tc>
      </w:tr>
    </w:tbl>
    <w:p w:rsidR="00000000" w:rsidRDefault="001E618F">
      <w:pPr>
        <w:pStyle w:val="a3"/>
        <w:spacing w:before="0" w:beforeAutospacing="0" w:after="0" w:afterAutospacing="0"/>
        <w:ind w:left="1080"/>
        <w:divId w:val="10680682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680682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developments or disputes as to patent or other</w:t>
            </w:r>
            <w:r>
              <w:rPr>
                <w:rFonts w:eastAsia="Times New Roman"/>
                <w:sz w:val="20"/>
                <w:szCs w:val="20"/>
              </w:rPr>
              <w:t xml:space="preserve"> proprietary rights;</w:t>
            </w:r>
          </w:p>
        </w:tc>
      </w:tr>
    </w:tbl>
    <w:p w:rsidR="00000000" w:rsidRDefault="001E618F">
      <w:pPr>
        <w:pStyle w:val="a3"/>
        <w:spacing w:before="0" w:beforeAutospacing="0" w:after="0" w:afterAutospacing="0"/>
        <w:ind w:left="1080"/>
        <w:divId w:val="10680682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680682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approval or introduction of competing products and technologies;</w:t>
            </w:r>
          </w:p>
        </w:tc>
      </w:tr>
    </w:tbl>
    <w:p w:rsidR="00000000" w:rsidRDefault="001E618F">
      <w:pPr>
        <w:pStyle w:val="a3"/>
        <w:spacing w:before="0" w:beforeAutospacing="0" w:after="0" w:afterAutospacing="0"/>
        <w:ind w:left="1080"/>
        <w:divId w:val="10680682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680682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results of clinical trials;</w:t>
            </w:r>
          </w:p>
        </w:tc>
      </w:tr>
    </w:tbl>
    <w:p w:rsidR="00000000" w:rsidRDefault="001E618F">
      <w:pPr>
        <w:pStyle w:val="a3"/>
        <w:spacing w:before="0" w:beforeAutospacing="0" w:after="0" w:afterAutospacing="0"/>
        <w:ind w:left="1080"/>
        <w:divId w:val="10680682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680682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 xml:space="preserve">failures or unexpected delays in timelines for our potential products in development, including the obtaining of regulatory </w:t>
            </w:r>
            <w:r>
              <w:rPr>
                <w:rFonts w:eastAsia="Times New Roman"/>
                <w:sz w:val="20"/>
                <w:szCs w:val="20"/>
              </w:rPr>
              <w:t>approvals;</w:t>
            </w:r>
          </w:p>
        </w:tc>
      </w:tr>
    </w:tbl>
    <w:p w:rsidR="00000000" w:rsidRDefault="001E618F">
      <w:pPr>
        <w:pStyle w:val="a3"/>
        <w:spacing w:before="0" w:beforeAutospacing="0" w:after="0" w:afterAutospacing="0"/>
        <w:ind w:left="1080"/>
        <w:divId w:val="10680682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680682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delays in manufacturing adversely affecting clinical or commercial operations;</w:t>
            </w:r>
          </w:p>
        </w:tc>
      </w:tr>
    </w:tbl>
    <w:p w:rsidR="00000000" w:rsidRDefault="001E618F">
      <w:pPr>
        <w:pStyle w:val="a3"/>
        <w:spacing w:before="0" w:beforeAutospacing="0" w:after="0" w:afterAutospacing="0"/>
        <w:ind w:left="1080"/>
        <w:divId w:val="10680682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680682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fluctuations in our operating results;</w:t>
            </w:r>
          </w:p>
        </w:tc>
      </w:tr>
    </w:tbl>
    <w:p w:rsidR="00000000" w:rsidRDefault="001E618F">
      <w:pPr>
        <w:pStyle w:val="a3"/>
        <w:spacing w:before="0" w:beforeAutospacing="0" w:after="0" w:afterAutospacing="0"/>
        <w:ind w:left="1080"/>
        <w:divId w:val="10680682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680682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market reaction to announcements by other biotechnology or pharmaceutical companies;</w:t>
            </w:r>
          </w:p>
        </w:tc>
      </w:tr>
    </w:tbl>
    <w:p w:rsidR="00000000" w:rsidRDefault="001E618F">
      <w:pPr>
        <w:pStyle w:val="a3"/>
        <w:spacing w:before="0" w:beforeAutospacing="0" w:after="0" w:afterAutospacing="0"/>
        <w:ind w:left="1080"/>
        <w:divId w:val="10680682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680682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initiation, termination or modification of agreements with our collaborators or disputes or disagreements with collaborators;</w:t>
            </w:r>
          </w:p>
        </w:tc>
      </w:tr>
    </w:tbl>
    <w:p w:rsidR="00000000" w:rsidRDefault="001E618F">
      <w:pPr>
        <w:pStyle w:val="a3"/>
        <w:spacing w:before="0" w:beforeAutospacing="0" w:after="0" w:afterAutospacing="0"/>
        <w:ind w:left="1080"/>
        <w:divId w:val="10680682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680682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litigation or the threat of litig</w:t>
            </w:r>
            <w:r>
              <w:rPr>
                <w:rFonts w:eastAsia="Times New Roman"/>
                <w:sz w:val="20"/>
                <w:szCs w:val="20"/>
              </w:rPr>
              <w:t>ation;</w:t>
            </w:r>
          </w:p>
        </w:tc>
      </w:tr>
    </w:tbl>
    <w:p w:rsidR="00000000" w:rsidRDefault="001E618F">
      <w:pPr>
        <w:pStyle w:val="a3"/>
        <w:spacing w:before="0" w:beforeAutospacing="0" w:after="0" w:afterAutospacing="0"/>
        <w:ind w:left="1080"/>
        <w:divId w:val="10680682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680682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public concern as to the safety of product candidates or medicines developed by us; and</w:t>
            </w:r>
          </w:p>
        </w:tc>
      </w:tr>
    </w:tbl>
    <w:p w:rsidR="00000000" w:rsidRDefault="001E618F">
      <w:pPr>
        <w:pStyle w:val="a3"/>
        <w:spacing w:before="0" w:beforeAutospacing="0" w:after="0" w:afterAutospacing="0"/>
        <w:ind w:left="1080"/>
        <w:divId w:val="10680682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680682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comments and expectations of results made by securities analysts or investors.</w:t>
            </w:r>
          </w:p>
        </w:tc>
      </w:tr>
    </w:tbl>
    <w:p w:rsidR="00000000" w:rsidRDefault="001E618F">
      <w:pPr>
        <w:pStyle w:val="a3"/>
        <w:spacing w:before="0" w:beforeAutospacing="0" w:after="0" w:afterAutospacing="0"/>
        <w:ind w:firstLine="720"/>
        <w:divId w:val="1068068256"/>
        <w:rPr>
          <w:sz w:val="20"/>
          <w:szCs w:val="20"/>
        </w:rPr>
      </w:pPr>
      <w:r>
        <w:rPr>
          <w:sz w:val="20"/>
          <w:szCs w:val="20"/>
        </w:rPr>
        <w:t>​</w:t>
      </w:r>
    </w:p>
    <w:p w:rsidR="00000000" w:rsidRDefault="001E618F">
      <w:pPr>
        <w:pStyle w:val="a3"/>
        <w:spacing w:before="0" w:beforeAutospacing="0" w:after="200" w:afterAutospacing="0"/>
        <w:ind w:firstLine="720"/>
        <w:divId w:val="1068068256"/>
        <w:rPr>
          <w:sz w:val="20"/>
          <w:szCs w:val="20"/>
        </w:rPr>
      </w:pPr>
      <w:r>
        <w:rPr>
          <w:sz w:val="20"/>
          <w:szCs w:val="20"/>
        </w:rPr>
        <w:t>If any of these factors causes us to fail to meet the expectations of securities analysts or investors, or if adverse conditions prevail or are perceived to prevail with resp</w:t>
      </w:r>
      <w:r>
        <w:rPr>
          <w:sz w:val="20"/>
          <w:szCs w:val="20"/>
        </w:rPr>
        <w:t>ect to our business, the price of the ordinary shares would likely drop significantly. For example, our stock price dropped significantly when we announced that izencitinib did not meet its primary endpoint in our Phase 2b/3 induction and maintenance study</w:t>
      </w:r>
      <w:r>
        <w:rPr>
          <w:sz w:val="20"/>
          <w:szCs w:val="20"/>
        </w:rPr>
        <w:t xml:space="preserve"> of izencitinib in ulcerative colitis. In addition, though none has been filed to our knowledge, a significant drop in the price of a company’s securities often leads to the filing of securities class action litigation against the company. This type of lit</w:t>
      </w:r>
      <w:r>
        <w:rPr>
          <w:sz w:val="20"/>
          <w:szCs w:val="20"/>
        </w:rPr>
        <w:t>igation against us could result in substantial costs and a diversion of management’s attention and resources.</w:t>
      </w:r>
    </w:p>
    <w:p w:rsidR="00000000" w:rsidRDefault="001E618F">
      <w:pPr>
        <w:pStyle w:val="a3"/>
        <w:spacing w:before="0" w:beforeAutospacing="0" w:after="120" w:afterAutospacing="0"/>
        <w:divId w:val="1068068256"/>
        <w:rPr>
          <w:rFonts w:ascii="Times" w:hAnsi="Times"/>
          <w:b/>
          <w:bCs/>
          <w:i/>
          <w:iCs/>
          <w:sz w:val="20"/>
          <w:szCs w:val="20"/>
        </w:rPr>
      </w:pPr>
      <w:r>
        <w:rPr>
          <w:rFonts w:ascii="Times" w:hAnsi="Times"/>
          <w:b/>
          <w:bCs/>
          <w:i/>
          <w:iCs/>
          <w:sz w:val="20"/>
          <w:szCs w:val="20"/>
        </w:rPr>
        <w:t>Concentration of ownership will limit your ability to influence corporate matters.</w:t>
      </w:r>
      <w:r>
        <w:rPr>
          <w:rFonts w:ascii="Times" w:hAnsi="Times"/>
          <w:b/>
          <w:bCs/>
          <w:i/>
          <w:iCs/>
          <w:sz w:val="20"/>
          <w:szCs w:val="20"/>
        </w:rPr>
        <w:t xml:space="preserve"> </w:t>
      </w:r>
    </w:p>
    <w:p w:rsidR="00000000" w:rsidRDefault="001E618F">
      <w:pPr>
        <w:pStyle w:val="a3"/>
        <w:spacing w:before="0" w:beforeAutospacing="0" w:after="200" w:afterAutospacing="0"/>
        <w:ind w:firstLine="720"/>
        <w:divId w:val="1068068256"/>
        <w:rPr>
          <w:sz w:val="20"/>
          <w:szCs w:val="20"/>
        </w:rPr>
      </w:pPr>
      <w:r>
        <w:rPr>
          <w:sz w:val="20"/>
          <w:szCs w:val="20"/>
        </w:rPr>
        <w:t>Based on our review of publicly available filings, as of March</w:t>
      </w:r>
      <w:r>
        <w:rPr>
          <w:sz w:val="20"/>
          <w:szCs w:val="20"/>
        </w:rPr>
        <w:t> 31, 2022, our three largest shareholders collectively owned</w:t>
      </w:r>
      <w:r>
        <w:rPr>
          <w:b/>
          <w:bCs/>
          <w:color w:val="FF0000"/>
          <w:sz w:val="20"/>
          <w:szCs w:val="20"/>
        </w:rPr>
        <w:t xml:space="preserve"> </w:t>
      </w:r>
      <w:r>
        <w:rPr>
          <w:sz w:val="20"/>
          <w:szCs w:val="20"/>
        </w:rPr>
        <w:t>40.5%</w:t>
      </w:r>
      <w:r>
        <w:rPr>
          <w:b/>
          <w:bCs/>
          <w:sz w:val="20"/>
          <w:szCs w:val="20"/>
        </w:rPr>
        <w:t xml:space="preserve"> </w:t>
      </w:r>
      <w:r>
        <w:rPr>
          <w:sz w:val="20"/>
          <w:szCs w:val="20"/>
        </w:rPr>
        <w:t>of our outstanding or</w:t>
      </w:r>
      <w:r>
        <w:rPr>
          <w:sz w:val="20"/>
          <w:szCs w:val="20"/>
        </w:rPr>
        <w:t>dinary shares. These shareholders could control the outcome of actions taken by us that require shareholder approval, including a transaction in which shareholders might receive a premium over the prevailing market price for their shares.</w:t>
      </w:r>
    </w:p>
    <w:p w:rsidR="00000000" w:rsidRDefault="001E618F">
      <w:pPr>
        <w:pStyle w:val="a3"/>
        <w:spacing w:before="0" w:beforeAutospacing="0" w:after="120" w:afterAutospacing="0"/>
        <w:divId w:val="1068068256"/>
        <w:rPr>
          <w:sz w:val="20"/>
          <w:szCs w:val="20"/>
        </w:rPr>
      </w:pPr>
      <w:r>
        <w:rPr>
          <w:b/>
          <w:bCs/>
          <w:i/>
          <w:iCs/>
          <w:sz w:val="20"/>
          <w:szCs w:val="20"/>
        </w:rPr>
        <w:t>Certain provision</w:t>
      </w:r>
      <w:r>
        <w:rPr>
          <w:b/>
          <w:bCs/>
          <w:i/>
          <w:iCs/>
          <w:sz w:val="20"/>
          <w:szCs w:val="20"/>
        </w:rPr>
        <w:t>s in our constitutional and other documents may discourage our acquisition by a third-party, which could limit your opportunity to sell shares at a premium.</w:t>
      </w:r>
    </w:p>
    <w:p w:rsidR="00000000" w:rsidRDefault="001E618F">
      <w:pPr>
        <w:pStyle w:val="a3"/>
        <w:spacing w:before="0" w:beforeAutospacing="0" w:after="200" w:afterAutospacing="0"/>
        <w:ind w:firstLine="720"/>
        <w:divId w:val="1068068256"/>
        <w:rPr>
          <w:sz w:val="20"/>
          <w:szCs w:val="20"/>
        </w:rPr>
      </w:pPr>
      <w:r>
        <w:rPr>
          <w:sz w:val="20"/>
          <w:szCs w:val="20"/>
        </w:rPr>
        <w:t>Our constitutional documents include provisions that could limit the ability of others to acquire c</w:t>
      </w:r>
      <w:r>
        <w:rPr>
          <w:sz w:val="20"/>
          <w:szCs w:val="20"/>
        </w:rPr>
        <w:t>ontrol of us, modify our structure or cause us to engage in change-of-control transactions, including, among other things, provisions that: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680682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require supermajority shareholder voting to effect certain amendments to our amended and restated memorandum and articles of association;</w:t>
            </w:r>
          </w:p>
        </w:tc>
      </w:tr>
    </w:tbl>
    <w:p w:rsidR="00000000" w:rsidRDefault="001E618F">
      <w:pPr>
        <w:pStyle w:val="a3"/>
        <w:spacing w:before="0" w:beforeAutospacing="0" w:after="0" w:afterAutospacing="0"/>
        <w:ind w:left="1080"/>
        <w:divId w:val="10680682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680682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establish a classified board of directors;</w:t>
            </w:r>
          </w:p>
        </w:tc>
      </w:tr>
    </w:tbl>
    <w:p w:rsidR="00000000" w:rsidRDefault="001E618F">
      <w:pPr>
        <w:pStyle w:val="a3"/>
        <w:spacing w:before="0" w:beforeAutospacing="0" w:after="0" w:afterAutospacing="0"/>
        <w:ind w:left="1080"/>
        <w:divId w:val="10680682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68068256"/>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restrict our shareholders from calling meetings or acting by wr</w:t>
            </w:r>
            <w:r>
              <w:rPr>
                <w:rFonts w:eastAsia="Times New Roman"/>
                <w:sz w:val="20"/>
                <w:szCs w:val="20"/>
              </w:rPr>
              <w:t>itten consent in lieu of a meeting;</w:t>
            </w:r>
          </w:p>
        </w:tc>
      </w:tr>
    </w:tbl>
    <w:p w:rsidR="00000000" w:rsidRDefault="001E618F">
      <w:pPr>
        <w:pStyle w:val="a3"/>
        <w:spacing w:before="0" w:beforeAutospacing="0" w:after="0" w:afterAutospacing="0"/>
        <w:ind w:left="1080"/>
        <w:divId w:val="1068068256"/>
        <w:rPr>
          <w:sz w:val="20"/>
          <w:szCs w:val="20"/>
        </w:rPr>
      </w:pPr>
      <w:r>
        <w:rPr>
          <w:sz w:val="20"/>
          <w:szCs w:val="20"/>
        </w:rPr>
        <w:t>​</w:t>
      </w:r>
    </w:p>
    <w:p w:rsidR="00000000" w:rsidRDefault="001E618F">
      <w:pPr>
        <w:pStyle w:val="a3"/>
        <w:spacing w:before="360" w:beforeAutospacing="0" w:after="0" w:afterAutospacing="0"/>
        <w:jc w:val="center"/>
        <w:divId w:val="1048912989"/>
        <w:rPr>
          <w:sz w:val="20"/>
          <w:szCs w:val="20"/>
        </w:rPr>
      </w:pPr>
      <w:r>
        <w:rPr>
          <w:sz w:val="20"/>
          <w:szCs w:val="20"/>
        </w:rPr>
        <w:t>66</w:t>
      </w:r>
    </w:p>
    <w:p w:rsidR="00000000" w:rsidRDefault="001E618F">
      <w:pPr>
        <w:pStyle w:val="a3"/>
        <w:spacing w:before="0" w:beforeAutospacing="0" w:after="600" w:afterAutospacing="0"/>
        <w:divId w:val="933976043"/>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0721908"/>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limit the ability of our shareholders to propose actions at duly convened meetings; and</w:t>
            </w:r>
          </w:p>
        </w:tc>
      </w:tr>
    </w:tbl>
    <w:p w:rsidR="00000000" w:rsidRDefault="001E618F">
      <w:pPr>
        <w:pStyle w:val="a3"/>
        <w:spacing w:before="0" w:beforeAutospacing="0" w:after="0" w:afterAutospacing="0"/>
        <w:ind w:left="1080"/>
        <w:divId w:val="162072190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0721908"/>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authorize our board of directors, without action by our shareholders, to issue preferred shares and additional ordinary shares.</w:t>
            </w:r>
          </w:p>
        </w:tc>
      </w:tr>
    </w:tbl>
    <w:p w:rsidR="00000000" w:rsidRDefault="001E618F">
      <w:pPr>
        <w:pStyle w:val="a3"/>
        <w:spacing w:before="0" w:beforeAutospacing="0" w:after="0" w:afterAutospacing="0"/>
        <w:ind w:firstLine="720"/>
        <w:divId w:val="1620721908"/>
        <w:rPr>
          <w:sz w:val="20"/>
          <w:szCs w:val="20"/>
        </w:rPr>
      </w:pPr>
      <w:r>
        <w:rPr>
          <w:sz w:val="20"/>
          <w:szCs w:val="20"/>
        </w:rPr>
        <w:t>​</w:t>
      </w:r>
    </w:p>
    <w:p w:rsidR="00000000" w:rsidRDefault="001E618F">
      <w:pPr>
        <w:pStyle w:val="a3"/>
        <w:spacing w:before="0" w:beforeAutospacing="0" w:after="200" w:afterAutospacing="0"/>
        <w:ind w:firstLine="720"/>
        <w:divId w:val="1620721908"/>
        <w:rPr>
          <w:sz w:val="20"/>
          <w:szCs w:val="20"/>
        </w:rPr>
      </w:pPr>
      <w:r>
        <w:rPr>
          <w:sz w:val="20"/>
          <w:szCs w:val="20"/>
        </w:rPr>
        <w:t>In addition, in May 2018, our shareholders approved a resolution authorizing our board of directors to adopt a shareholder ri</w:t>
      </w:r>
      <w:r>
        <w:rPr>
          <w:sz w:val="20"/>
          <w:szCs w:val="20"/>
        </w:rPr>
        <w:t>ghts plan in the future intended to deter any person from acquiring more than 19.9% of our outstanding ordinary shares without the approval of our board of directors.</w:t>
      </w:r>
    </w:p>
    <w:p w:rsidR="00000000" w:rsidRDefault="001E618F">
      <w:pPr>
        <w:pStyle w:val="a3"/>
        <w:spacing w:before="0" w:beforeAutospacing="0" w:after="200" w:afterAutospacing="0"/>
        <w:ind w:firstLine="720"/>
        <w:divId w:val="1620721908"/>
        <w:rPr>
          <w:sz w:val="20"/>
          <w:szCs w:val="20"/>
        </w:rPr>
      </w:pPr>
      <w:r>
        <w:rPr>
          <w:sz w:val="20"/>
          <w:szCs w:val="20"/>
        </w:rPr>
        <w:t>These provisions could have the effect of depriving you of an opportunity to sell your or</w:t>
      </w:r>
      <w:r>
        <w:rPr>
          <w:sz w:val="20"/>
          <w:szCs w:val="20"/>
        </w:rPr>
        <w:t>dinary shares at a premium over prevailing market prices by discouraging third parties from seeking to acquire control of us in a tender offer or similar transaction.</w:t>
      </w:r>
    </w:p>
    <w:p w:rsidR="00000000" w:rsidRDefault="001E618F">
      <w:pPr>
        <w:pStyle w:val="a3"/>
        <w:spacing w:before="0" w:beforeAutospacing="0" w:after="120" w:afterAutospacing="0"/>
        <w:divId w:val="1620721908"/>
        <w:rPr>
          <w:sz w:val="20"/>
          <w:szCs w:val="20"/>
        </w:rPr>
      </w:pPr>
      <w:r>
        <w:rPr>
          <w:b/>
          <w:bCs/>
          <w:i/>
          <w:iCs/>
          <w:sz w:val="20"/>
          <w:szCs w:val="20"/>
        </w:rPr>
        <w:t>Our shareholders may face difficulties in protecting their interests because we are incor</w:t>
      </w:r>
      <w:r>
        <w:rPr>
          <w:b/>
          <w:bCs/>
          <w:i/>
          <w:iCs/>
          <w:sz w:val="20"/>
          <w:szCs w:val="20"/>
        </w:rPr>
        <w:t>porated under Cayman Islands law.</w:t>
      </w:r>
    </w:p>
    <w:p w:rsidR="00000000" w:rsidRDefault="001E618F">
      <w:pPr>
        <w:pStyle w:val="a3"/>
        <w:spacing w:before="0" w:beforeAutospacing="0" w:after="200" w:afterAutospacing="0"/>
        <w:ind w:firstLine="720"/>
        <w:divId w:val="1620721908"/>
        <w:rPr>
          <w:sz w:val="20"/>
          <w:szCs w:val="20"/>
        </w:rPr>
      </w:pPr>
      <w:r>
        <w:rPr>
          <w:sz w:val="20"/>
          <w:szCs w:val="20"/>
        </w:rPr>
        <w:t>Our corporate affairs are governed by our amended and restated memorandum and articles of association, by the Companies Law (2020 Revision) of the Cayman Islands and by the common law of the Cayman Islands. The rights of o</w:t>
      </w:r>
      <w:r>
        <w:rPr>
          <w:sz w:val="20"/>
          <w:szCs w:val="20"/>
        </w:rPr>
        <w:t>ur shareholders and the fiduciary responsibilities of our directors under the laws of the Cayman Islands are different from those under statutes or judicial precedent in existence in jurisdictions in the US. Therefore, you may have more difficulty in prote</w:t>
      </w:r>
      <w:r>
        <w:rPr>
          <w:sz w:val="20"/>
          <w:szCs w:val="20"/>
        </w:rPr>
        <w:t>cting your interests than would shareholders of a corporation incorporated in a jurisdiction in the US, due to the different nature of Cayman Islands law in this area.</w:t>
      </w:r>
    </w:p>
    <w:p w:rsidR="00000000" w:rsidRDefault="001E618F">
      <w:pPr>
        <w:pStyle w:val="a3"/>
        <w:spacing w:before="0" w:beforeAutospacing="0" w:after="200" w:afterAutospacing="0"/>
        <w:ind w:firstLine="720"/>
        <w:divId w:val="1620721908"/>
        <w:rPr>
          <w:sz w:val="20"/>
          <w:szCs w:val="20"/>
        </w:rPr>
      </w:pPr>
      <w:r>
        <w:rPr>
          <w:sz w:val="20"/>
          <w:szCs w:val="20"/>
        </w:rPr>
        <w:t>Shareholders of Cayman Islands exempted companies such as our company have no general ri</w:t>
      </w:r>
      <w:r>
        <w:rPr>
          <w:sz w:val="20"/>
          <w:szCs w:val="20"/>
        </w:rPr>
        <w:t>ghts under Cayman Islands law to inspect corporate records and accounts or to obtain copies of lists of shareholders. Our directors have discretion under our amended and restated memorandum and articles of association to determine whether or not, and under</w:t>
      </w:r>
      <w:r>
        <w:rPr>
          <w:sz w:val="20"/>
          <w:szCs w:val="20"/>
        </w:rPr>
        <w:t xml:space="preserve"> what conditions, our corporate records may be inspected by our shareholders, but are not obliged to make them available to our shareholders. This may make it more difficult for you to obtain the information needed to establish any facts necessary for a sh</w:t>
      </w:r>
      <w:r>
        <w:rPr>
          <w:sz w:val="20"/>
          <w:szCs w:val="20"/>
        </w:rPr>
        <w:t>areholder motion or to solicit proxies from other shareholders in connection with a proxy contest.</w:t>
      </w:r>
    </w:p>
    <w:p w:rsidR="00000000" w:rsidRDefault="001E618F">
      <w:pPr>
        <w:pStyle w:val="a3"/>
        <w:spacing w:before="0" w:beforeAutospacing="0" w:after="200" w:afterAutospacing="0"/>
        <w:ind w:firstLine="720"/>
        <w:divId w:val="1620721908"/>
        <w:rPr>
          <w:sz w:val="20"/>
          <w:szCs w:val="20"/>
        </w:rPr>
      </w:pPr>
      <w:r>
        <w:rPr>
          <w:sz w:val="20"/>
          <w:szCs w:val="20"/>
        </w:rPr>
        <w:t>Our Cayman Islands counsel, Maples and Calder, is not aware of any reported class action having been brought in a Cayman Islands court. Derivative actions ha</w:t>
      </w:r>
      <w:r>
        <w:rPr>
          <w:sz w:val="20"/>
          <w:szCs w:val="20"/>
        </w:rPr>
        <w:t>ve been brought in the Cayman Islands courts, and the Cayman Islands courts have confirmed the availability for such actions. In most cases, the Company will be the proper plaintiff in any claim based on a breach of duty owed to it, and a claim against (fo</w:t>
      </w:r>
      <w:r>
        <w:rPr>
          <w:sz w:val="20"/>
          <w:szCs w:val="20"/>
        </w:rPr>
        <w:t>r example) our officers or directors usually may not be brought by a shareholder. However, based on English authorities, which would in all likelihood be of persuasive authority and be applied by a court in the Cayman Islands, exceptions to the foregoing p</w:t>
      </w:r>
      <w:r>
        <w:rPr>
          <w:sz w:val="20"/>
          <w:szCs w:val="20"/>
        </w:rPr>
        <w:t>rinciple apply in circumstances in which:</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0721908"/>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a company is acting, or proposing to act, illegally or beyond the scope of its authority;</w:t>
            </w:r>
          </w:p>
        </w:tc>
      </w:tr>
    </w:tbl>
    <w:p w:rsidR="00000000" w:rsidRDefault="001E618F">
      <w:pPr>
        <w:pStyle w:val="a3"/>
        <w:spacing w:before="0" w:beforeAutospacing="0" w:after="0" w:afterAutospacing="0"/>
        <w:ind w:left="1080"/>
        <w:divId w:val="162072190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0721908"/>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act complained of, although not beyond the scope of the authority, could be effected if duly authorized by more than the number of votes which have actually been obtained; or</w:t>
            </w:r>
          </w:p>
        </w:tc>
      </w:tr>
    </w:tbl>
    <w:p w:rsidR="00000000" w:rsidRDefault="001E618F">
      <w:pPr>
        <w:pStyle w:val="a3"/>
        <w:spacing w:before="0" w:beforeAutospacing="0" w:after="0" w:afterAutospacing="0"/>
        <w:ind w:left="1080"/>
        <w:divId w:val="162072190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20721908"/>
        </w:trPr>
        <w:tc>
          <w:tcPr>
            <w:tcW w:w="720" w:type="dxa"/>
            <w:vAlign w:val="center"/>
            <w:hideMark/>
          </w:tcPr>
          <w:p w:rsidR="00000000" w:rsidRDefault="001E618F">
            <w:pPr>
              <w:rPr>
                <w:sz w:val="20"/>
                <w:szCs w:val="20"/>
              </w:rPr>
            </w:pPr>
          </w:p>
        </w:tc>
        <w:tc>
          <w:tcPr>
            <w:tcW w:w="360" w:type="dxa"/>
            <w:noWrap/>
            <w:tcMar>
              <w:top w:w="0" w:type="dxa"/>
              <w:left w:w="0" w:type="dxa"/>
              <w:bottom w:w="0" w:type="dxa"/>
              <w:right w:w="0" w:type="dxa"/>
            </w:tcMar>
            <w:hideMark/>
          </w:tcPr>
          <w:p w:rsidR="00000000" w:rsidRDefault="001E618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those who control the company are perpetrating a “fraud on the minority</w:t>
            </w:r>
            <w:r>
              <w:rPr>
                <w:rFonts w:eastAsia="Times New Roman"/>
                <w:sz w:val="20"/>
                <w:szCs w:val="20"/>
              </w:rPr>
              <w:t>.”</w:t>
            </w:r>
          </w:p>
        </w:tc>
      </w:tr>
    </w:tbl>
    <w:p w:rsidR="00000000" w:rsidRDefault="001E618F">
      <w:pPr>
        <w:pStyle w:val="a3"/>
        <w:spacing w:before="0" w:beforeAutospacing="0" w:after="0" w:afterAutospacing="0"/>
        <w:ind w:firstLine="720"/>
        <w:divId w:val="1620721908"/>
        <w:rPr>
          <w:sz w:val="20"/>
          <w:szCs w:val="20"/>
        </w:rPr>
      </w:pPr>
      <w:r>
        <w:rPr>
          <w:sz w:val="20"/>
          <w:szCs w:val="20"/>
        </w:rPr>
        <w:t>​</w:t>
      </w:r>
    </w:p>
    <w:p w:rsidR="00000000" w:rsidRDefault="001E618F">
      <w:pPr>
        <w:pStyle w:val="a3"/>
        <w:spacing w:before="0" w:beforeAutospacing="0" w:after="200" w:afterAutospacing="0"/>
        <w:ind w:firstLine="720"/>
        <w:divId w:val="1620721908"/>
        <w:rPr>
          <w:sz w:val="20"/>
          <w:szCs w:val="20"/>
        </w:rPr>
      </w:pPr>
      <w:r>
        <w:rPr>
          <w:sz w:val="20"/>
          <w:szCs w:val="20"/>
        </w:rPr>
        <w:t>A shareholder may have a direct right of action against the company where the individual rights of that shareholder have been infringed or are about to be infringed.</w:t>
      </w:r>
    </w:p>
    <w:p w:rsidR="00000000" w:rsidRDefault="001E618F">
      <w:pPr>
        <w:pStyle w:val="a3"/>
        <w:spacing w:before="0" w:beforeAutospacing="0" w:after="120" w:afterAutospacing="0"/>
        <w:divId w:val="1620721908"/>
        <w:rPr>
          <w:sz w:val="20"/>
          <w:szCs w:val="20"/>
        </w:rPr>
      </w:pPr>
      <w:r>
        <w:rPr>
          <w:b/>
          <w:bCs/>
          <w:i/>
          <w:iCs/>
          <w:sz w:val="20"/>
          <w:szCs w:val="20"/>
        </w:rPr>
        <w:t>There is uncertainty as to shareholders’ ability to enforce certain foreign civil li</w:t>
      </w:r>
      <w:r>
        <w:rPr>
          <w:b/>
          <w:bCs/>
          <w:i/>
          <w:iCs/>
          <w:sz w:val="20"/>
          <w:szCs w:val="20"/>
        </w:rPr>
        <w:t>abilities in the Cayman Islands.</w:t>
      </w:r>
    </w:p>
    <w:p w:rsidR="00000000" w:rsidRDefault="001E618F">
      <w:pPr>
        <w:pStyle w:val="a3"/>
        <w:spacing w:before="0" w:beforeAutospacing="0" w:after="200" w:afterAutospacing="0"/>
        <w:ind w:firstLine="720"/>
        <w:divId w:val="1620721908"/>
        <w:rPr>
          <w:sz w:val="20"/>
          <w:szCs w:val="20"/>
        </w:rPr>
      </w:pPr>
      <w:r>
        <w:rPr>
          <w:sz w:val="20"/>
          <w:szCs w:val="20"/>
        </w:rPr>
        <w:t xml:space="preserve">We are incorporated as an exempted company limited by shares with limited liability under the laws of the Cayman Islands. A material portion of our assets are located outside of the US. As a result, it may be difficult for </w:t>
      </w:r>
      <w:r>
        <w:rPr>
          <w:sz w:val="20"/>
          <w:szCs w:val="20"/>
        </w:rPr>
        <w:t>our shareholders to enforce judgments against us or judgments obtained in US courts predicated upon the civil liability provisions of the federal securities laws of the US or any state of the US.</w:t>
      </w:r>
    </w:p>
    <w:p w:rsidR="00000000" w:rsidRDefault="001E618F">
      <w:pPr>
        <w:pStyle w:val="a3"/>
        <w:spacing w:before="0" w:beforeAutospacing="0" w:after="0" w:afterAutospacing="0"/>
        <w:ind w:firstLine="720"/>
        <w:divId w:val="1620721908"/>
        <w:rPr>
          <w:sz w:val="20"/>
          <w:szCs w:val="20"/>
        </w:rPr>
      </w:pPr>
      <w:r>
        <w:rPr>
          <w:sz w:val="20"/>
          <w:szCs w:val="20"/>
        </w:rPr>
        <w:t>We understand that the courts of the Cayman Islands are unli</w:t>
      </w:r>
      <w:r>
        <w:rPr>
          <w:sz w:val="20"/>
          <w:szCs w:val="20"/>
        </w:rPr>
        <w:t xml:space="preserve">kely (i) to recognize or enforce against Theravance Biopharma judgments of courts of the US predicated upon the civil liability provisions of the securities laws of the US or any </w:t>
      </w:r>
    </w:p>
    <w:p w:rsidR="00000000" w:rsidRDefault="001E618F">
      <w:pPr>
        <w:pStyle w:val="a3"/>
        <w:spacing w:before="360" w:beforeAutospacing="0" w:after="0" w:afterAutospacing="0"/>
        <w:jc w:val="center"/>
        <w:divId w:val="1507867729"/>
        <w:rPr>
          <w:sz w:val="20"/>
          <w:szCs w:val="20"/>
        </w:rPr>
      </w:pPr>
      <w:r>
        <w:rPr>
          <w:sz w:val="20"/>
          <w:szCs w:val="20"/>
        </w:rPr>
        <w:t>67</w:t>
      </w:r>
    </w:p>
    <w:p w:rsidR="00000000" w:rsidRDefault="001E618F">
      <w:pPr>
        <w:pStyle w:val="a3"/>
        <w:spacing w:before="0" w:beforeAutospacing="0" w:after="600" w:afterAutospacing="0"/>
        <w:divId w:val="5401527"/>
        <w:rPr>
          <w:sz w:val="20"/>
          <w:szCs w:val="20"/>
        </w:rPr>
      </w:pPr>
      <w:hyperlink w:anchor="TOC" w:history="1">
        <w:r>
          <w:rPr>
            <w:rStyle w:val="a4"/>
            <w:sz w:val="20"/>
            <w:szCs w:val="20"/>
          </w:rPr>
          <w:t>Table of Contents</w:t>
        </w:r>
      </w:hyperlink>
    </w:p>
    <w:p w:rsidR="00000000" w:rsidRDefault="001E618F">
      <w:pPr>
        <w:pStyle w:val="a3"/>
        <w:spacing w:before="0" w:beforeAutospacing="0" w:after="200" w:afterAutospacing="0"/>
        <w:divId w:val="1929773645"/>
        <w:rPr>
          <w:sz w:val="20"/>
          <w:szCs w:val="20"/>
        </w:rPr>
      </w:pPr>
      <w:r>
        <w:rPr>
          <w:sz w:val="20"/>
          <w:szCs w:val="20"/>
        </w:rPr>
        <w:t>State; and (ii) in original a</w:t>
      </w:r>
      <w:r>
        <w:rPr>
          <w:sz w:val="20"/>
          <w:szCs w:val="20"/>
        </w:rPr>
        <w:t xml:space="preserve">ctions brought in the Cayman Islands, to impose liabilities against Theravance Biopharma predicated upon the civil liability provisions of the securities laws of the US or any State, on the grounds that such provisions are penal in nature. However, in the </w:t>
      </w:r>
      <w:r>
        <w:rPr>
          <w:sz w:val="20"/>
          <w:szCs w:val="20"/>
        </w:rPr>
        <w:t>case of laws that are not penal in nature, although there is no statutory enforcement in the Cayman Islands of judgments obtained in the US, the courts of the Cayman Islands will recognize and enforce a foreign money judgment of a foreign court of competen</w:t>
      </w:r>
      <w:r>
        <w:rPr>
          <w:sz w:val="20"/>
          <w:szCs w:val="20"/>
        </w:rPr>
        <w:t>t jurisdiction without retrial on the merits based on the principle that a judgment of a competent foreign court imposes upon the judgment debtor an obligation to pay the sum for which judgment has been given provided certain conditions are met. For a fore</w:t>
      </w:r>
      <w:r>
        <w:rPr>
          <w:sz w:val="20"/>
          <w:szCs w:val="20"/>
        </w:rPr>
        <w:t>ign judgment to be enforced in the Cayman Islands, such judgment must be final and conclusive and for a liquidated sum, and must not be in respect of taxes or a fine or penalty, inconsistent with a Cayman Islands’ judgment in respect of the same matter, im</w:t>
      </w:r>
      <w:r>
        <w:rPr>
          <w:sz w:val="20"/>
          <w:szCs w:val="20"/>
        </w:rPr>
        <w:t>peachable on the grounds of fraud or obtained in a manner, and or be of a kind the enforcement of which is, contrary to natural justice or the public policy of the Cayman Islands (awards of punitive or multiple damages may well be held to be contrary to pu</w:t>
      </w:r>
      <w:r>
        <w:rPr>
          <w:sz w:val="20"/>
          <w:szCs w:val="20"/>
        </w:rPr>
        <w:t>blic policy). A Cayman Islands court, including the Grand Court of the Cayman Islands, may stay proceedings if concurrent proceedings are being brought elsewhere, which would delay proceedings and make it more difficult for our shareholders to bring action</w:t>
      </w:r>
      <w:r>
        <w:rPr>
          <w:sz w:val="20"/>
          <w:szCs w:val="20"/>
        </w:rPr>
        <w:t xml:space="preserve"> against us.</w:t>
      </w:r>
    </w:p>
    <w:p w:rsidR="00000000" w:rsidRDefault="001E618F">
      <w:pPr>
        <w:pStyle w:val="a3"/>
        <w:spacing w:before="0" w:beforeAutospacing="0" w:after="120" w:afterAutospacing="0"/>
        <w:divId w:val="1929773645"/>
        <w:rPr>
          <w:sz w:val="20"/>
          <w:szCs w:val="20"/>
        </w:rPr>
      </w:pPr>
      <w:r>
        <w:rPr>
          <w:b/>
          <w:bCs/>
          <w:i/>
          <w:iCs/>
          <w:sz w:val="20"/>
          <w:szCs w:val="20"/>
        </w:rPr>
        <w:t>If securities or industry analysts cease coverage of us or do not publish research, or publish inaccurate or unfavorable research, about our business, the price of our ordinary shares and trading volume could decline.</w:t>
      </w:r>
    </w:p>
    <w:p w:rsidR="00000000" w:rsidRDefault="001E618F">
      <w:pPr>
        <w:pStyle w:val="a3"/>
        <w:spacing w:before="0" w:beforeAutospacing="0" w:after="200" w:afterAutospacing="0"/>
        <w:ind w:firstLine="720"/>
        <w:divId w:val="1929773645"/>
        <w:rPr>
          <w:sz w:val="20"/>
          <w:szCs w:val="20"/>
        </w:rPr>
      </w:pPr>
      <w:r>
        <w:rPr>
          <w:sz w:val="20"/>
          <w:szCs w:val="20"/>
        </w:rPr>
        <w:t>The trading market for our ordinary sh</w:t>
      </w:r>
      <w:r>
        <w:rPr>
          <w:sz w:val="20"/>
          <w:szCs w:val="20"/>
        </w:rPr>
        <w:t>ares depends in part on the research and reports that securities or industry analysts publish about us or our business. If few securities analysts commence coverage of us, or if industry analysts cease coverage of us, the trading price for our ordinary sha</w:t>
      </w:r>
      <w:r>
        <w:rPr>
          <w:sz w:val="20"/>
          <w:szCs w:val="20"/>
        </w:rPr>
        <w:t>res could be negatively affected. If one or more of the analysts who cover us downgrade our ordinary shares or publish inaccurate or unfavorable research about our business or if our results fail to meet the expectations of these analysts, the price of our</w:t>
      </w:r>
      <w:r>
        <w:rPr>
          <w:sz w:val="20"/>
          <w:szCs w:val="20"/>
        </w:rPr>
        <w:t xml:space="preserve"> ordinary shares would likely decline. If one or more of these analysts cease coverage of us or fail to publish reports on us regularly, demand for our ordinary shares could decrease, which might cause our share price and trading volume to decline.</w:t>
      </w:r>
    </w:p>
    <w:p w:rsidR="00000000" w:rsidRDefault="001E618F">
      <w:pPr>
        <w:pStyle w:val="a3"/>
        <w:spacing w:before="0" w:beforeAutospacing="0" w:after="120" w:afterAutospacing="0"/>
        <w:divId w:val="1929773645"/>
        <w:rPr>
          <w:sz w:val="20"/>
          <w:szCs w:val="20"/>
        </w:rPr>
      </w:pPr>
      <w:r>
        <w:rPr>
          <w:b/>
          <w:bCs/>
          <w:i/>
          <w:iCs/>
          <w:sz w:val="20"/>
          <w:szCs w:val="20"/>
        </w:rPr>
        <w:t>We do n</w:t>
      </w:r>
      <w:r>
        <w:rPr>
          <w:b/>
          <w:bCs/>
          <w:i/>
          <w:iCs/>
          <w:sz w:val="20"/>
          <w:szCs w:val="20"/>
        </w:rPr>
        <w:t>ot anticipate paying any cash dividends on our capital shares in the foreseeable future; as a result, capital appreciation, if any, of our ordinary shares will be your sole source of gain for the foreseeable future.</w:t>
      </w:r>
    </w:p>
    <w:p w:rsidR="00000000" w:rsidRDefault="001E618F">
      <w:pPr>
        <w:pStyle w:val="a3"/>
        <w:spacing w:before="0" w:beforeAutospacing="0" w:after="0" w:afterAutospacing="0"/>
        <w:ind w:firstLine="720"/>
        <w:divId w:val="1929773645"/>
        <w:rPr>
          <w:sz w:val="20"/>
          <w:szCs w:val="20"/>
        </w:rPr>
      </w:pPr>
      <w:r>
        <w:rPr>
          <w:sz w:val="20"/>
          <w:szCs w:val="20"/>
        </w:rPr>
        <w:t>We have never declared or paid cash divi</w:t>
      </w:r>
      <w:r>
        <w:rPr>
          <w:sz w:val="20"/>
          <w:szCs w:val="20"/>
        </w:rPr>
        <w:t>dends on our capital shares. We do not anticipate paying any cash dividends on our capital shares in the foreseeable future. We currently intend to retain all available funds and any future earnings to fund the development and growth of our business. In ad</w:t>
      </w:r>
      <w:r>
        <w:rPr>
          <w:sz w:val="20"/>
          <w:szCs w:val="20"/>
        </w:rPr>
        <w:t>dition, the terms of any future debt financing arrangement may contain terms prohibiting or limiting the amount of dividends that may be declared or paid on our ordinary shares. As a result, capital appreciation, if any, of our ordinary shares will be your</w:t>
      </w:r>
      <w:r>
        <w:rPr>
          <w:sz w:val="20"/>
          <w:szCs w:val="20"/>
        </w:rPr>
        <w:t xml:space="preserve"> sole source of gain for the foreseeable future.</w:t>
      </w:r>
    </w:p>
    <w:p w:rsidR="00000000" w:rsidRDefault="001E618F">
      <w:pPr>
        <w:pStyle w:val="a3"/>
        <w:spacing w:before="0" w:beforeAutospacing="0" w:after="0" w:afterAutospacing="0"/>
        <w:divId w:val="1929773645"/>
        <w:rPr>
          <w:sz w:val="20"/>
          <w:szCs w:val="20"/>
        </w:rPr>
      </w:pPr>
      <w:r>
        <w:rPr>
          <w:sz w:val="20"/>
          <w:szCs w:val="20"/>
        </w:rPr>
        <w:t>​</w:t>
      </w:r>
    </w:p>
    <w:p w:rsidR="00000000" w:rsidRDefault="001E618F">
      <w:pPr>
        <w:pStyle w:val="a3"/>
        <w:spacing w:before="0" w:beforeAutospacing="0" w:after="0" w:afterAutospacing="0"/>
        <w:ind w:firstLine="720"/>
        <w:divId w:val="1929773645"/>
        <w:rPr>
          <w:sz w:val="20"/>
          <w:szCs w:val="20"/>
        </w:rPr>
      </w:pPr>
      <w:r>
        <w:rPr>
          <w:sz w:val="20"/>
          <w:szCs w:val="20"/>
        </w:rPr>
        <w:t>​</w:t>
      </w:r>
    </w:p>
    <w:p w:rsidR="00000000" w:rsidRDefault="001E618F">
      <w:pPr>
        <w:pStyle w:val="a3"/>
        <w:spacing w:before="0" w:beforeAutospacing="0" w:after="0" w:afterAutospacing="0"/>
        <w:divId w:val="1929773645"/>
        <w:rPr>
          <w:sz w:val="20"/>
          <w:szCs w:val="20"/>
        </w:rPr>
      </w:pPr>
      <w:r>
        <w:rPr>
          <w:b/>
          <w:bCs/>
          <w:sz w:val="20"/>
          <w:szCs w:val="20"/>
        </w:rPr>
        <w:t>​</w:t>
      </w:r>
    </w:p>
    <w:p w:rsidR="00000000" w:rsidRDefault="001E618F">
      <w:pPr>
        <w:pStyle w:val="a3"/>
        <w:spacing w:before="0" w:beforeAutospacing="0" w:after="0" w:afterAutospacing="0"/>
        <w:divId w:val="1929773645"/>
        <w:rPr>
          <w:sz w:val="20"/>
          <w:szCs w:val="20"/>
        </w:rPr>
      </w:pPr>
      <w:r>
        <w:rPr>
          <w:b/>
          <w:bCs/>
          <w:sz w:val="20"/>
          <w:szCs w:val="20"/>
        </w:rPr>
        <w:t>​</w:t>
      </w:r>
    </w:p>
    <w:p w:rsidR="00000000" w:rsidRDefault="001E618F">
      <w:pPr>
        <w:pStyle w:val="a3"/>
        <w:spacing w:before="360" w:beforeAutospacing="0" w:after="0" w:afterAutospacing="0"/>
        <w:jc w:val="center"/>
        <w:divId w:val="1548565198"/>
        <w:rPr>
          <w:sz w:val="20"/>
          <w:szCs w:val="20"/>
        </w:rPr>
      </w:pPr>
      <w:r>
        <w:rPr>
          <w:sz w:val="20"/>
          <w:szCs w:val="20"/>
        </w:rPr>
        <w:t>68</w:t>
      </w:r>
    </w:p>
    <w:p w:rsidR="00000000" w:rsidRDefault="001E618F">
      <w:pPr>
        <w:pStyle w:val="a3"/>
        <w:spacing w:before="0" w:beforeAutospacing="0" w:after="600" w:afterAutospacing="0"/>
        <w:divId w:val="1327783125"/>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divId w:val="2119718300"/>
        <w:rPr>
          <w:sz w:val="20"/>
          <w:szCs w:val="20"/>
        </w:rPr>
      </w:pPr>
      <w:r>
        <w:rPr>
          <w:b/>
          <w:bCs/>
          <w:sz w:val="20"/>
          <w:szCs w:val="20"/>
        </w:rPr>
        <w:t>ITEM 6.   EXHIBITS</w:t>
      </w:r>
    </w:p>
    <w:p w:rsidR="00000000" w:rsidRDefault="001E618F">
      <w:pPr>
        <w:pStyle w:val="a3"/>
        <w:spacing w:before="0" w:beforeAutospacing="0" w:after="0" w:afterAutospacing="0"/>
        <w:divId w:val="211971830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6"/>
        <w:gridCol w:w="204"/>
        <w:gridCol w:w="3822"/>
        <w:gridCol w:w="204"/>
        <w:gridCol w:w="1027"/>
        <w:gridCol w:w="205"/>
        <w:gridCol w:w="995"/>
        <w:gridCol w:w="205"/>
        <w:gridCol w:w="1068"/>
      </w:tblGrid>
      <w:tr w:rsidR="00000000">
        <w:trPr>
          <w:divId w:val="2119718300"/>
          <w:trHeight w:val="20"/>
        </w:trPr>
        <w:tc>
          <w:tcPr>
            <w:tcW w:w="349" w:type="pct"/>
            <w:tcMar>
              <w:top w:w="0" w:type="dxa"/>
              <w:left w:w="0" w:type="dxa"/>
              <w:bottom w:w="0" w:type="dxa"/>
              <w:right w:w="0" w:type="dxa"/>
            </w:tcMar>
            <w:vAlign w:val="bottom"/>
            <w:hideMark/>
          </w:tcPr>
          <w:p w:rsidR="00000000" w:rsidRDefault="001E618F">
            <w:pPr>
              <w:rPr>
                <w:sz w:val="20"/>
                <w:szCs w:val="20"/>
              </w:rPr>
            </w:pPr>
          </w:p>
        </w:tc>
        <w:tc>
          <w:tcPr>
            <w:tcW w:w="125" w:type="pct"/>
            <w:tcMar>
              <w:top w:w="0" w:type="dxa"/>
              <w:left w:w="0" w:type="dxa"/>
              <w:bottom w:w="0" w:type="dxa"/>
              <w:right w:w="0" w:type="dxa"/>
            </w:tcMar>
            <w:vAlign w:val="bottom"/>
            <w:hideMark/>
          </w:tcPr>
          <w:p w:rsidR="00000000" w:rsidRDefault="001E618F">
            <w:pPr>
              <w:rPr>
                <w:rFonts w:eastAsia="Times New Roman"/>
                <w:sz w:val="20"/>
                <w:szCs w:val="20"/>
              </w:rPr>
            </w:pPr>
          </w:p>
        </w:tc>
        <w:tc>
          <w:tcPr>
            <w:tcW w:w="2303" w:type="pct"/>
            <w:tcMar>
              <w:top w:w="0" w:type="dxa"/>
              <w:left w:w="0" w:type="dxa"/>
              <w:bottom w:w="0" w:type="dxa"/>
              <w:right w:w="0" w:type="dxa"/>
            </w:tcMar>
            <w:vAlign w:val="bottom"/>
            <w:hideMark/>
          </w:tcPr>
          <w:p w:rsidR="00000000" w:rsidRDefault="001E618F">
            <w:pPr>
              <w:rPr>
                <w:rFonts w:eastAsia="Times New Roman"/>
                <w:sz w:val="20"/>
                <w:szCs w:val="20"/>
              </w:rPr>
            </w:pPr>
          </w:p>
        </w:tc>
        <w:tc>
          <w:tcPr>
            <w:tcW w:w="125" w:type="pct"/>
            <w:tcMar>
              <w:top w:w="0" w:type="dxa"/>
              <w:left w:w="0" w:type="dxa"/>
              <w:bottom w:w="0" w:type="dxa"/>
              <w:right w:w="0" w:type="dxa"/>
            </w:tcMar>
            <w:vAlign w:val="bottom"/>
            <w:hideMark/>
          </w:tcPr>
          <w:p w:rsidR="00000000" w:rsidRDefault="001E618F">
            <w:pPr>
              <w:rPr>
                <w:rFonts w:eastAsia="Times New Roman"/>
                <w:sz w:val="20"/>
                <w:szCs w:val="20"/>
              </w:rPr>
            </w:pPr>
          </w:p>
        </w:tc>
        <w:tc>
          <w:tcPr>
            <w:tcW w:w="601" w:type="pct"/>
            <w:tcMar>
              <w:top w:w="0" w:type="dxa"/>
              <w:left w:w="0" w:type="dxa"/>
              <w:bottom w:w="0" w:type="dxa"/>
              <w:right w:w="0" w:type="dxa"/>
            </w:tcMar>
            <w:vAlign w:val="bottom"/>
            <w:hideMark/>
          </w:tcPr>
          <w:p w:rsidR="00000000" w:rsidRDefault="001E618F">
            <w:pPr>
              <w:rPr>
                <w:rFonts w:eastAsia="Times New Roman"/>
                <w:sz w:val="20"/>
                <w:szCs w:val="20"/>
              </w:rPr>
            </w:pPr>
          </w:p>
        </w:tc>
        <w:tc>
          <w:tcPr>
            <w:tcW w:w="125" w:type="pct"/>
            <w:tcMar>
              <w:top w:w="0" w:type="dxa"/>
              <w:left w:w="0" w:type="dxa"/>
              <w:bottom w:w="0" w:type="dxa"/>
              <w:right w:w="0" w:type="dxa"/>
            </w:tcMar>
            <w:vAlign w:val="bottom"/>
            <w:hideMark/>
          </w:tcPr>
          <w:p w:rsidR="00000000" w:rsidRDefault="001E618F">
            <w:pPr>
              <w:rPr>
                <w:rFonts w:eastAsia="Times New Roman"/>
                <w:sz w:val="20"/>
                <w:szCs w:val="20"/>
              </w:rPr>
            </w:pPr>
          </w:p>
        </w:tc>
        <w:tc>
          <w:tcPr>
            <w:tcW w:w="601" w:type="pct"/>
            <w:tcMar>
              <w:top w:w="0" w:type="dxa"/>
              <w:left w:w="0" w:type="dxa"/>
              <w:bottom w:w="0" w:type="dxa"/>
              <w:right w:w="0" w:type="dxa"/>
            </w:tcMar>
            <w:vAlign w:val="bottom"/>
            <w:hideMark/>
          </w:tcPr>
          <w:p w:rsidR="00000000" w:rsidRDefault="001E618F">
            <w:pPr>
              <w:rPr>
                <w:rFonts w:eastAsia="Times New Roman"/>
                <w:sz w:val="20"/>
                <w:szCs w:val="20"/>
              </w:rPr>
            </w:pPr>
          </w:p>
        </w:tc>
        <w:tc>
          <w:tcPr>
            <w:tcW w:w="125" w:type="pct"/>
            <w:tcMar>
              <w:top w:w="0" w:type="dxa"/>
              <w:left w:w="0" w:type="dxa"/>
              <w:bottom w:w="0" w:type="dxa"/>
              <w:right w:w="0" w:type="dxa"/>
            </w:tcMar>
            <w:vAlign w:val="bottom"/>
            <w:hideMark/>
          </w:tcPr>
          <w:p w:rsidR="00000000" w:rsidRDefault="001E618F">
            <w:pPr>
              <w:rPr>
                <w:rFonts w:eastAsia="Times New Roman"/>
                <w:sz w:val="20"/>
                <w:szCs w:val="20"/>
              </w:rPr>
            </w:pPr>
          </w:p>
        </w:tc>
        <w:tc>
          <w:tcPr>
            <w:tcW w:w="644" w:type="pct"/>
            <w:tcMar>
              <w:top w:w="0" w:type="dxa"/>
              <w:left w:w="0" w:type="dxa"/>
              <w:bottom w:w="0" w:type="dxa"/>
              <w:right w:w="0" w:type="dxa"/>
            </w:tcMar>
            <w:vAlign w:val="bottom"/>
            <w:hideMark/>
          </w:tcPr>
          <w:p w:rsidR="00000000" w:rsidRDefault="001E618F">
            <w:pPr>
              <w:rPr>
                <w:rFonts w:eastAsia="Times New Roman"/>
                <w:sz w:val="20"/>
                <w:szCs w:val="20"/>
              </w:rPr>
            </w:pPr>
          </w:p>
        </w:tc>
      </w:tr>
      <w:tr w:rsidR="00000000">
        <w:trPr>
          <w:divId w:val="2119718300"/>
        </w:trPr>
        <w:tc>
          <w:tcPr>
            <w:tcW w:w="349"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2303"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601"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16"/>
                <w:szCs w:val="16"/>
              </w:rPr>
              <w:t>​</w:t>
            </w:r>
          </w:p>
        </w:tc>
        <w:tc>
          <w:tcPr>
            <w:tcW w:w="1371" w:type="pct"/>
            <w:gridSpan w:val="3"/>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Incorporated by Reference</w:t>
            </w:r>
          </w:p>
        </w:tc>
      </w:tr>
      <w:tr w:rsidR="00000000">
        <w:trPr>
          <w:divId w:val="2119718300"/>
        </w:trPr>
        <w:tc>
          <w:tcPr>
            <w:tcW w:w="349"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Exhibit</w:t>
            </w:r>
            <w:r>
              <w:rPr>
                <w:sz w:val="16"/>
                <w:szCs w:val="16"/>
              </w:rPr>
              <w:br/>
            </w:r>
            <w:r>
              <w:rPr>
                <w:b/>
                <w:bCs/>
                <w:sz w:val="16"/>
                <w:szCs w:val="16"/>
              </w:rPr>
              <w:t>Number</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2303"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Exhibit Description</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Filed Herewith</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Form</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16"/>
                <w:szCs w:val="16"/>
              </w:rPr>
            </w:pPr>
            <w:r>
              <w:rPr>
                <w:b/>
                <w:bCs/>
                <w:sz w:val="16"/>
                <w:szCs w:val="16"/>
              </w:rPr>
              <w:t>    </w:t>
            </w:r>
          </w:p>
        </w:tc>
        <w:tc>
          <w:tcPr>
            <w:tcW w:w="644" w:type="pct"/>
            <w:tcBorders>
              <w:bottom w:val="single" w:sz="6" w:space="0" w:color="000000"/>
            </w:tcBorders>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16"/>
                <w:szCs w:val="16"/>
              </w:rPr>
            </w:pPr>
            <w:r>
              <w:rPr>
                <w:b/>
                <w:bCs/>
                <w:sz w:val="16"/>
                <w:szCs w:val="16"/>
              </w:rPr>
              <w:t>Filing</w:t>
            </w:r>
            <w:r>
              <w:rPr>
                <w:sz w:val="16"/>
                <w:szCs w:val="16"/>
              </w:rPr>
              <w:br/>
            </w:r>
            <w:r>
              <w:rPr>
                <w:b/>
                <w:bCs/>
                <w:sz w:val="16"/>
                <w:szCs w:val="16"/>
              </w:rPr>
              <w:t>Date/Period</w:t>
            </w:r>
            <w:r>
              <w:rPr>
                <w:sz w:val="16"/>
                <w:szCs w:val="16"/>
              </w:rPr>
              <w:br/>
            </w:r>
            <w:r>
              <w:rPr>
                <w:b/>
                <w:bCs/>
                <w:sz w:val="16"/>
                <w:szCs w:val="16"/>
              </w:rPr>
              <w:t>End Date</w:t>
            </w:r>
          </w:p>
        </w:tc>
      </w:tr>
      <w:tr w:rsidR="00000000">
        <w:trPr>
          <w:divId w:val="2119718300"/>
        </w:trPr>
        <w:tc>
          <w:tcPr>
            <w:tcW w:w="349"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20"/>
                <w:szCs w:val="20"/>
              </w:rPr>
              <w:t>​</w:t>
            </w:r>
          </w:p>
        </w:tc>
        <w:tc>
          <w:tcPr>
            <w:tcW w:w="2303"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20"/>
                <w:szCs w:val="20"/>
              </w:rPr>
              <w:t>​</w:t>
            </w:r>
          </w:p>
        </w:tc>
        <w:tc>
          <w:tcPr>
            <w:tcW w:w="644" w:type="pct"/>
            <w:tcMar>
              <w:top w:w="0" w:type="dxa"/>
              <w:left w:w="0" w:type="dxa"/>
              <w:bottom w:w="0" w:type="dxa"/>
              <w:right w:w="0" w:type="dxa"/>
            </w:tcMar>
            <w:vAlign w:val="bottom"/>
            <w:hideMark/>
          </w:tcPr>
          <w:p w:rsidR="00000000" w:rsidRDefault="001E618F">
            <w:pPr>
              <w:pStyle w:val="a3"/>
              <w:spacing w:before="0" w:beforeAutospacing="0" w:after="0" w:afterAutospacing="0"/>
              <w:jc w:val="center"/>
              <w:rPr>
                <w:sz w:val="20"/>
                <w:szCs w:val="20"/>
              </w:rPr>
            </w:pPr>
            <w:r>
              <w:rPr>
                <w:b/>
                <w:bCs/>
                <w:sz w:val="20"/>
                <w:szCs w:val="20"/>
              </w:rPr>
              <w:t>​</w:t>
            </w:r>
          </w:p>
        </w:tc>
      </w:tr>
      <w:tr w:rsidR="00000000">
        <w:trPr>
          <w:divId w:val="2119718300"/>
        </w:trPr>
        <w:tc>
          <w:tcPr>
            <w:tcW w:w="349" w:type="pct"/>
            <w:tcMar>
              <w:top w:w="0" w:type="dxa"/>
              <w:left w:w="0" w:type="dxa"/>
              <w:bottom w:w="0" w:type="dxa"/>
              <w:right w:w="0" w:type="dxa"/>
            </w:tcMar>
            <w:hideMark/>
          </w:tcPr>
          <w:p w:rsidR="00000000" w:rsidRDefault="001E618F">
            <w:pPr>
              <w:pStyle w:val="a3"/>
              <w:spacing w:before="0" w:beforeAutospacing="0" w:after="0" w:afterAutospacing="0"/>
              <w:ind w:hanging="202"/>
              <w:jc w:val="right"/>
              <w:rPr>
                <w:sz w:val="20"/>
                <w:szCs w:val="20"/>
              </w:rPr>
            </w:pPr>
            <w:r>
              <w:rPr>
                <w:sz w:val="20"/>
                <w:szCs w:val="20"/>
              </w:rPr>
              <w:t>31.1</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hyperlink r:id="rId4" w:history="1">
              <w:r>
                <w:rPr>
                  <w:rStyle w:val="a4"/>
                  <w:sz w:val="20"/>
                  <w:szCs w:val="20"/>
                </w:rPr>
                <w:t>Certification of Chief Executive Officer Pursuant to Rules 13a-14(a) and 15d-14(a) promulgated pursuant to the Securities Exchange Act of 1934, as amended</w:t>
              </w:r>
            </w:hyperlink>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r>
      <w:tr w:rsidR="00000000">
        <w:trPr>
          <w:divId w:val="2119718300"/>
        </w:trPr>
        <w:tc>
          <w:tcPr>
            <w:tcW w:w="349" w:type="pct"/>
            <w:tcMar>
              <w:top w:w="0" w:type="dxa"/>
              <w:left w:w="0" w:type="dxa"/>
              <w:bottom w:w="0" w:type="dxa"/>
              <w:right w:w="0" w:type="dxa"/>
            </w:tcMar>
            <w:hideMark/>
          </w:tcPr>
          <w:p w:rsidR="00000000" w:rsidRDefault="001E618F">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r>
      <w:tr w:rsidR="00000000">
        <w:trPr>
          <w:divId w:val="2119718300"/>
        </w:trPr>
        <w:tc>
          <w:tcPr>
            <w:tcW w:w="349" w:type="pct"/>
            <w:tcMar>
              <w:top w:w="0" w:type="dxa"/>
              <w:left w:w="0" w:type="dxa"/>
              <w:bottom w:w="0" w:type="dxa"/>
              <w:right w:w="0" w:type="dxa"/>
            </w:tcMar>
            <w:hideMark/>
          </w:tcPr>
          <w:p w:rsidR="00000000" w:rsidRDefault="001E618F">
            <w:pPr>
              <w:pStyle w:val="a3"/>
              <w:spacing w:before="0" w:beforeAutospacing="0" w:after="0" w:afterAutospacing="0"/>
              <w:ind w:hanging="202"/>
              <w:jc w:val="right"/>
              <w:rPr>
                <w:sz w:val="20"/>
                <w:szCs w:val="20"/>
              </w:rPr>
            </w:pPr>
            <w:r>
              <w:rPr>
                <w:sz w:val="20"/>
                <w:szCs w:val="20"/>
              </w:rPr>
              <w:t>31.2</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hyperlink r:id="rId5" w:history="1">
              <w:r>
                <w:rPr>
                  <w:rStyle w:val="a4"/>
                  <w:sz w:val="20"/>
                  <w:szCs w:val="20"/>
                </w:rPr>
                <w:t>Certification of Chief Financial Officer Pursuant to Rules 13a-14(a) and 15d-14(a) </w:t>
              </w:r>
              <w:r>
                <w:rPr>
                  <w:rStyle w:val="a4"/>
                  <w:sz w:val="20"/>
                  <w:szCs w:val="20"/>
                </w:rPr>
                <w:t>promulgated pursuant to the Securities Exchange Act of 1934, as amended</w:t>
              </w:r>
            </w:hyperlink>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r>
      <w:tr w:rsidR="00000000">
        <w:trPr>
          <w:divId w:val="2119718300"/>
        </w:trPr>
        <w:tc>
          <w:tcPr>
            <w:tcW w:w="349" w:type="pct"/>
            <w:tcMar>
              <w:top w:w="0" w:type="dxa"/>
              <w:left w:w="0" w:type="dxa"/>
              <w:bottom w:w="0" w:type="dxa"/>
              <w:right w:w="0" w:type="dxa"/>
            </w:tcMar>
            <w:hideMark/>
          </w:tcPr>
          <w:p w:rsidR="00000000" w:rsidRDefault="001E618F">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r>
      <w:tr w:rsidR="00000000">
        <w:trPr>
          <w:divId w:val="2119718300"/>
        </w:trPr>
        <w:tc>
          <w:tcPr>
            <w:tcW w:w="349" w:type="pct"/>
            <w:tcMar>
              <w:top w:w="0" w:type="dxa"/>
              <w:left w:w="0" w:type="dxa"/>
              <w:bottom w:w="0" w:type="dxa"/>
              <w:right w:w="0" w:type="dxa"/>
            </w:tcMar>
            <w:hideMark/>
          </w:tcPr>
          <w:p w:rsidR="00000000" w:rsidRDefault="001E618F">
            <w:pPr>
              <w:pStyle w:val="a3"/>
              <w:spacing w:before="0" w:beforeAutospacing="0" w:after="0" w:afterAutospacing="0"/>
              <w:ind w:hanging="202"/>
              <w:jc w:val="right"/>
              <w:rPr>
                <w:sz w:val="20"/>
                <w:szCs w:val="20"/>
              </w:rPr>
            </w:pPr>
            <w:r>
              <w:rPr>
                <w:sz w:val="20"/>
                <w:szCs w:val="20"/>
              </w:rPr>
              <w:t>3</w:t>
            </w:r>
            <w:r>
              <w:rPr>
                <w:sz w:val="20"/>
                <w:szCs w:val="20"/>
              </w:rPr>
              <w:t>2</w:t>
            </w:r>
            <w:r>
              <w:rPr>
                <w:sz w:val="17"/>
                <w:szCs w:val="17"/>
                <w:vertAlign w:val="superscript"/>
              </w:rPr>
              <w:t>(1)</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hyperlink r:id="rId6" w:history="1">
              <w:r>
                <w:rPr>
                  <w:rStyle w:val="a4"/>
                  <w:sz w:val="20"/>
                  <w:szCs w:val="20"/>
                </w:rPr>
                <w:t xml:space="preserve">Certifications </w:t>
              </w:r>
              <w:r>
                <w:rPr>
                  <w:rStyle w:val="a4"/>
                  <w:sz w:val="20"/>
                  <w:szCs w:val="20"/>
                </w:rPr>
                <w:t>of Chief Executive Officer and Chief Financial Officer pursuant to 18 U.S.C. Section 1350, as adopted pursuant to Section 906 of the Sarbanes-Oxley Act of 2002</w:t>
              </w:r>
            </w:hyperlink>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r>
      <w:tr w:rsidR="00000000">
        <w:trPr>
          <w:divId w:val="2119718300"/>
        </w:trPr>
        <w:tc>
          <w:tcPr>
            <w:tcW w:w="349" w:type="pct"/>
            <w:tcMar>
              <w:top w:w="0" w:type="dxa"/>
              <w:left w:w="0" w:type="dxa"/>
              <w:bottom w:w="0" w:type="dxa"/>
              <w:right w:w="0" w:type="dxa"/>
            </w:tcMar>
            <w:hideMark/>
          </w:tcPr>
          <w:p w:rsidR="00000000" w:rsidRDefault="001E618F">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r>
      <w:tr w:rsidR="00000000">
        <w:trPr>
          <w:divId w:val="2119718300"/>
        </w:trPr>
        <w:tc>
          <w:tcPr>
            <w:tcW w:w="349" w:type="pct"/>
            <w:tcMar>
              <w:top w:w="0" w:type="dxa"/>
              <w:left w:w="0" w:type="dxa"/>
              <w:bottom w:w="0" w:type="dxa"/>
              <w:right w:w="0" w:type="dxa"/>
            </w:tcMar>
            <w:hideMark/>
          </w:tcPr>
          <w:p w:rsidR="00000000" w:rsidRDefault="001E618F">
            <w:pPr>
              <w:pStyle w:val="a3"/>
              <w:spacing w:before="0" w:beforeAutospacing="0" w:after="0" w:afterAutospacing="0"/>
              <w:ind w:hanging="202"/>
              <w:jc w:val="right"/>
              <w:rPr>
                <w:sz w:val="20"/>
                <w:szCs w:val="20"/>
              </w:rPr>
            </w:pPr>
            <w:r>
              <w:rPr>
                <w:sz w:val="20"/>
                <w:szCs w:val="20"/>
              </w:rPr>
              <w:t>101</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Financial statements from the quarterly report on Form 10-Q of the Company for the quarter ended March 31, 2022, formatted in iXBRL: (i) the Condensed Consolidated Balance Sheets, (ii) the Condensed Consolidated Statements of Operations and Comprehensive L</w:t>
            </w:r>
            <w:r>
              <w:rPr>
                <w:sz w:val="20"/>
                <w:szCs w:val="20"/>
              </w:rPr>
              <w:t>oss, (iii) Condensed Consolidated Statements of Shareholders’ Deficit, (iv) the Condensed Consolidated Statements of Cash Flows, and (v) the Notes to the Condensed Consolidated Financial Statements</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r>
      <w:tr w:rsidR="00000000">
        <w:trPr>
          <w:divId w:val="2119718300"/>
        </w:trPr>
        <w:tc>
          <w:tcPr>
            <w:tcW w:w="349" w:type="pct"/>
            <w:tcMar>
              <w:top w:w="0" w:type="dxa"/>
              <w:left w:w="0" w:type="dxa"/>
              <w:bottom w:w="0" w:type="dxa"/>
              <w:right w:w="0" w:type="dxa"/>
            </w:tcMar>
            <w:hideMark/>
          </w:tcPr>
          <w:p w:rsidR="00000000" w:rsidRDefault="001E618F">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r>
      <w:tr w:rsidR="00000000">
        <w:trPr>
          <w:divId w:val="2119718300"/>
        </w:trPr>
        <w:tc>
          <w:tcPr>
            <w:tcW w:w="349" w:type="pct"/>
            <w:tcMar>
              <w:top w:w="0" w:type="dxa"/>
              <w:left w:w="0" w:type="dxa"/>
              <w:bottom w:w="0" w:type="dxa"/>
              <w:right w:w="0" w:type="dxa"/>
            </w:tcMar>
            <w:hideMark/>
          </w:tcPr>
          <w:p w:rsidR="00000000" w:rsidRDefault="001E618F">
            <w:pPr>
              <w:pStyle w:val="a3"/>
              <w:spacing w:before="0" w:beforeAutospacing="0" w:after="0" w:afterAutospacing="0"/>
              <w:ind w:hanging="202"/>
              <w:jc w:val="right"/>
              <w:rPr>
                <w:sz w:val="20"/>
                <w:szCs w:val="20"/>
              </w:rPr>
            </w:pPr>
            <w:r>
              <w:rPr>
                <w:sz w:val="20"/>
                <w:szCs w:val="20"/>
              </w:rPr>
              <w:t>104</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Cover Page Interactive Data File (Formatted in iXBRL and contained in Exhibit 101)</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1E618F">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1E618F">
            <w:pPr>
              <w:pStyle w:val="a3"/>
              <w:spacing w:before="0" w:beforeAutospacing="0" w:after="0" w:afterAutospacing="0"/>
              <w:jc w:val="right"/>
              <w:rPr>
                <w:sz w:val="20"/>
                <w:szCs w:val="20"/>
              </w:rPr>
            </w:pPr>
            <w:r>
              <w:rPr>
                <w:sz w:val="20"/>
                <w:szCs w:val="20"/>
              </w:rPr>
              <w:t>​</w:t>
            </w:r>
          </w:p>
        </w:tc>
      </w:tr>
    </w:tbl>
    <w:p w:rsidR="00000000" w:rsidRDefault="001E618F">
      <w:pPr>
        <w:divId w:val="211971830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119718300"/>
        </w:trPr>
        <w:tc>
          <w:tcPr>
            <w:tcW w:w="360" w:type="dxa"/>
            <w:noWrap/>
            <w:tcMar>
              <w:top w:w="0" w:type="dxa"/>
              <w:left w:w="0" w:type="dxa"/>
              <w:bottom w:w="0" w:type="dxa"/>
              <w:right w:w="0" w:type="dxa"/>
            </w:tcMar>
            <w:hideMark/>
          </w:tcPr>
          <w:p w:rsidR="00000000" w:rsidRDefault="001E618F">
            <w:pPr>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rsidR="00000000" w:rsidRDefault="001E618F">
            <w:pPr>
              <w:rPr>
                <w:rFonts w:eastAsia="Times New Roman"/>
                <w:sz w:val="20"/>
                <w:szCs w:val="20"/>
              </w:rPr>
            </w:pPr>
            <w:r>
              <w:rPr>
                <w:rFonts w:eastAsia="Times New Roman"/>
                <w:sz w:val="20"/>
                <w:szCs w:val="20"/>
              </w:rPr>
              <w:t>The certifications provided as Exhibit </w:t>
            </w:r>
            <w:r>
              <w:rPr>
                <w:rFonts w:eastAsia="Times New Roman"/>
                <w:sz w:val="20"/>
                <w:szCs w:val="20"/>
              </w:rPr>
              <w:t>32 are being furnished to accompany the Report pursuant to 18 U.S.C. Section 1350 and shall not be deemed filed by the Company for purposes of Section 18 of the Securities Exchange Act of 1934, as amended, and is not to be incorporated by reference into an</w:t>
            </w:r>
            <w:r>
              <w:rPr>
                <w:rFonts w:eastAsia="Times New Roman"/>
                <w:sz w:val="20"/>
                <w:szCs w:val="20"/>
              </w:rPr>
              <w:t>y filing of the Company, whether made before or after the date hereof, regardless of any general incorporation language in such filing.</w:t>
            </w:r>
          </w:p>
        </w:tc>
      </w:tr>
    </w:tbl>
    <w:p w:rsidR="00000000" w:rsidRDefault="001E618F">
      <w:pPr>
        <w:pStyle w:val="a3"/>
        <w:spacing w:before="0" w:beforeAutospacing="0" w:after="0" w:afterAutospacing="0"/>
        <w:divId w:val="2119718300"/>
        <w:rPr>
          <w:sz w:val="20"/>
          <w:szCs w:val="20"/>
        </w:rPr>
      </w:pPr>
      <w:r>
        <w:rPr>
          <w:sz w:val="20"/>
          <w:szCs w:val="20"/>
        </w:rPr>
        <w:t>​</w:t>
      </w:r>
    </w:p>
    <w:p w:rsidR="00000000" w:rsidRDefault="001E618F">
      <w:pPr>
        <w:pStyle w:val="a3"/>
        <w:spacing w:before="360" w:beforeAutospacing="0" w:after="0" w:afterAutospacing="0"/>
        <w:jc w:val="center"/>
        <w:divId w:val="1935167270"/>
        <w:rPr>
          <w:sz w:val="20"/>
          <w:szCs w:val="20"/>
        </w:rPr>
      </w:pPr>
      <w:r>
        <w:rPr>
          <w:sz w:val="20"/>
          <w:szCs w:val="20"/>
        </w:rPr>
        <w:t>69</w:t>
      </w:r>
    </w:p>
    <w:p w:rsidR="00000000" w:rsidRDefault="001E618F">
      <w:pPr>
        <w:pStyle w:val="a3"/>
        <w:spacing w:before="0" w:beforeAutospacing="0" w:after="600" w:afterAutospacing="0"/>
        <w:divId w:val="338583341"/>
        <w:rPr>
          <w:sz w:val="20"/>
          <w:szCs w:val="20"/>
        </w:rPr>
      </w:pPr>
      <w:hyperlink w:anchor="TOC" w:history="1">
        <w:r>
          <w:rPr>
            <w:rStyle w:val="a4"/>
            <w:sz w:val="20"/>
            <w:szCs w:val="20"/>
          </w:rPr>
          <w:t>Table of Contents</w:t>
        </w:r>
      </w:hyperlink>
    </w:p>
    <w:p w:rsidR="00000000" w:rsidRDefault="001E618F">
      <w:pPr>
        <w:pStyle w:val="a3"/>
        <w:spacing w:before="0" w:beforeAutospacing="0" w:after="0" w:afterAutospacing="0"/>
        <w:jc w:val="center"/>
        <w:divId w:val="1509444460"/>
        <w:rPr>
          <w:sz w:val="20"/>
          <w:szCs w:val="20"/>
        </w:rPr>
      </w:pPr>
      <w:r>
        <w:rPr>
          <w:b/>
          <w:bCs/>
          <w:sz w:val="20"/>
          <w:szCs w:val="20"/>
        </w:rPr>
        <w:t>SIGNATURES</w:t>
      </w:r>
    </w:p>
    <w:p w:rsidR="00000000" w:rsidRDefault="001E618F">
      <w:pPr>
        <w:pStyle w:val="a3"/>
        <w:spacing w:before="0" w:beforeAutospacing="0" w:after="0" w:afterAutospacing="0"/>
        <w:divId w:val="1509444460"/>
        <w:rPr>
          <w:sz w:val="20"/>
          <w:szCs w:val="20"/>
        </w:rPr>
      </w:pPr>
      <w:r>
        <w:rPr>
          <w:sz w:val="20"/>
          <w:szCs w:val="20"/>
        </w:rPr>
        <w:t>​</w:t>
      </w:r>
    </w:p>
    <w:p w:rsidR="00000000" w:rsidRDefault="001E618F">
      <w:pPr>
        <w:pStyle w:val="a3"/>
        <w:spacing w:before="0" w:beforeAutospacing="0" w:after="0" w:afterAutospacing="0"/>
        <w:divId w:val="1509444460"/>
        <w:rPr>
          <w:sz w:val="20"/>
          <w:szCs w:val="20"/>
        </w:rPr>
      </w:pPr>
      <w:r>
        <w:rPr>
          <w:sz w:val="20"/>
          <w:szCs w:val="20"/>
        </w:rPr>
        <w:t>Pursuant to the Securities Exchange Act of 1934, the registrant has duly caused this report to be signed on its behalf by the undersigned thereunto duly authorized.</w:t>
      </w:r>
    </w:p>
    <w:p w:rsidR="00000000" w:rsidRDefault="001E618F">
      <w:pPr>
        <w:pStyle w:val="a3"/>
        <w:spacing w:before="0" w:beforeAutospacing="0" w:after="0" w:afterAutospacing="0"/>
        <w:divId w:val="150944446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509444460"/>
          <w:trHeight w:val="20"/>
        </w:trPr>
        <w:tc>
          <w:tcPr>
            <w:tcW w:w="2500" w:type="pct"/>
            <w:tcMar>
              <w:top w:w="0" w:type="dxa"/>
              <w:left w:w="0" w:type="dxa"/>
              <w:bottom w:w="0" w:type="dxa"/>
              <w:right w:w="0" w:type="dxa"/>
            </w:tcMar>
            <w:hideMark/>
          </w:tcPr>
          <w:p w:rsidR="00000000" w:rsidRDefault="001E618F">
            <w:pPr>
              <w:pStyle w:val="a3"/>
              <w:spacing w:before="0" w:beforeAutospacing="0" w:after="0" w:afterAutospacing="0"/>
              <w:divId w:val="1635332752"/>
              <w:rPr>
                <w:sz w:val="20"/>
                <w:szCs w:val="20"/>
              </w:rPr>
            </w:pPr>
            <w:r>
              <w:rPr>
                <w:sz w:val="20"/>
                <w:szCs w:val="20"/>
              </w:rPr>
              <w:t>​</w:t>
            </w:r>
          </w:p>
        </w:tc>
        <w:tc>
          <w:tcPr>
            <w:tcW w:w="2500" w:type="pct"/>
            <w:tcMar>
              <w:top w:w="0" w:type="dxa"/>
              <w:left w:w="0" w:type="dxa"/>
              <w:bottom w:w="0" w:type="dxa"/>
              <w:right w:w="0" w:type="dxa"/>
            </w:tcMar>
            <w:hideMark/>
          </w:tcPr>
          <w:p w:rsidR="00000000" w:rsidRDefault="001E618F">
            <w:pPr>
              <w:rPr>
                <w:sz w:val="20"/>
                <w:szCs w:val="20"/>
              </w:rPr>
            </w:pPr>
          </w:p>
        </w:tc>
      </w:tr>
      <w:tr w:rsidR="00000000">
        <w:trPr>
          <w:divId w:val="1509444460"/>
        </w:trPr>
        <w:tc>
          <w:tcPr>
            <w:tcW w:w="2500" w:type="pct"/>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20"/>
                <w:szCs w:val="20"/>
              </w:rPr>
              <w:t>Theravance Biopharma, Inc.</w:t>
            </w:r>
          </w:p>
        </w:tc>
      </w:tr>
      <w:tr w:rsidR="00000000">
        <w:trPr>
          <w:divId w:val="1509444460"/>
        </w:trPr>
        <w:tc>
          <w:tcPr>
            <w:tcW w:w="2500" w:type="pct"/>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20"/>
                <w:szCs w:val="20"/>
              </w:rPr>
              <w:t>​</w:t>
            </w:r>
          </w:p>
        </w:tc>
      </w:tr>
      <w:tr w:rsidR="00000000">
        <w:trPr>
          <w:divId w:val="1509444460"/>
        </w:trPr>
        <w:tc>
          <w:tcPr>
            <w:tcW w:w="2500" w:type="pct"/>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20"/>
                <w:szCs w:val="20"/>
              </w:rPr>
              <w:t>Date: May 6, 2022</w:t>
            </w:r>
          </w:p>
        </w:tc>
        <w:tc>
          <w:tcPr>
            <w:tcW w:w="2500" w:type="pct"/>
            <w:tcBorders>
              <w:bottom w:val="single" w:sz="6" w:space="0" w:color="000000"/>
            </w:tcBorders>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20"/>
                <w:szCs w:val="20"/>
              </w:rPr>
              <w:t>/s/ R</w:t>
            </w:r>
            <w:r>
              <w:rPr>
                <w:smallCaps/>
                <w:sz w:val="20"/>
                <w:szCs w:val="20"/>
              </w:rPr>
              <w:t>ick</w:t>
            </w:r>
            <w:r>
              <w:rPr>
                <w:sz w:val="20"/>
                <w:szCs w:val="20"/>
              </w:rPr>
              <w:t xml:space="preserve"> E W</w:t>
            </w:r>
            <w:r>
              <w:rPr>
                <w:smallCaps/>
                <w:sz w:val="20"/>
                <w:szCs w:val="20"/>
              </w:rPr>
              <w:t>inningham</w:t>
            </w:r>
          </w:p>
        </w:tc>
      </w:tr>
      <w:tr w:rsidR="00000000">
        <w:trPr>
          <w:divId w:val="1509444460"/>
        </w:trPr>
        <w:tc>
          <w:tcPr>
            <w:tcW w:w="2500" w:type="pct"/>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20"/>
                <w:szCs w:val="20"/>
              </w:rPr>
              <w:t>Rick E Winningham</w:t>
            </w:r>
          </w:p>
        </w:tc>
      </w:tr>
      <w:tr w:rsidR="00000000">
        <w:trPr>
          <w:divId w:val="1509444460"/>
        </w:trPr>
        <w:tc>
          <w:tcPr>
            <w:tcW w:w="2500" w:type="pct"/>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20"/>
                <w:szCs w:val="20"/>
              </w:rPr>
              <w:t>Chairman of the Board and Chief Executive Officer</w:t>
            </w:r>
          </w:p>
        </w:tc>
      </w:tr>
      <w:tr w:rsidR="00000000">
        <w:trPr>
          <w:divId w:val="1509444460"/>
        </w:trPr>
        <w:tc>
          <w:tcPr>
            <w:tcW w:w="2500" w:type="pct"/>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20"/>
                <w:szCs w:val="20"/>
              </w:rPr>
              <w:t>(Principal Executive Officer)</w:t>
            </w:r>
          </w:p>
        </w:tc>
      </w:tr>
      <w:tr w:rsidR="00000000">
        <w:trPr>
          <w:divId w:val="1509444460"/>
        </w:trPr>
        <w:tc>
          <w:tcPr>
            <w:tcW w:w="2500" w:type="pct"/>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20"/>
                <w:szCs w:val="20"/>
              </w:rPr>
              <w:t>​</w:t>
            </w:r>
          </w:p>
        </w:tc>
      </w:tr>
      <w:tr w:rsidR="00000000">
        <w:trPr>
          <w:divId w:val="1509444460"/>
        </w:trPr>
        <w:tc>
          <w:tcPr>
            <w:tcW w:w="2500" w:type="pct"/>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20"/>
                <w:szCs w:val="20"/>
              </w:rPr>
              <w:t>Date: May 6, 2022</w:t>
            </w:r>
          </w:p>
        </w:tc>
        <w:tc>
          <w:tcPr>
            <w:tcW w:w="2500" w:type="pct"/>
            <w:tcBorders>
              <w:bottom w:val="single" w:sz="6" w:space="0" w:color="000000"/>
            </w:tcBorders>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20"/>
                <w:szCs w:val="20"/>
              </w:rPr>
              <w:t>/s/ A</w:t>
            </w:r>
            <w:r>
              <w:rPr>
                <w:smallCaps/>
                <w:sz w:val="20"/>
                <w:szCs w:val="20"/>
              </w:rPr>
              <w:t>ndrew</w:t>
            </w:r>
            <w:r>
              <w:rPr>
                <w:sz w:val="20"/>
                <w:szCs w:val="20"/>
              </w:rPr>
              <w:t xml:space="preserve"> H</w:t>
            </w:r>
            <w:r>
              <w:rPr>
                <w:smallCaps/>
                <w:sz w:val="20"/>
                <w:szCs w:val="20"/>
              </w:rPr>
              <w:t>indman</w:t>
            </w:r>
          </w:p>
        </w:tc>
      </w:tr>
      <w:tr w:rsidR="00000000">
        <w:trPr>
          <w:divId w:val="1509444460"/>
        </w:trPr>
        <w:tc>
          <w:tcPr>
            <w:tcW w:w="2500" w:type="pct"/>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20"/>
                <w:szCs w:val="20"/>
              </w:rPr>
              <w:t>Andrew Hindman</w:t>
            </w:r>
          </w:p>
          <w:p w:rsidR="00000000" w:rsidRDefault="001E618F">
            <w:pPr>
              <w:pStyle w:val="a3"/>
              <w:spacing w:before="0" w:beforeAutospacing="0" w:after="0" w:afterAutospacing="0"/>
              <w:jc w:val="center"/>
              <w:rPr>
                <w:sz w:val="20"/>
                <w:szCs w:val="20"/>
              </w:rPr>
            </w:pPr>
            <w:r>
              <w:rPr>
                <w:sz w:val="20"/>
                <w:szCs w:val="20"/>
              </w:rPr>
              <w:t>Senior Vice President and Chief Financial Officer</w:t>
            </w:r>
          </w:p>
        </w:tc>
      </w:tr>
      <w:tr w:rsidR="00000000">
        <w:trPr>
          <w:divId w:val="1509444460"/>
        </w:trPr>
        <w:tc>
          <w:tcPr>
            <w:tcW w:w="2500" w:type="pct"/>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20"/>
                <w:szCs w:val="20"/>
              </w:rPr>
              <w:t>(Principal Financial Officer)</w:t>
            </w:r>
          </w:p>
        </w:tc>
      </w:tr>
      <w:tr w:rsidR="00000000">
        <w:trPr>
          <w:divId w:val="1509444460"/>
        </w:trPr>
        <w:tc>
          <w:tcPr>
            <w:tcW w:w="2500" w:type="pct"/>
            <w:tcMar>
              <w:top w:w="0" w:type="dxa"/>
              <w:left w:w="0" w:type="dxa"/>
              <w:bottom w:w="0" w:type="dxa"/>
              <w:right w:w="0" w:type="dxa"/>
            </w:tcMar>
            <w:hideMark/>
          </w:tcPr>
          <w:p w:rsidR="00000000" w:rsidRDefault="001E618F">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1E618F">
            <w:pPr>
              <w:pStyle w:val="a3"/>
              <w:spacing w:before="0" w:beforeAutospacing="0" w:after="0" w:afterAutospacing="0"/>
              <w:jc w:val="center"/>
              <w:rPr>
                <w:sz w:val="20"/>
                <w:szCs w:val="20"/>
              </w:rPr>
            </w:pPr>
            <w:r>
              <w:rPr>
                <w:sz w:val="20"/>
                <w:szCs w:val="20"/>
              </w:rPr>
              <w:t>​</w:t>
            </w:r>
          </w:p>
        </w:tc>
      </w:tr>
    </w:tbl>
    <w:p w:rsidR="00000000" w:rsidRDefault="001E618F">
      <w:pPr>
        <w:pStyle w:val="a3"/>
        <w:spacing w:before="0" w:beforeAutospacing="0" w:after="0" w:afterAutospacing="0"/>
        <w:divId w:val="1509444460"/>
        <w:rPr>
          <w:sz w:val="20"/>
          <w:szCs w:val="20"/>
        </w:rPr>
      </w:pPr>
      <w:r>
        <w:rPr>
          <w:sz w:val="2"/>
          <w:szCs w:val="2"/>
        </w:rPr>
        <w:t>​</w:t>
      </w:r>
    </w:p>
    <w:p w:rsidR="00000000" w:rsidRDefault="001E618F">
      <w:pPr>
        <w:pStyle w:val="a3"/>
        <w:spacing w:before="0" w:beforeAutospacing="0" w:after="0" w:afterAutospacing="0"/>
        <w:divId w:val="1509444460"/>
        <w:rPr>
          <w:sz w:val="20"/>
          <w:szCs w:val="20"/>
        </w:rPr>
      </w:pPr>
      <w:r>
        <w:rPr>
          <w:sz w:val="20"/>
          <w:szCs w:val="20"/>
        </w:rPr>
        <w:t>​</w:t>
      </w:r>
    </w:p>
    <w:p w:rsidR="00000000" w:rsidRDefault="001E618F">
      <w:pPr>
        <w:pStyle w:val="a3"/>
        <w:spacing w:before="0" w:beforeAutospacing="0" w:after="0" w:afterAutospacing="0"/>
        <w:divId w:val="1509444460"/>
        <w:rPr>
          <w:sz w:val="20"/>
          <w:szCs w:val="20"/>
        </w:rPr>
      </w:pPr>
      <w:r>
        <w:rPr>
          <w:sz w:val="20"/>
          <w:szCs w:val="20"/>
        </w:rPr>
        <w:t>​</w:t>
      </w:r>
    </w:p>
    <w:p w:rsidR="001E618F" w:rsidRDefault="001E618F">
      <w:pPr>
        <w:pStyle w:val="a3"/>
        <w:spacing w:before="360" w:beforeAutospacing="0" w:after="0" w:afterAutospacing="0"/>
        <w:jc w:val="center"/>
        <w:divId w:val="398091582"/>
        <w:rPr>
          <w:sz w:val="20"/>
          <w:szCs w:val="20"/>
        </w:rPr>
      </w:pPr>
      <w:r>
        <w:rPr>
          <w:sz w:val="20"/>
          <w:szCs w:val="20"/>
        </w:rPr>
        <w:t>70</w:t>
      </w:r>
    </w:p>
    <w:sectPr w:rsidR="001E618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E618F"/>
    <w:rsid w:val="001E618F"/>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www.theravance.com/20220331"/>
  <w:attachedSchema w:val="http://www.xbrl.org/2003/linkbase"/>
  <w:attachedSchema w:val="http://xbrl.org/2005/xbrldt"/>
  <w:attachedSchema w:val="http://www.sec.gov/inlineXBRL/transformation/2015-08-31"/>
  <w:attachedSchema w:val="http://fasb.org/srt/2021-01-31"/>
  <w:attachedSchema w:val="http://www.xbrl.org/2013/inlineXBRL"/>
  <w:attachedSchema w:val="http://www.xbrl.org/2006/ref"/>
  <w:attachedSchema w:val="http://www.xbrl.org/2003/instance"/>
  <w:attachedSchema w:val="http://xbrl.sec.gov/dei/2021q4"/>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9208">
      <w:marLeft w:val="0"/>
      <w:marRight w:val="0"/>
      <w:marTop w:val="0"/>
      <w:marBottom w:val="0"/>
      <w:divBdr>
        <w:top w:val="none" w:sz="0" w:space="0" w:color="auto"/>
        <w:left w:val="none" w:sz="0" w:space="0" w:color="auto"/>
        <w:bottom w:val="none" w:sz="0" w:space="0" w:color="auto"/>
        <w:right w:val="none" w:sz="0" w:space="0" w:color="auto"/>
      </w:divBdr>
    </w:div>
    <w:div w:id="317812367">
      <w:marLeft w:val="0"/>
      <w:marRight w:val="0"/>
      <w:marTop w:val="0"/>
      <w:marBottom w:val="0"/>
      <w:divBdr>
        <w:top w:val="none" w:sz="0" w:space="0" w:color="auto"/>
        <w:left w:val="none" w:sz="0" w:space="0" w:color="auto"/>
        <w:bottom w:val="none" w:sz="0" w:space="0" w:color="auto"/>
        <w:right w:val="none" w:sz="0" w:space="0" w:color="auto"/>
      </w:divBdr>
      <w:divsChild>
        <w:div w:id="338583341">
          <w:marLeft w:val="0"/>
          <w:marRight w:val="0"/>
          <w:marTop w:val="547"/>
          <w:marBottom w:val="0"/>
          <w:divBdr>
            <w:top w:val="none" w:sz="0" w:space="0" w:color="auto"/>
            <w:left w:val="none" w:sz="0" w:space="0" w:color="auto"/>
            <w:bottom w:val="none" w:sz="0" w:space="0" w:color="auto"/>
            <w:right w:val="none" w:sz="0" w:space="0" w:color="auto"/>
          </w:divBdr>
        </w:div>
        <w:div w:id="1509444460">
          <w:marLeft w:val="0"/>
          <w:marRight w:val="0"/>
          <w:marTop w:val="0"/>
          <w:marBottom w:val="0"/>
          <w:divBdr>
            <w:top w:val="none" w:sz="0" w:space="0" w:color="auto"/>
            <w:left w:val="none" w:sz="0" w:space="0" w:color="auto"/>
            <w:bottom w:val="none" w:sz="0" w:space="0" w:color="auto"/>
            <w:right w:val="none" w:sz="0" w:space="0" w:color="auto"/>
          </w:divBdr>
          <w:divsChild>
            <w:div w:id="1660422443">
              <w:marLeft w:val="0"/>
              <w:marRight w:val="0"/>
              <w:marTop w:val="0"/>
              <w:marBottom w:val="0"/>
              <w:divBdr>
                <w:top w:val="none" w:sz="0" w:space="0" w:color="auto"/>
                <w:left w:val="none" w:sz="0" w:space="0" w:color="auto"/>
                <w:bottom w:val="none" w:sz="0" w:space="0" w:color="auto"/>
                <w:right w:val="none" w:sz="0" w:space="0" w:color="auto"/>
              </w:divBdr>
              <w:divsChild>
                <w:div w:id="16353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1582">
          <w:marLeft w:val="0"/>
          <w:marRight w:val="0"/>
          <w:marTop w:val="0"/>
          <w:marBottom w:val="600"/>
          <w:divBdr>
            <w:top w:val="none" w:sz="0" w:space="0" w:color="auto"/>
            <w:left w:val="none" w:sz="0" w:space="0" w:color="auto"/>
            <w:bottom w:val="none" w:sz="0" w:space="0" w:color="auto"/>
            <w:right w:val="none" w:sz="0" w:space="0" w:color="auto"/>
          </w:divBdr>
        </w:div>
      </w:divsChild>
    </w:div>
    <w:div w:id="322437824">
      <w:marLeft w:val="0"/>
      <w:marRight w:val="0"/>
      <w:marTop w:val="0"/>
      <w:marBottom w:val="0"/>
      <w:divBdr>
        <w:top w:val="none" w:sz="0" w:space="0" w:color="auto"/>
        <w:left w:val="none" w:sz="0" w:space="0" w:color="auto"/>
        <w:bottom w:val="none" w:sz="0" w:space="0" w:color="auto"/>
        <w:right w:val="none" w:sz="0" w:space="0" w:color="auto"/>
      </w:divBdr>
      <w:divsChild>
        <w:div w:id="933976043">
          <w:marLeft w:val="0"/>
          <w:marRight w:val="0"/>
          <w:marTop w:val="547"/>
          <w:marBottom w:val="0"/>
          <w:divBdr>
            <w:top w:val="none" w:sz="0" w:space="0" w:color="auto"/>
            <w:left w:val="none" w:sz="0" w:space="0" w:color="auto"/>
            <w:bottom w:val="none" w:sz="0" w:space="0" w:color="auto"/>
            <w:right w:val="none" w:sz="0" w:space="0" w:color="auto"/>
          </w:divBdr>
        </w:div>
        <w:div w:id="1620721908">
          <w:marLeft w:val="0"/>
          <w:marRight w:val="0"/>
          <w:marTop w:val="0"/>
          <w:marBottom w:val="0"/>
          <w:divBdr>
            <w:top w:val="none" w:sz="0" w:space="0" w:color="auto"/>
            <w:left w:val="none" w:sz="0" w:space="0" w:color="auto"/>
            <w:bottom w:val="none" w:sz="0" w:space="0" w:color="auto"/>
            <w:right w:val="none" w:sz="0" w:space="0" w:color="auto"/>
          </w:divBdr>
        </w:div>
        <w:div w:id="1507867729">
          <w:marLeft w:val="0"/>
          <w:marRight w:val="0"/>
          <w:marTop w:val="0"/>
          <w:marBottom w:val="600"/>
          <w:divBdr>
            <w:top w:val="none" w:sz="0" w:space="0" w:color="auto"/>
            <w:left w:val="none" w:sz="0" w:space="0" w:color="auto"/>
            <w:bottom w:val="none" w:sz="0" w:space="0" w:color="auto"/>
            <w:right w:val="none" w:sz="0" w:space="0" w:color="auto"/>
          </w:divBdr>
        </w:div>
      </w:divsChild>
    </w:div>
    <w:div w:id="343242028">
      <w:marLeft w:val="0"/>
      <w:marRight w:val="0"/>
      <w:marTop w:val="0"/>
      <w:marBottom w:val="0"/>
      <w:divBdr>
        <w:top w:val="none" w:sz="0" w:space="0" w:color="auto"/>
        <w:left w:val="none" w:sz="0" w:space="0" w:color="auto"/>
        <w:bottom w:val="none" w:sz="0" w:space="0" w:color="auto"/>
        <w:right w:val="none" w:sz="0" w:space="0" w:color="auto"/>
      </w:divBdr>
      <w:divsChild>
        <w:div w:id="422797288">
          <w:marLeft w:val="0"/>
          <w:marRight w:val="0"/>
          <w:marTop w:val="547"/>
          <w:marBottom w:val="0"/>
          <w:divBdr>
            <w:top w:val="none" w:sz="0" w:space="0" w:color="auto"/>
            <w:left w:val="none" w:sz="0" w:space="0" w:color="auto"/>
            <w:bottom w:val="none" w:sz="0" w:space="0" w:color="auto"/>
            <w:right w:val="none" w:sz="0" w:space="0" w:color="auto"/>
          </w:divBdr>
        </w:div>
        <w:div w:id="1068068256">
          <w:marLeft w:val="0"/>
          <w:marRight w:val="0"/>
          <w:marTop w:val="0"/>
          <w:marBottom w:val="0"/>
          <w:divBdr>
            <w:top w:val="none" w:sz="0" w:space="0" w:color="auto"/>
            <w:left w:val="none" w:sz="0" w:space="0" w:color="auto"/>
            <w:bottom w:val="none" w:sz="0" w:space="0" w:color="auto"/>
            <w:right w:val="none" w:sz="0" w:space="0" w:color="auto"/>
          </w:divBdr>
        </w:div>
        <w:div w:id="1048912989">
          <w:marLeft w:val="0"/>
          <w:marRight w:val="0"/>
          <w:marTop w:val="0"/>
          <w:marBottom w:val="600"/>
          <w:divBdr>
            <w:top w:val="none" w:sz="0" w:space="0" w:color="auto"/>
            <w:left w:val="none" w:sz="0" w:space="0" w:color="auto"/>
            <w:bottom w:val="none" w:sz="0" w:space="0" w:color="auto"/>
            <w:right w:val="none" w:sz="0" w:space="0" w:color="auto"/>
          </w:divBdr>
        </w:div>
      </w:divsChild>
    </w:div>
    <w:div w:id="355236552">
      <w:marLeft w:val="0"/>
      <w:marRight w:val="0"/>
      <w:marTop w:val="0"/>
      <w:marBottom w:val="0"/>
      <w:divBdr>
        <w:top w:val="none" w:sz="0" w:space="0" w:color="auto"/>
        <w:left w:val="none" w:sz="0" w:space="0" w:color="auto"/>
        <w:bottom w:val="none" w:sz="0" w:space="0" w:color="auto"/>
        <w:right w:val="none" w:sz="0" w:space="0" w:color="auto"/>
      </w:divBdr>
      <w:divsChild>
        <w:div w:id="1458648104">
          <w:marLeft w:val="0"/>
          <w:marRight w:val="0"/>
          <w:marTop w:val="547"/>
          <w:marBottom w:val="0"/>
          <w:divBdr>
            <w:top w:val="none" w:sz="0" w:space="0" w:color="auto"/>
            <w:left w:val="none" w:sz="0" w:space="0" w:color="auto"/>
            <w:bottom w:val="none" w:sz="0" w:space="0" w:color="auto"/>
            <w:right w:val="none" w:sz="0" w:space="0" w:color="auto"/>
          </w:divBdr>
        </w:div>
        <w:div w:id="1847356531">
          <w:marLeft w:val="0"/>
          <w:marRight w:val="0"/>
          <w:marTop w:val="0"/>
          <w:marBottom w:val="0"/>
          <w:divBdr>
            <w:top w:val="none" w:sz="0" w:space="0" w:color="auto"/>
            <w:left w:val="none" w:sz="0" w:space="0" w:color="auto"/>
            <w:bottom w:val="none" w:sz="0" w:space="0" w:color="auto"/>
            <w:right w:val="none" w:sz="0" w:space="0" w:color="auto"/>
          </w:divBdr>
        </w:div>
        <w:div w:id="348340970">
          <w:marLeft w:val="0"/>
          <w:marRight w:val="0"/>
          <w:marTop w:val="0"/>
          <w:marBottom w:val="600"/>
          <w:divBdr>
            <w:top w:val="none" w:sz="0" w:space="0" w:color="auto"/>
            <w:left w:val="none" w:sz="0" w:space="0" w:color="auto"/>
            <w:bottom w:val="none" w:sz="0" w:space="0" w:color="auto"/>
            <w:right w:val="none" w:sz="0" w:space="0" w:color="auto"/>
          </w:divBdr>
        </w:div>
      </w:divsChild>
    </w:div>
    <w:div w:id="361446543">
      <w:marLeft w:val="0"/>
      <w:marRight w:val="0"/>
      <w:marTop w:val="0"/>
      <w:marBottom w:val="0"/>
      <w:divBdr>
        <w:top w:val="none" w:sz="0" w:space="0" w:color="auto"/>
        <w:left w:val="none" w:sz="0" w:space="0" w:color="auto"/>
        <w:bottom w:val="none" w:sz="0" w:space="0" w:color="auto"/>
        <w:right w:val="none" w:sz="0" w:space="0" w:color="auto"/>
      </w:divBdr>
      <w:divsChild>
        <w:div w:id="5401527">
          <w:marLeft w:val="0"/>
          <w:marRight w:val="0"/>
          <w:marTop w:val="547"/>
          <w:marBottom w:val="0"/>
          <w:divBdr>
            <w:top w:val="none" w:sz="0" w:space="0" w:color="auto"/>
            <w:left w:val="none" w:sz="0" w:space="0" w:color="auto"/>
            <w:bottom w:val="none" w:sz="0" w:space="0" w:color="auto"/>
            <w:right w:val="none" w:sz="0" w:space="0" w:color="auto"/>
          </w:divBdr>
        </w:div>
        <w:div w:id="1929773645">
          <w:marLeft w:val="0"/>
          <w:marRight w:val="0"/>
          <w:marTop w:val="0"/>
          <w:marBottom w:val="0"/>
          <w:divBdr>
            <w:top w:val="none" w:sz="0" w:space="0" w:color="auto"/>
            <w:left w:val="none" w:sz="0" w:space="0" w:color="auto"/>
            <w:bottom w:val="none" w:sz="0" w:space="0" w:color="auto"/>
            <w:right w:val="none" w:sz="0" w:space="0" w:color="auto"/>
          </w:divBdr>
        </w:div>
        <w:div w:id="1548565198">
          <w:marLeft w:val="0"/>
          <w:marRight w:val="0"/>
          <w:marTop w:val="0"/>
          <w:marBottom w:val="600"/>
          <w:divBdr>
            <w:top w:val="none" w:sz="0" w:space="0" w:color="auto"/>
            <w:left w:val="none" w:sz="0" w:space="0" w:color="auto"/>
            <w:bottom w:val="none" w:sz="0" w:space="0" w:color="auto"/>
            <w:right w:val="none" w:sz="0" w:space="0" w:color="auto"/>
          </w:divBdr>
        </w:div>
      </w:divsChild>
    </w:div>
    <w:div w:id="393352338">
      <w:marLeft w:val="0"/>
      <w:marRight w:val="0"/>
      <w:marTop w:val="0"/>
      <w:marBottom w:val="0"/>
      <w:divBdr>
        <w:top w:val="none" w:sz="0" w:space="0" w:color="auto"/>
        <w:left w:val="none" w:sz="0" w:space="0" w:color="auto"/>
        <w:bottom w:val="none" w:sz="0" w:space="0" w:color="auto"/>
        <w:right w:val="none" w:sz="0" w:space="0" w:color="auto"/>
      </w:divBdr>
      <w:divsChild>
        <w:div w:id="578293734">
          <w:marLeft w:val="0"/>
          <w:marRight w:val="0"/>
          <w:marTop w:val="547"/>
          <w:marBottom w:val="0"/>
          <w:divBdr>
            <w:top w:val="none" w:sz="0" w:space="0" w:color="auto"/>
            <w:left w:val="none" w:sz="0" w:space="0" w:color="auto"/>
            <w:bottom w:val="none" w:sz="0" w:space="0" w:color="auto"/>
            <w:right w:val="none" w:sz="0" w:space="0" w:color="auto"/>
          </w:divBdr>
        </w:div>
        <w:div w:id="1485048770">
          <w:marLeft w:val="0"/>
          <w:marRight w:val="0"/>
          <w:marTop w:val="0"/>
          <w:marBottom w:val="0"/>
          <w:divBdr>
            <w:top w:val="none" w:sz="0" w:space="0" w:color="auto"/>
            <w:left w:val="none" w:sz="0" w:space="0" w:color="auto"/>
            <w:bottom w:val="none" w:sz="0" w:space="0" w:color="auto"/>
            <w:right w:val="none" w:sz="0" w:space="0" w:color="auto"/>
          </w:divBdr>
        </w:div>
        <w:div w:id="713234628">
          <w:marLeft w:val="0"/>
          <w:marRight w:val="0"/>
          <w:marTop w:val="0"/>
          <w:marBottom w:val="600"/>
          <w:divBdr>
            <w:top w:val="none" w:sz="0" w:space="0" w:color="auto"/>
            <w:left w:val="none" w:sz="0" w:space="0" w:color="auto"/>
            <w:bottom w:val="none" w:sz="0" w:space="0" w:color="auto"/>
            <w:right w:val="none" w:sz="0" w:space="0" w:color="auto"/>
          </w:divBdr>
        </w:div>
      </w:divsChild>
    </w:div>
    <w:div w:id="465857021">
      <w:marLeft w:val="0"/>
      <w:marRight w:val="0"/>
      <w:marTop w:val="0"/>
      <w:marBottom w:val="0"/>
      <w:divBdr>
        <w:top w:val="none" w:sz="0" w:space="0" w:color="auto"/>
        <w:left w:val="none" w:sz="0" w:space="0" w:color="auto"/>
        <w:bottom w:val="none" w:sz="0" w:space="0" w:color="auto"/>
        <w:right w:val="none" w:sz="0" w:space="0" w:color="auto"/>
      </w:divBdr>
      <w:divsChild>
        <w:div w:id="1468007145">
          <w:marLeft w:val="0"/>
          <w:marRight w:val="0"/>
          <w:marTop w:val="547"/>
          <w:marBottom w:val="0"/>
          <w:divBdr>
            <w:top w:val="none" w:sz="0" w:space="0" w:color="auto"/>
            <w:left w:val="none" w:sz="0" w:space="0" w:color="auto"/>
            <w:bottom w:val="none" w:sz="0" w:space="0" w:color="auto"/>
            <w:right w:val="none" w:sz="0" w:space="0" w:color="auto"/>
          </w:divBdr>
        </w:div>
        <w:div w:id="1282808801">
          <w:marLeft w:val="0"/>
          <w:marRight w:val="0"/>
          <w:marTop w:val="0"/>
          <w:marBottom w:val="0"/>
          <w:divBdr>
            <w:top w:val="none" w:sz="0" w:space="0" w:color="auto"/>
            <w:left w:val="none" w:sz="0" w:space="0" w:color="auto"/>
            <w:bottom w:val="none" w:sz="0" w:space="0" w:color="auto"/>
            <w:right w:val="none" w:sz="0" w:space="0" w:color="auto"/>
          </w:divBdr>
          <w:divsChild>
            <w:div w:id="157776004">
              <w:marLeft w:val="0"/>
              <w:marRight w:val="0"/>
              <w:marTop w:val="0"/>
              <w:marBottom w:val="0"/>
              <w:divBdr>
                <w:top w:val="none" w:sz="0" w:space="0" w:color="auto"/>
                <w:left w:val="none" w:sz="0" w:space="0" w:color="auto"/>
                <w:bottom w:val="none" w:sz="0" w:space="0" w:color="auto"/>
                <w:right w:val="none" w:sz="0" w:space="0" w:color="auto"/>
              </w:divBdr>
              <w:divsChild>
                <w:div w:id="518855001">
                  <w:marLeft w:val="0"/>
                  <w:marRight w:val="0"/>
                  <w:marTop w:val="0"/>
                  <w:marBottom w:val="0"/>
                  <w:divBdr>
                    <w:top w:val="none" w:sz="0" w:space="0" w:color="auto"/>
                    <w:left w:val="none" w:sz="0" w:space="0" w:color="auto"/>
                    <w:bottom w:val="none" w:sz="0" w:space="0" w:color="auto"/>
                    <w:right w:val="none" w:sz="0" w:space="0" w:color="auto"/>
                  </w:divBdr>
                </w:div>
              </w:divsChild>
            </w:div>
            <w:div w:id="1177965519">
              <w:marLeft w:val="0"/>
              <w:marRight w:val="0"/>
              <w:marTop w:val="0"/>
              <w:marBottom w:val="0"/>
              <w:divBdr>
                <w:top w:val="none" w:sz="0" w:space="0" w:color="auto"/>
                <w:left w:val="none" w:sz="0" w:space="0" w:color="auto"/>
                <w:bottom w:val="none" w:sz="0" w:space="0" w:color="auto"/>
                <w:right w:val="none" w:sz="0" w:space="0" w:color="auto"/>
              </w:divBdr>
              <w:divsChild>
                <w:div w:id="2029330823">
                  <w:marLeft w:val="0"/>
                  <w:marRight w:val="0"/>
                  <w:marTop w:val="0"/>
                  <w:marBottom w:val="0"/>
                  <w:divBdr>
                    <w:top w:val="none" w:sz="0" w:space="0" w:color="auto"/>
                    <w:left w:val="none" w:sz="0" w:space="0" w:color="auto"/>
                    <w:bottom w:val="none" w:sz="0" w:space="0" w:color="auto"/>
                    <w:right w:val="none" w:sz="0" w:space="0" w:color="auto"/>
                  </w:divBdr>
                </w:div>
              </w:divsChild>
            </w:div>
            <w:div w:id="712075212">
              <w:marLeft w:val="0"/>
              <w:marRight w:val="0"/>
              <w:marTop w:val="0"/>
              <w:marBottom w:val="0"/>
              <w:divBdr>
                <w:top w:val="none" w:sz="0" w:space="0" w:color="auto"/>
                <w:left w:val="none" w:sz="0" w:space="0" w:color="auto"/>
                <w:bottom w:val="none" w:sz="0" w:space="0" w:color="auto"/>
                <w:right w:val="none" w:sz="0" w:space="0" w:color="auto"/>
              </w:divBdr>
              <w:divsChild>
                <w:div w:id="1288388573">
                  <w:marLeft w:val="0"/>
                  <w:marRight w:val="0"/>
                  <w:marTop w:val="0"/>
                  <w:marBottom w:val="0"/>
                  <w:divBdr>
                    <w:top w:val="none" w:sz="0" w:space="0" w:color="auto"/>
                    <w:left w:val="none" w:sz="0" w:space="0" w:color="auto"/>
                    <w:bottom w:val="none" w:sz="0" w:space="0" w:color="auto"/>
                    <w:right w:val="none" w:sz="0" w:space="0" w:color="auto"/>
                  </w:divBdr>
                </w:div>
              </w:divsChild>
            </w:div>
            <w:div w:id="17854609">
              <w:marLeft w:val="0"/>
              <w:marRight w:val="0"/>
              <w:marTop w:val="0"/>
              <w:marBottom w:val="0"/>
              <w:divBdr>
                <w:top w:val="none" w:sz="0" w:space="0" w:color="auto"/>
                <w:left w:val="none" w:sz="0" w:space="0" w:color="auto"/>
                <w:bottom w:val="none" w:sz="0" w:space="0" w:color="auto"/>
                <w:right w:val="none" w:sz="0" w:space="0" w:color="auto"/>
              </w:divBdr>
              <w:divsChild>
                <w:div w:id="918708427">
                  <w:marLeft w:val="0"/>
                  <w:marRight w:val="0"/>
                  <w:marTop w:val="0"/>
                  <w:marBottom w:val="0"/>
                  <w:divBdr>
                    <w:top w:val="none" w:sz="0" w:space="0" w:color="auto"/>
                    <w:left w:val="none" w:sz="0" w:space="0" w:color="auto"/>
                    <w:bottom w:val="none" w:sz="0" w:space="0" w:color="auto"/>
                    <w:right w:val="none" w:sz="0" w:space="0" w:color="auto"/>
                  </w:divBdr>
                </w:div>
              </w:divsChild>
            </w:div>
            <w:div w:id="1868446466">
              <w:marLeft w:val="0"/>
              <w:marRight w:val="0"/>
              <w:marTop w:val="0"/>
              <w:marBottom w:val="0"/>
              <w:divBdr>
                <w:top w:val="none" w:sz="0" w:space="0" w:color="auto"/>
                <w:left w:val="none" w:sz="0" w:space="0" w:color="auto"/>
                <w:bottom w:val="none" w:sz="0" w:space="0" w:color="auto"/>
                <w:right w:val="none" w:sz="0" w:space="0" w:color="auto"/>
              </w:divBdr>
              <w:divsChild>
                <w:div w:id="532959350">
                  <w:marLeft w:val="0"/>
                  <w:marRight w:val="0"/>
                  <w:marTop w:val="0"/>
                  <w:marBottom w:val="0"/>
                  <w:divBdr>
                    <w:top w:val="none" w:sz="0" w:space="0" w:color="auto"/>
                    <w:left w:val="none" w:sz="0" w:space="0" w:color="auto"/>
                    <w:bottom w:val="none" w:sz="0" w:space="0" w:color="auto"/>
                    <w:right w:val="none" w:sz="0" w:space="0" w:color="auto"/>
                  </w:divBdr>
                </w:div>
              </w:divsChild>
            </w:div>
            <w:div w:id="1034963959">
              <w:marLeft w:val="0"/>
              <w:marRight w:val="0"/>
              <w:marTop w:val="0"/>
              <w:marBottom w:val="0"/>
              <w:divBdr>
                <w:top w:val="none" w:sz="0" w:space="0" w:color="auto"/>
                <w:left w:val="none" w:sz="0" w:space="0" w:color="auto"/>
                <w:bottom w:val="none" w:sz="0" w:space="0" w:color="auto"/>
                <w:right w:val="none" w:sz="0" w:space="0" w:color="auto"/>
              </w:divBdr>
              <w:divsChild>
                <w:div w:id="1347555381">
                  <w:marLeft w:val="0"/>
                  <w:marRight w:val="0"/>
                  <w:marTop w:val="0"/>
                  <w:marBottom w:val="0"/>
                  <w:divBdr>
                    <w:top w:val="none" w:sz="0" w:space="0" w:color="auto"/>
                    <w:left w:val="none" w:sz="0" w:space="0" w:color="auto"/>
                    <w:bottom w:val="none" w:sz="0" w:space="0" w:color="auto"/>
                    <w:right w:val="none" w:sz="0" w:space="0" w:color="auto"/>
                  </w:divBdr>
                </w:div>
              </w:divsChild>
            </w:div>
            <w:div w:id="1589188637">
              <w:marLeft w:val="0"/>
              <w:marRight w:val="0"/>
              <w:marTop w:val="0"/>
              <w:marBottom w:val="0"/>
              <w:divBdr>
                <w:top w:val="none" w:sz="0" w:space="0" w:color="auto"/>
                <w:left w:val="none" w:sz="0" w:space="0" w:color="auto"/>
                <w:bottom w:val="none" w:sz="0" w:space="0" w:color="auto"/>
                <w:right w:val="none" w:sz="0" w:space="0" w:color="auto"/>
              </w:divBdr>
              <w:divsChild>
                <w:div w:id="1358122512">
                  <w:marLeft w:val="0"/>
                  <w:marRight w:val="0"/>
                  <w:marTop w:val="0"/>
                  <w:marBottom w:val="0"/>
                  <w:divBdr>
                    <w:top w:val="none" w:sz="0" w:space="0" w:color="auto"/>
                    <w:left w:val="none" w:sz="0" w:space="0" w:color="auto"/>
                    <w:bottom w:val="none" w:sz="0" w:space="0" w:color="auto"/>
                    <w:right w:val="none" w:sz="0" w:space="0" w:color="auto"/>
                  </w:divBdr>
                </w:div>
              </w:divsChild>
            </w:div>
            <w:div w:id="1082799468">
              <w:marLeft w:val="0"/>
              <w:marRight w:val="0"/>
              <w:marTop w:val="0"/>
              <w:marBottom w:val="0"/>
              <w:divBdr>
                <w:top w:val="none" w:sz="0" w:space="0" w:color="auto"/>
                <w:left w:val="none" w:sz="0" w:space="0" w:color="auto"/>
                <w:bottom w:val="none" w:sz="0" w:space="0" w:color="auto"/>
                <w:right w:val="none" w:sz="0" w:space="0" w:color="auto"/>
              </w:divBdr>
              <w:divsChild>
                <w:div w:id="452604419">
                  <w:marLeft w:val="0"/>
                  <w:marRight w:val="0"/>
                  <w:marTop w:val="0"/>
                  <w:marBottom w:val="0"/>
                  <w:divBdr>
                    <w:top w:val="none" w:sz="0" w:space="0" w:color="auto"/>
                    <w:left w:val="none" w:sz="0" w:space="0" w:color="auto"/>
                    <w:bottom w:val="none" w:sz="0" w:space="0" w:color="auto"/>
                    <w:right w:val="none" w:sz="0" w:space="0" w:color="auto"/>
                  </w:divBdr>
                </w:div>
              </w:divsChild>
            </w:div>
            <w:div w:id="547962088">
              <w:marLeft w:val="0"/>
              <w:marRight w:val="0"/>
              <w:marTop w:val="0"/>
              <w:marBottom w:val="0"/>
              <w:divBdr>
                <w:top w:val="none" w:sz="0" w:space="0" w:color="auto"/>
                <w:left w:val="none" w:sz="0" w:space="0" w:color="auto"/>
                <w:bottom w:val="none" w:sz="0" w:space="0" w:color="auto"/>
                <w:right w:val="none" w:sz="0" w:space="0" w:color="auto"/>
              </w:divBdr>
              <w:divsChild>
                <w:div w:id="339042602">
                  <w:marLeft w:val="0"/>
                  <w:marRight w:val="0"/>
                  <w:marTop w:val="0"/>
                  <w:marBottom w:val="0"/>
                  <w:divBdr>
                    <w:top w:val="none" w:sz="0" w:space="0" w:color="auto"/>
                    <w:left w:val="none" w:sz="0" w:space="0" w:color="auto"/>
                    <w:bottom w:val="none" w:sz="0" w:space="0" w:color="auto"/>
                    <w:right w:val="none" w:sz="0" w:space="0" w:color="auto"/>
                  </w:divBdr>
                </w:div>
              </w:divsChild>
            </w:div>
            <w:div w:id="1048530257">
              <w:marLeft w:val="0"/>
              <w:marRight w:val="0"/>
              <w:marTop w:val="0"/>
              <w:marBottom w:val="0"/>
              <w:divBdr>
                <w:top w:val="none" w:sz="0" w:space="0" w:color="auto"/>
                <w:left w:val="none" w:sz="0" w:space="0" w:color="auto"/>
                <w:bottom w:val="none" w:sz="0" w:space="0" w:color="auto"/>
                <w:right w:val="none" w:sz="0" w:space="0" w:color="auto"/>
              </w:divBdr>
              <w:divsChild>
                <w:div w:id="564413933">
                  <w:marLeft w:val="0"/>
                  <w:marRight w:val="0"/>
                  <w:marTop w:val="0"/>
                  <w:marBottom w:val="0"/>
                  <w:divBdr>
                    <w:top w:val="none" w:sz="0" w:space="0" w:color="auto"/>
                    <w:left w:val="none" w:sz="0" w:space="0" w:color="auto"/>
                    <w:bottom w:val="none" w:sz="0" w:space="0" w:color="auto"/>
                    <w:right w:val="none" w:sz="0" w:space="0" w:color="auto"/>
                  </w:divBdr>
                </w:div>
              </w:divsChild>
            </w:div>
            <w:div w:id="1861770496">
              <w:marLeft w:val="0"/>
              <w:marRight w:val="0"/>
              <w:marTop w:val="0"/>
              <w:marBottom w:val="0"/>
              <w:divBdr>
                <w:top w:val="none" w:sz="0" w:space="0" w:color="auto"/>
                <w:left w:val="none" w:sz="0" w:space="0" w:color="auto"/>
                <w:bottom w:val="none" w:sz="0" w:space="0" w:color="auto"/>
                <w:right w:val="none" w:sz="0" w:space="0" w:color="auto"/>
              </w:divBdr>
              <w:divsChild>
                <w:div w:id="870611379">
                  <w:marLeft w:val="0"/>
                  <w:marRight w:val="0"/>
                  <w:marTop w:val="0"/>
                  <w:marBottom w:val="0"/>
                  <w:divBdr>
                    <w:top w:val="none" w:sz="0" w:space="0" w:color="auto"/>
                    <w:left w:val="none" w:sz="0" w:space="0" w:color="auto"/>
                    <w:bottom w:val="none" w:sz="0" w:space="0" w:color="auto"/>
                    <w:right w:val="none" w:sz="0" w:space="0" w:color="auto"/>
                  </w:divBdr>
                </w:div>
              </w:divsChild>
            </w:div>
            <w:div w:id="173690795">
              <w:marLeft w:val="0"/>
              <w:marRight w:val="0"/>
              <w:marTop w:val="0"/>
              <w:marBottom w:val="0"/>
              <w:divBdr>
                <w:top w:val="none" w:sz="0" w:space="0" w:color="auto"/>
                <w:left w:val="none" w:sz="0" w:space="0" w:color="auto"/>
                <w:bottom w:val="none" w:sz="0" w:space="0" w:color="auto"/>
                <w:right w:val="none" w:sz="0" w:space="0" w:color="auto"/>
              </w:divBdr>
              <w:divsChild>
                <w:div w:id="1781609366">
                  <w:marLeft w:val="0"/>
                  <w:marRight w:val="0"/>
                  <w:marTop w:val="0"/>
                  <w:marBottom w:val="0"/>
                  <w:divBdr>
                    <w:top w:val="none" w:sz="0" w:space="0" w:color="auto"/>
                    <w:left w:val="none" w:sz="0" w:space="0" w:color="auto"/>
                    <w:bottom w:val="none" w:sz="0" w:space="0" w:color="auto"/>
                    <w:right w:val="none" w:sz="0" w:space="0" w:color="auto"/>
                  </w:divBdr>
                </w:div>
              </w:divsChild>
            </w:div>
            <w:div w:id="98180757">
              <w:marLeft w:val="0"/>
              <w:marRight w:val="0"/>
              <w:marTop w:val="0"/>
              <w:marBottom w:val="0"/>
              <w:divBdr>
                <w:top w:val="none" w:sz="0" w:space="0" w:color="auto"/>
                <w:left w:val="none" w:sz="0" w:space="0" w:color="auto"/>
                <w:bottom w:val="none" w:sz="0" w:space="0" w:color="auto"/>
                <w:right w:val="none" w:sz="0" w:space="0" w:color="auto"/>
              </w:divBdr>
              <w:divsChild>
                <w:div w:id="2065056012">
                  <w:marLeft w:val="0"/>
                  <w:marRight w:val="0"/>
                  <w:marTop w:val="0"/>
                  <w:marBottom w:val="0"/>
                  <w:divBdr>
                    <w:top w:val="none" w:sz="0" w:space="0" w:color="auto"/>
                    <w:left w:val="none" w:sz="0" w:space="0" w:color="auto"/>
                    <w:bottom w:val="none" w:sz="0" w:space="0" w:color="auto"/>
                    <w:right w:val="none" w:sz="0" w:space="0" w:color="auto"/>
                  </w:divBdr>
                </w:div>
              </w:divsChild>
            </w:div>
            <w:div w:id="804351418">
              <w:marLeft w:val="0"/>
              <w:marRight w:val="0"/>
              <w:marTop w:val="0"/>
              <w:marBottom w:val="0"/>
              <w:divBdr>
                <w:top w:val="none" w:sz="0" w:space="0" w:color="auto"/>
                <w:left w:val="none" w:sz="0" w:space="0" w:color="auto"/>
                <w:bottom w:val="none" w:sz="0" w:space="0" w:color="auto"/>
                <w:right w:val="none" w:sz="0" w:space="0" w:color="auto"/>
              </w:divBdr>
              <w:divsChild>
                <w:div w:id="748700344">
                  <w:marLeft w:val="0"/>
                  <w:marRight w:val="0"/>
                  <w:marTop w:val="0"/>
                  <w:marBottom w:val="0"/>
                  <w:divBdr>
                    <w:top w:val="none" w:sz="0" w:space="0" w:color="auto"/>
                    <w:left w:val="none" w:sz="0" w:space="0" w:color="auto"/>
                    <w:bottom w:val="none" w:sz="0" w:space="0" w:color="auto"/>
                    <w:right w:val="none" w:sz="0" w:space="0" w:color="auto"/>
                  </w:divBdr>
                </w:div>
              </w:divsChild>
            </w:div>
            <w:div w:id="1725642085">
              <w:marLeft w:val="0"/>
              <w:marRight w:val="0"/>
              <w:marTop w:val="0"/>
              <w:marBottom w:val="0"/>
              <w:divBdr>
                <w:top w:val="none" w:sz="0" w:space="0" w:color="auto"/>
                <w:left w:val="none" w:sz="0" w:space="0" w:color="auto"/>
                <w:bottom w:val="none" w:sz="0" w:space="0" w:color="auto"/>
                <w:right w:val="none" w:sz="0" w:space="0" w:color="auto"/>
              </w:divBdr>
              <w:divsChild>
                <w:div w:id="869610379">
                  <w:marLeft w:val="0"/>
                  <w:marRight w:val="0"/>
                  <w:marTop w:val="0"/>
                  <w:marBottom w:val="0"/>
                  <w:divBdr>
                    <w:top w:val="none" w:sz="0" w:space="0" w:color="auto"/>
                    <w:left w:val="none" w:sz="0" w:space="0" w:color="auto"/>
                    <w:bottom w:val="none" w:sz="0" w:space="0" w:color="auto"/>
                    <w:right w:val="none" w:sz="0" w:space="0" w:color="auto"/>
                  </w:divBdr>
                </w:div>
              </w:divsChild>
            </w:div>
            <w:div w:id="1781145156">
              <w:marLeft w:val="0"/>
              <w:marRight w:val="0"/>
              <w:marTop w:val="0"/>
              <w:marBottom w:val="0"/>
              <w:divBdr>
                <w:top w:val="none" w:sz="0" w:space="0" w:color="auto"/>
                <w:left w:val="none" w:sz="0" w:space="0" w:color="auto"/>
                <w:bottom w:val="none" w:sz="0" w:space="0" w:color="auto"/>
                <w:right w:val="none" w:sz="0" w:space="0" w:color="auto"/>
              </w:divBdr>
              <w:divsChild>
                <w:div w:id="1911573685">
                  <w:marLeft w:val="0"/>
                  <w:marRight w:val="0"/>
                  <w:marTop w:val="0"/>
                  <w:marBottom w:val="0"/>
                  <w:divBdr>
                    <w:top w:val="none" w:sz="0" w:space="0" w:color="auto"/>
                    <w:left w:val="none" w:sz="0" w:space="0" w:color="auto"/>
                    <w:bottom w:val="none" w:sz="0" w:space="0" w:color="auto"/>
                    <w:right w:val="none" w:sz="0" w:space="0" w:color="auto"/>
                  </w:divBdr>
                </w:div>
              </w:divsChild>
            </w:div>
            <w:div w:id="460612101">
              <w:marLeft w:val="0"/>
              <w:marRight w:val="0"/>
              <w:marTop w:val="0"/>
              <w:marBottom w:val="0"/>
              <w:divBdr>
                <w:top w:val="none" w:sz="0" w:space="0" w:color="auto"/>
                <w:left w:val="none" w:sz="0" w:space="0" w:color="auto"/>
                <w:bottom w:val="none" w:sz="0" w:space="0" w:color="auto"/>
                <w:right w:val="none" w:sz="0" w:space="0" w:color="auto"/>
              </w:divBdr>
              <w:divsChild>
                <w:div w:id="771975640">
                  <w:marLeft w:val="0"/>
                  <w:marRight w:val="0"/>
                  <w:marTop w:val="0"/>
                  <w:marBottom w:val="0"/>
                  <w:divBdr>
                    <w:top w:val="none" w:sz="0" w:space="0" w:color="auto"/>
                    <w:left w:val="none" w:sz="0" w:space="0" w:color="auto"/>
                    <w:bottom w:val="none" w:sz="0" w:space="0" w:color="auto"/>
                    <w:right w:val="none" w:sz="0" w:space="0" w:color="auto"/>
                  </w:divBdr>
                </w:div>
              </w:divsChild>
            </w:div>
            <w:div w:id="1522358659">
              <w:marLeft w:val="0"/>
              <w:marRight w:val="0"/>
              <w:marTop w:val="0"/>
              <w:marBottom w:val="0"/>
              <w:divBdr>
                <w:top w:val="none" w:sz="0" w:space="0" w:color="auto"/>
                <w:left w:val="none" w:sz="0" w:space="0" w:color="auto"/>
                <w:bottom w:val="none" w:sz="0" w:space="0" w:color="auto"/>
                <w:right w:val="none" w:sz="0" w:space="0" w:color="auto"/>
              </w:divBdr>
              <w:divsChild>
                <w:div w:id="1823690800">
                  <w:marLeft w:val="0"/>
                  <w:marRight w:val="0"/>
                  <w:marTop w:val="0"/>
                  <w:marBottom w:val="0"/>
                  <w:divBdr>
                    <w:top w:val="none" w:sz="0" w:space="0" w:color="auto"/>
                    <w:left w:val="none" w:sz="0" w:space="0" w:color="auto"/>
                    <w:bottom w:val="none" w:sz="0" w:space="0" w:color="auto"/>
                    <w:right w:val="none" w:sz="0" w:space="0" w:color="auto"/>
                  </w:divBdr>
                </w:div>
              </w:divsChild>
            </w:div>
            <w:div w:id="1212687863">
              <w:marLeft w:val="0"/>
              <w:marRight w:val="0"/>
              <w:marTop w:val="0"/>
              <w:marBottom w:val="0"/>
              <w:divBdr>
                <w:top w:val="none" w:sz="0" w:space="0" w:color="auto"/>
                <w:left w:val="none" w:sz="0" w:space="0" w:color="auto"/>
                <w:bottom w:val="none" w:sz="0" w:space="0" w:color="auto"/>
                <w:right w:val="none" w:sz="0" w:space="0" w:color="auto"/>
              </w:divBdr>
              <w:divsChild>
                <w:div w:id="140390478">
                  <w:marLeft w:val="0"/>
                  <w:marRight w:val="0"/>
                  <w:marTop w:val="0"/>
                  <w:marBottom w:val="0"/>
                  <w:divBdr>
                    <w:top w:val="none" w:sz="0" w:space="0" w:color="auto"/>
                    <w:left w:val="none" w:sz="0" w:space="0" w:color="auto"/>
                    <w:bottom w:val="none" w:sz="0" w:space="0" w:color="auto"/>
                    <w:right w:val="none" w:sz="0" w:space="0" w:color="auto"/>
                  </w:divBdr>
                </w:div>
              </w:divsChild>
            </w:div>
            <w:div w:id="707536427">
              <w:marLeft w:val="0"/>
              <w:marRight w:val="0"/>
              <w:marTop w:val="0"/>
              <w:marBottom w:val="0"/>
              <w:divBdr>
                <w:top w:val="none" w:sz="0" w:space="0" w:color="auto"/>
                <w:left w:val="none" w:sz="0" w:space="0" w:color="auto"/>
                <w:bottom w:val="none" w:sz="0" w:space="0" w:color="auto"/>
                <w:right w:val="none" w:sz="0" w:space="0" w:color="auto"/>
              </w:divBdr>
              <w:divsChild>
                <w:div w:id="257299405">
                  <w:marLeft w:val="0"/>
                  <w:marRight w:val="0"/>
                  <w:marTop w:val="0"/>
                  <w:marBottom w:val="0"/>
                  <w:divBdr>
                    <w:top w:val="none" w:sz="0" w:space="0" w:color="auto"/>
                    <w:left w:val="none" w:sz="0" w:space="0" w:color="auto"/>
                    <w:bottom w:val="none" w:sz="0" w:space="0" w:color="auto"/>
                    <w:right w:val="none" w:sz="0" w:space="0" w:color="auto"/>
                  </w:divBdr>
                </w:div>
              </w:divsChild>
            </w:div>
            <w:div w:id="894389217">
              <w:marLeft w:val="0"/>
              <w:marRight w:val="0"/>
              <w:marTop w:val="0"/>
              <w:marBottom w:val="0"/>
              <w:divBdr>
                <w:top w:val="none" w:sz="0" w:space="0" w:color="auto"/>
                <w:left w:val="none" w:sz="0" w:space="0" w:color="auto"/>
                <w:bottom w:val="none" w:sz="0" w:space="0" w:color="auto"/>
                <w:right w:val="none" w:sz="0" w:space="0" w:color="auto"/>
              </w:divBdr>
              <w:divsChild>
                <w:div w:id="1468860798">
                  <w:marLeft w:val="0"/>
                  <w:marRight w:val="0"/>
                  <w:marTop w:val="0"/>
                  <w:marBottom w:val="0"/>
                  <w:divBdr>
                    <w:top w:val="none" w:sz="0" w:space="0" w:color="auto"/>
                    <w:left w:val="none" w:sz="0" w:space="0" w:color="auto"/>
                    <w:bottom w:val="none" w:sz="0" w:space="0" w:color="auto"/>
                    <w:right w:val="none" w:sz="0" w:space="0" w:color="auto"/>
                  </w:divBdr>
                </w:div>
              </w:divsChild>
            </w:div>
            <w:div w:id="996811735">
              <w:marLeft w:val="0"/>
              <w:marRight w:val="0"/>
              <w:marTop w:val="0"/>
              <w:marBottom w:val="0"/>
              <w:divBdr>
                <w:top w:val="none" w:sz="0" w:space="0" w:color="auto"/>
                <w:left w:val="none" w:sz="0" w:space="0" w:color="auto"/>
                <w:bottom w:val="none" w:sz="0" w:space="0" w:color="auto"/>
                <w:right w:val="none" w:sz="0" w:space="0" w:color="auto"/>
              </w:divBdr>
              <w:divsChild>
                <w:div w:id="666057864">
                  <w:marLeft w:val="0"/>
                  <w:marRight w:val="0"/>
                  <w:marTop w:val="0"/>
                  <w:marBottom w:val="0"/>
                  <w:divBdr>
                    <w:top w:val="none" w:sz="0" w:space="0" w:color="auto"/>
                    <w:left w:val="none" w:sz="0" w:space="0" w:color="auto"/>
                    <w:bottom w:val="none" w:sz="0" w:space="0" w:color="auto"/>
                    <w:right w:val="none" w:sz="0" w:space="0" w:color="auto"/>
                  </w:divBdr>
                </w:div>
              </w:divsChild>
            </w:div>
            <w:div w:id="54352323">
              <w:marLeft w:val="0"/>
              <w:marRight w:val="0"/>
              <w:marTop w:val="0"/>
              <w:marBottom w:val="0"/>
              <w:divBdr>
                <w:top w:val="none" w:sz="0" w:space="0" w:color="auto"/>
                <w:left w:val="none" w:sz="0" w:space="0" w:color="auto"/>
                <w:bottom w:val="none" w:sz="0" w:space="0" w:color="auto"/>
                <w:right w:val="none" w:sz="0" w:space="0" w:color="auto"/>
              </w:divBdr>
              <w:divsChild>
                <w:div w:id="2140226228">
                  <w:marLeft w:val="0"/>
                  <w:marRight w:val="0"/>
                  <w:marTop w:val="0"/>
                  <w:marBottom w:val="0"/>
                  <w:divBdr>
                    <w:top w:val="none" w:sz="0" w:space="0" w:color="auto"/>
                    <w:left w:val="none" w:sz="0" w:space="0" w:color="auto"/>
                    <w:bottom w:val="none" w:sz="0" w:space="0" w:color="auto"/>
                    <w:right w:val="none" w:sz="0" w:space="0" w:color="auto"/>
                  </w:divBdr>
                </w:div>
              </w:divsChild>
            </w:div>
            <w:div w:id="1092313667">
              <w:marLeft w:val="0"/>
              <w:marRight w:val="0"/>
              <w:marTop w:val="0"/>
              <w:marBottom w:val="0"/>
              <w:divBdr>
                <w:top w:val="none" w:sz="0" w:space="0" w:color="auto"/>
                <w:left w:val="none" w:sz="0" w:space="0" w:color="auto"/>
                <w:bottom w:val="none" w:sz="0" w:space="0" w:color="auto"/>
                <w:right w:val="none" w:sz="0" w:space="0" w:color="auto"/>
              </w:divBdr>
              <w:divsChild>
                <w:div w:id="1077021064">
                  <w:marLeft w:val="0"/>
                  <w:marRight w:val="0"/>
                  <w:marTop w:val="0"/>
                  <w:marBottom w:val="0"/>
                  <w:divBdr>
                    <w:top w:val="none" w:sz="0" w:space="0" w:color="auto"/>
                    <w:left w:val="none" w:sz="0" w:space="0" w:color="auto"/>
                    <w:bottom w:val="none" w:sz="0" w:space="0" w:color="auto"/>
                    <w:right w:val="none" w:sz="0" w:space="0" w:color="auto"/>
                  </w:divBdr>
                </w:div>
              </w:divsChild>
            </w:div>
            <w:div w:id="531577764">
              <w:marLeft w:val="0"/>
              <w:marRight w:val="0"/>
              <w:marTop w:val="0"/>
              <w:marBottom w:val="0"/>
              <w:divBdr>
                <w:top w:val="none" w:sz="0" w:space="0" w:color="auto"/>
                <w:left w:val="none" w:sz="0" w:space="0" w:color="auto"/>
                <w:bottom w:val="none" w:sz="0" w:space="0" w:color="auto"/>
                <w:right w:val="none" w:sz="0" w:space="0" w:color="auto"/>
              </w:divBdr>
              <w:divsChild>
                <w:div w:id="1198422078">
                  <w:marLeft w:val="0"/>
                  <w:marRight w:val="0"/>
                  <w:marTop w:val="0"/>
                  <w:marBottom w:val="0"/>
                  <w:divBdr>
                    <w:top w:val="none" w:sz="0" w:space="0" w:color="auto"/>
                    <w:left w:val="none" w:sz="0" w:space="0" w:color="auto"/>
                    <w:bottom w:val="none" w:sz="0" w:space="0" w:color="auto"/>
                    <w:right w:val="none" w:sz="0" w:space="0" w:color="auto"/>
                  </w:divBdr>
                </w:div>
              </w:divsChild>
            </w:div>
            <w:div w:id="858935152">
              <w:marLeft w:val="0"/>
              <w:marRight w:val="0"/>
              <w:marTop w:val="0"/>
              <w:marBottom w:val="0"/>
              <w:divBdr>
                <w:top w:val="none" w:sz="0" w:space="0" w:color="auto"/>
                <w:left w:val="none" w:sz="0" w:space="0" w:color="auto"/>
                <w:bottom w:val="none" w:sz="0" w:space="0" w:color="auto"/>
                <w:right w:val="none" w:sz="0" w:space="0" w:color="auto"/>
              </w:divBdr>
              <w:divsChild>
                <w:div w:id="3213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7632">
          <w:marLeft w:val="0"/>
          <w:marRight w:val="0"/>
          <w:marTop w:val="0"/>
          <w:marBottom w:val="600"/>
          <w:divBdr>
            <w:top w:val="none" w:sz="0" w:space="0" w:color="auto"/>
            <w:left w:val="none" w:sz="0" w:space="0" w:color="auto"/>
            <w:bottom w:val="none" w:sz="0" w:space="0" w:color="auto"/>
            <w:right w:val="none" w:sz="0" w:space="0" w:color="auto"/>
          </w:divBdr>
        </w:div>
      </w:divsChild>
    </w:div>
    <w:div w:id="506020265">
      <w:marLeft w:val="0"/>
      <w:marRight w:val="0"/>
      <w:marTop w:val="0"/>
      <w:marBottom w:val="0"/>
      <w:divBdr>
        <w:top w:val="none" w:sz="0" w:space="0" w:color="auto"/>
        <w:left w:val="none" w:sz="0" w:space="0" w:color="auto"/>
        <w:bottom w:val="none" w:sz="0" w:space="0" w:color="auto"/>
        <w:right w:val="none" w:sz="0" w:space="0" w:color="auto"/>
      </w:divBdr>
      <w:divsChild>
        <w:div w:id="2055274675">
          <w:marLeft w:val="0"/>
          <w:marRight w:val="0"/>
          <w:marTop w:val="144"/>
          <w:marBottom w:val="0"/>
          <w:divBdr>
            <w:top w:val="none" w:sz="0" w:space="0" w:color="auto"/>
            <w:left w:val="none" w:sz="0" w:space="0" w:color="auto"/>
            <w:bottom w:val="none" w:sz="0" w:space="0" w:color="auto"/>
            <w:right w:val="none" w:sz="0" w:space="0" w:color="auto"/>
          </w:divBdr>
        </w:div>
        <w:div w:id="1270968886">
          <w:marLeft w:val="0"/>
          <w:marRight w:val="0"/>
          <w:marTop w:val="0"/>
          <w:marBottom w:val="0"/>
          <w:divBdr>
            <w:top w:val="none" w:sz="0" w:space="0" w:color="auto"/>
            <w:left w:val="none" w:sz="0" w:space="0" w:color="auto"/>
            <w:bottom w:val="none" w:sz="0" w:space="0" w:color="auto"/>
            <w:right w:val="none" w:sz="0" w:space="0" w:color="auto"/>
          </w:divBdr>
          <w:divsChild>
            <w:div w:id="1778401125">
              <w:marLeft w:val="0"/>
              <w:marRight w:val="0"/>
              <w:marTop w:val="0"/>
              <w:marBottom w:val="0"/>
              <w:divBdr>
                <w:top w:val="none" w:sz="0" w:space="0" w:color="auto"/>
                <w:left w:val="none" w:sz="0" w:space="0" w:color="auto"/>
                <w:bottom w:val="none" w:sz="0" w:space="0" w:color="auto"/>
                <w:right w:val="none" w:sz="0" w:space="0" w:color="auto"/>
              </w:divBdr>
              <w:divsChild>
                <w:div w:id="1418795242">
                  <w:marLeft w:val="0"/>
                  <w:marRight w:val="0"/>
                  <w:marTop w:val="0"/>
                  <w:marBottom w:val="0"/>
                  <w:divBdr>
                    <w:top w:val="none" w:sz="0" w:space="0" w:color="auto"/>
                    <w:left w:val="none" w:sz="0" w:space="0" w:color="auto"/>
                    <w:bottom w:val="none" w:sz="0" w:space="0" w:color="auto"/>
                    <w:right w:val="none" w:sz="0" w:space="0" w:color="auto"/>
                  </w:divBdr>
                </w:div>
              </w:divsChild>
            </w:div>
            <w:div w:id="1734235691">
              <w:marLeft w:val="0"/>
              <w:marRight w:val="0"/>
              <w:marTop w:val="0"/>
              <w:marBottom w:val="0"/>
              <w:divBdr>
                <w:top w:val="none" w:sz="0" w:space="0" w:color="auto"/>
                <w:left w:val="none" w:sz="0" w:space="0" w:color="auto"/>
                <w:bottom w:val="none" w:sz="0" w:space="0" w:color="auto"/>
                <w:right w:val="none" w:sz="0" w:space="0" w:color="auto"/>
              </w:divBdr>
              <w:divsChild>
                <w:div w:id="1822576688">
                  <w:marLeft w:val="0"/>
                  <w:marRight w:val="0"/>
                  <w:marTop w:val="0"/>
                  <w:marBottom w:val="0"/>
                  <w:divBdr>
                    <w:top w:val="none" w:sz="0" w:space="0" w:color="auto"/>
                    <w:left w:val="none" w:sz="0" w:space="0" w:color="auto"/>
                    <w:bottom w:val="none" w:sz="0" w:space="0" w:color="auto"/>
                    <w:right w:val="none" w:sz="0" w:space="0" w:color="auto"/>
                  </w:divBdr>
                </w:div>
              </w:divsChild>
            </w:div>
            <w:div w:id="2039044413">
              <w:marLeft w:val="0"/>
              <w:marRight w:val="0"/>
              <w:marTop w:val="0"/>
              <w:marBottom w:val="0"/>
              <w:divBdr>
                <w:top w:val="none" w:sz="0" w:space="0" w:color="auto"/>
                <w:left w:val="none" w:sz="0" w:space="0" w:color="auto"/>
                <w:bottom w:val="none" w:sz="0" w:space="0" w:color="auto"/>
                <w:right w:val="none" w:sz="0" w:space="0" w:color="auto"/>
              </w:divBdr>
              <w:divsChild>
                <w:div w:id="1322123531">
                  <w:marLeft w:val="0"/>
                  <w:marRight w:val="0"/>
                  <w:marTop w:val="0"/>
                  <w:marBottom w:val="0"/>
                  <w:divBdr>
                    <w:top w:val="none" w:sz="0" w:space="0" w:color="auto"/>
                    <w:left w:val="none" w:sz="0" w:space="0" w:color="auto"/>
                    <w:bottom w:val="none" w:sz="0" w:space="0" w:color="auto"/>
                    <w:right w:val="none" w:sz="0" w:space="0" w:color="auto"/>
                  </w:divBdr>
                </w:div>
              </w:divsChild>
            </w:div>
            <w:div w:id="986281557">
              <w:marLeft w:val="0"/>
              <w:marRight w:val="0"/>
              <w:marTop w:val="0"/>
              <w:marBottom w:val="0"/>
              <w:divBdr>
                <w:top w:val="none" w:sz="0" w:space="0" w:color="auto"/>
                <w:left w:val="none" w:sz="0" w:space="0" w:color="auto"/>
                <w:bottom w:val="none" w:sz="0" w:space="0" w:color="auto"/>
                <w:right w:val="none" w:sz="0" w:space="0" w:color="auto"/>
              </w:divBdr>
              <w:divsChild>
                <w:div w:id="3699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43598">
      <w:marLeft w:val="0"/>
      <w:marRight w:val="0"/>
      <w:marTop w:val="0"/>
      <w:marBottom w:val="0"/>
      <w:divBdr>
        <w:top w:val="none" w:sz="0" w:space="0" w:color="auto"/>
        <w:left w:val="none" w:sz="0" w:space="0" w:color="auto"/>
        <w:bottom w:val="none" w:sz="0" w:space="0" w:color="auto"/>
        <w:right w:val="none" w:sz="0" w:space="0" w:color="auto"/>
      </w:divBdr>
      <w:divsChild>
        <w:div w:id="1177035901">
          <w:marLeft w:val="0"/>
          <w:marRight w:val="0"/>
          <w:marTop w:val="547"/>
          <w:marBottom w:val="0"/>
          <w:divBdr>
            <w:top w:val="none" w:sz="0" w:space="0" w:color="auto"/>
            <w:left w:val="none" w:sz="0" w:space="0" w:color="auto"/>
            <w:bottom w:val="none" w:sz="0" w:space="0" w:color="auto"/>
            <w:right w:val="none" w:sz="0" w:space="0" w:color="auto"/>
          </w:divBdr>
        </w:div>
        <w:div w:id="1719864137">
          <w:marLeft w:val="0"/>
          <w:marRight w:val="0"/>
          <w:marTop w:val="0"/>
          <w:marBottom w:val="0"/>
          <w:divBdr>
            <w:top w:val="none" w:sz="0" w:space="0" w:color="auto"/>
            <w:left w:val="none" w:sz="0" w:space="0" w:color="auto"/>
            <w:bottom w:val="none" w:sz="0" w:space="0" w:color="auto"/>
            <w:right w:val="none" w:sz="0" w:space="0" w:color="auto"/>
          </w:divBdr>
          <w:divsChild>
            <w:div w:id="1374036890">
              <w:marLeft w:val="0"/>
              <w:marRight w:val="0"/>
              <w:marTop w:val="0"/>
              <w:marBottom w:val="0"/>
              <w:divBdr>
                <w:top w:val="none" w:sz="0" w:space="0" w:color="auto"/>
                <w:left w:val="none" w:sz="0" w:space="0" w:color="auto"/>
                <w:bottom w:val="none" w:sz="0" w:space="0" w:color="auto"/>
                <w:right w:val="none" w:sz="0" w:space="0" w:color="auto"/>
              </w:divBdr>
              <w:divsChild>
                <w:div w:id="1953899645">
                  <w:marLeft w:val="0"/>
                  <w:marRight w:val="0"/>
                  <w:marTop w:val="0"/>
                  <w:marBottom w:val="0"/>
                  <w:divBdr>
                    <w:top w:val="none" w:sz="0" w:space="0" w:color="auto"/>
                    <w:left w:val="none" w:sz="0" w:space="0" w:color="auto"/>
                    <w:bottom w:val="none" w:sz="0" w:space="0" w:color="auto"/>
                    <w:right w:val="none" w:sz="0" w:space="0" w:color="auto"/>
                  </w:divBdr>
                </w:div>
              </w:divsChild>
            </w:div>
            <w:div w:id="157967776">
              <w:marLeft w:val="0"/>
              <w:marRight w:val="0"/>
              <w:marTop w:val="0"/>
              <w:marBottom w:val="0"/>
              <w:divBdr>
                <w:top w:val="none" w:sz="0" w:space="0" w:color="auto"/>
                <w:left w:val="none" w:sz="0" w:space="0" w:color="auto"/>
                <w:bottom w:val="none" w:sz="0" w:space="0" w:color="auto"/>
                <w:right w:val="none" w:sz="0" w:space="0" w:color="auto"/>
              </w:divBdr>
              <w:divsChild>
                <w:div w:id="1422800400">
                  <w:marLeft w:val="0"/>
                  <w:marRight w:val="0"/>
                  <w:marTop w:val="0"/>
                  <w:marBottom w:val="0"/>
                  <w:divBdr>
                    <w:top w:val="none" w:sz="0" w:space="0" w:color="auto"/>
                    <w:left w:val="none" w:sz="0" w:space="0" w:color="auto"/>
                    <w:bottom w:val="none" w:sz="0" w:space="0" w:color="auto"/>
                    <w:right w:val="none" w:sz="0" w:space="0" w:color="auto"/>
                  </w:divBdr>
                </w:div>
              </w:divsChild>
            </w:div>
            <w:div w:id="559482231">
              <w:marLeft w:val="0"/>
              <w:marRight w:val="0"/>
              <w:marTop w:val="0"/>
              <w:marBottom w:val="0"/>
              <w:divBdr>
                <w:top w:val="none" w:sz="0" w:space="0" w:color="auto"/>
                <w:left w:val="none" w:sz="0" w:space="0" w:color="auto"/>
                <w:bottom w:val="none" w:sz="0" w:space="0" w:color="auto"/>
                <w:right w:val="none" w:sz="0" w:space="0" w:color="auto"/>
              </w:divBdr>
              <w:divsChild>
                <w:div w:id="1483307928">
                  <w:marLeft w:val="0"/>
                  <w:marRight w:val="0"/>
                  <w:marTop w:val="0"/>
                  <w:marBottom w:val="0"/>
                  <w:divBdr>
                    <w:top w:val="none" w:sz="0" w:space="0" w:color="auto"/>
                    <w:left w:val="none" w:sz="0" w:space="0" w:color="auto"/>
                    <w:bottom w:val="none" w:sz="0" w:space="0" w:color="auto"/>
                    <w:right w:val="none" w:sz="0" w:space="0" w:color="auto"/>
                  </w:divBdr>
                </w:div>
              </w:divsChild>
            </w:div>
            <w:div w:id="750009097">
              <w:marLeft w:val="0"/>
              <w:marRight w:val="0"/>
              <w:marTop w:val="0"/>
              <w:marBottom w:val="0"/>
              <w:divBdr>
                <w:top w:val="none" w:sz="0" w:space="0" w:color="auto"/>
                <w:left w:val="none" w:sz="0" w:space="0" w:color="auto"/>
                <w:bottom w:val="none" w:sz="0" w:space="0" w:color="auto"/>
                <w:right w:val="none" w:sz="0" w:space="0" w:color="auto"/>
              </w:divBdr>
              <w:divsChild>
                <w:div w:id="1016690641">
                  <w:marLeft w:val="0"/>
                  <w:marRight w:val="0"/>
                  <w:marTop w:val="0"/>
                  <w:marBottom w:val="0"/>
                  <w:divBdr>
                    <w:top w:val="none" w:sz="0" w:space="0" w:color="auto"/>
                    <w:left w:val="none" w:sz="0" w:space="0" w:color="auto"/>
                    <w:bottom w:val="none" w:sz="0" w:space="0" w:color="auto"/>
                    <w:right w:val="none" w:sz="0" w:space="0" w:color="auto"/>
                  </w:divBdr>
                </w:div>
              </w:divsChild>
            </w:div>
            <w:div w:id="860972306">
              <w:marLeft w:val="0"/>
              <w:marRight w:val="0"/>
              <w:marTop w:val="0"/>
              <w:marBottom w:val="0"/>
              <w:divBdr>
                <w:top w:val="none" w:sz="0" w:space="0" w:color="auto"/>
                <w:left w:val="none" w:sz="0" w:space="0" w:color="auto"/>
                <w:bottom w:val="none" w:sz="0" w:space="0" w:color="auto"/>
                <w:right w:val="none" w:sz="0" w:space="0" w:color="auto"/>
              </w:divBdr>
              <w:divsChild>
                <w:div w:id="1419911228">
                  <w:marLeft w:val="0"/>
                  <w:marRight w:val="0"/>
                  <w:marTop w:val="0"/>
                  <w:marBottom w:val="0"/>
                  <w:divBdr>
                    <w:top w:val="none" w:sz="0" w:space="0" w:color="auto"/>
                    <w:left w:val="none" w:sz="0" w:space="0" w:color="auto"/>
                    <w:bottom w:val="none" w:sz="0" w:space="0" w:color="auto"/>
                    <w:right w:val="none" w:sz="0" w:space="0" w:color="auto"/>
                  </w:divBdr>
                </w:div>
              </w:divsChild>
            </w:div>
            <w:div w:id="1329864290">
              <w:marLeft w:val="0"/>
              <w:marRight w:val="0"/>
              <w:marTop w:val="0"/>
              <w:marBottom w:val="0"/>
              <w:divBdr>
                <w:top w:val="none" w:sz="0" w:space="0" w:color="auto"/>
                <w:left w:val="none" w:sz="0" w:space="0" w:color="auto"/>
                <w:bottom w:val="none" w:sz="0" w:space="0" w:color="auto"/>
                <w:right w:val="none" w:sz="0" w:space="0" w:color="auto"/>
              </w:divBdr>
              <w:divsChild>
                <w:div w:id="25106542">
                  <w:marLeft w:val="0"/>
                  <w:marRight w:val="0"/>
                  <w:marTop w:val="0"/>
                  <w:marBottom w:val="0"/>
                  <w:divBdr>
                    <w:top w:val="none" w:sz="0" w:space="0" w:color="auto"/>
                    <w:left w:val="none" w:sz="0" w:space="0" w:color="auto"/>
                    <w:bottom w:val="none" w:sz="0" w:space="0" w:color="auto"/>
                    <w:right w:val="none" w:sz="0" w:space="0" w:color="auto"/>
                  </w:divBdr>
                </w:div>
              </w:divsChild>
            </w:div>
            <w:div w:id="670063903">
              <w:marLeft w:val="0"/>
              <w:marRight w:val="0"/>
              <w:marTop w:val="0"/>
              <w:marBottom w:val="0"/>
              <w:divBdr>
                <w:top w:val="none" w:sz="0" w:space="0" w:color="auto"/>
                <w:left w:val="none" w:sz="0" w:space="0" w:color="auto"/>
                <w:bottom w:val="none" w:sz="0" w:space="0" w:color="auto"/>
                <w:right w:val="none" w:sz="0" w:space="0" w:color="auto"/>
              </w:divBdr>
              <w:divsChild>
                <w:div w:id="443042512">
                  <w:marLeft w:val="0"/>
                  <w:marRight w:val="0"/>
                  <w:marTop w:val="0"/>
                  <w:marBottom w:val="0"/>
                  <w:divBdr>
                    <w:top w:val="none" w:sz="0" w:space="0" w:color="auto"/>
                    <w:left w:val="none" w:sz="0" w:space="0" w:color="auto"/>
                    <w:bottom w:val="none" w:sz="0" w:space="0" w:color="auto"/>
                    <w:right w:val="none" w:sz="0" w:space="0" w:color="auto"/>
                  </w:divBdr>
                </w:div>
              </w:divsChild>
            </w:div>
            <w:div w:id="102507208">
              <w:marLeft w:val="0"/>
              <w:marRight w:val="0"/>
              <w:marTop w:val="0"/>
              <w:marBottom w:val="0"/>
              <w:divBdr>
                <w:top w:val="none" w:sz="0" w:space="0" w:color="auto"/>
                <w:left w:val="none" w:sz="0" w:space="0" w:color="auto"/>
                <w:bottom w:val="none" w:sz="0" w:space="0" w:color="auto"/>
                <w:right w:val="none" w:sz="0" w:space="0" w:color="auto"/>
              </w:divBdr>
              <w:divsChild>
                <w:div w:id="253168414">
                  <w:marLeft w:val="0"/>
                  <w:marRight w:val="0"/>
                  <w:marTop w:val="0"/>
                  <w:marBottom w:val="0"/>
                  <w:divBdr>
                    <w:top w:val="none" w:sz="0" w:space="0" w:color="auto"/>
                    <w:left w:val="none" w:sz="0" w:space="0" w:color="auto"/>
                    <w:bottom w:val="none" w:sz="0" w:space="0" w:color="auto"/>
                    <w:right w:val="none" w:sz="0" w:space="0" w:color="auto"/>
                  </w:divBdr>
                </w:div>
              </w:divsChild>
            </w:div>
            <w:div w:id="1937201962">
              <w:marLeft w:val="0"/>
              <w:marRight w:val="0"/>
              <w:marTop w:val="0"/>
              <w:marBottom w:val="0"/>
              <w:divBdr>
                <w:top w:val="none" w:sz="0" w:space="0" w:color="auto"/>
                <w:left w:val="none" w:sz="0" w:space="0" w:color="auto"/>
                <w:bottom w:val="none" w:sz="0" w:space="0" w:color="auto"/>
                <w:right w:val="none" w:sz="0" w:space="0" w:color="auto"/>
              </w:divBdr>
              <w:divsChild>
                <w:div w:id="1958634462">
                  <w:marLeft w:val="0"/>
                  <w:marRight w:val="0"/>
                  <w:marTop w:val="0"/>
                  <w:marBottom w:val="0"/>
                  <w:divBdr>
                    <w:top w:val="none" w:sz="0" w:space="0" w:color="auto"/>
                    <w:left w:val="none" w:sz="0" w:space="0" w:color="auto"/>
                    <w:bottom w:val="none" w:sz="0" w:space="0" w:color="auto"/>
                    <w:right w:val="none" w:sz="0" w:space="0" w:color="auto"/>
                  </w:divBdr>
                </w:div>
              </w:divsChild>
            </w:div>
            <w:div w:id="1498767301">
              <w:marLeft w:val="0"/>
              <w:marRight w:val="0"/>
              <w:marTop w:val="0"/>
              <w:marBottom w:val="0"/>
              <w:divBdr>
                <w:top w:val="none" w:sz="0" w:space="0" w:color="auto"/>
                <w:left w:val="none" w:sz="0" w:space="0" w:color="auto"/>
                <w:bottom w:val="none" w:sz="0" w:space="0" w:color="auto"/>
                <w:right w:val="none" w:sz="0" w:space="0" w:color="auto"/>
              </w:divBdr>
              <w:divsChild>
                <w:div w:id="1980261388">
                  <w:marLeft w:val="0"/>
                  <w:marRight w:val="0"/>
                  <w:marTop w:val="0"/>
                  <w:marBottom w:val="0"/>
                  <w:divBdr>
                    <w:top w:val="none" w:sz="0" w:space="0" w:color="auto"/>
                    <w:left w:val="none" w:sz="0" w:space="0" w:color="auto"/>
                    <w:bottom w:val="none" w:sz="0" w:space="0" w:color="auto"/>
                    <w:right w:val="none" w:sz="0" w:space="0" w:color="auto"/>
                  </w:divBdr>
                </w:div>
              </w:divsChild>
            </w:div>
            <w:div w:id="2004816437">
              <w:marLeft w:val="0"/>
              <w:marRight w:val="0"/>
              <w:marTop w:val="0"/>
              <w:marBottom w:val="0"/>
              <w:divBdr>
                <w:top w:val="none" w:sz="0" w:space="0" w:color="auto"/>
                <w:left w:val="none" w:sz="0" w:space="0" w:color="auto"/>
                <w:bottom w:val="none" w:sz="0" w:space="0" w:color="auto"/>
                <w:right w:val="none" w:sz="0" w:space="0" w:color="auto"/>
              </w:divBdr>
              <w:divsChild>
                <w:div w:id="1048914473">
                  <w:marLeft w:val="0"/>
                  <w:marRight w:val="0"/>
                  <w:marTop w:val="0"/>
                  <w:marBottom w:val="0"/>
                  <w:divBdr>
                    <w:top w:val="none" w:sz="0" w:space="0" w:color="auto"/>
                    <w:left w:val="none" w:sz="0" w:space="0" w:color="auto"/>
                    <w:bottom w:val="none" w:sz="0" w:space="0" w:color="auto"/>
                    <w:right w:val="none" w:sz="0" w:space="0" w:color="auto"/>
                  </w:divBdr>
                </w:div>
              </w:divsChild>
            </w:div>
            <w:div w:id="732970343">
              <w:marLeft w:val="0"/>
              <w:marRight w:val="0"/>
              <w:marTop w:val="0"/>
              <w:marBottom w:val="0"/>
              <w:divBdr>
                <w:top w:val="none" w:sz="0" w:space="0" w:color="auto"/>
                <w:left w:val="none" w:sz="0" w:space="0" w:color="auto"/>
                <w:bottom w:val="none" w:sz="0" w:space="0" w:color="auto"/>
                <w:right w:val="none" w:sz="0" w:space="0" w:color="auto"/>
              </w:divBdr>
              <w:divsChild>
                <w:div w:id="2077583669">
                  <w:marLeft w:val="0"/>
                  <w:marRight w:val="0"/>
                  <w:marTop w:val="0"/>
                  <w:marBottom w:val="0"/>
                  <w:divBdr>
                    <w:top w:val="none" w:sz="0" w:space="0" w:color="auto"/>
                    <w:left w:val="none" w:sz="0" w:space="0" w:color="auto"/>
                    <w:bottom w:val="none" w:sz="0" w:space="0" w:color="auto"/>
                    <w:right w:val="none" w:sz="0" w:space="0" w:color="auto"/>
                  </w:divBdr>
                </w:div>
              </w:divsChild>
            </w:div>
            <w:div w:id="1615021369">
              <w:marLeft w:val="0"/>
              <w:marRight w:val="0"/>
              <w:marTop w:val="0"/>
              <w:marBottom w:val="0"/>
              <w:divBdr>
                <w:top w:val="none" w:sz="0" w:space="0" w:color="auto"/>
                <w:left w:val="none" w:sz="0" w:space="0" w:color="auto"/>
                <w:bottom w:val="none" w:sz="0" w:space="0" w:color="auto"/>
                <w:right w:val="none" w:sz="0" w:space="0" w:color="auto"/>
              </w:divBdr>
              <w:divsChild>
                <w:div w:id="863985273">
                  <w:marLeft w:val="0"/>
                  <w:marRight w:val="0"/>
                  <w:marTop w:val="0"/>
                  <w:marBottom w:val="0"/>
                  <w:divBdr>
                    <w:top w:val="none" w:sz="0" w:space="0" w:color="auto"/>
                    <w:left w:val="none" w:sz="0" w:space="0" w:color="auto"/>
                    <w:bottom w:val="none" w:sz="0" w:space="0" w:color="auto"/>
                    <w:right w:val="none" w:sz="0" w:space="0" w:color="auto"/>
                  </w:divBdr>
                </w:div>
              </w:divsChild>
            </w:div>
            <w:div w:id="1199930432">
              <w:marLeft w:val="0"/>
              <w:marRight w:val="0"/>
              <w:marTop w:val="0"/>
              <w:marBottom w:val="0"/>
              <w:divBdr>
                <w:top w:val="none" w:sz="0" w:space="0" w:color="auto"/>
                <w:left w:val="none" w:sz="0" w:space="0" w:color="auto"/>
                <w:bottom w:val="none" w:sz="0" w:space="0" w:color="auto"/>
                <w:right w:val="none" w:sz="0" w:space="0" w:color="auto"/>
              </w:divBdr>
              <w:divsChild>
                <w:div w:id="671375225">
                  <w:marLeft w:val="0"/>
                  <w:marRight w:val="0"/>
                  <w:marTop w:val="0"/>
                  <w:marBottom w:val="0"/>
                  <w:divBdr>
                    <w:top w:val="none" w:sz="0" w:space="0" w:color="auto"/>
                    <w:left w:val="none" w:sz="0" w:space="0" w:color="auto"/>
                    <w:bottom w:val="none" w:sz="0" w:space="0" w:color="auto"/>
                    <w:right w:val="none" w:sz="0" w:space="0" w:color="auto"/>
                  </w:divBdr>
                </w:div>
              </w:divsChild>
            </w:div>
            <w:div w:id="74060174">
              <w:marLeft w:val="0"/>
              <w:marRight w:val="0"/>
              <w:marTop w:val="0"/>
              <w:marBottom w:val="0"/>
              <w:divBdr>
                <w:top w:val="none" w:sz="0" w:space="0" w:color="auto"/>
                <w:left w:val="none" w:sz="0" w:space="0" w:color="auto"/>
                <w:bottom w:val="none" w:sz="0" w:space="0" w:color="auto"/>
                <w:right w:val="none" w:sz="0" w:space="0" w:color="auto"/>
              </w:divBdr>
              <w:divsChild>
                <w:div w:id="1514614003">
                  <w:marLeft w:val="0"/>
                  <w:marRight w:val="0"/>
                  <w:marTop w:val="0"/>
                  <w:marBottom w:val="0"/>
                  <w:divBdr>
                    <w:top w:val="none" w:sz="0" w:space="0" w:color="auto"/>
                    <w:left w:val="none" w:sz="0" w:space="0" w:color="auto"/>
                    <w:bottom w:val="none" w:sz="0" w:space="0" w:color="auto"/>
                    <w:right w:val="none" w:sz="0" w:space="0" w:color="auto"/>
                  </w:divBdr>
                </w:div>
              </w:divsChild>
            </w:div>
            <w:div w:id="2105295022">
              <w:marLeft w:val="0"/>
              <w:marRight w:val="0"/>
              <w:marTop w:val="0"/>
              <w:marBottom w:val="0"/>
              <w:divBdr>
                <w:top w:val="none" w:sz="0" w:space="0" w:color="auto"/>
                <w:left w:val="none" w:sz="0" w:space="0" w:color="auto"/>
                <w:bottom w:val="none" w:sz="0" w:space="0" w:color="auto"/>
                <w:right w:val="none" w:sz="0" w:space="0" w:color="auto"/>
              </w:divBdr>
              <w:divsChild>
                <w:div w:id="2095742504">
                  <w:marLeft w:val="0"/>
                  <w:marRight w:val="0"/>
                  <w:marTop w:val="0"/>
                  <w:marBottom w:val="0"/>
                  <w:divBdr>
                    <w:top w:val="none" w:sz="0" w:space="0" w:color="auto"/>
                    <w:left w:val="none" w:sz="0" w:space="0" w:color="auto"/>
                    <w:bottom w:val="none" w:sz="0" w:space="0" w:color="auto"/>
                    <w:right w:val="none" w:sz="0" w:space="0" w:color="auto"/>
                  </w:divBdr>
                </w:div>
              </w:divsChild>
            </w:div>
            <w:div w:id="1573781571">
              <w:marLeft w:val="0"/>
              <w:marRight w:val="0"/>
              <w:marTop w:val="0"/>
              <w:marBottom w:val="0"/>
              <w:divBdr>
                <w:top w:val="none" w:sz="0" w:space="0" w:color="auto"/>
                <w:left w:val="none" w:sz="0" w:space="0" w:color="auto"/>
                <w:bottom w:val="none" w:sz="0" w:space="0" w:color="auto"/>
                <w:right w:val="none" w:sz="0" w:space="0" w:color="auto"/>
              </w:divBdr>
              <w:divsChild>
                <w:div w:id="1584802788">
                  <w:marLeft w:val="0"/>
                  <w:marRight w:val="0"/>
                  <w:marTop w:val="0"/>
                  <w:marBottom w:val="0"/>
                  <w:divBdr>
                    <w:top w:val="none" w:sz="0" w:space="0" w:color="auto"/>
                    <w:left w:val="none" w:sz="0" w:space="0" w:color="auto"/>
                    <w:bottom w:val="none" w:sz="0" w:space="0" w:color="auto"/>
                    <w:right w:val="none" w:sz="0" w:space="0" w:color="auto"/>
                  </w:divBdr>
                </w:div>
              </w:divsChild>
            </w:div>
            <w:div w:id="1105267561">
              <w:marLeft w:val="0"/>
              <w:marRight w:val="0"/>
              <w:marTop w:val="0"/>
              <w:marBottom w:val="0"/>
              <w:divBdr>
                <w:top w:val="none" w:sz="0" w:space="0" w:color="auto"/>
                <w:left w:val="none" w:sz="0" w:space="0" w:color="auto"/>
                <w:bottom w:val="none" w:sz="0" w:space="0" w:color="auto"/>
                <w:right w:val="none" w:sz="0" w:space="0" w:color="auto"/>
              </w:divBdr>
              <w:divsChild>
                <w:div w:id="3885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5647">
          <w:marLeft w:val="0"/>
          <w:marRight w:val="0"/>
          <w:marTop w:val="0"/>
          <w:marBottom w:val="600"/>
          <w:divBdr>
            <w:top w:val="none" w:sz="0" w:space="0" w:color="auto"/>
            <w:left w:val="none" w:sz="0" w:space="0" w:color="auto"/>
            <w:bottom w:val="none" w:sz="0" w:space="0" w:color="auto"/>
            <w:right w:val="none" w:sz="0" w:space="0" w:color="auto"/>
          </w:divBdr>
        </w:div>
      </w:divsChild>
    </w:div>
    <w:div w:id="596210147">
      <w:marLeft w:val="0"/>
      <w:marRight w:val="0"/>
      <w:marTop w:val="0"/>
      <w:marBottom w:val="0"/>
      <w:divBdr>
        <w:top w:val="none" w:sz="0" w:space="0" w:color="auto"/>
        <w:left w:val="none" w:sz="0" w:space="0" w:color="auto"/>
        <w:bottom w:val="none" w:sz="0" w:space="0" w:color="auto"/>
        <w:right w:val="none" w:sz="0" w:space="0" w:color="auto"/>
      </w:divBdr>
      <w:divsChild>
        <w:div w:id="1009722487">
          <w:marLeft w:val="0"/>
          <w:marRight w:val="0"/>
          <w:marTop w:val="547"/>
          <w:marBottom w:val="0"/>
          <w:divBdr>
            <w:top w:val="none" w:sz="0" w:space="0" w:color="auto"/>
            <w:left w:val="none" w:sz="0" w:space="0" w:color="auto"/>
            <w:bottom w:val="none" w:sz="0" w:space="0" w:color="auto"/>
            <w:right w:val="none" w:sz="0" w:space="0" w:color="auto"/>
          </w:divBdr>
        </w:div>
        <w:div w:id="23213250">
          <w:marLeft w:val="0"/>
          <w:marRight w:val="0"/>
          <w:marTop w:val="0"/>
          <w:marBottom w:val="0"/>
          <w:divBdr>
            <w:top w:val="none" w:sz="0" w:space="0" w:color="auto"/>
            <w:left w:val="none" w:sz="0" w:space="0" w:color="auto"/>
            <w:bottom w:val="none" w:sz="0" w:space="0" w:color="auto"/>
            <w:right w:val="none" w:sz="0" w:space="0" w:color="auto"/>
          </w:divBdr>
        </w:div>
        <w:div w:id="189029186">
          <w:marLeft w:val="0"/>
          <w:marRight w:val="0"/>
          <w:marTop w:val="0"/>
          <w:marBottom w:val="600"/>
          <w:divBdr>
            <w:top w:val="none" w:sz="0" w:space="0" w:color="auto"/>
            <w:left w:val="none" w:sz="0" w:space="0" w:color="auto"/>
            <w:bottom w:val="none" w:sz="0" w:space="0" w:color="auto"/>
            <w:right w:val="none" w:sz="0" w:space="0" w:color="auto"/>
          </w:divBdr>
        </w:div>
      </w:divsChild>
    </w:div>
    <w:div w:id="611286105">
      <w:marLeft w:val="0"/>
      <w:marRight w:val="0"/>
      <w:marTop w:val="0"/>
      <w:marBottom w:val="0"/>
      <w:divBdr>
        <w:top w:val="none" w:sz="0" w:space="0" w:color="auto"/>
        <w:left w:val="none" w:sz="0" w:space="0" w:color="auto"/>
        <w:bottom w:val="none" w:sz="0" w:space="0" w:color="auto"/>
        <w:right w:val="none" w:sz="0" w:space="0" w:color="auto"/>
      </w:divBdr>
      <w:divsChild>
        <w:div w:id="1330712454">
          <w:marLeft w:val="0"/>
          <w:marRight w:val="0"/>
          <w:marTop w:val="547"/>
          <w:marBottom w:val="0"/>
          <w:divBdr>
            <w:top w:val="none" w:sz="0" w:space="0" w:color="auto"/>
            <w:left w:val="none" w:sz="0" w:space="0" w:color="auto"/>
            <w:bottom w:val="none" w:sz="0" w:space="0" w:color="auto"/>
            <w:right w:val="none" w:sz="0" w:space="0" w:color="auto"/>
          </w:divBdr>
        </w:div>
        <w:div w:id="424156661">
          <w:marLeft w:val="0"/>
          <w:marRight w:val="0"/>
          <w:marTop w:val="0"/>
          <w:marBottom w:val="0"/>
          <w:divBdr>
            <w:top w:val="none" w:sz="0" w:space="0" w:color="auto"/>
            <w:left w:val="none" w:sz="0" w:space="0" w:color="auto"/>
            <w:bottom w:val="none" w:sz="0" w:space="0" w:color="auto"/>
            <w:right w:val="none" w:sz="0" w:space="0" w:color="auto"/>
          </w:divBdr>
        </w:div>
        <w:div w:id="1567568967">
          <w:marLeft w:val="0"/>
          <w:marRight w:val="0"/>
          <w:marTop w:val="0"/>
          <w:marBottom w:val="600"/>
          <w:divBdr>
            <w:top w:val="none" w:sz="0" w:space="0" w:color="auto"/>
            <w:left w:val="none" w:sz="0" w:space="0" w:color="auto"/>
            <w:bottom w:val="none" w:sz="0" w:space="0" w:color="auto"/>
            <w:right w:val="none" w:sz="0" w:space="0" w:color="auto"/>
          </w:divBdr>
        </w:div>
      </w:divsChild>
    </w:div>
    <w:div w:id="670178213">
      <w:marLeft w:val="0"/>
      <w:marRight w:val="0"/>
      <w:marTop w:val="0"/>
      <w:marBottom w:val="0"/>
      <w:divBdr>
        <w:top w:val="none" w:sz="0" w:space="0" w:color="auto"/>
        <w:left w:val="none" w:sz="0" w:space="0" w:color="auto"/>
        <w:bottom w:val="none" w:sz="0" w:space="0" w:color="auto"/>
        <w:right w:val="none" w:sz="0" w:space="0" w:color="auto"/>
      </w:divBdr>
      <w:divsChild>
        <w:div w:id="117602141">
          <w:marLeft w:val="0"/>
          <w:marRight w:val="0"/>
          <w:marTop w:val="547"/>
          <w:marBottom w:val="0"/>
          <w:divBdr>
            <w:top w:val="none" w:sz="0" w:space="0" w:color="auto"/>
            <w:left w:val="none" w:sz="0" w:space="0" w:color="auto"/>
            <w:bottom w:val="none" w:sz="0" w:space="0" w:color="auto"/>
            <w:right w:val="none" w:sz="0" w:space="0" w:color="auto"/>
          </w:divBdr>
        </w:div>
        <w:div w:id="79764908">
          <w:marLeft w:val="0"/>
          <w:marRight w:val="0"/>
          <w:marTop w:val="0"/>
          <w:marBottom w:val="0"/>
          <w:divBdr>
            <w:top w:val="none" w:sz="0" w:space="0" w:color="auto"/>
            <w:left w:val="none" w:sz="0" w:space="0" w:color="auto"/>
            <w:bottom w:val="none" w:sz="0" w:space="0" w:color="auto"/>
            <w:right w:val="none" w:sz="0" w:space="0" w:color="auto"/>
          </w:divBdr>
          <w:divsChild>
            <w:div w:id="1771468384">
              <w:marLeft w:val="0"/>
              <w:marRight w:val="0"/>
              <w:marTop w:val="0"/>
              <w:marBottom w:val="0"/>
              <w:divBdr>
                <w:top w:val="none" w:sz="0" w:space="0" w:color="auto"/>
                <w:left w:val="none" w:sz="0" w:space="0" w:color="auto"/>
                <w:bottom w:val="none" w:sz="0" w:space="0" w:color="auto"/>
                <w:right w:val="none" w:sz="0" w:space="0" w:color="auto"/>
              </w:divBdr>
              <w:divsChild>
                <w:div w:id="1678147055">
                  <w:marLeft w:val="0"/>
                  <w:marRight w:val="0"/>
                  <w:marTop w:val="0"/>
                  <w:marBottom w:val="0"/>
                  <w:divBdr>
                    <w:top w:val="none" w:sz="0" w:space="0" w:color="auto"/>
                    <w:left w:val="none" w:sz="0" w:space="0" w:color="auto"/>
                    <w:bottom w:val="none" w:sz="0" w:space="0" w:color="auto"/>
                    <w:right w:val="none" w:sz="0" w:space="0" w:color="auto"/>
                  </w:divBdr>
                </w:div>
              </w:divsChild>
            </w:div>
            <w:div w:id="362557316">
              <w:marLeft w:val="0"/>
              <w:marRight w:val="0"/>
              <w:marTop w:val="0"/>
              <w:marBottom w:val="0"/>
              <w:divBdr>
                <w:top w:val="none" w:sz="0" w:space="0" w:color="auto"/>
                <w:left w:val="none" w:sz="0" w:space="0" w:color="auto"/>
                <w:bottom w:val="none" w:sz="0" w:space="0" w:color="auto"/>
                <w:right w:val="none" w:sz="0" w:space="0" w:color="auto"/>
              </w:divBdr>
              <w:divsChild>
                <w:div w:id="1586526414">
                  <w:marLeft w:val="0"/>
                  <w:marRight w:val="0"/>
                  <w:marTop w:val="0"/>
                  <w:marBottom w:val="0"/>
                  <w:divBdr>
                    <w:top w:val="none" w:sz="0" w:space="0" w:color="auto"/>
                    <w:left w:val="none" w:sz="0" w:space="0" w:color="auto"/>
                    <w:bottom w:val="none" w:sz="0" w:space="0" w:color="auto"/>
                    <w:right w:val="none" w:sz="0" w:space="0" w:color="auto"/>
                  </w:divBdr>
                </w:div>
              </w:divsChild>
            </w:div>
            <w:div w:id="1666932053">
              <w:marLeft w:val="0"/>
              <w:marRight w:val="0"/>
              <w:marTop w:val="0"/>
              <w:marBottom w:val="0"/>
              <w:divBdr>
                <w:top w:val="none" w:sz="0" w:space="0" w:color="auto"/>
                <w:left w:val="none" w:sz="0" w:space="0" w:color="auto"/>
                <w:bottom w:val="none" w:sz="0" w:space="0" w:color="auto"/>
                <w:right w:val="none" w:sz="0" w:space="0" w:color="auto"/>
              </w:divBdr>
              <w:divsChild>
                <w:div w:id="1670478322">
                  <w:marLeft w:val="0"/>
                  <w:marRight w:val="0"/>
                  <w:marTop w:val="0"/>
                  <w:marBottom w:val="0"/>
                  <w:divBdr>
                    <w:top w:val="none" w:sz="0" w:space="0" w:color="auto"/>
                    <w:left w:val="none" w:sz="0" w:space="0" w:color="auto"/>
                    <w:bottom w:val="none" w:sz="0" w:space="0" w:color="auto"/>
                    <w:right w:val="none" w:sz="0" w:space="0" w:color="auto"/>
                  </w:divBdr>
                </w:div>
              </w:divsChild>
            </w:div>
            <w:div w:id="2109958665">
              <w:marLeft w:val="0"/>
              <w:marRight w:val="0"/>
              <w:marTop w:val="0"/>
              <w:marBottom w:val="0"/>
              <w:divBdr>
                <w:top w:val="none" w:sz="0" w:space="0" w:color="auto"/>
                <w:left w:val="none" w:sz="0" w:space="0" w:color="auto"/>
                <w:bottom w:val="none" w:sz="0" w:space="0" w:color="auto"/>
                <w:right w:val="none" w:sz="0" w:space="0" w:color="auto"/>
              </w:divBdr>
              <w:divsChild>
                <w:div w:id="717627354">
                  <w:marLeft w:val="0"/>
                  <w:marRight w:val="0"/>
                  <w:marTop w:val="0"/>
                  <w:marBottom w:val="0"/>
                  <w:divBdr>
                    <w:top w:val="none" w:sz="0" w:space="0" w:color="auto"/>
                    <w:left w:val="none" w:sz="0" w:space="0" w:color="auto"/>
                    <w:bottom w:val="none" w:sz="0" w:space="0" w:color="auto"/>
                    <w:right w:val="none" w:sz="0" w:space="0" w:color="auto"/>
                  </w:divBdr>
                </w:div>
              </w:divsChild>
            </w:div>
            <w:div w:id="2046834343">
              <w:marLeft w:val="0"/>
              <w:marRight w:val="0"/>
              <w:marTop w:val="0"/>
              <w:marBottom w:val="0"/>
              <w:divBdr>
                <w:top w:val="none" w:sz="0" w:space="0" w:color="auto"/>
                <w:left w:val="none" w:sz="0" w:space="0" w:color="auto"/>
                <w:bottom w:val="none" w:sz="0" w:space="0" w:color="auto"/>
                <w:right w:val="none" w:sz="0" w:space="0" w:color="auto"/>
              </w:divBdr>
              <w:divsChild>
                <w:div w:id="84108265">
                  <w:marLeft w:val="0"/>
                  <w:marRight w:val="0"/>
                  <w:marTop w:val="0"/>
                  <w:marBottom w:val="0"/>
                  <w:divBdr>
                    <w:top w:val="none" w:sz="0" w:space="0" w:color="auto"/>
                    <w:left w:val="none" w:sz="0" w:space="0" w:color="auto"/>
                    <w:bottom w:val="none" w:sz="0" w:space="0" w:color="auto"/>
                    <w:right w:val="none" w:sz="0" w:space="0" w:color="auto"/>
                  </w:divBdr>
                </w:div>
              </w:divsChild>
            </w:div>
            <w:div w:id="415784464">
              <w:marLeft w:val="0"/>
              <w:marRight w:val="0"/>
              <w:marTop w:val="0"/>
              <w:marBottom w:val="0"/>
              <w:divBdr>
                <w:top w:val="none" w:sz="0" w:space="0" w:color="auto"/>
                <w:left w:val="none" w:sz="0" w:space="0" w:color="auto"/>
                <w:bottom w:val="none" w:sz="0" w:space="0" w:color="auto"/>
                <w:right w:val="none" w:sz="0" w:space="0" w:color="auto"/>
              </w:divBdr>
              <w:divsChild>
                <w:div w:id="1061440925">
                  <w:marLeft w:val="0"/>
                  <w:marRight w:val="0"/>
                  <w:marTop w:val="0"/>
                  <w:marBottom w:val="0"/>
                  <w:divBdr>
                    <w:top w:val="none" w:sz="0" w:space="0" w:color="auto"/>
                    <w:left w:val="none" w:sz="0" w:space="0" w:color="auto"/>
                    <w:bottom w:val="none" w:sz="0" w:space="0" w:color="auto"/>
                    <w:right w:val="none" w:sz="0" w:space="0" w:color="auto"/>
                  </w:divBdr>
                </w:div>
              </w:divsChild>
            </w:div>
            <w:div w:id="1837695557">
              <w:marLeft w:val="0"/>
              <w:marRight w:val="0"/>
              <w:marTop w:val="0"/>
              <w:marBottom w:val="0"/>
              <w:divBdr>
                <w:top w:val="none" w:sz="0" w:space="0" w:color="auto"/>
                <w:left w:val="none" w:sz="0" w:space="0" w:color="auto"/>
                <w:bottom w:val="none" w:sz="0" w:space="0" w:color="auto"/>
                <w:right w:val="none" w:sz="0" w:space="0" w:color="auto"/>
              </w:divBdr>
              <w:divsChild>
                <w:div w:id="8928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6791">
          <w:marLeft w:val="0"/>
          <w:marRight w:val="0"/>
          <w:marTop w:val="0"/>
          <w:marBottom w:val="600"/>
          <w:divBdr>
            <w:top w:val="none" w:sz="0" w:space="0" w:color="auto"/>
            <w:left w:val="none" w:sz="0" w:space="0" w:color="auto"/>
            <w:bottom w:val="none" w:sz="0" w:space="0" w:color="auto"/>
            <w:right w:val="none" w:sz="0" w:space="0" w:color="auto"/>
          </w:divBdr>
        </w:div>
      </w:divsChild>
    </w:div>
    <w:div w:id="678196777">
      <w:marLeft w:val="0"/>
      <w:marRight w:val="0"/>
      <w:marTop w:val="0"/>
      <w:marBottom w:val="0"/>
      <w:divBdr>
        <w:top w:val="none" w:sz="0" w:space="0" w:color="auto"/>
        <w:left w:val="none" w:sz="0" w:space="0" w:color="auto"/>
        <w:bottom w:val="none" w:sz="0" w:space="0" w:color="auto"/>
        <w:right w:val="none" w:sz="0" w:space="0" w:color="auto"/>
      </w:divBdr>
      <w:divsChild>
        <w:div w:id="2089424253">
          <w:marLeft w:val="0"/>
          <w:marRight w:val="0"/>
          <w:marTop w:val="547"/>
          <w:marBottom w:val="0"/>
          <w:divBdr>
            <w:top w:val="none" w:sz="0" w:space="0" w:color="auto"/>
            <w:left w:val="none" w:sz="0" w:space="0" w:color="auto"/>
            <w:bottom w:val="none" w:sz="0" w:space="0" w:color="auto"/>
            <w:right w:val="none" w:sz="0" w:space="0" w:color="auto"/>
          </w:divBdr>
        </w:div>
        <w:div w:id="1921212470">
          <w:marLeft w:val="0"/>
          <w:marRight w:val="0"/>
          <w:marTop w:val="0"/>
          <w:marBottom w:val="0"/>
          <w:divBdr>
            <w:top w:val="none" w:sz="0" w:space="0" w:color="auto"/>
            <w:left w:val="none" w:sz="0" w:space="0" w:color="auto"/>
            <w:bottom w:val="none" w:sz="0" w:space="0" w:color="auto"/>
            <w:right w:val="none" w:sz="0" w:space="0" w:color="auto"/>
          </w:divBdr>
        </w:div>
        <w:div w:id="544097886">
          <w:marLeft w:val="0"/>
          <w:marRight w:val="0"/>
          <w:marTop w:val="0"/>
          <w:marBottom w:val="600"/>
          <w:divBdr>
            <w:top w:val="none" w:sz="0" w:space="0" w:color="auto"/>
            <w:left w:val="none" w:sz="0" w:space="0" w:color="auto"/>
            <w:bottom w:val="none" w:sz="0" w:space="0" w:color="auto"/>
            <w:right w:val="none" w:sz="0" w:space="0" w:color="auto"/>
          </w:divBdr>
        </w:div>
      </w:divsChild>
    </w:div>
    <w:div w:id="751465874">
      <w:marLeft w:val="0"/>
      <w:marRight w:val="0"/>
      <w:marTop w:val="0"/>
      <w:marBottom w:val="0"/>
      <w:divBdr>
        <w:top w:val="none" w:sz="0" w:space="0" w:color="auto"/>
        <w:left w:val="none" w:sz="0" w:space="0" w:color="auto"/>
        <w:bottom w:val="none" w:sz="0" w:space="0" w:color="auto"/>
        <w:right w:val="none" w:sz="0" w:space="0" w:color="auto"/>
      </w:divBdr>
      <w:divsChild>
        <w:div w:id="1673333505">
          <w:marLeft w:val="0"/>
          <w:marRight w:val="0"/>
          <w:marTop w:val="547"/>
          <w:marBottom w:val="0"/>
          <w:divBdr>
            <w:top w:val="none" w:sz="0" w:space="0" w:color="auto"/>
            <w:left w:val="none" w:sz="0" w:space="0" w:color="auto"/>
            <w:bottom w:val="none" w:sz="0" w:space="0" w:color="auto"/>
            <w:right w:val="none" w:sz="0" w:space="0" w:color="auto"/>
          </w:divBdr>
        </w:div>
        <w:div w:id="1602837791">
          <w:marLeft w:val="0"/>
          <w:marRight w:val="0"/>
          <w:marTop w:val="0"/>
          <w:marBottom w:val="0"/>
          <w:divBdr>
            <w:top w:val="none" w:sz="0" w:space="0" w:color="auto"/>
            <w:left w:val="none" w:sz="0" w:space="0" w:color="auto"/>
            <w:bottom w:val="none" w:sz="0" w:space="0" w:color="auto"/>
            <w:right w:val="none" w:sz="0" w:space="0" w:color="auto"/>
          </w:divBdr>
        </w:div>
        <w:div w:id="521431672">
          <w:marLeft w:val="0"/>
          <w:marRight w:val="0"/>
          <w:marTop w:val="0"/>
          <w:marBottom w:val="600"/>
          <w:divBdr>
            <w:top w:val="none" w:sz="0" w:space="0" w:color="auto"/>
            <w:left w:val="none" w:sz="0" w:space="0" w:color="auto"/>
            <w:bottom w:val="none" w:sz="0" w:space="0" w:color="auto"/>
            <w:right w:val="none" w:sz="0" w:space="0" w:color="auto"/>
          </w:divBdr>
        </w:div>
      </w:divsChild>
    </w:div>
    <w:div w:id="777677513">
      <w:marLeft w:val="0"/>
      <w:marRight w:val="0"/>
      <w:marTop w:val="0"/>
      <w:marBottom w:val="0"/>
      <w:divBdr>
        <w:top w:val="none" w:sz="0" w:space="0" w:color="auto"/>
        <w:left w:val="none" w:sz="0" w:space="0" w:color="auto"/>
        <w:bottom w:val="none" w:sz="0" w:space="0" w:color="auto"/>
        <w:right w:val="none" w:sz="0" w:space="0" w:color="auto"/>
      </w:divBdr>
      <w:divsChild>
        <w:div w:id="1518881564">
          <w:marLeft w:val="0"/>
          <w:marRight w:val="0"/>
          <w:marTop w:val="547"/>
          <w:marBottom w:val="0"/>
          <w:divBdr>
            <w:top w:val="none" w:sz="0" w:space="0" w:color="auto"/>
            <w:left w:val="none" w:sz="0" w:space="0" w:color="auto"/>
            <w:bottom w:val="none" w:sz="0" w:space="0" w:color="auto"/>
            <w:right w:val="none" w:sz="0" w:space="0" w:color="auto"/>
          </w:divBdr>
        </w:div>
        <w:div w:id="2096440816">
          <w:marLeft w:val="0"/>
          <w:marRight w:val="0"/>
          <w:marTop w:val="0"/>
          <w:marBottom w:val="0"/>
          <w:divBdr>
            <w:top w:val="none" w:sz="0" w:space="0" w:color="auto"/>
            <w:left w:val="none" w:sz="0" w:space="0" w:color="auto"/>
            <w:bottom w:val="none" w:sz="0" w:space="0" w:color="auto"/>
            <w:right w:val="none" w:sz="0" w:space="0" w:color="auto"/>
          </w:divBdr>
        </w:div>
        <w:div w:id="17972136">
          <w:marLeft w:val="0"/>
          <w:marRight w:val="0"/>
          <w:marTop w:val="0"/>
          <w:marBottom w:val="600"/>
          <w:divBdr>
            <w:top w:val="none" w:sz="0" w:space="0" w:color="auto"/>
            <w:left w:val="none" w:sz="0" w:space="0" w:color="auto"/>
            <w:bottom w:val="none" w:sz="0" w:space="0" w:color="auto"/>
            <w:right w:val="none" w:sz="0" w:space="0" w:color="auto"/>
          </w:divBdr>
        </w:div>
      </w:divsChild>
    </w:div>
    <w:div w:id="832405493">
      <w:marLeft w:val="0"/>
      <w:marRight w:val="0"/>
      <w:marTop w:val="0"/>
      <w:marBottom w:val="0"/>
      <w:divBdr>
        <w:top w:val="none" w:sz="0" w:space="0" w:color="auto"/>
        <w:left w:val="none" w:sz="0" w:space="0" w:color="auto"/>
        <w:bottom w:val="none" w:sz="0" w:space="0" w:color="auto"/>
        <w:right w:val="none" w:sz="0" w:space="0" w:color="auto"/>
      </w:divBdr>
      <w:divsChild>
        <w:div w:id="1511677143">
          <w:marLeft w:val="0"/>
          <w:marRight w:val="0"/>
          <w:marTop w:val="547"/>
          <w:marBottom w:val="0"/>
          <w:divBdr>
            <w:top w:val="none" w:sz="0" w:space="0" w:color="auto"/>
            <w:left w:val="none" w:sz="0" w:space="0" w:color="auto"/>
            <w:bottom w:val="none" w:sz="0" w:space="0" w:color="auto"/>
            <w:right w:val="none" w:sz="0" w:space="0" w:color="auto"/>
          </w:divBdr>
        </w:div>
        <w:div w:id="613176798">
          <w:marLeft w:val="0"/>
          <w:marRight w:val="0"/>
          <w:marTop w:val="0"/>
          <w:marBottom w:val="0"/>
          <w:divBdr>
            <w:top w:val="none" w:sz="0" w:space="0" w:color="auto"/>
            <w:left w:val="none" w:sz="0" w:space="0" w:color="auto"/>
            <w:bottom w:val="none" w:sz="0" w:space="0" w:color="auto"/>
            <w:right w:val="none" w:sz="0" w:space="0" w:color="auto"/>
          </w:divBdr>
        </w:div>
        <w:div w:id="954676716">
          <w:marLeft w:val="0"/>
          <w:marRight w:val="0"/>
          <w:marTop w:val="0"/>
          <w:marBottom w:val="600"/>
          <w:divBdr>
            <w:top w:val="none" w:sz="0" w:space="0" w:color="auto"/>
            <w:left w:val="none" w:sz="0" w:space="0" w:color="auto"/>
            <w:bottom w:val="none" w:sz="0" w:space="0" w:color="auto"/>
            <w:right w:val="none" w:sz="0" w:space="0" w:color="auto"/>
          </w:divBdr>
        </w:div>
      </w:divsChild>
    </w:div>
    <w:div w:id="855194774">
      <w:marLeft w:val="0"/>
      <w:marRight w:val="0"/>
      <w:marTop w:val="0"/>
      <w:marBottom w:val="0"/>
      <w:divBdr>
        <w:top w:val="none" w:sz="0" w:space="0" w:color="auto"/>
        <w:left w:val="none" w:sz="0" w:space="0" w:color="auto"/>
        <w:bottom w:val="none" w:sz="0" w:space="0" w:color="auto"/>
        <w:right w:val="none" w:sz="0" w:space="0" w:color="auto"/>
      </w:divBdr>
      <w:divsChild>
        <w:div w:id="416902716">
          <w:marLeft w:val="0"/>
          <w:marRight w:val="0"/>
          <w:marTop w:val="547"/>
          <w:marBottom w:val="0"/>
          <w:divBdr>
            <w:top w:val="none" w:sz="0" w:space="0" w:color="auto"/>
            <w:left w:val="none" w:sz="0" w:space="0" w:color="auto"/>
            <w:bottom w:val="none" w:sz="0" w:space="0" w:color="auto"/>
            <w:right w:val="none" w:sz="0" w:space="0" w:color="auto"/>
          </w:divBdr>
        </w:div>
        <w:div w:id="1434008311">
          <w:marLeft w:val="0"/>
          <w:marRight w:val="0"/>
          <w:marTop w:val="0"/>
          <w:marBottom w:val="0"/>
          <w:divBdr>
            <w:top w:val="none" w:sz="0" w:space="0" w:color="auto"/>
            <w:left w:val="none" w:sz="0" w:space="0" w:color="auto"/>
            <w:bottom w:val="none" w:sz="0" w:space="0" w:color="auto"/>
            <w:right w:val="none" w:sz="0" w:space="0" w:color="auto"/>
          </w:divBdr>
        </w:div>
        <w:div w:id="680162527">
          <w:marLeft w:val="0"/>
          <w:marRight w:val="0"/>
          <w:marTop w:val="0"/>
          <w:marBottom w:val="600"/>
          <w:divBdr>
            <w:top w:val="none" w:sz="0" w:space="0" w:color="auto"/>
            <w:left w:val="none" w:sz="0" w:space="0" w:color="auto"/>
            <w:bottom w:val="none" w:sz="0" w:space="0" w:color="auto"/>
            <w:right w:val="none" w:sz="0" w:space="0" w:color="auto"/>
          </w:divBdr>
        </w:div>
      </w:divsChild>
    </w:div>
    <w:div w:id="881483294">
      <w:marLeft w:val="0"/>
      <w:marRight w:val="0"/>
      <w:marTop w:val="0"/>
      <w:marBottom w:val="0"/>
      <w:divBdr>
        <w:top w:val="none" w:sz="0" w:space="0" w:color="auto"/>
        <w:left w:val="none" w:sz="0" w:space="0" w:color="auto"/>
        <w:bottom w:val="none" w:sz="0" w:space="0" w:color="auto"/>
        <w:right w:val="none" w:sz="0" w:space="0" w:color="auto"/>
      </w:divBdr>
      <w:divsChild>
        <w:div w:id="1660885366">
          <w:marLeft w:val="0"/>
          <w:marRight w:val="0"/>
          <w:marTop w:val="547"/>
          <w:marBottom w:val="0"/>
          <w:divBdr>
            <w:top w:val="none" w:sz="0" w:space="0" w:color="auto"/>
            <w:left w:val="none" w:sz="0" w:space="0" w:color="auto"/>
            <w:bottom w:val="none" w:sz="0" w:space="0" w:color="auto"/>
            <w:right w:val="none" w:sz="0" w:space="0" w:color="auto"/>
          </w:divBdr>
        </w:div>
        <w:div w:id="1505896743">
          <w:marLeft w:val="0"/>
          <w:marRight w:val="0"/>
          <w:marTop w:val="0"/>
          <w:marBottom w:val="0"/>
          <w:divBdr>
            <w:top w:val="none" w:sz="0" w:space="0" w:color="auto"/>
            <w:left w:val="none" w:sz="0" w:space="0" w:color="auto"/>
            <w:bottom w:val="none" w:sz="0" w:space="0" w:color="auto"/>
            <w:right w:val="none" w:sz="0" w:space="0" w:color="auto"/>
          </w:divBdr>
        </w:div>
        <w:div w:id="1103498856">
          <w:marLeft w:val="0"/>
          <w:marRight w:val="0"/>
          <w:marTop w:val="0"/>
          <w:marBottom w:val="600"/>
          <w:divBdr>
            <w:top w:val="none" w:sz="0" w:space="0" w:color="auto"/>
            <w:left w:val="none" w:sz="0" w:space="0" w:color="auto"/>
            <w:bottom w:val="none" w:sz="0" w:space="0" w:color="auto"/>
            <w:right w:val="none" w:sz="0" w:space="0" w:color="auto"/>
          </w:divBdr>
        </w:div>
      </w:divsChild>
    </w:div>
    <w:div w:id="912817226">
      <w:marLeft w:val="0"/>
      <w:marRight w:val="0"/>
      <w:marTop w:val="0"/>
      <w:marBottom w:val="0"/>
      <w:divBdr>
        <w:top w:val="none" w:sz="0" w:space="0" w:color="auto"/>
        <w:left w:val="none" w:sz="0" w:space="0" w:color="auto"/>
        <w:bottom w:val="none" w:sz="0" w:space="0" w:color="auto"/>
        <w:right w:val="none" w:sz="0" w:space="0" w:color="auto"/>
      </w:divBdr>
      <w:divsChild>
        <w:div w:id="2089231142">
          <w:marLeft w:val="0"/>
          <w:marRight w:val="0"/>
          <w:marTop w:val="547"/>
          <w:marBottom w:val="0"/>
          <w:divBdr>
            <w:top w:val="none" w:sz="0" w:space="0" w:color="auto"/>
            <w:left w:val="none" w:sz="0" w:space="0" w:color="auto"/>
            <w:bottom w:val="none" w:sz="0" w:space="0" w:color="auto"/>
            <w:right w:val="none" w:sz="0" w:space="0" w:color="auto"/>
          </w:divBdr>
        </w:div>
        <w:div w:id="1496989568">
          <w:marLeft w:val="0"/>
          <w:marRight w:val="0"/>
          <w:marTop w:val="0"/>
          <w:marBottom w:val="0"/>
          <w:divBdr>
            <w:top w:val="none" w:sz="0" w:space="0" w:color="auto"/>
            <w:left w:val="none" w:sz="0" w:space="0" w:color="auto"/>
            <w:bottom w:val="none" w:sz="0" w:space="0" w:color="auto"/>
            <w:right w:val="none" w:sz="0" w:space="0" w:color="auto"/>
          </w:divBdr>
          <w:divsChild>
            <w:div w:id="181894949">
              <w:marLeft w:val="0"/>
              <w:marRight w:val="0"/>
              <w:marTop w:val="0"/>
              <w:marBottom w:val="0"/>
              <w:divBdr>
                <w:top w:val="none" w:sz="0" w:space="0" w:color="auto"/>
                <w:left w:val="none" w:sz="0" w:space="0" w:color="auto"/>
                <w:bottom w:val="none" w:sz="0" w:space="0" w:color="auto"/>
                <w:right w:val="none" w:sz="0" w:space="0" w:color="auto"/>
              </w:divBdr>
              <w:divsChild>
                <w:div w:id="2047556716">
                  <w:marLeft w:val="0"/>
                  <w:marRight w:val="0"/>
                  <w:marTop w:val="0"/>
                  <w:marBottom w:val="0"/>
                  <w:divBdr>
                    <w:top w:val="none" w:sz="0" w:space="0" w:color="auto"/>
                    <w:left w:val="none" w:sz="0" w:space="0" w:color="auto"/>
                    <w:bottom w:val="none" w:sz="0" w:space="0" w:color="auto"/>
                    <w:right w:val="none" w:sz="0" w:space="0" w:color="auto"/>
                  </w:divBdr>
                </w:div>
              </w:divsChild>
            </w:div>
            <w:div w:id="1136988437">
              <w:marLeft w:val="0"/>
              <w:marRight w:val="0"/>
              <w:marTop w:val="0"/>
              <w:marBottom w:val="0"/>
              <w:divBdr>
                <w:top w:val="none" w:sz="0" w:space="0" w:color="auto"/>
                <w:left w:val="none" w:sz="0" w:space="0" w:color="auto"/>
                <w:bottom w:val="none" w:sz="0" w:space="0" w:color="auto"/>
                <w:right w:val="none" w:sz="0" w:space="0" w:color="auto"/>
              </w:divBdr>
              <w:divsChild>
                <w:div w:id="1445153175">
                  <w:marLeft w:val="0"/>
                  <w:marRight w:val="0"/>
                  <w:marTop w:val="0"/>
                  <w:marBottom w:val="0"/>
                  <w:divBdr>
                    <w:top w:val="none" w:sz="0" w:space="0" w:color="auto"/>
                    <w:left w:val="none" w:sz="0" w:space="0" w:color="auto"/>
                    <w:bottom w:val="none" w:sz="0" w:space="0" w:color="auto"/>
                    <w:right w:val="none" w:sz="0" w:space="0" w:color="auto"/>
                  </w:divBdr>
                </w:div>
              </w:divsChild>
            </w:div>
            <w:div w:id="258605894">
              <w:marLeft w:val="0"/>
              <w:marRight w:val="0"/>
              <w:marTop w:val="0"/>
              <w:marBottom w:val="0"/>
              <w:divBdr>
                <w:top w:val="none" w:sz="0" w:space="0" w:color="auto"/>
                <w:left w:val="none" w:sz="0" w:space="0" w:color="auto"/>
                <w:bottom w:val="none" w:sz="0" w:space="0" w:color="auto"/>
                <w:right w:val="none" w:sz="0" w:space="0" w:color="auto"/>
              </w:divBdr>
              <w:divsChild>
                <w:div w:id="1317300482">
                  <w:marLeft w:val="0"/>
                  <w:marRight w:val="0"/>
                  <w:marTop w:val="0"/>
                  <w:marBottom w:val="0"/>
                  <w:divBdr>
                    <w:top w:val="none" w:sz="0" w:space="0" w:color="auto"/>
                    <w:left w:val="none" w:sz="0" w:space="0" w:color="auto"/>
                    <w:bottom w:val="none" w:sz="0" w:space="0" w:color="auto"/>
                    <w:right w:val="none" w:sz="0" w:space="0" w:color="auto"/>
                  </w:divBdr>
                </w:div>
              </w:divsChild>
            </w:div>
            <w:div w:id="1623654967">
              <w:marLeft w:val="0"/>
              <w:marRight w:val="0"/>
              <w:marTop w:val="0"/>
              <w:marBottom w:val="0"/>
              <w:divBdr>
                <w:top w:val="none" w:sz="0" w:space="0" w:color="auto"/>
                <w:left w:val="none" w:sz="0" w:space="0" w:color="auto"/>
                <w:bottom w:val="none" w:sz="0" w:space="0" w:color="auto"/>
                <w:right w:val="none" w:sz="0" w:space="0" w:color="auto"/>
              </w:divBdr>
              <w:divsChild>
                <w:div w:id="216818958">
                  <w:marLeft w:val="0"/>
                  <w:marRight w:val="0"/>
                  <w:marTop w:val="0"/>
                  <w:marBottom w:val="0"/>
                  <w:divBdr>
                    <w:top w:val="none" w:sz="0" w:space="0" w:color="auto"/>
                    <w:left w:val="none" w:sz="0" w:space="0" w:color="auto"/>
                    <w:bottom w:val="none" w:sz="0" w:space="0" w:color="auto"/>
                    <w:right w:val="none" w:sz="0" w:space="0" w:color="auto"/>
                  </w:divBdr>
                </w:div>
              </w:divsChild>
            </w:div>
            <w:div w:id="18094248">
              <w:marLeft w:val="0"/>
              <w:marRight w:val="0"/>
              <w:marTop w:val="0"/>
              <w:marBottom w:val="0"/>
              <w:divBdr>
                <w:top w:val="none" w:sz="0" w:space="0" w:color="auto"/>
                <w:left w:val="none" w:sz="0" w:space="0" w:color="auto"/>
                <w:bottom w:val="none" w:sz="0" w:space="0" w:color="auto"/>
                <w:right w:val="none" w:sz="0" w:space="0" w:color="auto"/>
              </w:divBdr>
              <w:divsChild>
                <w:div w:id="52509520">
                  <w:marLeft w:val="0"/>
                  <w:marRight w:val="0"/>
                  <w:marTop w:val="0"/>
                  <w:marBottom w:val="0"/>
                  <w:divBdr>
                    <w:top w:val="none" w:sz="0" w:space="0" w:color="auto"/>
                    <w:left w:val="none" w:sz="0" w:space="0" w:color="auto"/>
                    <w:bottom w:val="none" w:sz="0" w:space="0" w:color="auto"/>
                    <w:right w:val="none" w:sz="0" w:space="0" w:color="auto"/>
                  </w:divBdr>
                </w:div>
              </w:divsChild>
            </w:div>
            <w:div w:id="525758725">
              <w:marLeft w:val="0"/>
              <w:marRight w:val="0"/>
              <w:marTop w:val="0"/>
              <w:marBottom w:val="0"/>
              <w:divBdr>
                <w:top w:val="none" w:sz="0" w:space="0" w:color="auto"/>
                <w:left w:val="none" w:sz="0" w:space="0" w:color="auto"/>
                <w:bottom w:val="none" w:sz="0" w:space="0" w:color="auto"/>
                <w:right w:val="none" w:sz="0" w:space="0" w:color="auto"/>
              </w:divBdr>
              <w:divsChild>
                <w:div w:id="1969167032">
                  <w:marLeft w:val="0"/>
                  <w:marRight w:val="0"/>
                  <w:marTop w:val="0"/>
                  <w:marBottom w:val="0"/>
                  <w:divBdr>
                    <w:top w:val="none" w:sz="0" w:space="0" w:color="auto"/>
                    <w:left w:val="none" w:sz="0" w:space="0" w:color="auto"/>
                    <w:bottom w:val="none" w:sz="0" w:space="0" w:color="auto"/>
                    <w:right w:val="none" w:sz="0" w:space="0" w:color="auto"/>
                  </w:divBdr>
                </w:div>
              </w:divsChild>
            </w:div>
            <w:div w:id="1115712009">
              <w:marLeft w:val="0"/>
              <w:marRight w:val="0"/>
              <w:marTop w:val="0"/>
              <w:marBottom w:val="0"/>
              <w:divBdr>
                <w:top w:val="none" w:sz="0" w:space="0" w:color="auto"/>
                <w:left w:val="none" w:sz="0" w:space="0" w:color="auto"/>
                <w:bottom w:val="none" w:sz="0" w:space="0" w:color="auto"/>
                <w:right w:val="none" w:sz="0" w:space="0" w:color="auto"/>
              </w:divBdr>
              <w:divsChild>
                <w:div w:id="1763724715">
                  <w:marLeft w:val="0"/>
                  <w:marRight w:val="0"/>
                  <w:marTop w:val="0"/>
                  <w:marBottom w:val="0"/>
                  <w:divBdr>
                    <w:top w:val="none" w:sz="0" w:space="0" w:color="auto"/>
                    <w:left w:val="none" w:sz="0" w:space="0" w:color="auto"/>
                    <w:bottom w:val="none" w:sz="0" w:space="0" w:color="auto"/>
                    <w:right w:val="none" w:sz="0" w:space="0" w:color="auto"/>
                  </w:divBdr>
                </w:div>
              </w:divsChild>
            </w:div>
            <w:div w:id="1120608895">
              <w:marLeft w:val="0"/>
              <w:marRight w:val="0"/>
              <w:marTop w:val="0"/>
              <w:marBottom w:val="0"/>
              <w:divBdr>
                <w:top w:val="none" w:sz="0" w:space="0" w:color="auto"/>
                <w:left w:val="none" w:sz="0" w:space="0" w:color="auto"/>
                <w:bottom w:val="none" w:sz="0" w:space="0" w:color="auto"/>
                <w:right w:val="none" w:sz="0" w:space="0" w:color="auto"/>
              </w:divBdr>
              <w:divsChild>
                <w:div w:id="195124479">
                  <w:marLeft w:val="0"/>
                  <w:marRight w:val="0"/>
                  <w:marTop w:val="0"/>
                  <w:marBottom w:val="0"/>
                  <w:divBdr>
                    <w:top w:val="none" w:sz="0" w:space="0" w:color="auto"/>
                    <w:left w:val="none" w:sz="0" w:space="0" w:color="auto"/>
                    <w:bottom w:val="none" w:sz="0" w:space="0" w:color="auto"/>
                    <w:right w:val="none" w:sz="0" w:space="0" w:color="auto"/>
                  </w:divBdr>
                </w:div>
              </w:divsChild>
            </w:div>
            <w:div w:id="1839618740">
              <w:marLeft w:val="0"/>
              <w:marRight w:val="0"/>
              <w:marTop w:val="0"/>
              <w:marBottom w:val="0"/>
              <w:divBdr>
                <w:top w:val="none" w:sz="0" w:space="0" w:color="auto"/>
                <w:left w:val="none" w:sz="0" w:space="0" w:color="auto"/>
                <w:bottom w:val="none" w:sz="0" w:space="0" w:color="auto"/>
                <w:right w:val="none" w:sz="0" w:space="0" w:color="auto"/>
              </w:divBdr>
              <w:divsChild>
                <w:div w:id="1679304606">
                  <w:marLeft w:val="0"/>
                  <w:marRight w:val="0"/>
                  <w:marTop w:val="0"/>
                  <w:marBottom w:val="0"/>
                  <w:divBdr>
                    <w:top w:val="none" w:sz="0" w:space="0" w:color="auto"/>
                    <w:left w:val="none" w:sz="0" w:space="0" w:color="auto"/>
                    <w:bottom w:val="none" w:sz="0" w:space="0" w:color="auto"/>
                    <w:right w:val="none" w:sz="0" w:space="0" w:color="auto"/>
                  </w:divBdr>
                </w:div>
              </w:divsChild>
            </w:div>
            <w:div w:id="203641461">
              <w:marLeft w:val="0"/>
              <w:marRight w:val="0"/>
              <w:marTop w:val="0"/>
              <w:marBottom w:val="0"/>
              <w:divBdr>
                <w:top w:val="none" w:sz="0" w:space="0" w:color="auto"/>
                <w:left w:val="none" w:sz="0" w:space="0" w:color="auto"/>
                <w:bottom w:val="none" w:sz="0" w:space="0" w:color="auto"/>
                <w:right w:val="none" w:sz="0" w:space="0" w:color="auto"/>
              </w:divBdr>
              <w:divsChild>
                <w:div w:id="1295015139">
                  <w:marLeft w:val="0"/>
                  <w:marRight w:val="0"/>
                  <w:marTop w:val="0"/>
                  <w:marBottom w:val="0"/>
                  <w:divBdr>
                    <w:top w:val="none" w:sz="0" w:space="0" w:color="auto"/>
                    <w:left w:val="none" w:sz="0" w:space="0" w:color="auto"/>
                    <w:bottom w:val="none" w:sz="0" w:space="0" w:color="auto"/>
                    <w:right w:val="none" w:sz="0" w:space="0" w:color="auto"/>
                  </w:divBdr>
                </w:div>
              </w:divsChild>
            </w:div>
            <w:div w:id="625701698">
              <w:marLeft w:val="0"/>
              <w:marRight w:val="0"/>
              <w:marTop w:val="0"/>
              <w:marBottom w:val="0"/>
              <w:divBdr>
                <w:top w:val="none" w:sz="0" w:space="0" w:color="auto"/>
                <w:left w:val="none" w:sz="0" w:space="0" w:color="auto"/>
                <w:bottom w:val="none" w:sz="0" w:space="0" w:color="auto"/>
                <w:right w:val="none" w:sz="0" w:space="0" w:color="auto"/>
              </w:divBdr>
              <w:divsChild>
                <w:div w:id="1766414006">
                  <w:marLeft w:val="0"/>
                  <w:marRight w:val="0"/>
                  <w:marTop w:val="0"/>
                  <w:marBottom w:val="0"/>
                  <w:divBdr>
                    <w:top w:val="none" w:sz="0" w:space="0" w:color="auto"/>
                    <w:left w:val="none" w:sz="0" w:space="0" w:color="auto"/>
                    <w:bottom w:val="none" w:sz="0" w:space="0" w:color="auto"/>
                    <w:right w:val="none" w:sz="0" w:space="0" w:color="auto"/>
                  </w:divBdr>
                </w:div>
              </w:divsChild>
            </w:div>
            <w:div w:id="337271833">
              <w:marLeft w:val="0"/>
              <w:marRight w:val="0"/>
              <w:marTop w:val="0"/>
              <w:marBottom w:val="0"/>
              <w:divBdr>
                <w:top w:val="none" w:sz="0" w:space="0" w:color="auto"/>
                <w:left w:val="none" w:sz="0" w:space="0" w:color="auto"/>
                <w:bottom w:val="none" w:sz="0" w:space="0" w:color="auto"/>
                <w:right w:val="none" w:sz="0" w:space="0" w:color="auto"/>
              </w:divBdr>
              <w:divsChild>
                <w:div w:id="1731002869">
                  <w:marLeft w:val="0"/>
                  <w:marRight w:val="0"/>
                  <w:marTop w:val="0"/>
                  <w:marBottom w:val="0"/>
                  <w:divBdr>
                    <w:top w:val="none" w:sz="0" w:space="0" w:color="auto"/>
                    <w:left w:val="none" w:sz="0" w:space="0" w:color="auto"/>
                    <w:bottom w:val="none" w:sz="0" w:space="0" w:color="auto"/>
                    <w:right w:val="none" w:sz="0" w:space="0" w:color="auto"/>
                  </w:divBdr>
                </w:div>
              </w:divsChild>
            </w:div>
            <w:div w:id="1199396531">
              <w:marLeft w:val="0"/>
              <w:marRight w:val="0"/>
              <w:marTop w:val="0"/>
              <w:marBottom w:val="0"/>
              <w:divBdr>
                <w:top w:val="none" w:sz="0" w:space="0" w:color="auto"/>
                <w:left w:val="none" w:sz="0" w:space="0" w:color="auto"/>
                <w:bottom w:val="none" w:sz="0" w:space="0" w:color="auto"/>
                <w:right w:val="none" w:sz="0" w:space="0" w:color="auto"/>
              </w:divBdr>
              <w:divsChild>
                <w:div w:id="13655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3042">
          <w:marLeft w:val="0"/>
          <w:marRight w:val="0"/>
          <w:marTop w:val="0"/>
          <w:marBottom w:val="600"/>
          <w:divBdr>
            <w:top w:val="none" w:sz="0" w:space="0" w:color="auto"/>
            <w:left w:val="none" w:sz="0" w:space="0" w:color="auto"/>
            <w:bottom w:val="none" w:sz="0" w:space="0" w:color="auto"/>
            <w:right w:val="none" w:sz="0" w:space="0" w:color="auto"/>
          </w:divBdr>
        </w:div>
      </w:divsChild>
    </w:div>
    <w:div w:id="916980929">
      <w:marLeft w:val="0"/>
      <w:marRight w:val="0"/>
      <w:marTop w:val="0"/>
      <w:marBottom w:val="0"/>
      <w:divBdr>
        <w:top w:val="none" w:sz="0" w:space="0" w:color="auto"/>
        <w:left w:val="none" w:sz="0" w:space="0" w:color="auto"/>
        <w:bottom w:val="none" w:sz="0" w:space="0" w:color="auto"/>
        <w:right w:val="none" w:sz="0" w:space="0" w:color="auto"/>
      </w:divBdr>
      <w:divsChild>
        <w:div w:id="1748384114">
          <w:marLeft w:val="0"/>
          <w:marRight w:val="0"/>
          <w:marTop w:val="547"/>
          <w:marBottom w:val="0"/>
          <w:divBdr>
            <w:top w:val="none" w:sz="0" w:space="0" w:color="auto"/>
            <w:left w:val="none" w:sz="0" w:space="0" w:color="auto"/>
            <w:bottom w:val="none" w:sz="0" w:space="0" w:color="auto"/>
            <w:right w:val="none" w:sz="0" w:space="0" w:color="auto"/>
          </w:divBdr>
        </w:div>
        <w:div w:id="2056738724">
          <w:marLeft w:val="0"/>
          <w:marRight w:val="0"/>
          <w:marTop w:val="0"/>
          <w:marBottom w:val="0"/>
          <w:divBdr>
            <w:top w:val="none" w:sz="0" w:space="0" w:color="auto"/>
            <w:left w:val="none" w:sz="0" w:space="0" w:color="auto"/>
            <w:bottom w:val="none" w:sz="0" w:space="0" w:color="auto"/>
            <w:right w:val="none" w:sz="0" w:space="0" w:color="auto"/>
          </w:divBdr>
        </w:div>
        <w:div w:id="1064134938">
          <w:marLeft w:val="0"/>
          <w:marRight w:val="0"/>
          <w:marTop w:val="0"/>
          <w:marBottom w:val="600"/>
          <w:divBdr>
            <w:top w:val="none" w:sz="0" w:space="0" w:color="auto"/>
            <w:left w:val="none" w:sz="0" w:space="0" w:color="auto"/>
            <w:bottom w:val="none" w:sz="0" w:space="0" w:color="auto"/>
            <w:right w:val="none" w:sz="0" w:space="0" w:color="auto"/>
          </w:divBdr>
        </w:div>
      </w:divsChild>
    </w:div>
    <w:div w:id="939723972">
      <w:marLeft w:val="0"/>
      <w:marRight w:val="0"/>
      <w:marTop w:val="0"/>
      <w:marBottom w:val="0"/>
      <w:divBdr>
        <w:top w:val="none" w:sz="0" w:space="0" w:color="auto"/>
        <w:left w:val="none" w:sz="0" w:space="0" w:color="auto"/>
        <w:bottom w:val="none" w:sz="0" w:space="0" w:color="auto"/>
        <w:right w:val="none" w:sz="0" w:space="0" w:color="auto"/>
      </w:divBdr>
      <w:divsChild>
        <w:div w:id="1705398210">
          <w:marLeft w:val="0"/>
          <w:marRight w:val="0"/>
          <w:marTop w:val="547"/>
          <w:marBottom w:val="0"/>
          <w:divBdr>
            <w:top w:val="none" w:sz="0" w:space="0" w:color="auto"/>
            <w:left w:val="none" w:sz="0" w:space="0" w:color="auto"/>
            <w:bottom w:val="none" w:sz="0" w:space="0" w:color="auto"/>
            <w:right w:val="none" w:sz="0" w:space="0" w:color="auto"/>
          </w:divBdr>
        </w:div>
        <w:div w:id="1403673912">
          <w:marLeft w:val="0"/>
          <w:marRight w:val="0"/>
          <w:marTop w:val="0"/>
          <w:marBottom w:val="0"/>
          <w:divBdr>
            <w:top w:val="none" w:sz="0" w:space="0" w:color="auto"/>
            <w:left w:val="none" w:sz="0" w:space="0" w:color="auto"/>
            <w:bottom w:val="none" w:sz="0" w:space="0" w:color="auto"/>
            <w:right w:val="none" w:sz="0" w:space="0" w:color="auto"/>
          </w:divBdr>
        </w:div>
        <w:div w:id="1415542977">
          <w:marLeft w:val="0"/>
          <w:marRight w:val="0"/>
          <w:marTop w:val="0"/>
          <w:marBottom w:val="600"/>
          <w:divBdr>
            <w:top w:val="none" w:sz="0" w:space="0" w:color="auto"/>
            <w:left w:val="none" w:sz="0" w:space="0" w:color="auto"/>
            <w:bottom w:val="none" w:sz="0" w:space="0" w:color="auto"/>
            <w:right w:val="none" w:sz="0" w:space="0" w:color="auto"/>
          </w:divBdr>
        </w:div>
      </w:divsChild>
    </w:div>
    <w:div w:id="985086398">
      <w:marLeft w:val="0"/>
      <w:marRight w:val="0"/>
      <w:marTop w:val="0"/>
      <w:marBottom w:val="0"/>
      <w:divBdr>
        <w:top w:val="none" w:sz="0" w:space="0" w:color="auto"/>
        <w:left w:val="none" w:sz="0" w:space="0" w:color="auto"/>
        <w:bottom w:val="none" w:sz="0" w:space="0" w:color="auto"/>
        <w:right w:val="none" w:sz="0" w:space="0" w:color="auto"/>
      </w:divBdr>
      <w:divsChild>
        <w:div w:id="1219442793">
          <w:marLeft w:val="0"/>
          <w:marRight w:val="0"/>
          <w:marTop w:val="547"/>
          <w:marBottom w:val="0"/>
          <w:divBdr>
            <w:top w:val="none" w:sz="0" w:space="0" w:color="auto"/>
            <w:left w:val="none" w:sz="0" w:space="0" w:color="auto"/>
            <w:bottom w:val="none" w:sz="0" w:space="0" w:color="auto"/>
            <w:right w:val="none" w:sz="0" w:space="0" w:color="auto"/>
          </w:divBdr>
        </w:div>
        <w:div w:id="1072699098">
          <w:marLeft w:val="0"/>
          <w:marRight w:val="0"/>
          <w:marTop w:val="0"/>
          <w:marBottom w:val="0"/>
          <w:divBdr>
            <w:top w:val="none" w:sz="0" w:space="0" w:color="auto"/>
            <w:left w:val="none" w:sz="0" w:space="0" w:color="auto"/>
            <w:bottom w:val="none" w:sz="0" w:space="0" w:color="auto"/>
            <w:right w:val="none" w:sz="0" w:space="0" w:color="auto"/>
          </w:divBdr>
        </w:div>
        <w:div w:id="1135097121">
          <w:marLeft w:val="0"/>
          <w:marRight w:val="0"/>
          <w:marTop w:val="0"/>
          <w:marBottom w:val="600"/>
          <w:divBdr>
            <w:top w:val="none" w:sz="0" w:space="0" w:color="auto"/>
            <w:left w:val="none" w:sz="0" w:space="0" w:color="auto"/>
            <w:bottom w:val="none" w:sz="0" w:space="0" w:color="auto"/>
            <w:right w:val="none" w:sz="0" w:space="0" w:color="auto"/>
          </w:divBdr>
        </w:div>
      </w:divsChild>
    </w:div>
    <w:div w:id="1002582477">
      <w:marLeft w:val="0"/>
      <w:marRight w:val="0"/>
      <w:marTop w:val="0"/>
      <w:marBottom w:val="0"/>
      <w:divBdr>
        <w:top w:val="none" w:sz="0" w:space="0" w:color="auto"/>
        <w:left w:val="none" w:sz="0" w:space="0" w:color="auto"/>
        <w:bottom w:val="none" w:sz="0" w:space="0" w:color="auto"/>
        <w:right w:val="none" w:sz="0" w:space="0" w:color="auto"/>
      </w:divBdr>
      <w:divsChild>
        <w:div w:id="1507402799">
          <w:marLeft w:val="0"/>
          <w:marRight w:val="0"/>
          <w:marTop w:val="547"/>
          <w:marBottom w:val="0"/>
          <w:divBdr>
            <w:top w:val="none" w:sz="0" w:space="0" w:color="auto"/>
            <w:left w:val="none" w:sz="0" w:space="0" w:color="auto"/>
            <w:bottom w:val="none" w:sz="0" w:space="0" w:color="auto"/>
            <w:right w:val="none" w:sz="0" w:space="0" w:color="auto"/>
          </w:divBdr>
        </w:div>
        <w:div w:id="794173761">
          <w:marLeft w:val="0"/>
          <w:marRight w:val="0"/>
          <w:marTop w:val="0"/>
          <w:marBottom w:val="0"/>
          <w:divBdr>
            <w:top w:val="none" w:sz="0" w:space="0" w:color="auto"/>
            <w:left w:val="none" w:sz="0" w:space="0" w:color="auto"/>
            <w:bottom w:val="none" w:sz="0" w:space="0" w:color="auto"/>
            <w:right w:val="none" w:sz="0" w:space="0" w:color="auto"/>
          </w:divBdr>
        </w:div>
        <w:div w:id="969165350">
          <w:marLeft w:val="0"/>
          <w:marRight w:val="0"/>
          <w:marTop w:val="0"/>
          <w:marBottom w:val="600"/>
          <w:divBdr>
            <w:top w:val="none" w:sz="0" w:space="0" w:color="auto"/>
            <w:left w:val="none" w:sz="0" w:space="0" w:color="auto"/>
            <w:bottom w:val="none" w:sz="0" w:space="0" w:color="auto"/>
            <w:right w:val="none" w:sz="0" w:space="0" w:color="auto"/>
          </w:divBdr>
        </w:div>
      </w:divsChild>
    </w:div>
    <w:div w:id="1003821991">
      <w:marLeft w:val="0"/>
      <w:marRight w:val="0"/>
      <w:marTop w:val="0"/>
      <w:marBottom w:val="0"/>
      <w:divBdr>
        <w:top w:val="none" w:sz="0" w:space="0" w:color="auto"/>
        <w:left w:val="none" w:sz="0" w:space="0" w:color="auto"/>
        <w:bottom w:val="none" w:sz="0" w:space="0" w:color="auto"/>
        <w:right w:val="none" w:sz="0" w:space="0" w:color="auto"/>
      </w:divBdr>
      <w:divsChild>
        <w:div w:id="1668168440">
          <w:marLeft w:val="0"/>
          <w:marRight w:val="0"/>
          <w:marTop w:val="547"/>
          <w:marBottom w:val="0"/>
          <w:divBdr>
            <w:top w:val="none" w:sz="0" w:space="0" w:color="auto"/>
            <w:left w:val="none" w:sz="0" w:space="0" w:color="auto"/>
            <w:bottom w:val="none" w:sz="0" w:space="0" w:color="auto"/>
            <w:right w:val="none" w:sz="0" w:space="0" w:color="auto"/>
          </w:divBdr>
        </w:div>
        <w:div w:id="1612005760">
          <w:marLeft w:val="0"/>
          <w:marRight w:val="0"/>
          <w:marTop w:val="0"/>
          <w:marBottom w:val="0"/>
          <w:divBdr>
            <w:top w:val="none" w:sz="0" w:space="0" w:color="auto"/>
            <w:left w:val="none" w:sz="0" w:space="0" w:color="auto"/>
            <w:bottom w:val="none" w:sz="0" w:space="0" w:color="auto"/>
            <w:right w:val="none" w:sz="0" w:space="0" w:color="auto"/>
          </w:divBdr>
        </w:div>
        <w:div w:id="1919318506">
          <w:marLeft w:val="0"/>
          <w:marRight w:val="0"/>
          <w:marTop w:val="0"/>
          <w:marBottom w:val="600"/>
          <w:divBdr>
            <w:top w:val="none" w:sz="0" w:space="0" w:color="auto"/>
            <w:left w:val="none" w:sz="0" w:space="0" w:color="auto"/>
            <w:bottom w:val="none" w:sz="0" w:space="0" w:color="auto"/>
            <w:right w:val="none" w:sz="0" w:space="0" w:color="auto"/>
          </w:divBdr>
        </w:div>
      </w:divsChild>
    </w:div>
    <w:div w:id="1010718724">
      <w:marLeft w:val="0"/>
      <w:marRight w:val="0"/>
      <w:marTop w:val="0"/>
      <w:marBottom w:val="0"/>
      <w:divBdr>
        <w:top w:val="none" w:sz="0" w:space="0" w:color="auto"/>
        <w:left w:val="none" w:sz="0" w:space="0" w:color="auto"/>
        <w:bottom w:val="none" w:sz="0" w:space="0" w:color="auto"/>
        <w:right w:val="none" w:sz="0" w:space="0" w:color="auto"/>
      </w:divBdr>
      <w:divsChild>
        <w:div w:id="1678386642">
          <w:marLeft w:val="0"/>
          <w:marRight w:val="0"/>
          <w:marTop w:val="547"/>
          <w:marBottom w:val="0"/>
          <w:divBdr>
            <w:top w:val="none" w:sz="0" w:space="0" w:color="auto"/>
            <w:left w:val="none" w:sz="0" w:space="0" w:color="auto"/>
            <w:bottom w:val="none" w:sz="0" w:space="0" w:color="auto"/>
            <w:right w:val="none" w:sz="0" w:space="0" w:color="auto"/>
          </w:divBdr>
        </w:div>
        <w:div w:id="878519397">
          <w:marLeft w:val="0"/>
          <w:marRight w:val="0"/>
          <w:marTop w:val="0"/>
          <w:marBottom w:val="0"/>
          <w:divBdr>
            <w:top w:val="none" w:sz="0" w:space="0" w:color="auto"/>
            <w:left w:val="none" w:sz="0" w:space="0" w:color="auto"/>
            <w:bottom w:val="none" w:sz="0" w:space="0" w:color="auto"/>
            <w:right w:val="none" w:sz="0" w:space="0" w:color="auto"/>
          </w:divBdr>
        </w:div>
        <w:div w:id="1209731661">
          <w:marLeft w:val="0"/>
          <w:marRight w:val="0"/>
          <w:marTop w:val="0"/>
          <w:marBottom w:val="600"/>
          <w:divBdr>
            <w:top w:val="none" w:sz="0" w:space="0" w:color="auto"/>
            <w:left w:val="none" w:sz="0" w:space="0" w:color="auto"/>
            <w:bottom w:val="none" w:sz="0" w:space="0" w:color="auto"/>
            <w:right w:val="none" w:sz="0" w:space="0" w:color="auto"/>
          </w:divBdr>
        </w:div>
      </w:divsChild>
    </w:div>
    <w:div w:id="1031690070">
      <w:marLeft w:val="0"/>
      <w:marRight w:val="0"/>
      <w:marTop w:val="0"/>
      <w:marBottom w:val="0"/>
      <w:divBdr>
        <w:top w:val="none" w:sz="0" w:space="0" w:color="auto"/>
        <w:left w:val="none" w:sz="0" w:space="0" w:color="auto"/>
        <w:bottom w:val="none" w:sz="0" w:space="0" w:color="auto"/>
        <w:right w:val="none" w:sz="0" w:space="0" w:color="auto"/>
      </w:divBdr>
      <w:divsChild>
        <w:div w:id="935988401">
          <w:marLeft w:val="0"/>
          <w:marRight w:val="0"/>
          <w:marTop w:val="547"/>
          <w:marBottom w:val="0"/>
          <w:divBdr>
            <w:top w:val="none" w:sz="0" w:space="0" w:color="auto"/>
            <w:left w:val="none" w:sz="0" w:space="0" w:color="auto"/>
            <w:bottom w:val="none" w:sz="0" w:space="0" w:color="auto"/>
            <w:right w:val="none" w:sz="0" w:space="0" w:color="auto"/>
          </w:divBdr>
        </w:div>
        <w:div w:id="811365166">
          <w:marLeft w:val="0"/>
          <w:marRight w:val="0"/>
          <w:marTop w:val="0"/>
          <w:marBottom w:val="0"/>
          <w:divBdr>
            <w:top w:val="none" w:sz="0" w:space="0" w:color="auto"/>
            <w:left w:val="none" w:sz="0" w:space="0" w:color="auto"/>
            <w:bottom w:val="none" w:sz="0" w:space="0" w:color="auto"/>
            <w:right w:val="none" w:sz="0" w:space="0" w:color="auto"/>
          </w:divBdr>
          <w:divsChild>
            <w:div w:id="1430809795">
              <w:marLeft w:val="0"/>
              <w:marRight w:val="0"/>
              <w:marTop w:val="0"/>
              <w:marBottom w:val="0"/>
              <w:divBdr>
                <w:top w:val="none" w:sz="0" w:space="0" w:color="auto"/>
                <w:left w:val="none" w:sz="0" w:space="0" w:color="auto"/>
                <w:bottom w:val="none" w:sz="0" w:space="0" w:color="auto"/>
                <w:right w:val="none" w:sz="0" w:space="0" w:color="auto"/>
              </w:divBdr>
              <w:divsChild>
                <w:div w:id="1917665597">
                  <w:marLeft w:val="0"/>
                  <w:marRight w:val="0"/>
                  <w:marTop w:val="0"/>
                  <w:marBottom w:val="0"/>
                  <w:divBdr>
                    <w:top w:val="none" w:sz="0" w:space="0" w:color="auto"/>
                    <w:left w:val="none" w:sz="0" w:space="0" w:color="auto"/>
                    <w:bottom w:val="none" w:sz="0" w:space="0" w:color="auto"/>
                    <w:right w:val="none" w:sz="0" w:space="0" w:color="auto"/>
                  </w:divBdr>
                </w:div>
              </w:divsChild>
            </w:div>
            <w:div w:id="1489593000">
              <w:marLeft w:val="0"/>
              <w:marRight w:val="0"/>
              <w:marTop w:val="0"/>
              <w:marBottom w:val="0"/>
              <w:divBdr>
                <w:top w:val="none" w:sz="0" w:space="0" w:color="auto"/>
                <w:left w:val="none" w:sz="0" w:space="0" w:color="auto"/>
                <w:bottom w:val="none" w:sz="0" w:space="0" w:color="auto"/>
                <w:right w:val="none" w:sz="0" w:space="0" w:color="auto"/>
              </w:divBdr>
              <w:divsChild>
                <w:div w:id="294875036">
                  <w:marLeft w:val="0"/>
                  <w:marRight w:val="0"/>
                  <w:marTop w:val="0"/>
                  <w:marBottom w:val="0"/>
                  <w:divBdr>
                    <w:top w:val="none" w:sz="0" w:space="0" w:color="auto"/>
                    <w:left w:val="none" w:sz="0" w:space="0" w:color="auto"/>
                    <w:bottom w:val="none" w:sz="0" w:space="0" w:color="auto"/>
                    <w:right w:val="none" w:sz="0" w:space="0" w:color="auto"/>
                  </w:divBdr>
                </w:div>
              </w:divsChild>
            </w:div>
            <w:div w:id="1142892861">
              <w:marLeft w:val="0"/>
              <w:marRight w:val="0"/>
              <w:marTop w:val="0"/>
              <w:marBottom w:val="0"/>
              <w:divBdr>
                <w:top w:val="none" w:sz="0" w:space="0" w:color="auto"/>
                <w:left w:val="none" w:sz="0" w:space="0" w:color="auto"/>
                <w:bottom w:val="none" w:sz="0" w:space="0" w:color="auto"/>
                <w:right w:val="none" w:sz="0" w:space="0" w:color="auto"/>
              </w:divBdr>
              <w:divsChild>
                <w:div w:id="1895576945">
                  <w:marLeft w:val="0"/>
                  <w:marRight w:val="0"/>
                  <w:marTop w:val="0"/>
                  <w:marBottom w:val="0"/>
                  <w:divBdr>
                    <w:top w:val="none" w:sz="0" w:space="0" w:color="auto"/>
                    <w:left w:val="none" w:sz="0" w:space="0" w:color="auto"/>
                    <w:bottom w:val="none" w:sz="0" w:space="0" w:color="auto"/>
                    <w:right w:val="none" w:sz="0" w:space="0" w:color="auto"/>
                  </w:divBdr>
                </w:div>
              </w:divsChild>
            </w:div>
            <w:div w:id="1059667564">
              <w:marLeft w:val="0"/>
              <w:marRight w:val="0"/>
              <w:marTop w:val="0"/>
              <w:marBottom w:val="0"/>
              <w:divBdr>
                <w:top w:val="none" w:sz="0" w:space="0" w:color="auto"/>
                <w:left w:val="none" w:sz="0" w:space="0" w:color="auto"/>
                <w:bottom w:val="none" w:sz="0" w:space="0" w:color="auto"/>
                <w:right w:val="none" w:sz="0" w:space="0" w:color="auto"/>
              </w:divBdr>
              <w:divsChild>
                <w:div w:id="501579590">
                  <w:marLeft w:val="0"/>
                  <w:marRight w:val="0"/>
                  <w:marTop w:val="0"/>
                  <w:marBottom w:val="0"/>
                  <w:divBdr>
                    <w:top w:val="none" w:sz="0" w:space="0" w:color="auto"/>
                    <w:left w:val="none" w:sz="0" w:space="0" w:color="auto"/>
                    <w:bottom w:val="none" w:sz="0" w:space="0" w:color="auto"/>
                    <w:right w:val="none" w:sz="0" w:space="0" w:color="auto"/>
                  </w:divBdr>
                </w:div>
              </w:divsChild>
            </w:div>
            <w:div w:id="1888420035">
              <w:marLeft w:val="0"/>
              <w:marRight w:val="0"/>
              <w:marTop w:val="0"/>
              <w:marBottom w:val="0"/>
              <w:divBdr>
                <w:top w:val="none" w:sz="0" w:space="0" w:color="auto"/>
                <w:left w:val="none" w:sz="0" w:space="0" w:color="auto"/>
                <w:bottom w:val="none" w:sz="0" w:space="0" w:color="auto"/>
                <w:right w:val="none" w:sz="0" w:space="0" w:color="auto"/>
              </w:divBdr>
              <w:divsChild>
                <w:div w:id="1500996588">
                  <w:marLeft w:val="0"/>
                  <w:marRight w:val="0"/>
                  <w:marTop w:val="0"/>
                  <w:marBottom w:val="0"/>
                  <w:divBdr>
                    <w:top w:val="none" w:sz="0" w:space="0" w:color="auto"/>
                    <w:left w:val="none" w:sz="0" w:space="0" w:color="auto"/>
                    <w:bottom w:val="none" w:sz="0" w:space="0" w:color="auto"/>
                    <w:right w:val="none" w:sz="0" w:space="0" w:color="auto"/>
                  </w:divBdr>
                </w:div>
              </w:divsChild>
            </w:div>
            <w:div w:id="71661341">
              <w:marLeft w:val="0"/>
              <w:marRight w:val="0"/>
              <w:marTop w:val="0"/>
              <w:marBottom w:val="0"/>
              <w:divBdr>
                <w:top w:val="none" w:sz="0" w:space="0" w:color="auto"/>
                <w:left w:val="none" w:sz="0" w:space="0" w:color="auto"/>
                <w:bottom w:val="none" w:sz="0" w:space="0" w:color="auto"/>
                <w:right w:val="none" w:sz="0" w:space="0" w:color="auto"/>
              </w:divBdr>
              <w:divsChild>
                <w:div w:id="932595033">
                  <w:marLeft w:val="0"/>
                  <w:marRight w:val="0"/>
                  <w:marTop w:val="0"/>
                  <w:marBottom w:val="0"/>
                  <w:divBdr>
                    <w:top w:val="none" w:sz="0" w:space="0" w:color="auto"/>
                    <w:left w:val="none" w:sz="0" w:space="0" w:color="auto"/>
                    <w:bottom w:val="none" w:sz="0" w:space="0" w:color="auto"/>
                    <w:right w:val="none" w:sz="0" w:space="0" w:color="auto"/>
                  </w:divBdr>
                </w:div>
              </w:divsChild>
            </w:div>
            <w:div w:id="630676268">
              <w:marLeft w:val="0"/>
              <w:marRight w:val="0"/>
              <w:marTop w:val="0"/>
              <w:marBottom w:val="0"/>
              <w:divBdr>
                <w:top w:val="none" w:sz="0" w:space="0" w:color="auto"/>
                <w:left w:val="none" w:sz="0" w:space="0" w:color="auto"/>
                <w:bottom w:val="none" w:sz="0" w:space="0" w:color="auto"/>
                <w:right w:val="none" w:sz="0" w:space="0" w:color="auto"/>
              </w:divBdr>
              <w:divsChild>
                <w:div w:id="8249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8403">
          <w:marLeft w:val="0"/>
          <w:marRight w:val="0"/>
          <w:marTop w:val="0"/>
          <w:marBottom w:val="600"/>
          <w:divBdr>
            <w:top w:val="none" w:sz="0" w:space="0" w:color="auto"/>
            <w:left w:val="none" w:sz="0" w:space="0" w:color="auto"/>
            <w:bottom w:val="none" w:sz="0" w:space="0" w:color="auto"/>
            <w:right w:val="none" w:sz="0" w:space="0" w:color="auto"/>
          </w:divBdr>
        </w:div>
      </w:divsChild>
    </w:div>
    <w:div w:id="1033119105">
      <w:marLeft w:val="0"/>
      <w:marRight w:val="0"/>
      <w:marTop w:val="0"/>
      <w:marBottom w:val="0"/>
      <w:divBdr>
        <w:top w:val="none" w:sz="0" w:space="0" w:color="auto"/>
        <w:left w:val="none" w:sz="0" w:space="0" w:color="auto"/>
        <w:bottom w:val="none" w:sz="0" w:space="0" w:color="auto"/>
        <w:right w:val="none" w:sz="0" w:space="0" w:color="auto"/>
      </w:divBdr>
      <w:divsChild>
        <w:div w:id="1050033936">
          <w:marLeft w:val="0"/>
          <w:marRight w:val="0"/>
          <w:marTop w:val="547"/>
          <w:marBottom w:val="0"/>
          <w:divBdr>
            <w:top w:val="none" w:sz="0" w:space="0" w:color="auto"/>
            <w:left w:val="none" w:sz="0" w:space="0" w:color="auto"/>
            <w:bottom w:val="none" w:sz="0" w:space="0" w:color="auto"/>
            <w:right w:val="none" w:sz="0" w:space="0" w:color="auto"/>
          </w:divBdr>
        </w:div>
        <w:div w:id="516772441">
          <w:marLeft w:val="0"/>
          <w:marRight w:val="0"/>
          <w:marTop w:val="0"/>
          <w:marBottom w:val="0"/>
          <w:divBdr>
            <w:top w:val="none" w:sz="0" w:space="0" w:color="auto"/>
            <w:left w:val="none" w:sz="0" w:space="0" w:color="auto"/>
            <w:bottom w:val="none" w:sz="0" w:space="0" w:color="auto"/>
            <w:right w:val="none" w:sz="0" w:space="0" w:color="auto"/>
          </w:divBdr>
          <w:divsChild>
            <w:div w:id="1285043606">
              <w:marLeft w:val="0"/>
              <w:marRight w:val="0"/>
              <w:marTop w:val="0"/>
              <w:marBottom w:val="0"/>
              <w:divBdr>
                <w:top w:val="none" w:sz="0" w:space="0" w:color="auto"/>
                <w:left w:val="none" w:sz="0" w:space="0" w:color="auto"/>
                <w:bottom w:val="none" w:sz="0" w:space="0" w:color="auto"/>
                <w:right w:val="none" w:sz="0" w:space="0" w:color="auto"/>
              </w:divBdr>
              <w:divsChild>
                <w:div w:id="1771004667">
                  <w:marLeft w:val="0"/>
                  <w:marRight w:val="0"/>
                  <w:marTop w:val="0"/>
                  <w:marBottom w:val="0"/>
                  <w:divBdr>
                    <w:top w:val="none" w:sz="0" w:space="0" w:color="auto"/>
                    <w:left w:val="none" w:sz="0" w:space="0" w:color="auto"/>
                    <w:bottom w:val="none" w:sz="0" w:space="0" w:color="auto"/>
                    <w:right w:val="none" w:sz="0" w:space="0" w:color="auto"/>
                  </w:divBdr>
                </w:div>
              </w:divsChild>
            </w:div>
            <w:div w:id="614947046">
              <w:marLeft w:val="0"/>
              <w:marRight w:val="0"/>
              <w:marTop w:val="0"/>
              <w:marBottom w:val="0"/>
              <w:divBdr>
                <w:top w:val="none" w:sz="0" w:space="0" w:color="auto"/>
                <w:left w:val="none" w:sz="0" w:space="0" w:color="auto"/>
                <w:bottom w:val="none" w:sz="0" w:space="0" w:color="auto"/>
                <w:right w:val="none" w:sz="0" w:space="0" w:color="auto"/>
              </w:divBdr>
              <w:divsChild>
                <w:div w:id="1668362144">
                  <w:marLeft w:val="0"/>
                  <w:marRight w:val="0"/>
                  <w:marTop w:val="0"/>
                  <w:marBottom w:val="0"/>
                  <w:divBdr>
                    <w:top w:val="none" w:sz="0" w:space="0" w:color="auto"/>
                    <w:left w:val="none" w:sz="0" w:space="0" w:color="auto"/>
                    <w:bottom w:val="none" w:sz="0" w:space="0" w:color="auto"/>
                    <w:right w:val="none" w:sz="0" w:space="0" w:color="auto"/>
                  </w:divBdr>
                </w:div>
              </w:divsChild>
            </w:div>
            <w:div w:id="428162220">
              <w:marLeft w:val="0"/>
              <w:marRight w:val="0"/>
              <w:marTop w:val="0"/>
              <w:marBottom w:val="0"/>
              <w:divBdr>
                <w:top w:val="none" w:sz="0" w:space="0" w:color="auto"/>
                <w:left w:val="none" w:sz="0" w:space="0" w:color="auto"/>
                <w:bottom w:val="none" w:sz="0" w:space="0" w:color="auto"/>
                <w:right w:val="none" w:sz="0" w:space="0" w:color="auto"/>
              </w:divBdr>
              <w:divsChild>
                <w:div w:id="340663629">
                  <w:marLeft w:val="0"/>
                  <w:marRight w:val="0"/>
                  <w:marTop w:val="0"/>
                  <w:marBottom w:val="0"/>
                  <w:divBdr>
                    <w:top w:val="none" w:sz="0" w:space="0" w:color="auto"/>
                    <w:left w:val="none" w:sz="0" w:space="0" w:color="auto"/>
                    <w:bottom w:val="none" w:sz="0" w:space="0" w:color="auto"/>
                    <w:right w:val="none" w:sz="0" w:space="0" w:color="auto"/>
                  </w:divBdr>
                </w:div>
              </w:divsChild>
            </w:div>
            <w:div w:id="1110585359">
              <w:marLeft w:val="0"/>
              <w:marRight w:val="0"/>
              <w:marTop w:val="0"/>
              <w:marBottom w:val="0"/>
              <w:divBdr>
                <w:top w:val="none" w:sz="0" w:space="0" w:color="auto"/>
                <w:left w:val="none" w:sz="0" w:space="0" w:color="auto"/>
                <w:bottom w:val="none" w:sz="0" w:space="0" w:color="auto"/>
                <w:right w:val="none" w:sz="0" w:space="0" w:color="auto"/>
              </w:divBdr>
              <w:divsChild>
                <w:div w:id="682779943">
                  <w:marLeft w:val="0"/>
                  <w:marRight w:val="0"/>
                  <w:marTop w:val="0"/>
                  <w:marBottom w:val="0"/>
                  <w:divBdr>
                    <w:top w:val="none" w:sz="0" w:space="0" w:color="auto"/>
                    <w:left w:val="none" w:sz="0" w:space="0" w:color="auto"/>
                    <w:bottom w:val="none" w:sz="0" w:space="0" w:color="auto"/>
                    <w:right w:val="none" w:sz="0" w:space="0" w:color="auto"/>
                  </w:divBdr>
                </w:div>
              </w:divsChild>
            </w:div>
            <w:div w:id="215972402">
              <w:marLeft w:val="0"/>
              <w:marRight w:val="0"/>
              <w:marTop w:val="0"/>
              <w:marBottom w:val="0"/>
              <w:divBdr>
                <w:top w:val="none" w:sz="0" w:space="0" w:color="auto"/>
                <w:left w:val="none" w:sz="0" w:space="0" w:color="auto"/>
                <w:bottom w:val="none" w:sz="0" w:space="0" w:color="auto"/>
                <w:right w:val="none" w:sz="0" w:space="0" w:color="auto"/>
              </w:divBdr>
              <w:divsChild>
                <w:div w:id="865102819">
                  <w:marLeft w:val="0"/>
                  <w:marRight w:val="0"/>
                  <w:marTop w:val="0"/>
                  <w:marBottom w:val="0"/>
                  <w:divBdr>
                    <w:top w:val="none" w:sz="0" w:space="0" w:color="auto"/>
                    <w:left w:val="none" w:sz="0" w:space="0" w:color="auto"/>
                    <w:bottom w:val="none" w:sz="0" w:space="0" w:color="auto"/>
                    <w:right w:val="none" w:sz="0" w:space="0" w:color="auto"/>
                  </w:divBdr>
                </w:div>
              </w:divsChild>
            </w:div>
            <w:div w:id="2144154999">
              <w:marLeft w:val="0"/>
              <w:marRight w:val="0"/>
              <w:marTop w:val="0"/>
              <w:marBottom w:val="0"/>
              <w:divBdr>
                <w:top w:val="none" w:sz="0" w:space="0" w:color="auto"/>
                <w:left w:val="none" w:sz="0" w:space="0" w:color="auto"/>
                <w:bottom w:val="none" w:sz="0" w:space="0" w:color="auto"/>
                <w:right w:val="none" w:sz="0" w:space="0" w:color="auto"/>
              </w:divBdr>
              <w:divsChild>
                <w:div w:id="2036348692">
                  <w:marLeft w:val="0"/>
                  <w:marRight w:val="0"/>
                  <w:marTop w:val="0"/>
                  <w:marBottom w:val="0"/>
                  <w:divBdr>
                    <w:top w:val="none" w:sz="0" w:space="0" w:color="auto"/>
                    <w:left w:val="none" w:sz="0" w:space="0" w:color="auto"/>
                    <w:bottom w:val="none" w:sz="0" w:space="0" w:color="auto"/>
                    <w:right w:val="none" w:sz="0" w:space="0" w:color="auto"/>
                  </w:divBdr>
                </w:div>
              </w:divsChild>
            </w:div>
            <w:div w:id="1239557008">
              <w:marLeft w:val="0"/>
              <w:marRight w:val="0"/>
              <w:marTop w:val="0"/>
              <w:marBottom w:val="0"/>
              <w:divBdr>
                <w:top w:val="none" w:sz="0" w:space="0" w:color="auto"/>
                <w:left w:val="none" w:sz="0" w:space="0" w:color="auto"/>
                <w:bottom w:val="none" w:sz="0" w:space="0" w:color="auto"/>
                <w:right w:val="none" w:sz="0" w:space="0" w:color="auto"/>
              </w:divBdr>
              <w:divsChild>
                <w:div w:id="545725847">
                  <w:marLeft w:val="0"/>
                  <w:marRight w:val="0"/>
                  <w:marTop w:val="0"/>
                  <w:marBottom w:val="0"/>
                  <w:divBdr>
                    <w:top w:val="none" w:sz="0" w:space="0" w:color="auto"/>
                    <w:left w:val="none" w:sz="0" w:space="0" w:color="auto"/>
                    <w:bottom w:val="none" w:sz="0" w:space="0" w:color="auto"/>
                    <w:right w:val="none" w:sz="0" w:space="0" w:color="auto"/>
                  </w:divBdr>
                </w:div>
              </w:divsChild>
            </w:div>
            <w:div w:id="777025447">
              <w:marLeft w:val="0"/>
              <w:marRight w:val="0"/>
              <w:marTop w:val="0"/>
              <w:marBottom w:val="0"/>
              <w:divBdr>
                <w:top w:val="none" w:sz="0" w:space="0" w:color="auto"/>
                <w:left w:val="none" w:sz="0" w:space="0" w:color="auto"/>
                <w:bottom w:val="none" w:sz="0" w:space="0" w:color="auto"/>
                <w:right w:val="none" w:sz="0" w:space="0" w:color="auto"/>
              </w:divBdr>
              <w:divsChild>
                <w:div w:id="1885749590">
                  <w:marLeft w:val="0"/>
                  <w:marRight w:val="0"/>
                  <w:marTop w:val="0"/>
                  <w:marBottom w:val="0"/>
                  <w:divBdr>
                    <w:top w:val="none" w:sz="0" w:space="0" w:color="auto"/>
                    <w:left w:val="none" w:sz="0" w:space="0" w:color="auto"/>
                    <w:bottom w:val="none" w:sz="0" w:space="0" w:color="auto"/>
                    <w:right w:val="none" w:sz="0" w:space="0" w:color="auto"/>
                  </w:divBdr>
                </w:div>
              </w:divsChild>
            </w:div>
            <w:div w:id="55445917">
              <w:marLeft w:val="0"/>
              <w:marRight w:val="0"/>
              <w:marTop w:val="0"/>
              <w:marBottom w:val="0"/>
              <w:divBdr>
                <w:top w:val="none" w:sz="0" w:space="0" w:color="auto"/>
                <w:left w:val="none" w:sz="0" w:space="0" w:color="auto"/>
                <w:bottom w:val="none" w:sz="0" w:space="0" w:color="auto"/>
                <w:right w:val="none" w:sz="0" w:space="0" w:color="auto"/>
              </w:divBdr>
              <w:divsChild>
                <w:div w:id="1795437698">
                  <w:marLeft w:val="0"/>
                  <w:marRight w:val="0"/>
                  <w:marTop w:val="0"/>
                  <w:marBottom w:val="0"/>
                  <w:divBdr>
                    <w:top w:val="none" w:sz="0" w:space="0" w:color="auto"/>
                    <w:left w:val="none" w:sz="0" w:space="0" w:color="auto"/>
                    <w:bottom w:val="none" w:sz="0" w:space="0" w:color="auto"/>
                    <w:right w:val="none" w:sz="0" w:space="0" w:color="auto"/>
                  </w:divBdr>
                </w:div>
              </w:divsChild>
            </w:div>
            <w:div w:id="2116439216">
              <w:marLeft w:val="0"/>
              <w:marRight w:val="0"/>
              <w:marTop w:val="0"/>
              <w:marBottom w:val="0"/>
              <w:divBdr>
                <w:top w:val="none" w:sz="0" w:space="0" w:color="auto"/>
                <w:left w:val="none" w:sz="0" w:space="0" w:color="auto"/>
                <w:bottom w:val="none" w:sz="0" w:space="0" w:color="auto"/>
                <w:right w:val="none" w:sz="0" w:space="0" w:color="auto"/>
              </w:divBdr>
              <w:divsChild>
                <w:div w:id="1293710514">
                  <w:marLeft w:val="0"/>
                  <w:marRight w:val="0"/>
                  <w:marTop w:val="0"/>
                  <w:marBottom w:val="0"/>
                  <w:divBdr>
                    <w:top w:val="none" w:sz="0" w:space="0" w:color="auto"/>
                    <w:left w:val="none" w:sz="0" w:space="0" w:color="auto"/>
                    <w:bottom w:val="none" w:sz="0" w:space="0" w:color="auto"/>
                    <w:right w:val="none" w:sz="0" w:space="0" w:color="auto"/>
                  </w:divBdr>
                </w:div>
              </w:divsChild>
            </w:div>
            <w:div w:id="1559510984">
              <w:marLeft w:val="0"/>
              <w:marRight w:val="0"/>
              <w:marTop w:val="0"/>
              <w:marBottom w:val="0"/>
              <w:divBdr>
                <w:top w:val="none" w:sz="0" w:space="0" w:color="auto"/>
                <w:left w:val="none" w:sz="0" w:space="0" w:color="auto"/>
                <w:bottom w:val="none" w:sz="0" w:space="0" w:color="auto"/>
                <w:right w:val="none" w:sz="0" w:space="0" w:color="auto"/>
              </w:divBdr>
              <w:divsChild>
                <w:div w:id="652105092">
                  <w:marLeft w:val="0"/>
                  <w:marRight w:val="0"/>
                  <w:marTop w:val="0"/>
                  <w:marBottom w:val="0"/>
                  <w:divBdr>
                    <w:top w:val="none" w:sz="0" w:space="0" w:color="auto"/>
                    <w:left w:val="none" w:sz="0" w:space="0" w:color="auto"/>
                    <w:bottom w:val="none" w:sz="0" w:space="0" w:color="auto"/>
                    <w:right w:val="none" w:sz="0" w:space="0" w:color="auto"/>
                  </w:divBdr>
                </w:div>
              </w:divsChild>
            </w:div>
            <w:div w:id="203257597">
              <w:marLeft w:val="0"/>
              <w:marRight w:val="0"/>
              <w:marTop w:val="0"/>
              <w:marBottom w:val="0"/>
              <w:divBdr>
                <w:top w:val="none" w:sz="0" w:space="0" w:color="auto"/>
                <w:left w:val="none" w:sz="0" w:space="0" w:color="auto"/>
                <w:bottom w:val="none" w:sz="0" w:space="0" w:color="auto"/>
                <w:right w:val="none" w:sz="0" w:space="0" w:color="auto"/>
              </w:divBdr>
              <w:divsChild>
                <w:div w:id="1751543529">
                  <w:marLeft w:val="0"/>
                  <w:marRight w:val="0"/>
                  <w:marTop w:val="0"/>
                  <w:marBottom w:val="0"/>
                  <w:divBdr>
                    <w:top w:val="none" w:sz="0" w:space="0" w:color="auto"/>
                    <w:left w:val="none" w:sz="0" w:space="0" w:color="auto"/>
                    <w:bottom w:val="none" w:sz="0" w:space="0" w:color="auto"/>
                    <w:right w:val="none" w:sz="0" w:space="0" w:color="auto"/>
                  </w:divBdr>
                </w:div>
              </w:divsChild>
            </w:div>
            <w:div w:id="982201186">
              <w:marLeft w:val="0"/>
              <w:marRight w:val="0"/>
              <w:marTop w:val="0"/>
              <w:marBottom w:val="0"/>
              <w:divBdr>
                <w:top w:val="none" w:sz="0" w:space="0" w:color="auto"/>
                <w:left w:val="none" w:sz="0" w:space="0" w:color="auto"/>
                <w:bottom w:val="none" w:sz="0" w:space="0" w:color="auto"/>
                <w:right w:val="none" w:sz="0" w:space="0" w:color="auto"/>
              </w:divBdr>
              <w:divsChild>
                <w:div w:id="2131321718">
                  <w:marLeft w:val="0"/>
                  <w:marRight w:val="0"/>
                  <w:marTop w:val="0"/>
                  <w:marBottom w:val="0"/>
                  <w:divBdr>
                    <w:top w:val="none" w:sz="0" w:space="0" w:color="auto"/>
                    <w:left w:val="none" w:sz="0" w:space="0" w:color="auto"/>
                    <w:bottom w:val="none" w:sz="0" w:space="0" w:color="auto"/>
                    <w:right w:val="none" w:sz="0" w:space="0" w:color="auto"/>
                  </w:divBdr>
                </w:div>
              </w:divsChild>
            </w:div>
            <w:div w:id="421343493">
              <w:marLeft w:val="0"/>
              <w:marRight w:val="0"/>
              <w:marTop w:val="0"/>
              <w:marBottom w:val="0"/>
              <w:divBdr>
                <w:top w:val="none" w:sz="0" w:space="0" w:color="auto"/>
                <w:left w:val="none" w:sz="0" w:space="0" w:color="auto"/>
                <w:bottom w:val="none" w:sz="0" w:space="0" w:color="auto"/>
                <w:right w:val="none" w:sz="0" w:space="0" w:color="auto"/>
              </w:divBdr>
              <w:divsChild>
                <w:div w:id="1089346302">
                  <w:marLeft w:val="0"/>
                  <w:marRight w:val="0"/>
                  <w:marTop w:val="0"/>
                  <w:marBottom w:val="0"/>
                  <w:divBdr>
                    <w:top w:val="none" w:sz="0" w:space="0" w:color="auto"/>
                    <w:left w:val="none" w:sz="0" w:space="0" w:color="auto"/>
                    <w:bottom w:val="none" w:sz="0" w:space="0" w:color="auto"/>
                    <w:right w:val="none" w:sz="0" w:space="0" w:color="auto"/>
                  </w:divBdr>
                </w:div>
              </w:divsChild>
            </w:div>
            <w:div w:id="1597593771">
              <w:marLeft w:val="0"/>
              <w:marRight w:val="0"/>
              <w:marTop w:val="0"/>
              <w:marBottom w:val="0"/>
              <w:divBdr>
                <w:top w:val="none" w:sz="0" w:space="0" w:color="auto"/>
                <w:left w:val="none" w:sz="0" w:space="0" w:color="auto"/>
                <w:bottom w:val="none" w:sz="0" w:space="0" w:color="auto"/>
                <w:right w:val="none" w:sz="0" w:space="0" w:color="auto"/>
              </w:divBdr>
              <w:divsChild>
                <w:div w:id="373893936">
                  <w:marLeft w:val="0"/>
                  <w:marRight w:val="0"/>
                  <w:marTop w:val="0"/>
                  <w:marBottom w:val="0"/>
                  <w:divBdr>
                    <w:top w:val="none" w:sz="0" w:space="0" w:color="auto"/>
                    <w:left w:val="none" w:sz="0" w:space="0" w:color="auto"/>
                    <w:bottom w:val="none" w:sz="0" w:space="0" w:color="auto"/>
                    <w:right w:val="none" w:sz="0" w:space="0" w:color="auto"/>
                  </w:divBdr>
                </w:div>
              </w:divsChild>
            </w:div>
            <w:div w:id="945111833">
              <w:marLeft w:val="0"/>
              <w:marRight w:val="0"/>
              <w:marTop w:val="0"/>
              <w:marBottom w:val="0"/>
              <w:divBdr>
                <w:top w:val="none" w:sz="0" w:space="0" w:color="auto"/>
                <w:left w:val="none" w:sz="0" w:space="0" w:color="auto"/>
                <w:bottom w:val="none" w:sz="0" w:space="0" w:color="auto"/>
                <w:right w:val="none" w:sz="0" w:space="0" w:color="auto"/>
              </w:divBdr>
              <w:divsChild>
                <w:div w:id="670372243">
                  <w:marLeft w:val="0"/>
                  <w:marRight w:val="0"/>
                  <w:marTop w:val="0"/>
                  <w:marBottom w:val="0"/>
                  <w:divBdr>
                    <w:top w:val="none" w:sz="0" w:space="0" w:color="auto"/>
                    <w:left w:val="none" w:sz="0" w:space="0" w:color="auto"/>
                    <w:bottom w:val="none" w:sz="0" w:space="0" w:color="auto"/>
                    <w:right w:val="none" w:sz="0" w:space="0" w:color="auto"/>
                  </w:divBdr>
                </w:div>
              </w:divsChild>
            </w:div>
            <w:div w:id="1137796503">
              <w:marLeft w:val="0"/>
              <w:marRight w:val="0"/>
              <w:marTop w:val="0"/>
              <w:marBottom w:val="0"/>
              <w:divBdr>
                <w:top w:val="none" w:sz="0" w:space="0" w:color="auto"/>
                <w:left w:val="none" w:sz="0" w:space="0" w:color="auto"/>
                <w:bottom w:val="none" w:sz="0" w:space="0" w:color="auto"/>
                <w:right w:val="none" w:sz="0" w:space="0" w:color="auto"/>
              </w:divBdr>
              <w:divsChild>
                <w:div w:id="851148307">
                  <w:marLeft w:val="0"/>
                  <w:marRight w:val="0"/>
                  <w:marTop w:val="0"/>
                  <w:marBottom w:val="0"/>
                  <w:divBdr>
                    <w:top w:val="none" w:sz="0" w:space="0" w:color="auto"/>
                    <w:left w:val="none" w:sz="0" w:space="0" w:color="auto"/>
                    <w:bottom w:val="none" w:sz="0" w:space="0" w:color="auto"/>
                    <w:right w:val="none" w:sz="0" w:space="0" w:color="auto"/>
                  </w:divBdr>
                </w:div>
              </w:divsChild>
            </w:div>
            <w:div w:id="2043242992">
              <w:marLeft w:val="0"/>
              <w:marRight w:val="0"/>
              <w:marTop w:val="0"/>
              <w:marBottom w:val="0"/>
              <w:divBdr>
                <w:top w:val="none" w:sz="0" w:space="0" w:color="auto"/>
                <w:left w:val="none" w:sz="0" w:space="0" w:color="auto"/>
                <w:bottom w:val="none" w:sz="0" w:space="0" w:color="auto"/>
                <w:right w:val="none" w:sz="0" w:space="0" w:color="auto"/>
              </w:divBdr>
              <w:divsChild>
                <w:div w:id="58023272">
                  <w:marLeft w:val="0"/>
                  <w:marRight w:val="0"/>
                  <w:marTop w:val="0"/>
                  <w:marBottom w:val="0"/>
                  <w:divBdr>
                    <w:top w:val="none" w:sz="0" w:space="0" w:color="auto"/>
                    <w:left w:val="none" w:sz="0" w:space="0" w:color="auto"/>
                    <w:bottom w:val="none" w:sz="0" w:space="0" w:color="auto"/>
                    <w:right w:val="none" w:sz="0" w:space="0" w:color="auto"/>
                  </w:divBdr>
                </w:div>
              </w:divsChild>
            </w:div>
            <w:div w:id="1546676764">
              <w:marLeft w:val="0"/>
              <w:marRight w:val="0"/>
              <w:marTop w:val="0"/>
              <w:marBottom w:val="0"/>
              <w:divBdr>
                <w:top w:val="none" w:sz="0" w:space="0" w:color="auto"/>
                <w:left w:val="none" w:sz="0" w:space="0" w:color="auto"/>
                <w:bottom w:val="none" w:sz="0" w:space="0" w:color="auto"/>
                <w:right w:val="none" w:sz="0" w:space="0" w:color="auto"/>
              </w:divBdr>
              <w:divsChild>
                <w:div w:id="1281493415">
                  <w:marLeft w:val="0"/>
                  <w:marRight w:val="0"/>
                  <w:marTop w:val="0"/>
                  <w:marBottom w:val="0"/>
                  <w:divBdr>
                    <w:top w:val="none" w:sz="0" w:space="0" w:color="auto"/>
                    <w:left w:val="none" w:sz="0" w:space="0" w:color="auto"/>
                    <w:bottom w:val="none" w:sz="0" w:space="0" w:color="auto"/>
                    <w:right w:val="none" w:sz="0" w:space="0" w:color="auto"/>
                  </w:divBdr>
                </w:div>
              </w:divsChild>
            </w:div>
            <w:div w:id="101535811">
              <w:marLeft w:val="0"/>
              <w:marRight w:val="0"/>
              <w:marTop w:val="0"/>
              <w:marBottom w:val="0"/>
              <w:divBdr>
                <w:top w:val="none" w:sz="0" w:space="0" w:color="auto"/>
                <w:left w:val="none" w:sz="0" w:space="0" w:color="auto"/>
                <w:bottom w:val="none" w:sz="0" w:space="0" w:color="auto"/>
                <w:right w:val="none" w:sz="0" w:space="0" w:color="auto"/>
              </w:divBdr>
              <w:divsChild>
                <w:div w:id="1273591620">
                  <w:marLeft w:val="0"/>
                  <w:marRight w:val="0"/>
                  <w:marTop w:val="0"/>
                  <w:marBottom w:val="0"/>
                  <w:divBdr>
                    <w:top w:val="none" w:sz="0" w:space="0" w:color="auto"/>
                    <w:left w:val="none" w:sz="0" w:space="0" w:color="auto"/>
                    <w:bottom w:val="none" w:sz="0" w:space="0" w:color="auto"/>
                    <w:right w:val="none" w:sz="0" w:space="0" w:color="auto"/>
                  </w:divBdr>
                </w:div>
              </w:divsChild>
            </w:div>
            <w:div w:id="1593704920">
              <w:marLeft w:val="0"/>
              <w:marRight w:val="0"/>
              <w:marTop w:val="0"/>
              <w:marBottom w:val="0"/>
              <w:divBdr>
                <w:top w:val="none" w:sz="0" w:space="0" w:color="auto"/>
                <w:left w:val="none" w:sz="0" w:space="0" w:color="auto"/>
                <w:bottom w:val="none" w:sz="0" w:space="0" w:color="auto"/>
                <w:right w:val="none" w:sz="0" w:space="0" w:color="auto"/>
              </w:divBdr>
              <w:divsChild>
                <w:div w:id="973291313">
                  <w:marLeft w:val="0"/>
                  <w:marRight w:val="0"/>
                  <w:marTop w:val="0"/>
                  <w:marBottom w:val="0"/>
                  <w:divBdr>
                    <w:top w:val="none" w:sz="0" w:space="0" w:color="auto"/>
                    <w:left w:val="none" w:sz="0" w:space="0" w:color="auto"/>
                    <w:bottom w:val="none" w:sz="0" w:space="0" w:color="auto"/>
                    <w:right w:val="none" w:sz="0" w:space="0" w:color="auto"/>
                  </w:divBdr>
                </w:div>
              </w:divsChild>
            </w:div>
            <w:div w:id="875309073">
              <w:marLeft w:val="0"/>
              <w:marRight w:val="0"/>
              <w:marTop w:val="0"/>
              <w:marBottom w:val="0"/>
              <w:divBdr>
                <w:top w:val="none" w:sz="0" w:space="0" w:color="auto"/>
                <w:left w:val="none" w:sz="0" w:space="0" w:color="auto"/>
                <w:bottom w:val="none" w:sz="0" w:space="0" w:color="auto"/>
                <w:right w:val="none" w:sz="0" w:space="0" w:color="auto"/>
              </w:divBdr>
              <w:divsChild>
                <w:div w:id="953367634">
                  <w:marLeft w:val="0"/>
                  <w:marRight w:val="0"/>
                  <w:marTop w:val="0"/>
                  <w:marBottom w:val="0"/>
                  <w:divBdr>
                    <w:top w:val="none" w:sz="0" w:space="0" w:color="auto"/>
                    <w:left w:val="none" w:sz="0" w:space="0" w:color="auto"/>
                    <w:bottom w:val="none" w:sz="0" w:space="0" w:color="auto"/>
                    <w:right w:val="none" w:sz="0" w:space="0" w:color="auto"/>
                  </w:divBdr>
                </w:div>
              </w:divsChild>
            </w:div>
            <w:div w:id="285819467">
              <w:marLeft w:val="0"/>
              <w:marRight w:val="0"/>
              <w:marTop w:val="0"/>
              <w:marBottom w:val="0"/>
              <w:divBdr>
                <w:top w:val="none" w:sz="0" w:space="0" w:color="auto"/>
                <w:left w:val="none" w:sz="0" w:space="0" w:color="auto"/>
                <w:bottom w:val="none" w:sz="0" w:space="0" w:color="auto"/>
                <w:right w:val="none" w:sz="0" w:space="0" w:color="auto"/>
              </w:divBdr>
              <w:divsChild>
                <w:div w:id="356394477">
                  <w:marLeft w:val="0"/>
                  <w:marRight w:val="0"/>
                  <w:marTop w:val="0"/>
                  <w:marBottom w:val="0"/>
                  <w:divBdr>
                    <w:top w:val="none" w:sz="0" w:space="0" w:color="auto"/>
                    <w:left w:val="none" w:sz="0" w:space="0" w:color="auto"/>
                    <w:bottom w:val="none" w:sz="0" w:space="0" w:color="auto"/>
                    <w:right w:val="none" w:sz="0" w:space="0" w:color="auto"/>
                  </w:divBdr>
                </w:div>
              </w:divsChild>
            </w:div>
            <w:div w:id="1611399989">
              <w:marLeft w:val="0"/>
              <w:marRight w:val="0"/>
              <w:marTop w:val="0"/>
              <w:marBottom w:val="0"/>
              <w:divBdr>
                <w:top w:val="none" w:sz="0" w:space="0" w:color="auto"/>
                <w:left w:val="none" w:sz="0" w:space="0" w:color="auto"/>
                <w:bottom w:val="none" w:sz="0" w:space="0" w:color="auto"/>
                <w:right w:val="none" w:sz="0" w:space="0" w:color="auto"/>
              </w:divBdr>
              <w:divsChild>
                <w:div w:id="1109396083">
                  <w:marLeft w:val="0"/>
                  <w:marRight w:val="0"/>
                  <w:marTop w:val="0"/>
                  <w:marBottom w:val="0"/>
                  <w:divBdr>
                    <w:top w:val="none" w:sz="0" w:space="0" w:color="auto"/>
                    <w:left w:val="none" w:sz="0" w:space="0" w:color="auto"/>
                    <w:bottom w:val="none" w:sz="0" w:space="0" w:color="auto"/>
                    <w:right w:val="none" w:sz="0" w:space="0" w:color="auto"/>
                  </w:divBdr>
                </w:div>
              </w:divsChild>
            </w:div>
            <w:div w:id="471675026">
              <w:marLeft w:val="0"/>
              <w:marRight w:val="0"/>
              <w:marTop w:val="0"/>
              <w:marBottom w:val="0"/>
              <w:divBdr>
                <w:top w:val="none" w:sz="0" w:space="0" w:color="auto"/>
                <w:left w:val="none" w:sz="0" w:space="0" w:color="auto"/>
                <w:bottom w:val="none" w:sz="0" w:space="0" w:color="auto"/>
                <w:right w:val="none" w:sz="0" w:space="0" w:color="auto"/>
              </w:divBdr>
              <w:divsChild>
                <w:div w:id="197741727">
                  <w:marLeft w:val="0"/>
                  <w:marRight w:val="0"/>
                  <w:marTop w:val="0"/>
                  <w:marBottom w:val="0"/>
                  <w:divBdr>
                    <w:top w:val="none" w:sz="0" w:space="0" w:color="auto"/>
                    <w:left w:val="none" w:sz="0" w:space="0" w:color="auto"/>
                    <w:bottom w:val="none" w:sz="0" w:space="0" w:color="auto"/>
                    <w:right w:val="none" w:sz="0" w:space="0" w:color="auto"/>
                  </w:divBdr>
                </w:div>
              </w:divsChild>
            </w:div>
            <w:div w:id="1987853536">
              <w:marLeft w:val="0"/>
              <w:marRight w:val="0"/>
              <w:marTop w:val="0"/>
              <w:marBottom w:val="0"/>
              <w:divBdr>
                <w:top w:val="none" w:sz="0" w:space="0" w:color="auto"/>
                <w:left w:val="none" w:sz="0" w:space="0" w:color="auto"/>
                <w:bottom w:val="none" w:sz="0" w:space="0" w:color="auto"/>
                <w:right w:val="none" w:sz="0" w:space="0" w:color="auto"/>
              </w:divBdr>
              <w:divsChild>
                <w:div w:id="1768965705">
                  <w:marLeft w:val="0"/>
                  <w:marRight w:val="0"/>
                  <w:marTop w:val="0"/>
                  <w:marBottom w:val="0"/>
                  <w:divBdr>
                    <w:top w:val="none" w:sz="0" w:space="0" w:color="auto"/>
                    <w:left w:val="none" w:sz="0" w:space="0" w:color="auto"/>
                    <w:bottom w:val="none" w:sz="0" w:space="0" w:color="auto"/>
                    <w:right w:val="none" w:sz="0" w:space="0" w:color="auto"/>
                  </w:divBdr>
                </w:div>
              </w:divsChild>
            </w:div>
            <w:div w:id="70127395">
              <w:marLeft w:val="0"/>
              <w:marRight w:val="0"/>
              <w:marTop w:val="0"/>
              <w:marBottom w:val="0"/>
              <w:divBdr>
                <w:top w:val="none" w:sz="0" w:space="0" w:color="auto"/>
                <w:left w:val="none" w:sz="0" w:space="0" w:color="auto"/>
                <w:bottom w:val="none" w:sz="0" w:space="0" w:color="auto"/>
                <w:right w:val="none" w:sz="0" w:space="0" w:color="auto"/>
              </w:divBdr>
              <w:divsChild>
                <w:div w:id="927079773">
                  <w:marLeft w:val="0"/>
                  <w:marRight w:val="0"/>
                  <w:marTop w:val="0"/>
                  <w:marBottom w:val="0"/>
                  <w:divBdr>
                    <w:top w:val="none" w:sz="0" w:space="0" w:color="auto"/>
                    <w:left w:val="none" w:sz="0" w:space="0" w:color="auto"/>
                    <w:bottom w:val="none" w:sz="0" w:space="0" w:color="auto"/>
                    <w:right w:val="none" w:sz="0" w:space="0" w:color="auto"/>
                  </w:divBdr>
                </w:div>
              </w:divsChild>
            </w:div>
            <w:div w:id="1399861612">
              <w:marLeft w:val="0"/>
              <w:marRight w:val="0"/>
              <w:marTop w:val="0"/>
              <w:marBottom w:val="0"/>
              <w:divBdr>
                <w:top w:val="none" w:sz="0" w:space="0" w:color="auto"/>
                <w:left w:val="none" w:sz="0" w:space="0" w:color="auto"/>
                <w:bottom w:val="none" w:sz="0" w:space="0" w:color="auto"/>
                <w:right w:val="none" w:sz="0" w:space="0" w:color="auto"/>
              </w:divBdr>
              <w:divsChild>
                <w:div w:id="995380125">
                  <w:marLeft w:val="0"/>
                  <w:marRight w:val="0"/>
                  <w:marTop w:val="0"/>
                  <w:marBottom w:val="0"/>
                  <w:divBdr>
                    <w:top w:val="none" w:sz="0" w:space="0" w:color="auto"/>
                    <w:left w:val="none" w:sz="0" w:space="0" w:color="auto"/>
                    <w:bottom w:val="none" w:sz="0" w:space="0" w:color="auto"/>
                    <w:right w:val="none" w:sz="0" w:space="0" w:color="auto"/>
                  </w:divBdr>
                </w:div>
              </w:divsChild>
            </w:div>
            <w:div w:id="262153735">
              <w:marLeft w:val="0"/>
              <w:marRight w:val="0"/>
              <w:marTop w:val="0"/>
              <w:marBottom w:val="0"/>
              <w:divBdr>
                <w:top w:val="none" w:sz="0" w:space="0" w:color="auto"/>
                <w:left w:val="none" w:sz="0" w:space="0" w:color="auto"/>
                <w:bottom w:val="none" w:sz="0" w:space="0" w:color="auto"/>
                <w:right w:val="none" w:sz="0" w:space="0" w:color="auto"/>
              </w:divBdr>
              <w:divsChild>
                <w:div w:id="632054574">
                  <w:marLeft w:val="0"/>
                  <w:marRight w:val="0"/>
                  <w:marTop w:val="0"/>
                  <w:marBottom w:val="0"/>
                  <w:divBdr>
                    <w:top w:val="none" w:sz="0" w:space="0" w:color="auto"/>
                    <w:left w:val="none" w:sz="0" w:space="0" w:color="auto"/>
                    <w:bottom w:val="none" w:sz="0" w:space="0" w:color="auto"/>
                    <w:right w:val="none" w:sz="0" w:space="0" w:color="auto"/>
                  </w:divBdr>
                </w:div>
              </w:divsChild>
            </w:div>
            <w:div w:id="1180503807">
              <w:marLeft w:val="0"/>
              <w:marRight w:val="0"/>
              <w:marTop w:val="0"/>
              <w:marBottom w:val="0"/>
              <w:divBdr>
                <w:top w:val="none" w:sz="0" w:space="0" w:color="auto"/>
                <w:left w:val="none" w:sz="0" w:space="0" w:color="auto"/>
                <w:bottom w:val="none" w:sz="0" w:space="0" w:color="auto"/>
                <w:right w:val="none" w:sz="0" w:space="0" w:color="auto"/>
              </w:divBdr>
              <w:divsChild>
                <w:div w:id="1769889597">
                  <w:marLeft w:val="0"/>
                  <w:marRight w:val="0"/>
                  <w:marTop w:val="0"/>
                  <w:marBottom w:val="0"/>
                  <w:divBdr>
                    <w:top w:val="none" w:sz="0" w:space="0" w:color="auto"/>
                    <w:left w:val="none" w:sz="0" w:space="0" w:color="auto"/>
                    <w:bottom w:val="none" w:sz="0" w:space="0" w:color="auto"/>
                    <w:right w:val="none" w:sz="0" w:space="0" w:color="auto"/>
                  </w:divBdr>
                </w:div>
              </w:divsChild>
            </w:div>
            <w:div w:id="1146312604">
              <w:marLeft w:val="0"/>
              <w:marRight w:val="0"/>
              <w:marTop w:val="0"/>
              <w:marBottom w:val="0"/>
              <w:divBdr>
                <w:top w:val="none" w:sz="0" w:space="0" w:color="auto"/>
                <w:left w:val="none" w:sz="0" w:space="0" w:color="auto"/>
                <w:bottom w:val="none" w:sz="0" w:space="0" w:color="auto"/>
                <w:right w:val="none" w:sz="0" w:space="0" w:color="auto"/>
              </w:divBdr>
              <w:divsChild>
                <w:div w:id="1583684538">
                  <w:marLeft w:val="0"/>
                  <w:marRight w:val="0"/>
                  <w:marTop w:val="0"/>
                  <w:marBottom w:val="0"/>
                  <w:divBdr>
                    <w:top w:val="none" w:sz="0" w:space="0" w:color="auto"/>
                    <w:left w:val="none" w:sz="0" w:space="0" w:color="auto"/>
                    <w:bottom w:val="none" w:sz="0" w:space="0" w:color="auto"/>
                    <w:right w:val="none" w:sz="0" w:space="0" w:color="auto"/>
                  </w:divBdr>
                </w:div>
              </w:divsChild>
            </w:div>
            <w:div w:id="1291521385">
              <w:marLeft w:val="0"/>
              <w:marRight w:val="0"/>
              <w:marTop w:val="0"/>
              <w:marBottom w:val="0"/>
              <w:divBdr>
                <w:top w:val="none" w:sz="0" w:space="0" w:color="auto"/>
                <w:left w:val="none" w:sz="0" w:space="0" w:color="auto"/>
                <w:bottom w:val="none" w:sz="0" w:space="0" w:color="auto"/>
                <w:right w:val="none" w:sz="0" w:space="0" w:color="auto"/>
              </w:divBdr>
              <w:divsChild>
                <w:div w:id="599678611">
                  <w:marLeft w:val="0"/>
                  <w:marRight w:val="0"/>
                  <w:marTop w:val="0"/>
                  <w:marBottom w:val="0"/>
                  <w:divBdr>
                    <w:top w:val="none" w:sz="0" w:space="0" w:color="auto"/>
                    <w:left w:val="none" w:sz="0" w:space="0" w:color="auto"/>
                    <w:bottom w:val="none" w:sz="0" w:space="0" w:color="auto"/>
                    <w:right w:val="none" w:sz="0" w:space="0" w:color="auto"/>
                  </w:divBdr>
                </w:div>
              </w:divsChild>
            </w:div>
            <w:div w:id="1611665535">
              <w:marLeft w:val="0"/>
              <w:marRight w:val="0"/>
              <w:marTop w:val="0"/>
              <w:marBottom w:val="0"/>
              <w:divBdr>
                <w:top w:val="none" w:sz="0" w:space="0" w:color="auto"/>
                <w:left w:val="none" w:sz="0" w:space="0" w:color="auto"/>
                <w:bottom w:val="none" w:sz="0" w:space="0" w:color="auto"/>
                <w:right w:val="none" w:sz="0" w:space="0" w:color="auto"/>
              </w:divBdr>
              <w:divsChild>
                <w:div w:id="2088989446">
                  <w:marLeft w:val="0"/>
                  <w:marRight w:val="0"/>
                  <w:marTop w:val="0"/>
                  <w:marBottom w:val="0"/>
                  <w:divBdr>
                    <w:top w:val="none" w:sz="0" w:space="0" w:color="auto"/>
                    <w:left w:val="none" w:sz="0" w:space="0" w:color="auto"/>
                    <w:bottom w:val="none" w:sz="0" w:space="0" w:color="auto"/>
                    <w:right w:val="none" w:sz="0" w:space="0" w:color="auto"/>
                  </w:divBdr>
                </w:div>
              </w:divsChild>
            </w:div>
            <w:div w:id="776827331">
              <w:marLeft w:val="0"/>
              <w:marRight w:val="0"/>
              <w:marTop w:val="0"/>
              <w:marBottom w:val="0"/>
              <w:divBdr>
                <w:top w:val="none" w:sz="0" w:space="0" w:color="auto"/>
                <w:left w:val="none" w:sz="0" w:space="0" w:color="auto"/>
                <w:bottom w:val="none" w:sz="0" w:space="0" w:color="auto"/>
                <w:right w:val="none" w:sz="0" w:space="0" w:color="auto"/>
              </w:divBdr>
              <w:divsChild>
                <w:div w:id="1560944640">
                  <w:marLeft w:val="0"/>
                  <w:marRight w:val="0"/>
                  <w:marTop w:val="0"/>
                  <w:marBottom w:val="0"/>
                  <w:divBdr>
                    <w:top w:val="none" w:sz="0" w:space="0" w:color="auto"/>
                    <w:left w:val="none" w:sz="0" w:space="0" w:color="auto"/>
                    <w:bottom w:val="none" w:sz="0" w:space="0" w:color="auto"/>
                    <w:right w:val="none" w:sz="0" w:space="0" w:color="auto"/>
                  </w:divBdr>
                </w:div>
              </w:divsChild>
            </w:div>
            <w:div w:id="1371879958">
              <w:marLeft w:val="0"/>
              <w:marRight w:val="0"/>
              <w:marTop w:val="0"/>
              <w:marBottom w:val="0"/>
              <w:divBdr>
                <w:top w:val="none" w:sz="0" w:space="0" w:color="auto"/>
                <w:left w:val="none" w:sz="0" w:space="0" w:color="auto"/>
                <w:bottom w:val="none" w:sz="0" w:space="0" w:color="auto"/>
                <w:right w:val="none" w:sz="0" w:space="0" w:color="auto"/>
              </w:divBdr>
              <w:divsChild>
                <w:div w:id="1859463963">
                  <w:marLeft w:val="0"/>
                  <w:marRight w:val="0"/>
                  <w:marTop w:val="0"/>
                  <w:marBottom w:val="0"/>
                  <w:divBdr>
                    <w:top w:val="none" w:sz="0" w:space="0" w:color="auto"/>
                    <w:left w:val="none" w:sz="0" w:space="0" w:color="auto"/>
                    <w:bottom w:val="none" w:sz="0" w:space="0" w:color="auto"/>
                    <w:right w:val="none" w:sz="0" w:space="0" w:color="auto"/>
                  </w:divBdr>
                </w:div>
              </w:divsChild>
            </w:div>
            <w:div w:id="2093816406">
              <w:marLeft w:val="0"/>
              <w:marRight w:val="0"/>
              <w:marTop w:val="0"/>
              <w:marBottom w:val="0"/>
              <w:divBdr>
                <w:top w:val="none" w:sz="0" w:space="0" w:color="auto"/>
                <w:left w:val="none" w:sz="0" w:space="0" w:color="auto"/>
                <w:bottom w:val="none" w:sz="0" w:space="0" w:color="auto"/>
                <w:right w:val="none" w:sz="0" w:space="0" w:color="auto"/>
              </w:divBdr>
              <w:divsChild>
                <w:div w:id="1742681428">
                  <w:marLeft w:val="0"/>
                  <w:marRight w:val="0"/>
                  <w:marTop w:val="0"/>
                  <w:marBottom w:val="0"/>
                  <w:divBdr>
                    <w:top w:val="none" w:sz="0" w:space="0" w:color="auto"/>
                    <w:left w:val="none" w:sz="0" w:space="0" w:color="auto"/>
                    <w:bottom w:val="none" w:sz="0" w:space="0" w:color="auto"/>
                    <w:right w:val="none" w:sz="0" w:space="0" w:color="auto"/>
                  </w:divBdr>
                </w:div>
              </w:divsChild>
            </w:div>
            <w:div w:id="705787916">
              <w:marLeft w:val="0"/>
              <w:marRight w:val="0"/>
              <w:marTop w:val="0"/>
              <w:marBottom w:val="0"/>
              <w:divBdr>
                <w:top w:val="none" w:sz="0" w:space="0" w:color="auto"/>
                <w:left w:val="none" w:sz="0" w:space="0" w:color="auto"/>
                <w:bottom w:val="none" w:sz="0" w:space="0" w:color="auto"/>
                <w:right w:val="none" w:sz="0" w:space="0" w:color="auto"/>
              </w:divBdr>
              <w:divsChild>
                <w:div w:id="1793278948">
                  <w:marLeft w:val="0"/>
                  <w:marRight w:val="0"/>
                  <w:marTop w:val="0"/>
                  <w:marBottom w:val="0"/>
                  <w:divBdr>
                    <w:top w:val="none" w:sz="0" w:space="0" w:color="auto"/>
                    <w:left w:val="none" w:sz="0" w:space="0" w:color="auto"/>
                    <w:bottom w:val="none" w:sz="0" w:space="0" w:color="auto"/>
                    <w:right w:val="none" w:sz="0" w:space="0" w:color="auto"/>
                  </w:divBdr>
                </w:div>
              </w:divsChild>
            </w:div>
            <w:div w:id="725373901">
              <w:marLeft w:val="0"/>
              <w:marRight w:val="0"/>
              <w:marTop w:val="0"/>
              <w:marBottom w:val="0"/>
              <w:divBdr>
                <w:top w:val="none" w:sz="0" w:space="0" w:color="auto"/>
                <w:left w:val="none" w:sz="0" w:space="0" w:color="auto"/>
                <w:bottom w:val="none" w:sz="0" w:space="0" w:color="auto"/>
                <w:right w:val="none" w:sz="0" w:space="0" w:color="auto"/>
              </w:divBdr>
              <w:divsChild>
                <w:div w:id="2128430533">
                  <w:marLeft w:val="0"/>
                  <w:marRight w:val="0"/>
                  <w:marTop w:val="0"/>
                  <w:marBottom w:val="0"/>
                  <w:divBdr>
                    <w:top w:val="none" w:sz="0" w:space="0" w:color="auto"/>
                    <w:left w:val="none" w:sz="0" w:space="0" w:color="auto"/>
                    <w:bottom w:val="none" w:sz="0" w:space="0" w:color="auto"/>
                    <w:right w:val="none" w:sz="0" w:space="0" w:color="auto"/>
                  </w:divBdr>
                </w:div>
              </w:divsChild>
            </w:div>
            <w:div w:id="503016222">
              <w:marLeft w:val="0"/>
              <w:marRight w:val="0"/>
              <w:marTop w:val="0"/>
              <w:marBottom w:val="0"/>
              <w:divBdr>
                <w:top w:val="none" w:sz="0" w:space="0" w:color="auto"/>
                <w:left w:val="none" w:sz="0" w:space="0" w:color="auto"/>
                <w:bottom w:val="none" w:sz="0" w:space="0" w:color="auto"/>
                <w:right w:val="none" w:sz="0" w:space="0" w:color="auto"/>
              </w:divBdr>
              <w:divsChild>
                <w:div w:id="1536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2484">
          <w:marLeft w:val="0"/>
          <w:marRight w:val="0"/>
          <w:marTop w:val="0"/>
          <w:marBottom w:val="600"/>
          <w:divBdr>
            <w:top w:val="none" w:sz="0" w:space="0" w:color="auto"/>
            <w:left w:val="none" w:sz="0" w:space="0" w:color="auto"/>
            <w:bottom w:val="none" w:sz="0" w:space="0" w:color="auto"/>
            <w:right w:val="none" w:sz="0" w:space="0" w:color="auto"/>
          </w:divBdr>
        </w:div>
      </w:divsChild>
    </w:div>
    <w:div w:id="1041247248">
      <w:marLeft w:val="0"/>
      <w:marRight w:val="0"/>
      <w:marTop w:val="0"/>
      <w:marBottom w:val="0"/>
      <w:divBdr>
        <w:top w:val="none" w:sz="0" w:space="0" w:color="auto"/>
        <w:left w:val="none" w:sz="0" w:space="0" w:color="auto"/>
        <w:bottom w:val="none" w:sz="0" w:space="0" w:color="auto"/>
        <w:right w:val="none" w:sz="0" w:space="0" w:color="auto"/>
      </w:divBdr>
      <w:divsChild>
        <w:div w:id="517963676">
          <w:marLeft w:val="0"/>
          <w:marRight w:val="0"/>
          <w:marTop w:val="547"/>
          <w:marBottom w:val="0"/>
          <w:divBdr>
            <w:top w:val="none" w:sz="0" w:space="0" w:color="auto"/>
            <w:left w:val="none" w:sz="0" w:space="0" w:color="auto"/>
            <w:bottom w:val="none" w:sz="0" w:space="0" w:color="auto"/>
            <w:right w:val="none" w:sz="0" w:space="0" w:color="auto"/>
          </w:divBdr>
        </w:div>
        <w:div w:id="527181867">
          <w:marLeft w:val="0"/>
          <w:marRight w:val="0"/>
          <w:marTop w:val="0"/>
          <w:marBottom w:val="0"/>
          <w:divBdr>
            <w:top w:val="none" w:sz="0" w:space="0" w:color="auto"/>
            <w:left w:val="none" w:sz="0" w:space="0" w:color="auto"/>
            <w:bottom w:val="none" w:sz="0" w:space="0" w:color="auto"/>
            <w:right w:val="none" w:sz="0" w:space="0" w:color="auto"/>
          </w:divBdr>
        </w:div>
        <w:div w:id="395591165">
          <w:marLeft w:val="0"/>
          <w:marRight w:val="0"/>
          <w:marTop w:val="0"/>
          <w:marBottom w:val="600"/>
          <w:divBdr>
            <w:top w:val="none" w:sz="0" w:space="0" w:color="auto"/>
            <w:left w:val="none" w:sz="0" w:space="0" w:color="auto"/>
            <w:bottom w:val="none" w:sz="0" w:space="0" w:color="auto"/>
            <w:right w:val="none" w:sz="0" w:space="0" w:color="auto"/>
          </w:divBdr>
        </w:div>
      </w:divsChild>
    </w:div>
    <w:div w:id="1053314193">
      <w:marLeft w:val="0"/>
      <w:marRight w:val="0"/>
      <w:marTop w:val="0"/>
      <w:marBottom w:val="0"/>
      <w:divBdr>
        <w:top w:val="none" w:sz="0" w:space="0" w:color="auto"/>
        <w:left w:val="none" w:sz="0" w:space="0" w:color="auto"/>
        <w:bottom w:val="none" w:sz="0" w:space="0" w:color="auto"/>
        <w:right w:val="none" w:sz="0" w:space="0" w:color="auto"/>
      </w:divBdr>
      <w:divsChild>
        <w:div w:id="325744054">
          <w:marLeft w:val="0"/>
          <w:marRight w:val="0"/>
          <w:marTop w:val="547"/>
          <w:marBottom w:val="0"/>
          <w:divBdr>
            <w:top w:val="none" w:sz="0" w:space="0" w:color="auto"/>
            <w:left w:val="none" w:sz="0" w:space="0" w:color="auto"/>
            <w:bottom w:val="none" w:sz="0" w:space="0" w:color="auto"/>
            <w:right w:val="none" w:sz="0" w:space="0" w:color="auto"/>
          </w:divBdr>
        </w:div>
        <w:div w:id="1874223255">
          <w:marLeft w:val="0"/>
          <w:marRight w:val="0"/>
          <w:marTop w:val="0"/>
          <w:marBottom w:val="0"/>
          <w:divBdr>
            <w:top w:val="none" w:sz="0" w:space="0" w:color="auto"/>
            <w:left w:val="none" w:sz="0" w:space="0" w:color="auto"/>
            <w:bottom w:val="none" w:sz="0" w:space="0" w:color="auto"/>
            <w:right w:val="none" w:sz="0" w:space="0" w:color="auto"/>
          </w:divBdr>
        </w:div>
        <w:div w:id="605964738">
          <w:marLeft w:val="0"/>
          <w:marRight w:val="0"/>
          <w:marTop w:val="0"/>
          <w:marBottom w:val="600"/>
          <w:divBdr>
            <w:top w:val="none" w:sz="0" w:space="0" w:color="auto"/>
            <w:left w:val="none" w:sz="0" w:space="0" w:color="auto"/>
            <w:bottom w:val="none" w:sz="0" w:space="0" w:color="auto"/>
            <w:right w:val="none" w:sz="0" w:space="0" w:color="auto"/>
          </w:divBdr>
        </w:div>
      </w:divsChild>
    </w:div>
    <w:div w:id="1058086766">
      <w:marLeft w:val="0"/>
      <w:marRight w:val="0"/>
      <w:marTop w:val="0"/>
      <w:marBottom w:val="0"/>
      <w:divBdr>
        <w:top w:val="none" w:sz="0" w:space="0" w:color="auto"/>
        <w:left w:val="none" w:sz="0" w:space="0" w:color="auto"/>
        <w:bottom w:val="none" w:sz="0" w:space="0" w:color="auto"/>
        <w:right w:val="none" w:sz="0" w:space="0" w:color="auto"/>
      </w:divBdr>
      <w:divsChild>
        <w:div w:id="1232040705">
          <w:marLeft w:val="0"/>
          <w:marRight w:val="0"/>
          <w:marTop w:val="547"/>
          <w:marBottom w:val="0"/>
          <w:divBdr>
            <w:top w:val="none" w:sz="0" w:space="0" w:color="auto"/>
            <w:left w:val="none" w:sz="0" w:space="0" w:color="auto"/>
            <w:bottom w:val="none" w:sz="0" w:space="0" w:color="auto"/>
            <w:right w:val="none" w:sz="0" w:space="0" w:color="auto"/>
          </w:divBdr>
        </w:div>
        <w:div w:id="436171129">
          <w:marLeft w:val="0"/>
          <w:marRight w:val="0"/>
          <w:marTop w:val="0"/>
          <w:marBottom w:val="0"/>
          <w:divBdr>
            <w:top w:val="none" w:sz="0" w:space="0" w:color="auto"/>
            <w:left w:val="none" w:sz="0" w:space="0" w:color="auto"/>
            <w:bottom w:val="none" w:sz="0" w:space="0" w:color="auto"/>
            <w:right w:val="none" w:sz="0" w:space="0" w:color="auto"/>
          </w:divBdr>
        </w:div>
        <w:div w:id="1192036761">
          <w:marLeft w:val="0"/>
          <w:marRight w:val="0"/>
          <w:marTop w:val="0"/>
          <w:marBottom w:val="600"/>
          <w:divBdr>
            <w:top w:val="none" w:sz="0" w:space="0" w:color="auto"/>
            <w:left w:val="none" w:sz="0" w:space="0" w:color="auto"/>
            <w:bottom w:val="none" w:sz="0" w:space="0" w:color="auto"/>
            <w:right w:val="none" w:sz="0" w:space="0" w:color="auto"/>
          </w:divBdr>
        </w:div>
      </w:divsChild>
    </w:div>
    <w:div w:id="1095638977">
      <w:marLeft w:val="0"/>
      <w:marRight w:val="0"/>
      <w:marTop w:val="0"/>
      <w:marBottom w:val="0"/>
      <w:divBdr>
        <w:top w:val="none" w:sz="0" w:space="0" w:color="auto"/>
        <w:left w:val="none" w:sz="0" w:space="0" w:color="auto"/>
        <w:bottom w:val="none" w:sz="0" w:space="0" w:color="auto"/>
        <w:right w:val="none" w:sz="0" w:space="0" w:color="auto"/>
      </w:divBdr>
      <w:divsChild>
        <w:div w:id="710299791">
          <w:marLeft w:val="0"/>
          <w:marRight w:val="0"/>
          <w:marTop w:val="547"/>
          <w:marBottom w:val="0"/>
          <w:divBdr>
            <w:top w:val="none" w:sz="0" w:space="0" w:color="auto"/>
            <w:left w:val="none" w:sz="0" w:space="0" w:color="auto"/>
            <w:bottom w:val="none" w:sz="0" w:space="0" w:color="auto"/>
            <w:right w:val="none" w:sz="0" w:space="0" w:color="auto"/>
          </w:divBdr>
        </w:div>
        <w:div w:id="969556940">
          <w:marLeft w:val="0"/>
          <w:marRight w:val="0"/>
          <w:marTop w:val="0"/>
          <w:marBottom w:val="0"/>
          <w:divBdr>
            <w:top w:val="none" w:sz="0" w:space="0" w:color="auto"/>
            <w:left w:val="none" w:sz="0" w:space="0" w:color="auto"/>
            <w:bottom w:val="none" w:sz="0" w:space="0" w:color="auto"/>
            <w:right w:val="none" w:sz="0" w:space="0" w:color="auto"/>
          </w:divBdr>
        </w:div>
        <w:div w:id="48118179">
          <w:marLeft w:val="0"/>
          <w:marRight w:val="0"/>
          <w:marTop w:val="0"/>
          <w:marBottom w:val="600"/>
          <w:divBdr>
            <w:top w:val="none" w:sz="0" w:space="0" w:color="auto"/>
            <w:left w:val="none" w:sz="0" w:space="0" w:color="auto"/>
            <w:bottom w:val="none" w:sz="0" w:space="0" w:color="auto"/>
            <w:right w:val="none" w:sz="0" w:space="0" w:color="auto"/>
          </w:divBdr>
        </w:div>
      </w:divsChild>
    </w:div>
    <w:div w:id="1108311663">
      <w:marLeft w:val="0"/>
      <w:marRight w:val="0"/>
      <w:marTop w:val="0"/>
      <w:marBottom w:val="0"/>
      <w:divBdr>
        <w:top w:val="none" w:sz="0" w:space="0" w:color="auto"/>
        <w:left w:val="none" w:sz="0" w:space="0" w:color="auto"/>
        <w:bottom w:val="none" w:sz="0" w:space="0" w:color="auto"/>
        <w:right w:val="none" w:sz="0" w:space="0" w:color="auto"/>
      </w:divBdr>
      <w:divsChild>
        <w:div w:id="1683320851">
          <w:marLeft w:val="0"/>
          <w:marRight w:val="0"/>
          <w:marTop w:val="547"/>
          <w:marBottom w:val="0"/>
          <w:divBdr>
            <w:top w:val="none" w:sz="0" w:space="0" w:color="auto"/>
            <w:left w:val="none" w:sz="0" w:space="0" w:color="auto"/>
            <w:bottom w:val="none" w:sz="0" w:space="0" w:color="auto"/>
            <w:right w:val="none" w:sz="0" w:space="0" w:color="auto"/>
          </w:divBdr>
        </w:div>
        <w:div w:id="1100761655">
          <w:marLeft w:val="0"/>
          <w:marRight w:val="0"/>
          <w:marTop w:val="0"/>
          <w:marBottom w:val="0"/>
          <w:divBdr>
            <w:top w:val="none" w:sz="0" w:space="0" w:color="auto"/>
            <w:left w:val="none" w:sz="0" w:space="0" w:color="auto"/>
            <w:bottom w:val="none" w:sz="0" w:space="0" w:color="auto"/>
            <w:right w:val="none" w:sz="0" w:space="0" w:color="auto"/>
          </w:divBdr>
        </w:div>
        <w:div w:id="1154644392">
          <w:marLeft w:val="0"/>
          <w:marRight w:val="0"/>
          <w:marTop w:val="0"/>
          <w:marBottom w:val="600"/>
          <w:divBdr>
            <w:top w:val="none" w:sz="0" w:space="0" w:color="auto"/>
            <w:left w:val="none" w:sz="0" w:space="0" w:color="auto"/>
            <w:bottom w:val="none" w:sz="0" w:space="0" w:color="auto"/>
            <w:right w:val="none" w:sz="0" w:space="0" w:color="auto"/>
          </w:divBdr>
        </w:div>
      </w:divsChild>
    </w:div>
    <w:div w:id="1142389350">
      <w:marLeft w:val="0"/>
      <w:marRight w:val="0"/>
      <w:marTop w:val="0"/>
      <w:marBottom w:val="0"/>
      <w:divBdr>
        <w:top w:val="none" w:sz="0" w:space="0" w:color="auto"/>
        <w:left w:val="none" w:sz="0" w:space="0" w:color="auto"/>
        <w:bottom w:val="none" w:sz="0" w:space="0" w:color="auto"/>
        <w:right w:val="none" w:sz="0" w:space="0" w:color="auto"/>
      </w:divBdr>
      <w:divsChild>
        <w:div w:id="888027796">
          <w:marLeft w:val="0"/>
          <w:marRight w:val="0"/>
          <w:marTop w:val="547"/>
          <w:marBottom w:val="0"/>
          <w:divBdr>
            <w:top w:val="none" w:sz="0" w:space="0" w:color="auto"/>
            <w:left w:val="none" w:sz="0" w:space="0" w:color="auto"/>
            <w:bottom w:val="none" w:sz="0" w:space="0" w:color="auto"/>
            <w:right w:val="none" w:sz="0" w:space="0" w:color="auto"/>
          </w:divBdr>
        </w:div>
        <w:div w:id="1381855101">
          <w:marLeft w:val="0"/>
          <w:marRight w:val="0"/>
          <w:marTop w:val="0"/>
          <w:marBottom w:val="0"/>
          <w:divBdr>
            <w:top w:val="none" w:sz="0" w:space="0" w:color="auto"/>
            <w:left w:val="none" w:sz="0" w:space="0" w:color="auto"/>
            <w:bottom w:val="none" w:sz="0" w:space="0" w:color="auto"/>
            <w:right w:val="none" w:sz="0" w:space="0" w:color="auto"/>
          </w:divBdr>
        </w:div>
        <w:div w:id="831486159">
          <w:marLeft w:val="0"/>
          <w:marRight w:val="0"/>
          <w:marTop w:val="0"/>
          <w:marBottom w:val="600"/>
          <w:divBdr>
            <w:top w:val="none" w:sz="0" w:space="0" w:color="auto"/>
            <w:left w:val="none" w:sz="0" w:space="0" w:color="auto"/>
            <w:bottom w:val="none" w:sz="0" w:space="0" w:color="auto"/>
            <w:right w:val="none" w:sz="0" w:space="0" w:color="auto"/>
          </w:divBdr>
        </w:div>
      </w:divsChild>
    </w:div>
    <w:div w:id="1149248258">
      <w:marLeft w:val="0"/>
      <w:marRight w:val="0"/>
      <w:marTop w:val="0"/>
      <w:marBottom w:val="0"/>
      <w:divBdr>
        <w:top w:val="none" w:sz="0" w:space="0" w:color="auto"/>
        <w:left w:val="none" w:sz="0" w:space="0" w:color="auto"/>
        <w:bottom w:val="none" w:sz="0" w:space="0" w:color="auto"/>
        <w:right w:val="none" w:sz="0" w:space="0" w:color="auto"/>
      </w:divBdr>
      <w:divsChild>
        <w:div w:id="535970691">
          <w:marLeft w:val="0"/>
          <w:marRight w:val="0"/>
          <w:marTop w:val="547"/>
          <w:marBottom w:val="0"/>
          <w:divBdr>
            <w:top w:val="none" w:sz="0" w:space="0" w:color="auto"/>
            <w:left w:val="none" w:sz="0" w:space="0" w:color="auto"/>
            <w:bottom w:val="none" w:sz="0" w:space="0" w:color="auto"/>
            <w:right w:val="none" w:sz="0" w:space="0" w:color="auto"/>
          </w:divBdr>
        </w:div>
        <w:div w:id="346761505">
          <w:marLeft w:val="0"/>
          <w:marRight w:val="0"/>
          <w:marTop w:val="0"/>
          <w:marBottom w:val="0"/>
          <w:divBdr>
            <w:top w:val="none" w:sz="0" w:space="0" w:color="auto"/>
            <w:left w:val="none" w:sz="0" w:space="0" w:color="auto"/>
            <w:bottom w:val="none" w:sz="0" w:space="0" w:color="auto"/>
            <w:right w:val="none" w:sz="0" w:space="0" w:color="auto"/>
          </w:divBdr>
        </w:div>
        <w:div w:id="2098820593">
          <w:marLeft w:val="0"/>
          <w:marRight w:val="0"/>
          <w:marTop w:val="0"/>
          <w:marBottom w:val="600"/>
          <w:divBdr>
            <w:top w:val="none" w:sz="0" w:space="0" w:color="auto"/>
            <w:left w:val="none" w:sz="0" w:space="0" w:color="auto"/>
            <w:bottom w:val="none" w:sz="0" w:space="0" w:color="auto"/>
            <w:right w:val="none" w:sz="0" w:space="0" w:color="auto"/>
          </w:divBdr>
        </w:div>
      </w:divsChild>
    </w:div>
    <w:div w:id="1229269412">
      <w:marLeft w:val="0"/>
      <w:marRight w:val="0"/>
      <w:marTop w:val="0"/>
      <w:marBottom w:val="0"/>
      <w:divBdr>
        <w:top w:val="none" w:sz="0" w:space="0" w:color="auto"/>
        <w:left w:val="none" w:sz="0" w:space="0" w:color="auto"/>
        <w:bottom w:val="none" w:sz="0" w:space="0" w:color="auto"/>
        <w:right w:val="none" w:sz="0" w:space="0" w:color="auto"/>
      </w:divBdr>
      <w:divsChild>
        <w:div w:id="511187057">
          <w:marLeft w:val="0"/>
          <w:marRight w:val="0"/>
          <w:marTop w:val="547"/>
          <w:marBottom w:val="0"/>
          <w:divBdr>
            <w:top w:val="none" w:sz="0" w:space="0" w:color="auto"/>
            <w:left w:val="none" w:sz="0" w:space="0" w:color="auto"/>
            <w:bottom w:val="none" w:sz="0" w:space="0" w:color="auto"/>
            <w:right w:val="none" w:sz="0" w:space="0" w:color="auto"/>
          </w:divBdr>
        </w:div>
        <w:div w:id="603077307">
          <w:marLeft w:val="0"/>
          <w:marRight w:val="0"/>
          <w:marTop w:val="0"/>
          <w:marBottom w:val="0"/>
          <w:divBdr>
            <w:top w:val="none" w:sz="0" w:space="0" w:color="auto"/>
            <w:left w:val="none" w:sz="0" w:space="0" w:color="auto"/>
            <w:bottom w:val="none" w:sz="0" w:space="0" w:color="auto"/>
            <w:right w:val="none" w:sz="0" w:space="0" w:color="auto"/>
          </w:divBdr>
          <w:divsChild>
            <w:div w:id="1416174208">
              <w:marLeft w:val="0"/>
              <w:marRight w:val="0"/>
              <w:marTop w:val="0"/>
              <w:marBottom w:val="0"/>
              <w:divBdr>
                <w:top w:val="none" w:sz="0" w:space="0" w:color="auto"/>
                <w:left w:val="none" w:sz="0" w:space="0" w:color="auto"/>
                <w:bottom w:val="none" w:sz="0" w:space="0" w:color="auto"/>
                <w:right w:val="none" w:sz="0" w:space="0" w:color="auto"/>
              </w:divBdr>
              <w:divsChild>
                <w:div w:id="728185545">
                  <w:marLeft w:val="0"/>
                  <w:marRight w:val="0"/>
                  <w:marTop w:val="0"/>
                  <w:marBottom w:val="0"/>
                  <w:divBdr>
                    <w:top w:val="none" w:sz="0" w:space="0" w:color="auto"/>
                    <w:left w:val="none" w:sz="0" w:space="0" w:color="auto"/>
                    <w:bottom w:val="none" w:sz="0" w:space="0" w:color="auto"/>
                    <w:right w:val="none" w:sz="0" w:space="0" w:color="auto"/>
                  </w:divBdr>
                </w:div>
              </w:divsChild>
            </w:div>
            <w:div w:id="834760365">
              <w:marLeft w:val="0"/>
              <w:marRight w:val="0"/>
              <w:marTop w:val="0"/>
              <w:marBottom w:val="0"/>
              <w:divBdr>
                <w:top w:val="none" w:sz="0" w:space="0" w:color="auto"/>
                <w:left w:val="none" w:sz="0" w:space="0" w:color="auto"/>
                <w:bottom w:val="none" w:sz="0" w:space="0" w:color="auto"/>
                <w:right w:val="none" w:sz="0" w:space="0" w:color="auto"/>
              </w:divBdr>
              <w:divsChild>
                <w:div w:id="1088967864">
                  <w:marLeft w:val="0"/>
                  <w:marRight w:val="0"/>
                  <w:marTop w:val="0"/>
                  <w:marBottom w:val="0"/>
                  <w:divBdr>
                    <w:top w:val="none" w:sz="0" w:space="0" w:color="auto"/>
                    <w:left w:val="none" w:sz="0" w:space="0" w:color="auto"/>
                    <w:bottom w:val="none" w:sz="0" w:space="0" w:color="auto"/>
                    <w:right w:val="none" w:sz="0" w:space="0" w:color="auto"/>
                  </w:divBdr>
                </w:div>
              </w:divsChild>
            </w:div>
            <w:div w:id="1913616420">
              <w:marLeft w:val="0"/>
              <w:marRight w:val="0"/>
              <w:marTop w:val="0"/>
              <w:marBottom w:val="0"/>
              <w:divBdr>
                <w:top w:val="none" w:sz="0" w:space="0" w:color="auto"/>
                <w:left w:val="none" w:sz="0" w:space="0" w:color="auto"/>
                <w:bottom w:val="none" w:sz="0" w:space="0" w:color="auto"/>
                <w:right w:val="none" w:sz="0" w:space="0" w:color="auto"/>
              </w:divBdr>
              <w:divsChild>
                <w:div w:id="242031444">
                  <w:marLeft w:val="0"/>
                  <w:marRight w:val="0"/>
                  <w:marTop w:val="0"/>
                  <w:marBottom w:val="0"/>
                  <w:divBdr>
                    <w:top w:val="none" w:sz="0" w:space="0" w:color="auto"/>
                    <w:left w:val="none" w:sz="0" w:space="0" w:color="auto"/>
                    <w:bottom w:val="none" w:sz="0" w:space="0" w:color="auto"/>
                    <w:right w:val="none" w:sz="0" w:space="0" w:color="auto"/>
                  </w:divBdr>
                </w:div>
              </w:divsChild>
            </w:div>
            <w:div w:id="2059235259">
              <w:marLeft w:val="0"/>
              <w:marRight w:val="0"/>
              <w:marTop w:val="0"/>
              <w:marBottom w:val="0"/>
              <w:divBdr>
                <w:top w:val="none" w:sz="0" w:space="0" w:color="auto"/>
                <w:left w:val="none" w:sz="0" w:space="0" w:color="auto"/>
                <w:bottom w:val="none" w:sz="0" w:space="0" w:color="auto"/>
                <w:right w:val="none" w:sz="0" w:space="0" w:color="auto"/>
              </w:divBdr>
              <w:divsChild>
                <w:div w:id="894584843">
                  <w:marLeft w:val="0"/>
                  <w:marRight w:val="0"/>
                  <w:marTop w:val="0"/>
                  <w:marBottom w:val="0"/>
                  <w:divBdr>
                    <w:top w:val="none" w:sz="0" w:space="0" w:color="auto"/>
                    <w:left w:val="none" w:sz="0" w:space="0" w:color="auto"/>
                    <w:bottom w:val="none" w:sz="0" w:space="0" w:color="auto"/>
                    <w:right w:val="none" w:sz="0" w:space="0" w:color="auto"/>
                  </w:divBdr>
                </w:div>
              </w:divsChild>
            </w:div>
            <w:div w:id="112293531">
              <w:marLeft w:val="0"/>
              <w:marRight w:val="0"/>
              <w:marTop w:val="0"/>
              <w:marBottom w:val="0"/>
              <w:divBdr>
                <w:top w:val="none" w:sz="0" w:space="0" w:color="auto"/>
                <w:left w:val="none" w:sz="0" w:space="0" w:color="auto"/>
                <w:bottom w:val="none" w:sz="0" w:space="0" w:color="auto"/>
                <w:right w:val="none" w:sz="0" w:space="0" w:color="auto"/>
              </w:divBdr>
              <w:divsChild>
                <w:div w:id="2135441309">
                  <w:marLeft w:val="0"/>
                  <w:marRight w:val="0"/>
                  <w:marTop w:val="0"/>
                  <w:marBottom w:val="0"/>
                  <w:divBdr>
                    <w:top w:val="none" w:sz="0" w:space="0" w:color="auto"/>
                    <w:left w:val="none" w:sz="0" w:space="0" w:color="auto"/>
                    <w:bottom w:val="none" w:sz="0" w:space="0" w:color="auto"/>
                    <w:right w:val="none" w:sz="0" w:space="0" w:color="auto"/>
                  </w:divBdr>
                </w:div>
              </w:divsChild>
            </w:div>
            <w:div w:id="1518613630">
              <w:marLeft w:val="0"/>
              <w:marRight w:val="0"/>
              <w:marTop w:val="0"/>
              <w:marBottom w:val="0"/>
              <w:divBdr>
                <w:top w:val="none" w:sz="0" w:space="0" w:color="auto"/>
                <w:left w:val="none" w:sz="0" w:space="0" w:color="auto"/>
                <w:bottom w:val="none" w:sz="0" w:space="0" w:color="auto"/>
                <w:right w:val="none" w:sz="0" w:space="0" w:color="auto"/>
              </w:divBdr>
              <w:divsChild>
                <w:div w:id="837623058">
                  <w:marLeft w:val="0"/>
                  <w:marRight w:val="0"/>
                  <w:marTop w:val="0"/>
                  <w:marBottom w:val="0"/>
                  <w:divBdr>
                    <w:top w:val="none" w:sz="0" w:space="0" w:color="auto"/>
                    <w:left w:val="none" w:sz="0" w:space="0" w:color="auto"/>
                    <w:bottom w:val="none" w:sz="0" w:space="0" w:color="auto"/>
                    <w:right w:val="none" w:sz="0" w:space="0" w:color="auto"/>
                  </w:divBdr>
                </w:div>
              </w:divsChild>
            </w:div>
            <w:div w:id="696739708">
              <w:marLeft w:val="0"/>
              <w:marRight w:val="0"/>
              <w:marTop w:val="0"/>
              <w:marBottom w:val="0"/>
              <w:divBdr>
                <w:top w:val="none" w:sz="0" w:space="0" w:color="auto"/>
                <w:left w:val="none" w:sz="0" w:space="0" w:color="auto"/>
                <w:bottom w:val="none" w:sz="0" w:space="0" w:color="auto"/>
                <w:right w:val="none" w:sz="0" w:space="0" w:color="auto"/>
              </w:divBdr>
              <w:divsChild>
                <w:div w:id="15895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11140">
          <w:marLeft w:val="0"/>
          <w:marRight w:val="0"/>
          <w:marTop w:val="0"/>
          <w:marBottom w:val="600"/>
          <w:divBdr>
            <w:top w:val="none" w:sz="0" w:space="0" w:color="auto"/>
            <w:left w:val="none" w:sz="0" w:space="0" w:color="auto"/>
            <w:bottom w:val="none" w:sz="0" w:space="0" w:color="auto"/>
            <w:right w:val="none" w:sz="0" w:space="0" w:color="auto"/>
          </w:divBdr>
        </w:div>
      </w:divsChild>
    </w:div>
    <w:div w:id="1261180299">
      <w:marLeft w:val="0"/>
      <w:marRight w:val="0"/>
      <w:marTop w:val="0"/>
      <w:marBottom w:val="0"/>
      <w:divBdr>
        <w:top w:val="none" w:sz="0" w:space="0" w:color="auto"/>
        <w:left w:val="none" w:sz="0" w:space="0" w:color="auto"/>
        <w:bottom w:val="none" w:sz="0" w:space="0" w:color="auto"/>
        <w:right w:val="none" w:sz="0" w:space="0" w:color="auto"/>
      </w:divBdr>
      <w:divsChild>
        <w:div w:id="251594300">
          <w:marLeft w:val="0"/>
          <w:marRight w:val="0"/>
          <w:marTop w:val="547"/>
          <w:marBottom w:val="0"/>
          <w:divBdr>
            <w:top w:val="none" w:sz="0" w:space="0" w:color="auto"/>
            <w:left w:val="none" w:sz="0" w:space="0" w:color="auto"/>
            <w:bottom w:val="none" w:sz="0" w:space="0" w:color="auto"/>
            <w:right w:val="none" w:sz="0" w:space="0" w:color="auto"/>
          </w:divBdr>
        </w:div>
        <w:div w:id="1858884715">
          <w:marLeft w:val="0"/>
          <w:marRight w:val="0"/>
          <w:marTop w:val="0"/>
          <w:marBottom w:val="0"/>
          <w:divBdr>
            <w:top w:val="none" w:sz="0" w:space="0" w:color="auto"/>
            <w:left w:val="none" w:sz="0" w:space="0" w:color="auto"/>
            <w:bottom w:val="none" w:sz="0" w:space="0" w:color="auto"/>
            <w:right w:val="none" w:sz="0" w:space="0" w:color="auto"/>
          </w:divBdr>
          <w:divsChild>
            <w:div w:id="1763912201">
              <w:marLeft w:val="0"/>
              <w:marRight w:val="0"/>
              <w:marTop w:val="0"/>
              <w:marBottom w:val="0"/>
              <w:divBdr>
                <w:top w:val="none" w:sz="0" w:space="0" w:color="auto"/>
                <w:left w:val="none" w:sz="0" w:space="0" w:color="auto"/>
                <w:bottom w:val="none" w:sz="0" w:space="0" w:color="auto"/>
                <w:right w:val="none" w:sz="0" w:space="0" w:color="auto"/>
              </w:divBdr>
              <w:divsChild>
                <w:div w:id="743575979">
                  <w:marLeft w:val="0"/>
                  <w:marRight w:val="0"/>
                  <w:marTop w:val="0"/>
                  <w:marBottom w:val="0"/>
                  <w:divBdr>
                    <w:top w:val="none" w:sz="0" w:space="0" w:color="auto"/>
                    <w:left w:val="none" w:sz="0" w:space="0" w:color="auto"/>
                    <w:bottom w:val="none" w:sz="0" w:space="0" w:color="auto"/>
                    <w:right w:val="none" w:sz="0" w:space="0" w:color="auto"/>
                  </w:divBdr>
                </w:div>
              </w:divsChild>
            </w:div>
            <w:div w:id="556089051">
              <w:marLeft w:val="0"/>
              <w:marRight w:val="0"/>
              <w:marTop w:val="0"/>
              <w:marBottom w:val="0"/>
              <w:divBdr>
                <w:top w:val="none" w:sz="0" w:space="0" w:color="auto"/>
                <w:left w:val="none" w:sz="0" w:space="0" w:color="auto"/>
                <w:bottom w:val="none" w:sz="0" w:space="0" w:color="auto"/>
                <w:right w:val="none" w:sz="0" w:space="0" w:color="auto"/>
              </w:divBdr>
              <w:divsChild>
                <w:div w:id="570431644">
                  <w:marLeft w:val="0"/>
                  <w:marRight w:val="0"/>
                  <w:marTop w:val="0"/>
                  <w:marBottom w:val="0"/>
                  <w:divBdr>
                    <w:top w:val="none" w:sz="0" w:space="0" w:color="auto"/>
                    <w:left w:val="none" w:sz="0" w:space="0" w:color="auto"/>
                    <w:bottom w:val="none" w:sz="0" w:space="0" w:color="auto"/>
                    <w:right w:val="none" w:sz="0" w:space="0" w:color="auto"/>
                  </w:divBdr>
                </w:div>
              </w:divsChild>
            </w:div>
            <w:div w:id="1225726843">
              <w:marLeft w:val="0"/>
              <w:marRight w:val="0"/>
              <w:marTop w:val="0"/>
              <w:marBottom w:val="0"/>
              <w:divBdr>
                <w:top w:val="none" w:sz="0" w:space="0" w:color="auto"/>
                <w:left w:val="none" w:sz="0" w:space="0" w:color="auto"/>
                <w:bottom w:val="none" w:sz="0" w:space="0" w:color="auto"/>
                <w:right w:val="none" w:sz="0" w:space="0" w:color="auto"/>
              </w:divBdr>
              <w:divsChild>
                <w:div w:id="1820146277">
                  <w:marLeft w:val="0"/>
                  <w:marRight w:val="0"/>
                  <w:marTop w:val="0"/>
                  <w:marBottom w:val="0"/>
                  <w:divBdr>
                    <w:top w:val="none" w:sz="0" w:space="0" w:color="auto"/>
                    <w:left w:val="none" w:sz="0" w:space="0" w:color="auto"/>
                    <w:bottom w:val="none" w:sz="0" w:space="0" w:color="auto"/>
                    <w:right w:val="none" w:sz="0" w:space="0" w:color="auto"/>
                  </w:divBdr>
                </w:div>
              </w:divsChild>
            </w:div>
            <w:div w:id="1638871368">
              <w:marLeft w:val="0"/>
              <w:marRight w:val="0"/>
              <w:marTop w:val="0"/>
              <w:marBottom w:val="0"/>
              <w:divBdr>
                <w:top w:val="none" w:sz="0" w:space="0" w:color="auto"/>
                <w:left w:val="none" w:sz="0" w:space="0" w:color="auto"/>
                <w:bottom w:val="none" w:sz="0" w:space="0" w:color="auto"/>
                <w:right w:val="none" w:sz="0" w:space="0" w:color="auto"/>
              </w:divBdr>
              <w:divsChild>
                <w:div w:id="1548031133">
                  <w:marLeft w:val="0"/>
                  <w:marRight w:val="0"/>
                  <w:marTop w:val="0"/>
                  <w:marBottom w:val="0"/>
                  <w:divBdr>
                    <w:top w:val="none" w:sz="0" w:space="0" w:color="auto"/>
                    <w:left w:val="none" w:sz="0" w:space="0" w:color="auto"/>
                    <w:bottom w:val="none" w:sz="0" w:space="0" w:color="auto"/>
                    <w:right w:val="none" w:sz="0" w:space="0" w:color="auto"/>
                  </w:divBdr>
                </w:div>
              </w:divsChild>
            </w:div>
            <w:div w:id="1590697546">
              <w:marLeft w:val="0"/>
              <w:marRight w:val="0"/>
              <w:marTop w:val="0"/>
              <w:marBottom w:val="0"/>
              <w:divBdr>
                <w:top w:val="none" w:sz="0" w:space="0" w:color="auto"/>
                <w:left w:val="none" w:sz="0" w:space="0" w:color="auto"/>
                <w:bottom w:val="none" w:sz="0" w:space="0" w:color="auto"/>
                <w:right w:val="none" w:sz="0" w:space="0" w:color="auto"/>
              </w:divBdr>
              <w:divsChild>
                <w:div w:id="768543557">
                  <w:marLeft w:val="0"/>
                  <w:marRight w:val="0"/>
                  <w:marTop w:val="0"/>
                  <w:marBottom w:val="0"/>
                  <w:divBdr>
                    <w:top w:val="none" w:sz="0" w:space="0" w:color="auto"/>
                    <w:left w:val="none" w:sz="0" w:space="0" w:color="auto"/>
                    <w:bottom w:val="none" w:sz="0" w:space="0" w:color="auto"/>
                    <w:right w:val="none" w:sz="0" w:space="0" w:color="auto"/>
                  </w:divBdr>
                </w:div>
              </w:divsChild>
            </w:div>
            <w:div w:id="1344278265">
              <w:marLeft w:val="0"/>
              <w:marRight w:val="0"/>
              <w:marTop w:val="0"/>
              <w:marBottom w:val="0"/>
              <w:divBdr>
                <w:top w:val="none" w:sz="0" w:space="0" w:color="auto"/>
                <w:left w:val="none" w:sz="0" w:space="0" w:color="auto"/>
                <w:bottom w:val="none" w:sz="0" w:space="0" w:color="auto"/>
                <w:right w:val="none" w:sz="0" w:space="0" w:color="auto"/>
              </w:divBdr>
              <w:divsChild>
                <w:div w:id="10230424">
                  <w:marLeft w:val="0"/>
                  <w:marRight w:val="0"/>
                  <w:marTop w:val="0"/>
                  <w:marBottom w:val="0"/>
                  <w:divBdr>
                    <w:top w:val="none" w:sz="0" w:space="0" w:color="auto"/>
                    <w:left w:val="none" w:sz="0" w:space="0" w:color="auto"/>
                    <w:bottom w:val="none" w:sz="0" w:space="0" w:color="auto"/>
                    <w:right w:val="none" w:sz="0" w:space="0" w:color="auto"/>
                  </w:divBdr>
                </w:div>
              </w:divsChild>
            </w:div>
            <w:div w:id="1060205010">
              <w:marLeft w:val="0"/>
              <w:marRight w:val="0"/>
              <w:marTop w:val="0"/>
              <w:marBottom w:val="0"/>
              <w:divBdr>
                <w:top w:val="none" w:sz="0" w:space="0" w:color="auto"/>
                <w:left w:val="none" w:sz="0" w:space="0" w:color="auto"/>
                <w:bottom w:val="none" w:sz="0" w:space="0" w:color="auto"/>
                <w:right w:val="none" w:sz="0" w:space="0" w:color="auto"/>
              </w:divBdr>
              <w:divsChild>
                <w:div w:id="1751658991">
                  <w:marLeft w:val="0"/>
                  <w:marRight w:val="0"/>
                  <w:marTop w:val="0"/>
                  <w:marBottom w:val="0"/>
                  <w:divBdr>
                    <w:top w:val="none" w:sz="0" w:space="0" w:color="auto"/>
                    <w:left w:val="none" w:sz="0" w:space="0" w:color="auto"/>
                    <w:bottom w:val="none" w:sz="0" w:space="0" w:color="auto"/>
                    <w:right w:val="none" w:sz="0" w:space="0" w:color="auto"/>
                  </w:divBdr>
                </w:div>
              </w:divsChild>
            </w:div>
            <w:div w:id="1735272095">
              <w:marLeft w:val="0"/>
              <w:marRight w:val="0"/>
              <w:marTop w:val="0"/>
              <w:marBottom w:val="0"/>
              <w:divBdr>
                <w:top w:val="none" w:sz="0" w:space="0" w:color="auto"/>
                <w:left w:val="none" w:sz="0" w:space="0" w:color="auto"/>
                <w:bottom w:val="none" w:sz="0" w:space="0" w:color="auto"/>
                <w:right w:val="none" w:sz="0" w:space="0" w:color="auto"/>
              </w:divBdr>
              <w:divsChild>
                <w:div w:id="2134791230">
                  <w:marLeft w:val="0"/>
                  <w:marRight w:val="0"/>
                  <w:marTop w:val="0"/>
                  <w:marBottom w:val="0"/>
                  <w:divBdr>
                    <w:top w:val="none" w:sz="0" w:space="0" w:color="auto"/>
                    <w:left w:val="none" w:sz="0" w:space="0" w:color="auto"/>
                    <w:bottom w:val="none" w:sz="0" w:space="0" w:color="auto"/>
                    <w:right w:val="none" w:sz="0" w:space="0" w:color="auto"/>
                  </w:divBdr>
                </w:div>
              </w:divsChild>
            </w:div>
            <w:div w:id="1350985125">
              <w:marLeft w:val="0"/>
              <w:marRight w:val="0"/>
              <w:marTop w:val="0"/>
              <w:marBottom w:val="0"/>
              <w:divBdr>
                <w:top w:val="none" w:sz="0" w:space="0" w:color="auto"/>
                <w:left w:val="none" w:sz="0" w:space="0" w:color="auto"/>
                <w:bottom w:val="none" w:sz="0" w:space="0" w:color="auto"/>
                <w:right w:val="none" w:sz="0" w:space="0" w:color="auto"/>
              </w:divBdr>
              <w:divsChild>
                <w:div w:id="722411568">
                  <w:marLeft w:val="0"/>
                  <w:marRight w:val="0"/>
                  <w:marTop w:val="0"/>
                  <w:marBottom w:val="0"/>
                  <w:divBdr>
                    <w:top w:val="none" w:sz="0" w:space="0" w:color="auto"/>
                    <w:left w:val="none" w:sz="0" w:space="0" w:color="auto"/>
                    <w:bottom w:val="none" w:sz="0" w:space="0" w:color="auto"/>
                    <w:right w:val="none" w:sz="0" w:space="0" w:color="auto"/>
                  </w:divBdr>
                </w:div>
              </w:divsChild>
            </w:div>
            <w:div w:id="1110930049">
              <w:marLeft w:val="0"/>
              <w:marRight w:val="0"/>
              <w:marTop w:val="0"/>
              <w:marBottom w:val="0"/>
              <w:divBdr>
                <w:top w:val="none" w:sz="0" w:space="0" w:color="auto"/>
                <w:left w:val="none" w:sz="0" w:space="0" w:color="auto"/>
                <w:bottom w:val="none" w:sz="0" w:space="0" w:color="auto"/>
                <w:right w:val="none" w:sz="0" w:space="0" w:color="auto"/>
              </w:divBdr>
              <w:divsChild>
                <w:div w:id="2124109615">
                  <w:marLeft w:val="0"/>
                  <w:marRight w:val="0"/>
                  <w:marTop w:val="0"/>
                  <w:marBottom w:val="0"/>
                  <w:divBdr>
                    <w:top w:val="none" w:sz="0" w:space="0" w:color="auto"/>
                    <w:left w:val="none" w:sz="0" w:space="0" w:color="auto"/>
                    <w:bottom w:val="none" w:sz="0" w:space="0" w:color="auto"/>
                    <w:right w:val="none" w:sz="0" w:space="0" w:color="auto"/>
                  </w:divBdr>
                </w:div>
              </w:divsChild>
            </w:div>
            <w:div w:id="30618826">
              <w:marLeft w:val="0"/>
              <w:marRight w:val="0"/>
              <w:marTop w:val="0"/>
              <w:marBottom w:val="0"/>
              <w:divBdr>
                <w:top w:val="none" w:sz="0" w:space="0" w:color="auto"/>
                <w:left w:val="none" w:sz="0" w:space="0" w:color="auto"/>
                <w:bottom w:val="none" w:sz="0" w:space="0" w:color="auto"/>
                <w:right w:val="none" w:sz="0" w:space="0" w:color="auto"/>
              </w:divBdr>
              <w:divsChild>
                <w:div w:id="1922987727">
                  <w:marLeft w:val="0"/>
                  <w:marRight w:val="0"/>
                  <w:marTop w:val="0"/>
                  <w:marBottom w:val="0"/>
                  <w:divBdr>
                    <w:top w:val="none" w:sz="0" w:space="0" w:color="auto"/>
                    <w:left w:val="none" w:sz="0" w:space="0" w:color="auto"/>
                    <w:bottom w:val="none" w:sz="0" w:space="0" w:color="auto"/>
                    <w:right w:val="none" w:sz="0" w:space="0" w:color="auto"/>
                  </w:divBdr>
                </w:div>
              </w:divsChild>
            </w:div>
            <w:div w:id="1165240068">
              <w:marLeft w:val="0"/>
              <w:marRight w:val="0"/>
              <w:marTop w:val="0"/>
              <w:marBottom w:val="0"/>
              <w:divBdr>
                <w:top w:val="none" w:sz="0" w:space="0" w:color="auto"/>
                <w:left w:val="none" w:sz="0" w:space="0" w:color="auto"/>
                <w:bottom w:val="none" w:sz="0" w:space="0" w:color="auto"/>
                <w:right w:val="none" w:sz="0" w:space="0" w:color="auto"/>
              </w:divBdr>
              <w:divsChild>
                <w:div w:id="970400745">
                  <w:marLeft w:val="0"/>
                  <w:marRight w:val="0"/>
                  <w:marTop w:val="0"/>
                  <w:marBottom w:val="0"/>
                  <w:divBdr>
                    <w:top w:val="none" w:sz="0" w:space="0" w:color="auto"/>
                    <w:left w:val="none" w:sz="0" w:space="0" w:color="auto"/>
                    <w:bottom w:val="none" w:sz="0" w:space="0" w:color="auto"/>
                    <w:right w:val="none" w:sz="0" w:space="0" w:color="auto"/>
                  </w:divBdr>
                </w:div>
              </w:divsChild>
            </w:div>
            <w:div w:id="798962244">
              <w:marLeft w:val="0"/>
              <w:marRight w:val="0"/>
              <w:marTop w:val="0"/>
              <w:marBottom w:val="0"/>
              <w:divBdr>
                <w:top w:val="none" w:sz="0" w:space="0" w:color="auto"/>
                <w:left w:val="none" w:sz="0" w:space="0" w:color="auto"/>
                <w:bottom w:val="none" w:sz="0" w:space="0" w:color="auto"/>
                <w:right w:val="none" w:sz="0" w:space="0" w:color="auto"/>
              </w:divBdr>
              <w:divsChild>
                <w:div w:id="1322003207">
                  <w:marLeft w:val="0"/>
                  <w:marRight w:val="0"/>
                  <w:marTop w:val="0"/>
                  <w:marBottom w:val="0"/>
                  <w:divBdr>
                    <w:top w:val="none" w:sz="0" w:space="0" w:color="auto"/>
                    <w:left w:val="none" w:sz="0" w:space="0" w:color="auto"/>
                    <w:bottom w:val="none" w:sz="0" w:space="0" w:color="auto"/>
                    <w:right w:val="none" w:sz="0" w:space="0" w:color="auto"/>
                  </w:divBdr>
                </w:div>
              </w:divsChild>
            </w:div>
            <w:div w:id="399524305">
              <w:marLeft w:val="0"/>
              <w:marRight w:val="0"/>
              <w:marTop w:val="0"/>
              <w:marBottom w:val="0"/>
              <w:divBdr>
                <w:top w:val="none" w:sz="0" w:space="0" w:color="auto"/>
                <w:left w:val="none" w:sz="0" w:space="0" w:color="auto"/>
                <w:bottom w:val="none" w:sz="0" w:space="0" w:color="auto"/>
                <w:right w:val="none" w:sz="0" w:space="0" w:color="auto"/>
              </w:divBdr>
              <w:divsChild>
                <w:div w:id="21436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157">
          <w:marLeft w:val="0"/>
          <w:marRight w:val="0"/>
          <w:marTop w:val="0"/>
          <w:marBottom w:val="600"/>
          <w:divBdr>
            <w:top w:val="none" w:sz="0" w:space="0" w:color="auto"/>
            <w:left w:val="none" w:sz="0" w:space="0" w:color="auto"/>
            <w:bottom w:val="none" w:sz="0" w:space="0" w:color="auto"/>
            <w:right w:val="none" w:sz="0" w:space="0" w:color="auto"/>
          </w:divBdr>
        </w:div>
      </w:divsChild>
    </w:div>
    <w:div w:id="1278685622">
      <w:marLeft w:val="0"/>
      <w:marRight w:val="0"/>
      <w:marTop w:val="0"/>
      <w:marBottom w:val="0"/>
      <w:divBdr>
        <w:top w:val="none" w:sz="0" w:space="0" w:color="auto"/>
        <w:left w:val="none" w:sz="0" w:space="0" w:color="auto"/>
        <w:bottom w:val="none" w:sz="0" w:space="0" w:color="auto"/>
        <w:right w:val="none" w:sz="0" w:space="0" w:color="auto"/>
      </w:divBdr>
      <w:divsChild>
        <w:div w:id="2114090828">
          <w:marLeft w:val="0"/>
          <w:marRight w:val="0"/>
          <w:marTop w:val="547"/>
          <w:marBottom w:val="0"/>
          <w:divBdr>
            <w:top w:val="none" w:sz="0" w:space="0" w:color="auto"/>
            <w:left w:val="none" w:sz="0" w:space="0" w:color="auto"/>
            <w:bottom w:val="none" w:sz="0" w:space="0" w:color="auto"/>
            <w:right w:val="none" w:sz="0" w:space="0" w:color="auto"/>
          </w:divBdr>
        </w:div>
        <w:div w:id="266543067">
          <w:marLeft w:val="0"/>
          <w:marRight w:val="0"/>
          <w:marTop w:val="0"/>
          <w:marBottom w:val="0"/>
          <w:divBdr>
            <w:top w:val="none" w:sz="0" w:space="0" w:color="auto"/>
            <w:left w:val="none" w:sz="0" w:space="0" w:color="auto"/>
            <w:bottom w:val="none" w:sz="0" w:space="0" w:color="auto"/>
            <w:right w:val="none" w:sz="0" w:space="0" w:color="auto"/>
          </w:divBdr>
        </w:div>
        <w:div w:id="948390008">
          <w:marLeft w:val="0"/>
          <w:marRight w:val="0"/>
          <w:marTop w:val="0"/>
          <w:marBottom w:val="600"/>
          <w:divBdr>
            <w:top w:val="none" w:sz="0" w:space="0" w:color="auto"/>
            <w:left w:val="none" w:sz="0" w:space="0" w:color="auto"/>
            <w:bottom w:val="none" w:sz="0" w:space="0" w:color="auto"/>
            <w:right w:val="none" w:sz="0" w:space="0" w:color="auto"/>
          </w:divBdr>
        </w:div>
      </w:divsChild>
    </w:div>
    <w:div w:id="1314990552">
      <w:marLeft w:val="0"/>
      <w:marRight w:val="0"/>
      <w:marTop w:val="0"/>
      <w:marBottom w:val="0"/>
      <w:divBdr>
        <w:top w:val="none" w:sz="0" w:space="0" w:color="auto"/>
        <w:left w:val="none" w:sz="0" w:space="0" w:color="auto"/>
        <w:bottom w:val="none" w:sz="0" w:space="0" w:color="auto"/>
        <w:right w:val="none" w:sz="0" w:space="0" w:color="auto"/>
      </w:divBdr>
      <w:divsChild>
        <w:div w:id="1626807493">
          <w:marLeft w:val="0"/>
          <w:marRight w:val="0"/>
          <w:marTop w:val="547"/>
          <w:marBottom w:val="0"/>
          <w:divBdr>
            <w:top w:val="none" w:sz="0" w:space="0" w:color="auto"/>
            <w:left w:val="none" w:sz="0" w:space="0" w:color="auto"/>
            <w:bottom w:val="none" w:sz="0" w:space="0" w:color="auto"/>
            <w:right w:val="none" w:sz="0" w:space="0" w:color="auto"/>
          </w:divBdr>
        </w:div>
        <w:div w:id="1808158520">
          <w:marLeft w:val="0"/>
          <w:marRight w:val="0"/>
          <w:marTop w:val="0"/>
          <w:marBottom w:val="0"/>
          <w:divBdr>
            <w:top w:val="none" w:sz="0" w:space="0" w:color="auto"/>
            <w:left w:val="none" w:sz="0" w:space="0" w:color="auto"/>
            <w:bottom w:val="none" w:sz="0" w:space="0" w:color="auto"/>
            <w:right w:val="none" w:sz="0" w:space="0" w:color="auto"/>
          </w:divBdr>
        </w:div>
        <w:div w:id="630987756">
          <w:marLeft w:val="0"/>
          <w:marRight w:val="0"/>
          <w:marTop w:val="0"/>
          <w:marBottom w:val="600"/>
          <w:divBdr>
            <w:top w:val="none" w:sz="0" w:space="0" w:color="auto"/>
            <w:left w:val="none" w:sz="0" w:space="0" w:color="auto"/>
            <w:bottom w:val="none" w:sz="0" w:space="0" w:color="auto"/>
            <w:right w:val="none" w:sz="0" w:space="0" w:color="auto"/>
          </w:divBdr>
        </w:div>
      </w:divsChild>
    </w:div>
    <w:div w:id="1323043378">
      <w:marLeft w:val="0"/>
      <w:marRight w:val="0"/>
      <w:marTop w:val="0"/>
      <w:marBottom w:val="0"/>
      <w:divBdr>
        <w:top w:val="none" w:sz="0" w:space="0" w:color="auto"/>
        <w:left w:val="none" w:sz="0" w:space="0" w:color="auto"/>
        <w:bottom w:val="none" w:sz="0" w:space="0" w:color="auto"/>
        <w:right w:val="none" w:sz="0" w:space="0" w:color="auto"/>
      </w:divBdr>
      <w:divsChild>
        <w:div w:id="1008755488">
          <w:marLeft w:val="0"/>
          <w:marRight w:val="0"/>
          <w:marTop w:val="547"/>
          <w:marBottom w:val="0"/>
          <w:divBdr>
            <w:top w:val="none" w:sz="0" w:space="0" w:color="auto"/>
            <w:left w:val="none" w:sz="0" w:space="0" w:color="auto"/>
            <w:bottom w:val="none" w:sz="0" w:space="0" w:color="auto"/>
            <w:right w:val="none" w:sz="0" w:space="0" w:color="auto"/>
          </w:divBdr>
        </w:div>
        <w:div w:id="1479951885">
          <w:marLeft w:val="0"/>
          <w:marRight w:val="0"/>
          <w:marTop w:val="0"/>
          <w:marBottom w:val="0"/>
          <w:divBdr>
            <w:top w:val="none" w:sz="0" w:space="0" w:color="auto"/>
            <w:left w:val="none" w:sz="0" w:space="0" w:color="auto"/>
            <w:bottom w:val="none" w:sz="0" w:space="0" w:color="auto"/>
            <w:right w:val="none" w:sz="0" w:space="0" w:color="auto"/>
          </w:divBdr>
        </w:div>
        <w:div w:id="1785881589">
          <w:marLeft w:val="0"/>
          <w:marRight w:val="0"/>
          <w:marTop w:val="0"/>
          <w:marBottom w:val="600"/>
          <w:divBdr>
            <w:top w:val="none" w:sz="0" w:space="0" w:color="auto"/>
            <w:left w:val="none" w:sz="0" w:space="0" w:color="auto"/>
            <w:bottom w:val="none" w:sz="0" w:space="0" w:color="auto"/>
            <w:right w:val="none" w:sz="0" w:space="0" w:color="auto"/>
          </w:divBdr>
        </w:div>
      </w:divsChild>
    </w:div>
    <w:div w:id="1381858589">
      <w:marLeft w:val="0"/>
      <w:marRight w:val="0"/>
      <w:marTop w:val="0"/>
      <w:marBottom w:val="0"/>
      <w:divBdr>
        <w:top w:val="none" w:sz="0" w:space="0" w:color="auto"/>
        <w:left w:val="none" w:sz="0" w:space="0" w:color="auto"/>
        <w:bottom w:val="none" w:sz="0" w:space="0" w:color="auto"/>
        <w:right w:val="none" w:sz="0" w:space="0" w:color="auto"/>
      </w:divBdr>
      <w:divsChild>
        <w:div w:id="809979646">
          <w:marLeft w:val="0"/>
          <w:marRight w:val="0"/>
          <w:marTop w:val="547"/>
          <w:marBottom w:val="0"/>
          <w:divBdr>
            <w:top w:val="none" w:sz="0" w:space="0" w:color="auto"/>
            <w:left w:val="none" w:sz="0" w:space="0" w:color="auto"/>
            <w:bottom w:val="none" w:sz="0" w:space="0" w:color="auto"/>
            <w:right w:val="none" w:sz="0" w:space="0" w:color="auto"/>
          </w:divBdr>
        </w:div>
        <w:div w:id="205677034">
          <w:marLeft w:val="0"/>
          <w:marRight w:val="0"/>
          <w:marTop w:val="0"/>
          <w:marBottom w:val="0"/>
          <w:divBdr>
            <w:top w:val="none" w:sz="0" w:space="0" w:color="auto"/>
            <w:left w:val="none" w:sz="0" w:space="0" w:color="auto"/>
            <w:bottom w:val="none" w:sz="0" w:space="0" w:color="auto"/>
            <w:right w:val="none" w:sz="0" w:space="0" w:color="auto"/>
          </w:divBdr>
        </w:div>
        <w:div w:id="1677002965">
          <w:marLeft w:val="0"/>
          <w:marRight w:val="0"/>
          <w:marTop w:val="0"/>
          <w:marBottom w:val="600"/>
          <w:divBdr>
            <w:top w:val="none" w:sz="0" w:space="0" w:color="auto"/>
            <w:left w:val="none" w:sz="0" w:space="0" w:color="auto"/>
            <w:bottom w:val="none" w:sz="0" w:space="0" w:color="auto"/>
            <w:right w:val="none" w:sz="0" w:space="0" w:color="auto"/>
          </w:divBdr>
        </w:div>
      </w:divsChild>
    </w:div>
    <w:div w:id="1391230334">
      <w:marLeft w:val="0"/>
      <w:marRight w:val="0"/>
      <w:marTop w:val="0"/>
      <w:marBottom w:val="0"/>
      <w:divBdr>
        <w:top w:val="none" w:sz="0" w:space="0" w:color="auto"/>
        <w:left w:val="none" w:sz="0" w:space="0" w:color="auto"/>
        <w:bottom w:val="none" w:sz="0" w:space="0" w:color="auto"/>
        <w:right w:val="none" w:sz="0" w:space="0" w:color="auto"/>
      </w:divBdr>
      <w:divsChild>
        <w:div w:id="1213424908">
          <w:marLeft w:val="0"/>
          <w:marRight w:val="0"/>
          <w:marTop w:val="547"/>
          <w:marBottom w:val="0"/>
          <w:divBdr>
            <w:top w:val="none" w:sz="0" w:space="0" w:color="auto"/>
            <w:left w:val="none" w:sz="0" w:space="0" w:color="auto"/>
            <w:bottom w:val="none" w:sz="0" w:space="0" w:color="auto"/>
            <w:right w:val="none" w:sz="0" w:space="0" w:color="auto"/>
          </w:divBdr>
        </w:div>
        <w:div w:id="1458454316">
          <w:marLeft w:val="0"/>
          <w:marRight w:val="0"/>
          <w:marTop w:val="0"/>
          <w:marBottom w:val="0"/>
          <w:divBdr>
            <w:top w:val="none" w:sz="0" w:space="0" w:color="auto"/>
            <w:left w:val="none" w:sz="0" w:space="0" w:color="auto"/>
            <w:bottom w:val="none" w:sz="0" w:space="0" w:color="auto"/>
            <w:right w:val="none" w:sz="0" w:space="0" w:color="auto"/>
          </w:divBdr>
        </w:div>
        <w:div w:id="454911092">
          <w:marLeft w:val="0"/>
          <w:marRight w:val="0"/>
          <w:marTop w:val="0"/>
          <w:marBottom w:val="600"/>
          <w:divBdr>
            <w:top w:val="none" w:sz="0" w:space="0" w:color="auto"/>
            <w:left w:val="none" w:sz="0" w:space="0" w:color="auto"/>
            <w:bottom w:val="none" w:sz="0" w:space="0" w:color="auto"/>
            <w:right w:val="none" w:sz="0" w:space="0" w:color="auto"/>
          </w:divBdr>
        </w:div>
      </w:divsChild>
    </w:div>
    <w:div w:id="1400784770">
      <w:marLeft w:val="0"/>
      <w:marRight w:val="0"/>
      <w:marTop w:val="0"/>
      <w:marBottom w:val="0"/>
      <w:divBdr>
        <w:top w:val="none" w:sz="0" w:space="0" w:color="auto"/>
        <w:left w:val="none" w:sz="0" w:space="0" w:color="auto"/>
        <w:bottom w:val="none" w:sz="0" w:space="0" w:color="auto"/>
        <w:right w:val="none" w:sz="0" w:space="0" w:color="auto"/>
      </w:divBdr>
      <w:divsChild>
        <w:div w:id="130905261">
          <w:marLeft w:val="0"/>
          <w:marRight w:val="0"/>
          <w:marTop w:val="547"/>
          <w:marBottom w:val="0"/>
          <w:divBdr>
            <w:top w:val="none" w:sz="0" w:space="0" w:color="auto"/>
            <w:left w:val="none" w:sz="0" w:space="0" w:color="auto"/>
            <w:bottom w:val="none" w:sz="0" w:space="0" w:color="auto"/>
            <w:right w:val="none" w:sz="0" w:space="0" w:color="auto"/>
          </w:divBdr>
        </w:div>
        <w:div w:id="886183648">
          <w:marLeft w:val="0"/>
          <w:marRight w:val="0"/>
          <w:marTop w:val="0"/>
          <w:marBottom w:val="0"/>
          <w:divBdr>
            <w:top w:val="none" w:sz="0" w:space="0" w:color="auto"/>
            <w:left w:val="none" w:sz="0" w:space="0" w:color="auto"/>
            <w:bottom w:val="none" w:sz="0" w:space="0" w:color="auto"/>
            <w:right w:val="none" w:sz="0" w:space="0" w:color="auto"/>
          </w:divBdr>
        </w:div>
        <w:div w:id="287323856">
          <w:marLeft w:val="0"/>
          <w:marRight w:val="0"/>
          <w:marTop w:val="0"/>
          <w:marBottom w:val="600"/>
          <w:divBdr>
            <w:top w:val="none" w:sz="0" w:space="0" w:color="auto"/>
            <w:left w:val="none" w:sz="0" w:space="0" w:color="auto"/>
            <w:bottom w:val="none" w:sz="0" w:space="0" w:color="auto"/>
            <w:right w:val="none" w:sz="0" w:space="0" w:color="auto"/>
          </w:divBdr>
        </w:div>
      </w:divsChild>
    </w:div>
    <w:div w:id="1427574788">
      <w:marLeft w:val="0"/>
      <w:marRight w:val="0"/>
      <w:marTop w:val="0"/>
      <w:marBottom w:val="0"/>
      <w:divBdr>
        <w:top w:val="none" w:sz="0" w:space="0" w:color="auto"/>
        <w:left w:val="none" w:sz="0" w:space="0" w:color="auto"/>
        <w:bottom w:val="none" w:sz="0" w:space="0" w:color="auto"/>
        <w:right w:val="none" w:sz="0" w:space="0" w:color="auto"/>
      </w:divBdr>
      <w:divsChild>
        <w:div w:id="98182407">
          <w:marLeft w:val="0"/>
          <w:marRight w:val="0"/>
          <w:marTop w:val="547"/>
          <w:marBottom w:val="0"/>
          <w:divBdr>
            <w:top w:val="none" w:sz="0" w:space="0" w:color="auto"/>
            <w:left w:val="none" w:sz="0" w:space="0" w:color="auto"/>
            <w:bottom w:val="none" w:sz="0" w:space="0" w:color="auto"/>
            <w:right w:val="none" w:sz="0" w:space="0" w:color="auto"/>
          </w:divBdr>
        </w:div>
        <w:div w:id="1060862134">
          <w:marLeft w:val="0"/>
          <w:marRight w:val="0"/>
          <w:marTop w:val="0"/>
          <w:marBottom w:val="0"/>
          <w:divBdr>
            <w:top w:val="none" w:sz="0" w:space="0" w:color="auto"/>
            <w:left w:val="none" w:sz="0" w:space="0" w:color="auto"/>
            <w:bottom w:val="none" w:sz="0" w:space="0" w:color="auto"/>
            <w:right w:val="none" w:sz="0" w:space="0" w:color="auto"/>
          </w:divBdr>
          <w:divsChild>
            <w:div w:id="43725476">
              <w:marLeft w:val="0"/>
              <w:marRight w:val="0"/>
              <w:marTop w:val="0"/>
              <w:marBottom w:val="0"/>
              <w:divBdr>
                <w:top w:val="none" w:sz="0" w:space="0" w:color="auto"/>
                <w:left w:val="none" w:sz="0" w:space="0" w:color="auto"/>
                <w:bottom w:val="none" w:sz="0" w:space="0" w:color="auto"/>
                <w:right w:val="none" w:sz="0" w:space="0" w:color="auto"/>
              </w:divBdr>
              <w:divsChild>
                <w:div w:id="498425476">
                  <w:marLeft w:val="0"/>
                  <w:marRight w:val="0"/>
                  <w:marTop w:val="0"/>
                  <w:marBottom w:val="0"/>
                  <w:divBdr>
                    <w:top w:val="none" w:sz="0" w:space="0" w:color="auto"/>
                    <w:left w:val="none" w:sz="0" w:space="0" w:color="auto"/>
                    <w:bottom w:val="none" w:sz="0" w:space="0" w:color="auto"/>
                    <w:right w:val="none" w:sz="0" w:space="0" w:color="auto"/>
                  </w:divBdr>
                </w:div>
              </w:divsChild>
            </w:div>
            <w:div w:id="1505510825">
              <w:marLeft w:val="0"/>
              <w:marRight w:val="0"/>
              <w:marTop w:val="0"/>
              <w:marBottom w:val="0"/>
              <w:divBdr>
                <w:top w:val="none" w:sz="0" w:space="0" w:color="auto"/>
                <w:left w:val="none" w:sz="0" w:space="0" w:color="auto"/>
                <w:bottom w:val="none" w:sz="0" w:space="0" w:color="auto"/>
                <w:right w:val="none" w:sz="0" w:space="0" w:color="auto"/>
              </w:divBdr>
              <w:divsChild>
                <w:div w:id="1297640581">
                  <w:marLeft w:val="0"/>
                  <w:marRight w:val="0"/>
                  <w:marTop w:val="0"/>
                  <w:marBottom w:val="0"/>
                  <w:divBdr>
                    <w:top w:val="none" w:sz="0" w:space="0" w:color="auto"/>
                    <w:left w:val="none" w:sz="0" w:space="0" w:color="auto"/>
                    <w:bottom w:val="none" w:sz="0" w:space="0" w:color="auto"/>
                    <w:right w:val="none" w:sz="0" w:space="0" w:color="auto"/>
                  </w:divBdr>
                </w:div>
              </w:divsChild>
            </w:div>
            <w:div w:id="1339237529">
              <w:marLeft w:val="0"/>
              <w:marRight w:val="0"/>
              <w:marTop w:val="0"/>
              <w:marBottom w:val="0"/>
              <w:divBdr>
                <w:top w:val="none" w:sz="0" w:space="0" w:color="auto"/>
                <w:left w:val="none" w:sz="0" w:space="0" w:color="auto"/>
                <w:bottom w:val="none" w:sz="0" w:space="0" w:color="auto"/>
                <w:right w:val="none" w:sz="0" w:space="0" w:color="auto"/>
              </w:divBdr>
              <w:divsChild>
                <w:div w:id="338313106">
                  <w:marLeft w:val="0"/>
                  <w:marRight w:val="0"/>
                  <w:marTop w:val="0"/>
                  <w:marBottom w:val="0"/>
                  <w:divBdr>
                    <w:top w:val="none" w:sz="0" w:space="0" w:color="auto"/>
                    <w:left w:val="none" w:sz="0" w:space="0" w:color="auto"/>
                    <w:bottom w:val="none" w:sz="0" w:space="0" w:color="auto"/>
                    <w:right w:val="none" w:sz="0" w:space="0" w:color="auto"/>
                  </w:divBdr>
                </w:div>
              </w:divsChild>
            </w:div>
            <w:div w:id="1520660015">
              <w:marLeft w:val="0"/>
              <w:marRight w:val="0"/>
              <w:marTop w:val="0"/>
              <w:marBottom w:val="0"/>
              <w:divBdr>
                <w:top w:val="none" w:sz="0" w:space="0" w:color="auto"/>
                <w:left w:val="none" w:sz="0" w:space="0" w:color="auto"/>
                <w:bottom w:val="none" w:sz="0" w:space="0" w:color="auto"/>
                <w:right w:val="none" w:sz="0" w:space="0" w:color="auto"/>
              </w:divBdr>
              <w:divsChild>
                <w:div w:id="263418236">
                  <w:marLeft w:val="0"/>
                  <w:marRight w:val="0"/>
                  <w:marTop w:val="0"/>
                  <w:marBottom w:val="0"/>
                  <w:divBdr>
                    <w:top w:val="none" w:sz="0" w:space="0" w:color="auto"/>
                    <w:left w:val="none" w:sz="0" w:space="0" w:color="auto"/>
                    <w:bottom w:val="none" w:sz="0" w:space="0" w:color="auto"/>
                    <w:right w:val="none" w:sz="0" w:space="0" w:color="auto"/>
                  </w:divBdr>
                </w:div>
              </w:divsChild>
            </w:div>
            <w:div w:id="1666275220">
              <w:marLeft w:val="0"/>
              <w:marRight w:val="0"/>
              <w:marTop w:val="0"/>
              <w:marBottom w:val="0"/>
              <w:divBdr>
                <w:top w:val="none" w:sz="0" w:space="0" w:color="auto"/>
                <w:left w:val="none" w:sz="0" w:space="0" w:color="auto"/>
                <w:bottom w:val="none" w:sz="0" w:space="0" w:color="auto"/>
                <w:right w:val="none" w:sz="0" w:space="0" w:color="auto"/>
              </w:divBdr>
              <w:divsChild>
                <w:div w:id="584731312">
                  <w:marLeft w:val="0"/>
                  <w:marRight w:val="0"/>
                  <w:marTop w:val="0"/>
                  <w:marBottom w:val="0"/>
                  <w:divBdr>
                    <w:top w:val="none" w:sz="0" w:space="0" w:color="auto"/>
                    <w:left w:val="none" w:sz="0" w:space="0" w:color="auto"/>
                    <w:bottom w:val="none" w:sz="0" w:space="0" w:color="auto"/>
                    <w:right w:val="none" w:sz="0" w:space="0" w:color="auto"/>
                  </w:divBdr>
                </w:div>
              </w:divsChild>
            </w:div>
            <w:div w:id="1811241625">
              <w:marLeft w:val="0"/>
              <w:marRight w:val="0"/>
              <w:marTop w:val="0"/>
              <w:marBottom w:val="0"/>
              <w:divBdr>
                <w:top w:val="none" w:sz="0" w:space="0" w:color="auto"/>
                <w:left w:val="none" w:sz="0" w:space="0" w:color="auto"/>
                <w:bottom w:val="none" w:sz="0" w:space="0" w:color="auto"/>
                <w:right w:val="none" w:sz="0" w:space="0" w:color="auto"/>
              </w:divBdr>
              <w:divsChild>
                <w:div w:id="1733238916">
                  <w:marLeft w:val="0"/>
                  <w:marRight w:val="0"/>
                  <w:marTop w:val="0"/>
                  <w:marBottom w:val="0"/>
                  <w:divBdr>
                    <w:top w:val="none" w:sz="0" w:space="0" w:color="auto"/>
                    <w:left w:val="none" w:sz="0" w:space="0" w:color="auto"/>
                    <w:bottom w:val="none" w:sz="0" w:space="0" w:color="auto"/>
                    <w:right w:val="none" w:sz="0" w:space="0" w:color="auto"/>
                  </w:divBdr>
                </w:div>
              </w:divsChild>
            </w:div>
            <w:div w:id="1620407651">
              <w:marLeft w:val="0"/>
              <w:marRight w:val="0"/>
              <w:marTop w:val="0"/>
              <w:marBottom w:val="0"/>
              <w:divBdr>
                <w:top w:val="none" w:sz="0" w:space="0" w:color="auto"/>
                <w:left w:val="none" w:sz="0" w:space="0" w:color="auto"/>
                <w:bottom w:val="none" w:sz="0" w:space="0" w:color="auto"/>
                <w:right w:val="none" w:sz="0" w:space="0" w:color="auto"/>
              </w:divBdr>
              <w:divsChild>
                <w:div w:id="817112329">
                  <w:marLeft w:val="0"/>
                  <w:marRight w:val="0"/>
                  <w:marTop w:val="0"/>
                  <w:marBottom w:val="0"/>
                  <w:divBdr>
                    <w:top w:val="none" w:sz="0" w:space="0" w:color="auto"/>
                    <w:left w:val="none" w:sz="0" w:space="0" w:color="auto"/>
                    <w:bottom w:val="none" w:sz="0" w:space="0" w:color="auto"/>
                    <w:right w:val="none" w:sz="0" w:space="0" w:color="auto"/>
                  </w:divBdr>
                </w:div>
              </w:divsChild>
            </w:div>
            <w:div w:id="1235317843">
              <w:marLeft w:val="0"/>
              <w:marRight w:val="0"/>
              <w:marTop w:val="0"/>
              <w:marBottom w:val="0"/>
              <w:divBdr>
                <w:top w:val="none" w:sz="0" w:space="0" w:color="auto"/>
                <w:left w:val="none" w:sz="0" w:space="0" w:color="auto"/>
                <w:bottom w:val="none" w:sz="0" w:space="0" w:color="auto"/>
                <w:right w:val="none" w:sz="0" w:space="0" w:color="auto"/>
              </w:divBdr>
              <w:divsChild>
                <w:div w:id="104037313">
                  <w:marLeft w:val="0"/>
                  <w:marRight w:val="0"/>
                  <w:marTop w:val="0"/>
                  <w:marBottom w:val="0"/>
                  <w:divBdr>
                    <w:top w:val="none" w:sz="0" w:space="0" w:color="auto"/>
                    <w:left w:val="none" w:sz="0" w:space="0" w:color="auto"/>
                    <w:bottom w:val="none" w:sz="0" w:space="0" w:color="auto"/>
                    <w:right w:val="none" w:sz="0" w:space="0" w:color="auto"/>
                  </w:divBdr>
                </w:div>
              </w:divsChild>
            </w:div>
            <w:div w:id="1886991075">
              <w:marLeft w:val="0"/>
              <w:marRight w:val="0"/>
              <w:marTop w:val="0"/>
              <w:marBottom w:val="0"/>
              <w:divBdr>
                <w:top w:val="none" w:sz="0" w:space="0" w:color="auto"/>
                <w:left w:val="none" w:sz="0" w:space="0" w:color="auto"/>
                <w:bottom w:val="none" w:sz="0" w:space="0" w:color="auto"/>
                <w:right w:val="none" w:sz="0" w:space="0" w:color="auto"/>
              </w:divBdr>
              <w:divsChild>
                <w:div w:id="1128668448">
                  <w:marLeft w:val="0"/>
                  <w:marRight w:val="0"/>
                  <w:marTop w:val="0"/>
                  <w:marBottom w:val="0"/>
                  <w:divBdr>
                    <w:top w:val="none" w:sz="0" w:space="0" w:color="auto"/>
                    <w:left w:val="none" w:sz="0" w:space="0" w:color="auto"/>
                    <w:bottom w:val="none" w:sz="0" w:space="0" w:color="auto"/>
                    <w:right w:val="none" w:sz="0" w:space="0" w:color="auto"/>
                  </w:divBdr>
                </w:div>
              </w:divsChild>
            </w:div>
            <w:div w:id="398091587">
              <w:marLeft w:val="0"/>
              <w:marRight w:val="0"/>
              <w:marTop w:val="0"/>
              <w:marBottom w:val="0"/>
              <w:divBdr>
                <w:top w:val="none" w:sz="0" w:space="0" w:color="auto"/>
                <w:left w:val="none" w:sz="0" w:space="0" w:color="auto"/>
                <w:bottom w:val="none" w:sz="0" w:space="0" w:color="auto"/>
                <w:right w:val="none" w:sz="0" w:space="0" w:color="auto"/>
              </w:divBdr>
              <w:divsChild>
                <w:div w:id="9057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8095">
          <w:marLeft w:val="0"/>
          <w:marRight w:val="0"/>
          <w:marTop w:val="0"/>
          <w:marBottom w:val="600"/>
          <w:divBdr>
            <w:top w:val="none" w:sz="0" w:space="0" w:color="auto"/>
            <w:left w:val="none" w:sz="0" w:space="0" w:color="auto"/>
            <w:bottom w:val="none" w:sz="0" w:space="0" w:color="auto"/>
            <w:right w:val="none" w:sz="0" w:space="0" w:color="auto"/>
          </w:divBdr>
        </w:div>
      </w:divsChild>
    </w:div>
    <w:div w:id="1430539671">
      <w:marLeft w:val="0"/>
      <w:marRight w:val="0"/>
      <w:marTop w:val="0"/>
      <w:marBottom w:val="0"/>
      <w:divBdr>
        <w:top w:val="none" w:sz="0" w:space="0" w:color="auto"/>
        <w:left w:val="none" w:sz="0" w:space="0" w:color="auto"/>
        <w:bottom w:val="none" w:sz="0" w:space="0" w:color="auto"/>
        <w:right w:val="none" w:sz="0" w:space="0" w:color="auto"/>
      </w:divBdr>
      <w:divsChild>
        <w:div w:id="295837225">
          <w:marLeft w:val="0"/>
          <w:marRight w:val="0"/>
          <w:marTop w:val="547"/>
          <w:marBottom w:val="0"/>
          <w:divBdr>
            <w:top w:val="none" w:sz="0" w:space="0" w:color="auto"/>
            <w:left w:val="none" w:sz="0" w:space="0" w:color="auto"/>
            <w:bottom w:val="none" w:sz="0" w:space="0" w:color="auto"/>
            <w:right w:val="none" w:sz="0" w:space="0" w:color="auto"/>
          </w:divBdr>
        </w:div>
        <w:div w:id="347876934">
          <w:marLeft w:val="0"/>
          <w:marRight w:val="0"/>
          <w:marTop w:val="0"/>
          <w:marBottom w:val="0"/>
          <w:divBdr>
            <w:top w:val="none" w:sz="0" w:space="0" w:color="auto"/>
            <w:left w:val="none" w:sz="0" w:space="0" w:color="auto"/>
            <w:bottom w:val="none" w:sz="0" w:space="0" w:color="auto"/>
            <w:right w:val="none" w:sz="0" w:space="0" w:color="auto"/>
          </w:divBdr>
          <w:divsChild>
            <w:div w:id="1480728074">
              <w:marLeft w:val="0"/>
              <w:marRight w:val="0"/>
              <w:marTop w:val="0"/>
              <w:marBottom w:val="0"/>
              <w:divBdr>
                <w:top w:val="none" w:sz="0" w:space="0" w:color="auto"/>
                <w:left w:val="none" w:sz="0" w:space="0" w:color="auto"/>
                <w:bottom w:val="none" w:sz="0" w:space="0" w:color="auto"/>
                <w:right w:val="none" w:sz="0" w:space="0" w:color="auto"/>
              </w:divBdr>
              <w:divsChild>
                <w:div w:id="363017992">
                  <w:marLeft w:val="0"/>
                  <w:marRight w:val="0"/>
                  <w:marTop w:val="0"/>
                  <w:marBottom w:val="0"/>
                  <w:divBdr>
                    <w:top w:val="none" w:sz="0" w:space="0" w:color="auto"/>
                    <w:left w:val="none" w:sz="0" w:space="0" w:color="auto"/>
                    <w:bottom w:val="none" w:sz="0" w:space="0" w:color="auto"/>
                    <w:right w:val="none" w:sz="0" w:space="0" w:color="auto"/>
                  </w:divBdr>
                </w:div>
              </w:divsChild>
            </w:div>
            <w:div w:id="1195927501">
              <w:marLeft w:val="0"/>
              <w:marRight w:val="0"/>
              <w:marTop w:val="0"/>
              <w:marBottom w:val="0"/>
              <w:divBdr>
                <w:top w:val="none" w:sz="0" w:space="0" w:color="auto"/>
                <w:left w:val="none" w:sz="0" w:space="0" w:color="auto"/>
                <w:bottom w:val="none" w:sz="0" w:space="0" w:color="auto"/>
                <w:right w:val="none" w:sz="0" w:space="0" w:color="auto"/>
              </w:divBdr>
              <w:divsChild>
                <w:div w:id="16820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5510">
          <w:marLeft w:val="0"/>
          <w:marRight w:val="0"/>
          <w:marTop w:val="0"/>
          <w:marBottom w:val="600"/>
          <w:divBdr>
            <w:top w:val="none" w:sz="0" w:space="0" w:color="auto"/>
            <w:left w:val="none" w:sz="0" w:space="0" w:color="auto"/>
            <w:bottom w:val="none" w:sz="0" w:space="0" w:color="auto"/>
            <w:right w:val="none" w:sz="0" w:space="0" w:color="auto"/>
          </w:divBdr>
        </w:div>
      </w:divsChild>
    </w:div>
    <w:div w:id="1441031756">
      <w:marLeft w:val="0"/>
      <w:marRight w:val="0"/>
      <w:marTop w:val="0"/>
      <w:marBottom w:val="0"/>
      <w:divBdr>
        <w:top w:val="none" w:sz="0" w:space="0" w:color="auto"/>
        <w:left w:val="none" w:sz="0" w:space="0" w:color="auto"/>
        <w:bottom w:val="none" w:sz="0" w:space="0" w:color="auto"/>
        <w:right w:val="none" w:sz="0" w:space="0" w:color="auto"/>
      </w:divBdr>
      <w:divsChild>
        <w:div w:id="496268121">
          <w:marLeft w:val="0"/>
          <w:marRight w:val="0"/>
          <w:marTop w:val="547"/>
          <w:marBottom w:val="0"/>
          <w:divBdr>
            <w:top w:val="none" w:sz="0" w:space="0" w:color="auto"/>
            <w:left w:val="none" w:sz="0" w:space="0" w:color="auto"/>
            <w:bottom w:val="none" w:sz="0" w:space="0" w:color="auto"/>
            <w:right w:val="none" w:sz="0" w:space="0" w:color="auto"/>
          </w:divBdr>
        </w:div>
        <w:div w:id="1975482348">
          <w:marLeft w:val="0"/>
          <w:marRight w:val="0"/>
          <w:marTop w:val="0"/>
          <w:marBottom w:val="0"/>
          <w:divBdr>
            <w:top w:val="none" w:sz="0" w:space="0" w:color="auto"/>
            <w:left w:val="none" w:sz="0" w:space="0" w:color="auto"/>
            <w:bottom w:val="none" w:sz="0" w:space="0" w:color="auto"/>
            <w:right w:val="none" w:sz="0" w:space="0" w:color="auto"/>
          </w:divBdr>
          <w:divsChild>
            <w:div w:id="589627415">
              <w:marLeft w:val="0"/>
              <w:marRight w:val="0"/>
              <w:marTop w:val="0"/>
              <w:marBottom w:val="0"/>
              <w:divBdr>
                <w:top w:val="none" w:sz="0" w:space="0" w:color="auto"/>
                <w:left w:val="none" w:sz="0" w:space="0" w:color="auto"/>
                <w:bottom w:val="none" w:sz="0" w:space="0" w:color="auto"/>
                <w:right w:val="none" w:sz="0" w:space="0" w:color="auto"/>
              </w:divBdr>
              <w:divsChild>
                <w:div w:id="1430657747">
                  <w:marLeft w:val="0"/>
                  <w:marRight w:val="0"/>
                  <w:marTop w:val="0"/>
                  <w:marBottom w:val="0"/>
                  <w:divBdr>
                    <w:top w:val="none" w:sz="0" w:space="0" w:color="auto"/>
                    <w:left w:val="none" w:sz="0" w:space="0" w:color="auto"/>
                    <w:bottom w:val="none" w:sz="0" w:space="0" w:color="auto"/>
                    <w:right w:val="none" w:sz="0" w:space="0" w:color="auto"/>
                  </w:divBdr>
                </w:div>
              </w:divsChild>
            </w:div>
            <w:div w:id="1133908964">
              <w:marLeft w:val="0"/>
              <w:marRight w:val="0"/>
              <w:marTop w:val="0"/>
              <w:marBottom w:val="0"/>
              <w:divBdr>
                <w:top w:val="none" w:sz="0" w:space="0" w:color="auto"/>
                <w:left w:val="none" w:sz="0" w:space="0" w:color="auto"/>
                <w:bottom w:val="none" w:sz="0" w:space="0" w:color="auto"/>
                <w:right w:val="none" w:sz="0" w:space="0" w:color="auto"/>
              </w:divBdr>
              <w:divsChild>
                <w:div w:id="1945724653">
                  <w:marLeft w:val="0"/>
                  <w:marRight w:val="0"/>
                  <w:marTop w:val="0"/>
                  <w:marBottom w:val="0"/>
                  <w:divBdr>
                    <w:top w:val="none" w:sz="0" w:space="0" w:color="auto"/>
                    <w:left w:val="none" w:sz="0" w:space="0" w:color="auto"/>
                    <w:bottom w:val="none" w:sz="0" w:space="0" w:color="auto"/>
                    <w:right w:val="none" w:sz="0" w:space="0" w:color="auto"/>
                  </w:divBdr>
                </w:div>
              </w:divsChild>
            </w:div>
            <w:div w:id="722798614">
              <w:marLeft w:val="0"/>
              <w:marRight w:val="0"/>
              <w:marTop w:val="0"/>
              <w:marBottom w:val="0"/>
              <w:divBdr>
                <w:top w:val="none" w:sz="0" w:space="0" w:color="auto"/>
                <w:left w:val="none" w:sz="0" w:space="0" w:color="auto"/>
                <w:bottom w:val="none" w:sz="0" w:space="0" w:color="auto"/>
                <w:right w:val="none" w:sz="0" w:space="0" w:color="auto"/>
              </w:divBdr>
              <w:divsChild>
                <w:div w:id="737167223">
                  <w:marLeft w:val="0"/>
                  <w:marRight w:val="0"/>
                  <w:marTop w:val="0"/>
                  <w:marBottom w:val="0"/>
                  <w:divBdr>
                    <w:top w:val="none" w:sz="0" w:space="0" w:color="auto"/>
                    <w:left w:val="none" w:sz="0" w:space="0" w:color="auto"/>
                    <w:bottom w:val="none" w:sz="0" w:space="0" w:color="auto"/>
                    <w:right w:val="none" w:sz="0" w:space="0" w:color="auto"/>
                  </w:divBdr>
                </w:div>
              </w:divsChild>
            </w:div>
            <w:div w:id="1120295869">
              <w:marLeft w:val="0"/>
              <w:marRight w:val="0"/>
              <w:marTop w:val="0"/>
              <w:marBottom w:val="0"/>
              <w:divBdr>
                <w:top w:val="none" w:sz="0" w:space="0" w:color="auto"/>
                <w:left w:val="none" w:sz="0" w:space="0" w:color="auto"/>
                <w:bottom w:val="none" w:sz="0" w:space="0" w:color="auto"/>
                <w:right w:val="none" w:sz="0" w:space="0" w:color="auto"/>
              </w:divBdr>
              <w:divsChild>
                <w:div w:id="8418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778">
          <w:marLeft w:val="0"/>
          <w:marRight w:val="0"/>
          <w:marTop w:val="0"/>
          <w:marBottom w:val="600"/>
          <w:divBdr>
            <w:top w:val="none" w:sz="0" w:space="0" w:color="auto"/>
            <w:left w:val="none" w:sz="0" w:space="0" w:color="auto"/>
            <w:bottom w:val="none" w:sz="0" w:space="0" w:color="auto"/>
            <w:right w:val="none" w:sz="0" w:space="0" w:color="auto"/>
          </w:divBdr>
        </w:div>
      </w:divsChild>
    </w:div>
    <w:div w:id="1498418467">
      <w:marLeft w:val="0"/>
      <w:marRight w:val="0"/>
      <w:marTop w:val="0"/>
      <w:marBottom w:val="0"/>
      <w:divBdr>
        <w:top w:val="none" w:sz="0" w:space="0" w:color="auto"/>
        <w:left w:val="none" w:sz="0" w:space="0" w:color="auto"/>
        <w:bottom w:val="none" w:sz="0" w:space="0" w:color="auto"/>
        <w:right w:val="none" w:sz="0" w:space="0" w:color="auto"/>
      </w:divBdr>
      <w:divsChild>
        <w:div w:id="1397778919">
          <w:marLeft w:val="0"/>
          <w:marRight w:val="0"/>
          <w:marTop w:val="547"/>
          <w:marBottom w:val="0"/>
          <w:divBdr>
            <w:top w:val="none" w:sz="0" w:space="0" w:color="auto"/>
            <w:left w:val="none" w:sz="0" w:space="0" w:color="auto"/>
            <w:bottom w:val="none" w:sz="0" w:space="0" w:color="auto"/>
            <w:right w:val="none" w:sz="0" w:space="0" w:color="auto"/>
          </w:divBdr>
        </w:div>
        <w:div w:id="2059741161">
          <w:marLeft w:val="0"/>
          <w:marRight w:val="0"/>
          <w:marTop w:val="0"/>
          <w:marBottom w:val="0"/>
          <w:divBdr>
            <w:top w:val="none" w:sz="0" w:space="0" w:color="auto"/>
            <w:left w:val="none" w:sz="0" w:space="0" w:color="auto"/>
            <w:bottom w:val="none" w:sz="0" w:space="0" w:color="auto"/>
            <w:right w:val="none" w:sz="0" w:space="0" w:color="auto"/>
          </w:divBdr>
        </w:div>
        <w:div w:id="946737405">
          <w:marLeft w:val="0"/>
          <w:marRight w:val="0"/>
          <w:marTop w:val="0"/>
          <w:marBottom w:val="600"/>
          <w:divBdr>
            <w:top w:val="none" w:sz="0" w:space="0" w:color="auto"/>
            <w:left w:val="none" w:sz="0" w:space="0" w:color="auto"/>
            <w:bottom w:val="none" w:sz="0" w:space="0" w:color="auto"/>
            <w:right w:val="none" w:sz="0" w:space="0" w:color="auto"/>
          </w:divBdr>
        </w:div>
      </w:divsChild>
    </w:div>
    <w:div w:id="1521964328">
      <w:marLeft w:val="0"/>
      <w:marRight w:val="0"/>
      <w:marTop w:val="0"/>
      <w:marBottom w:val="0"/>
      <w:divBdr>
        <w:top w:val="none" w:sz="0" w:space="0" w:color="auto"/>
        <w:left w:val="none" w:sz="0" w:space="0" w:color="auto"/>
        <w:bottom w:val="none" w:sz="0" w:space="0" w:color="auto"/>
        <w:right w:val="none" w:sz="0" w:space="0" w:color="auto"/>
      </w:divBdr>
      <w:divsChild>
        <w:div w:id="1425221469">
          <w:marLeft w:val="0"/>
          <w:marRight w:val="0"/>
          <w:marTop w:val="547"/>
          <w:marBottom w:val="0"/>
          <w:divBdr>
            <w:top w:val="none" w:sz="0" w:space="0" w:color="auto"/>
            <w:left w:val="none" w:sz="0" w:space="0" w:color="auto"/>
            <w:bottom w:val="none" w:sz="0" w:space="0" w:color="auto"/>
            <w:right w:val="none" w:sz="0" w:space="0" w:color="auto"/>
          </w:divBdr>
        </w:div>
        <w:div w:id="1212770458">
          <w:marLeft w:val="0"/>
          <w:marRight w:val="0"/>
          <w:marTop w:val="0"/>
          <w:marBottom w:val="0"/>
          <w:divBdr>
            <w:top w:val="none" w:sz="0" w:space="0" w:color="auto"/>
            <w:left w:val="none" w:sz="0" w:space="0" w:color="auto"/>
            <w:bottom w:val="none" w:sz="0" w:space="0" w:color="auto"/>
            <w:right w:val="none" w:sz="0" w:space="0" w:color="auto"/>
          </w:divBdr>
          <w:divsChild>
            <w:div w:id="1701860836">
              <w:marLeft w:val="0"/>
              <w:marRight w:val="0"/>
              <w:marTop w:val="0"/>
              <w:marBottom w:val="0"/>
              <w:divBdr>
                <w:top w:val="none" w:sz="0" w:space="0" w:color="auto"/>
                <w:left w:val="none" w:sz="0" w:space="0" w:color="auto"/>
                <w:bottom w:val="none" w:sz="0" w:space="0" w:color="auto"/>
                <w:right w:val="none" w:sz="0" w:space="0" w:color="auto"/>
              </w:divBdr>
              <w:divsChild>
                <w:div w:id="1085422182">
                  <w:marLeft w:val="0"/>
                  <w:marRight w:val="0"/>
                  <w:marTop w:val="0"/>
                  <w:marBottom w:val="0"/>
                  <w:divBdr>
                    <w:top w:val="none" w:sz="0" w:space="0" w:color="auto"/>
                    <w:left w:val="none" w:sz="0" w:space="0" w:color="auto"/>
                    <w:bottom w:val="none" w:sz="0" w:space="0" w:color="auto"/>
                    <w:right w:val="none" w:sz="0" w:space="0" w:color="auto"/>
                  </w:divBdr>
                </w:div>
              </w:divsChild>
            </w:div>
            <w:div w:id="1450120892">
              <w:marLeft w:val="0"/>
              <w:marRight w:val="0"/>
              <w:marTop w:val="0"/>
              <w:marBottom w:val="0"/>
              <w:divBdr>
                <w:top w:val="none" w:sz="0" w:space="0" w:color="auto"/>
                <w:left w:val="none" w:sz="0" w:space="0" w:color="auto"/>
                <w:bottom w:val="none" w:sz="0" w:space="0" w:color="auto"/>
                <w:right w:val="none" w:sz="0" w:space="0" w:color="auto"/>
              </w:divBdr>
              <w:divsChild>
                <w:div w:id="493691248">
                  <w:marLeft w:val="0"/>
                  <w:marRight w:val="0"/>
                  <w:marTop w:val="0"/>
                  <w:marBottom w:val="0"/>
                  <w:divBdr>
                    <w:top w:val="none" w:sz="0" w:space="0" w:color="auto"/>
                    <w:left w:val="none" w:sz="0" w:space="0" w:color="auto"/>
                    <w:bottom w:val="none" w:sz="0" w:space="0" w:color="auto"/>
                    <w:right w:val="none" w:sz="0" w:space="0" w:color="auto"/>
                  </w:divBdr>
                </w:div>
              </w:divsChild>
            </w:div>
            <w:div w:id="408236197">
              <w:marLeft w:val="0"/>
              <w:marRight w:val="0"/>
              <w:marTop w:val="0"/>
              <w:marBottom w:val="0"/>
              <w:divBdr>
                <w:top w:val="none" w:sz="0" w:space="0" w:color="auto"/>
                <w:left w:val="none" w:sz="0" w:space="0" w:color="auto"/>
                <w:bottom w:val="none" w:sz="0" w:space="0" w:color="auto"/>
                <w:right w:val="none" w:sz="0" w:space="0" w:color="auto"/>
              </w:divBdr>
              <w:divsChild>
                <w:div w:id="717827683">
                  <w:marLeft w:val="0"/>
                  <w:marRight w:val="0"/>
                  <w:marTop w:val="0"/>
                  <w:marBottom w:val="0"/>
                  <w:divBdr>
                    <w:top w:val="none" w:sz="0" w:space="0" w:color="auto"/>
                    <w:left w:val="none" w:sz="0" w:space="0" w:color="auto"/>
                    <w:bottom w:val="none" w:sz="0" w:space="0" w:color="auto"/>
                    <w:right w:val="none" w:sz="0" w:space="0" w:color="auto"/>
                  </w:divBdr>
                </w:div>
              </w:divsChild>
            </w:div>
            <w:div w:id="1189837210">
              <w:marLeft w:val="0"/>
              <w:marRight w:val="0"/>
              <w:marTop w:val="0"/>
              <w:marBottom w:val="0"/>
              <w:divBdr>
                <w:top w:val="none" w:sz="0" w:space="0" w:color="auto"/>
                <w:left w:val="none" w:sz="0" w:space="0" w:color="auto"/>
                <w:bottom w:val="none" w:sz="0" w:space="0" w:color="auto"/>
                <w:right w:val="none" w:sz="0" w:space="0" w:color="auto"/>
              </w:divBdr>
              <w:divsChild>
                <w:div w:id="776103651">
                  <w:marLeft w:val="0"/>
                  <w:marRight w:val="0"/>
                  <w:marTop w:val="0"/>
                  <w:marBottom w:val="0"/>
                  <w:divBdr>
                    <w:top w:val="none" w:sz="0" w:space="0" w:color="auto"/>
                    <w:left w:val="none" w:sz="0" w:space="0" w:color="auto"/>
                    <w:bottom w:val="none" w:sz="0" w:space="0" w:color="auto"/>
                    <w:right w:val="none" w:sz="0" w:space="0" w:color="auto"/>
                  </w:divBdr>
                </w:div>
              </w:divsChild>
            </w:div>
            <w:div w:id="1602376518">
              <w:marLeft w:val="0"/>
              <w:marRight w:val="0"/>
              <w:marTop w:val="0"/>
              <w:marBottom w:val="0"/>
              <w:divBdr>
                <w:top w:val="none" w:sz="0" w:space="0" w:color="auto"/>
                <w:left w:val="none" w:sz="0" w:space="0" w:color="auto"/>
                <w:bottom w:val="none" w:sz="0" w:space="0" w:color="auto"/>
                <w:right w:val="none" w:sz="0" w:space="0" w:color="auto"/>
              </w:divBdr>
              <w:divsChild>
                <w:div w:id="1017537659">
                  <w:marLeft w:val="0"/>
                  <w:marRight w:val="0"/>
                  <w:marTop w:val="0"/>
                  <w:marBottom w:val="0"/>
                  <w:divBdr>
                    <w:top w:val="none" w:sz="0" w:space="0" w:color="auto"/>
                    <w:left w:val="none" w:sz="0" w:space="0" w:color="auto"/>
                    <w:bottom w:val="none" w:sz="0" w:space="0" w:color="auto"/>
                    <w:right w:val="none" w:sz="0" w:space="0" w:color="auto"/>
                  </w:divBdr>
                </w:div>
              </w:divsChild>
            </w:div>
            <w:div w:id="380637345">
              <w:marLeft w:val="0"/>
              <w:marRight w:val="0"/>
              <w:marTop w:val="0"/>
              <w:marBottom w:val="0"/>
              <w:divBdr>
                <w:top w:val="none" w:sz="0" w:space="0" w:color="auto"/>
                <w:left w:val="none" w:sz="0" w:space="0" w:color="auto"/>
                <w:bottom w:val="none" w:sz="0" w:space="0" w:color="auto"/>
                <w:right w:val="none" w:sz="0" w:space="0" w:color="auto"/>
              </w:divBdr>
              <w:divsChild>
                <w:div w:id="1082147258">
                  <w:marLeft w:val="0"/>
                  <w:marRight w:val="0"/>
                  <w:marTop w:val="0"/>
                  <w:marBottom w:val="0"/>
                  <w:divBdr>
                    <w:top w:val="none" w:sz="0" w:space="0" w:color="auto"/>
                    <w:left w:val="none" w:sz="0" w:space="0" w:color="auto"/>
                    <w:bottom w:val="none" w:sz="0" w:space="0" w:color="auto"/>
                    <w:right w:val="none" w:sz="0" w:space="0" w:color="auto"/>
                  </w:divBdr>
                </w:div>
              </w:divsChild>
            </w:div>
            <w:div w:id="2005544491">
              <w:marLeft w:val="0"/>
              <w:marRight w:val="0"/>
              <w:marTop w:val="0"/>
              <w:marBottom w:val="0"/>
              <w:divBdr>
                <w:top w:val="none" w:sz="0" w:space="0" w:color="auto"/>
                <w:left w:val="none" w:sz="0" w:space="0" w:color="auto"/>
                <w:bottom w:val="none" w:sz="0" w:space="0" w:color="auto"/>
                <w:right w:val="none" w:sz="0" w:space="0" w:color="auto"/>
              </w:divBdr>
              <w:divsChild>
                <w:div w:id="1817916740">
                  <w:marLeft w:val="0"/>
                  <w:marRight w:val="0"/>
                  <w:marTop w:val="0"/>
                  <w:marBottom w:val="0"/>
                  <w:divBdr>
                    <w:top w:val="none" w:sz="0" w:space="0" w:color="auto"/>
                    <w:left w:val="none" w:sz="0" w:space="0" w:color="auto"/>
                    <w:bottom w:val="none" w:sz="0" w:space="0" w:color="auto"/>
                    <w:right w:val="none" w:sz="0" w:space="0" w:color="auto"/>
                  </w:divBdr>
                </w:div>
              </w:divsChild>
            </w:div>
            <w:div w:id="406613397">
              <w:marLeft w:val="0"/>
              <w:marRight w:val="0"/>
              <w:marTop w:val="0"/>
              <w:marBottom w:val="0"/>
              <w:divBdr>
                <w:top w:val="none" w:sz="0" w:space="0" w:color="auto"/>
                <w:left w:val="none" w:sz="0" w:space="0" w:color="auto"/>
                <w:bottom w:val="none" w:sz="0" w:space="0" w:color="auto"/>
                <w:right w:val="none" w:sz="0" w:space="0" w:color="auto"/>
              </w:divBdr>
              <w:divsChild>
                <w:div w:id="1185821123">
                  <w:marLeft w:val="0"/>
                  <w:marRight w:val="0"/>
                  <w:marTop w:val="0"/>
                  <w:marBottom w:val="0"/>
                  <w:divBdr>
                    <w:top w:val="none" w:sz="0" w:space="0" w:color="auto"/>
                    <w:left w:val="none" w:sz="0" w:space="0" w:color="auto"/>
                    <w:bottom w:val="none" w:sz="0" w:space="0" w:color="auto"/>
                    <w:right w:val="none" w:sz="0" w:space="0" w:color="auto"/>
                  </w:divBdr>
                </w:div>
              </w:divsChild>
            </w:div>
            <w:div w:id="817847626">
              <w:marLeft w:val="0"/>
              <w:marRight w:val="0"/>
              <w:marTop w:val="0"/>
              <w:marBottom w:val="0"/>
              <w:divBdr>
                <w:top w:val="none" w:sz="0" w:space="0" w:color="auto"/>
                <w:left w:val="none" w:sz="0" w:space="0" w:color="auto"/>
                <w:bottom w:val="none" w:sz="0" w:space="0" w:color="auto"/>
                <w:right w:val="none" w:sz="0" w:space="0" w:color="auto"/>
              </w:divBdr>
              <w:divsChild>
                <w:div w:id="57216039">
                  <w:marLeft w:val="0"/>
                  <w:marRight w:val="0"/>
                  <w:marTop w:val="0"/>
                  <w:marBottom w:val="0"/>
                  <w:divBdr>
                    <w:top w:val="none" w:sz="0" w:space="0" w:color="auto"/>
                    <w:left w:val="none" w:sz="0" w:space="0" w:color="auto"/>
                    <w:bottom w:val="none" w:sz="0" w:space="0" w:color="auto"/>
                    <w:right w:val="none" w:sz="0" w:space="0" w:color="auto"/>
                  </w:divBdr>
                </w:div>
              </w:divsChild>
            </w:div>
            <w:div w:id="12652277">
              <w:marLeft w:val="0"/>
              <w:marRight w:val="0"/>
              <w:marTop w:val="0"/>
              <w:marBottom w:val="0"/>
              <w:divBdr>
                <w:top w:val="none" w:sz="0" w:space="0" w:color="auto"/>
                <w:left w:val="none" w:sz="0" w:space="0" w:color="auto"/>
                <w:bottom w:val="none" w:sz="0" w:space="0" w:color="auto"/>
                <w:right w:val="none" w:sz="0" w:space="0" w:color="auto"/>
              </w:divBdr>
              <w:divsChild>
                <w:div w:id="197817946">
                  <w:marLeft w:val="0"/>
                  <w:marRight w:val="0"/>
                  <w:marTop w:val="0"/>
                  <w:marBottom w:val="0"/>
                  <w:divBdr>
                    <w:top w:val="none" w:sz="0" w:space="0" w:color="auto"/>
                    <w:left w:val="none" w:sz="0" w:space="0" w:color="auto"/>
                    <w:bottom w:val="none" w:sz="0" w:space="0" w:color="auto"/>
                    <w:right w:val="none" w:sz="0" w:space="0" w:color="auto"/>
                  </w:divBdr>
                </w:div>
              </w:divsChild>
            </w:div>
            <w:div w:id="921914568">
              <w:marLeft w:val="0"/>
              <w:marRight w:val="0"/>
              <w:marTop w:val="0"/>
              <w:marBottom w:val="0"/>
              <w:divBdr>
                <w:top w:val="none" w:sz="0" w:space="0" w:color="auto"/>
                <w:left w:val="none" w:sz="0" w:space="0" w:color="auto"/>
                <w:bottom w:val="none" w:sz="0" w:space="0" w:color="auto"/>
                <w:right w:val="none" w:sz="0" w:space="0" w:color="auto"/>
              </w:divBdr>
              <w:divsChild>
                <w:div w:id="1445226168">
                  <w:marLeft w:val="0"/>
                  <w:marRight w:val="0"/>
                  <w:marTop w:val="0"/>
                  <w:marBottom w:val="0"/>
                  <w:divBdr>
                    <w:top w:val="none" w:sz="0" w:space="0" w:color="auto"/>
                    <w:left w:val="none" w:sz="0" w:space="0" w:color="auto"/>
                    <w:bottom w:val="none" w:sz="0" w:space="0" w:color="auto"/>
                    <w:right w:val="none" w:sz="0" w:space="0" w:color="auto"/>
                  </w:divBdr>
                </w:div>
              </w:divsChild>
            </w:div>
            <w:div w:id="505482664">
              <w:marLeft w:val="0"/>
              <w:marRight w:val="0"/>
              <w:marTop w:val="0"/>
              <w:marBottom w:val="0"/>
              <w:divBdr>
                <w:top w:val="none" w:sz="0" w:space="0" w:color="auto"/>
                <w:left w:val="none" w:sz="0" w:space="0" w:color="auto"/>
                <w:bottom w:val="none" w:sz="0" w:space="0" w:color="auto"/>
                <w:right w:val="none" w:sz="0" w:space="0" w:color="auto"/>
              </w:divBdr>
              <w:divsChild>
                <w:div w:id="628513292">
                  <w:marLeft w:val="0"/>
                  <w:marRight w:val="0"/>
                  <w:marTop w:val="0"/>
                  <w:marBottom w:val="0"/>
                  <w:divBdr>
                    <w:top w:val="none" w:sz="0" w:space="0" w:color="auto"/>
                    <w:left w:val="none" w:sz="0" w:space="0" w:color="auto"/>
                    <w:bottom w:val="none" w:sz="0" w:space="0" w:color="auto"/>
                    <w:right w:val="none" w:sz="0" w:space="0" w:color="auto"/>
                  </w:divBdr>
                </w:div>
              </w:divsChild>
            </w:div>
            <w:div w:id="885918443">
              <w:marLeft w:val="0"/>
              <w:marRight w:val="0"/>
              <w:marTop w:val="0"/>
              <w:marBottom w:val="0"/>
              <w:divBdr>
                <w:top w:val="none" w:sz="0" w:space="0" w:color="auto"/>
                <w:left w:val="none" w:sz="0" w:space="0" w:color="auto"/>
                <w:bottom w:val="none" w:sz="0" w:space="0" w:color="auto"/>
                <w:right w:val="none" w:sz="0" w:space="0" w:color="auto"/>
              </w:divBdr>
              <w:divsChild>
                <w:div w:id="2029138508">
                  <w:marLeft w:val="0"/>
                  <w:marRight w:val="0"/>
                  <w:marTop w:val="0"/>
                  <w:marBottom w:val="0"/>
                  <w:divBdr>
                    <w:top w:val="none" w:sz="0" w:space="0" w:color="auto"/>
                    <w:left w:val="none" w:sz="0" w:space="0" w:color="auto"/>
                    <w:bottom w:val="none" w:sz="0" w:space="0" w:color="auto"/>
                    <w:right w:val="none" w:sz="0" w:space="0" w:color="auto"/>
                  </w:divBdr>
                </w:div>
              </w:divsChild>
            </w:div>
            <w:div w:id="549536120">
              <w:marLeft w:val="0"/>
              <w:marRight w:val="0"/>
              <w:marTop w:val="0"/>
              <w:marBottom w:val="0"/>
              <w:divBdr>
                <w:top w:val="none" w:sz="0" w:space="0" w:color="auto"/>
                <w:left w:val="none" w:sz="0" w:space="0" w:color="auto"/>
                <w:bottom w:val="none" w:sz="0" w:space="0" w:color="auto"/>
                <w:right w:val="none" w:sz="0" w:space="0" w:color="auto"/>
              </w:divBdr>
              <w:divsChild>
                <w:div w:id="1449619788">
                  <w:marLeft w:val="0"/>
                  <w:marRight w:val="0"/>
                  <w:marTop w:val="0"/>
                  <w:marBottom w:val="0"/>
                  <w:divBdr>
                    <w:top w:val="none" w:sz="0" w:space="0" w:color="auto"/>
                    <w:left w:val="none" w:sz="0" w:space="0" w:color="auto"/>
                    <w:bottom w:val="none" w:sz="0" w:space="0" w:color="auto"/>
                    <w:right w:val="none" w:sz="0" w:space="0" w:color="auto"/>
                  </w:divBdr>
                </w:div>
              </w:divsChild>
            </w:div>
            <w:div w:id="589316698">
              <w:marLeft w:val="0"/>
              <w:marRight w:val="0"/>
              <w:marTop w:val="0"/>
              <w:marBottom w:val="0"/>
              <w:divBdr>
                <w:top w:val="none" w:sz="0" w:space="0" w:color="auto"/>
                <w:left w:val="none" w:sz="0" w:space="0" w:color="auto"/>
                <w:bottom w:val="none" w:sz="0" w:space="0" w:color="auto"/>
                <w:right w:val="none" w:sz="0" w:space="0" w:color="auto"/>
              </w:divBdr>
              <w:divsChild>
                <w:div w:id="1062677865">
                  <w:marLeft w:val="0"/>
                  <w:marRight w:val="0"/>
                  <w:marTop w:val="0"/>
                  <w:marBottom w:val="0"/>
                  <w:divBdr>
                    <w:top w:val="none" w:sz="0" w:space="0" w:color="auto"/>
                    <w:left w:val="none" w:sz="0" w:space="0" w:color="auto"/>
                    <w:bottom w:val="none" w:sz="0" w:space="0" w:color="auto"/>
                    <w:right w:val="none" w:sz="0" w:space="0" w:color="auto"/>
                  </w:divBdr>
                </w:div>
              </w:divsChild>
            </w:div>
            <w:div w:id="509567075">
              <w:marLeft w:val="0"/>
              <w:marRight w:val="0"/>
              <w:marTop w:val="0"/>
              <w:marBottom w:val="0"/>
              <w:divBdr>
                <w:top w:val="none" w:sz="0" w:space="0" w:color="auto"/>
                <w:left w:val="none" w:sz="0" w:space="0" w:color="auto"/>
                <w:bottom w:val="none" w:sz="0" w:space="0" w:color="auto"/>
                <w:right w:val="none" w:sz="0" w:space="0" w:color="auto"/>
              </w:divBdr>
              <w:divsChild>
                <w:div w:id="470252316">
                  <w:marLeft w:val="0"/>
                  <w:marRight w:val="0"/>
                  <w:marTop w:val="0"/>
                  <w:marBottom w:val="0"/>
                  <w:divBdr>
                    <w:top w:val="none" w:sz="0" w:space="0" w:color="auto"/>
                    <w:left w:val="none" w:sz="0" w:space="0" w:color="auto"/>
                    <w:bottom w:val="none" w:sz="0" w:space="0" w:color="auto"/>
                    <w:right w:val="none" w:sz="0" w:space="0" w:color="auto"/>
                  </w:divBdr>
                </w:div>
              </w:divsChild>
            </w:div>
            <w:div w:id="1109818539">
              <w:marLeft w:val="0"/>
              <w:marRight w:val="0"/>
              <w:marTop w:val="0"/>
              <w:marBottom w:val="0"/>
              <w:divBdr>
                <w:top w:val="none" w:sz="0" w:space="0" w:color="auto"/>
                <w:left w:val="none" w:sz="0" w:space="0" w:color="auto"/>
                <w:bottom w:val="none" w:sz="0" w:space="0" w:color="auto"/>
                <w:right w:val="none" w:sz="0" w:space="0" w:color="auto"/>
              </w:divBdr>
              <w:divsChild>
                <w:div w:id="1372456625">
                  <w:marLeft w:val="0"/>
                  <w:marRight w:val="0"/>
                  <w:marTop w:val="0"/>
                  <w:marBottom w:val="0"/>
                  <w:divBdr>
                    <w:top w:val="none" w:sz="0" w:space="0" w:color="auto"/>
                    <w:left w:val="none" w:sz="0" w:space="0" w:color="auto"/>
                    <w:bottom w:val="none" w:sz="0" w:space="0" w:color="auto"/>
                    <w:right w:val="none" w:sz="0" w:space="0" w:color="auto"/>
                  </w:divBdr>
                </w:div>
              </w:divsChild>
            </w:div>
            <w:div w:id="2022777822">
              <w:marLeft w:val="0"/>
              <w:marRight w:val="0"/>
              <w:marTop w:val="0"/>
              <w:marBottom w:val="0"/>
              <w:divBdr>
                <w:top w:val="none" w:sz="0" w:space="0" w:color="auto"/>
                <w:left w:val="none" w:sz="0" w:space="0" w:color="auto"/>
                <w:bottom w:val="none" w:sz="0" w:space="0" w:color="auto"/>
                <w:right w:val="none" w:sz="0" w:space="0" w:color="auto"/>
              </w:divBdr>
              <w:divsChild>
                <w:div w:id="1793093489">
                  <w:marLeft w:val="0"/>
                  <w:marRight w:val="0"/>
                  <w:marTop w:val="0"/>
                  <w:marBottom w:val="0"/>
                  <w:divBdr>
                    <w:top w:val="none" w:sz="0" w:space="0" w:color="auto"/>
                    <w:left w:val="none" w:sz="0" w:space="0" w:color="auto"/>
                    <w:bottom w:val="none" w:sz="0" w:space="0" w:color="auto"/>
                    <w:right w:val="none" w:sz="0" w:space="0" w:color="auto"/>
                  </w:divBdr>
                </w:div>
              </w:divsChild>
            </w:div>
            <w:div w:id="1286932873">
              <w:marLeft w:val="0"/>
              <w:marRight w:val="0"/>
              <w:marTop w:val="0"/>
              <w:marBottom w:val="0"/>
              <w:divBdr>
                <w:top w:val="none" w:sz="0" w:space="0" w:color="auto"/>
                <w:left w:val="none" w:sz="0" w:space="0" w:color="auto"/>
                <w:bottom w:val="none" w:sz="0" w:space="0" w:color="auto"/>
                <w:right w:val="none" w:sz="0" w:space="0" w:color="auto"/>
              </w:divBdr>
              <w:divsChild>
                <w:div w:id="190532021">
                  <w:marLeft w:val="0"/>
                  <w:marRight w:val="0"/>
                  <w:marTop w:val="0"/>
                  <w:marBottom w:val="0"/>
                  <w:divBdr>
                    <w:top w:val="none" w:sz="0" w:space="0" w:color="auto"/>
                    <w:left w:val="none" w:sz="0" w:space="0" w:color="auto"/>
                    <w:bottom w:val="none" w:sz="0" w:space="0" w:color="auto"/>
                    <w:right w:val="none" w:sz="0" w:space="0" w:color="auto"/>
                  </w:divBdr>
                </w:div>
              </w:divsChild>
            </w:div>
            <w:div w:id="956067071">
              <w:marLeft w:val="0"/>
              <w:marRight w:val="0"/>
              <w:marTop w:val="0"/>
              <w:marBottom w:val="0"/>
              <w:divBdr>
                <w:top w:val="none" w:sz="0" w:space="0" w:color="auto"/>
                <w:left w:val="none" w:sz="0" w:space="0" w:color="auto"/>
                <w:bottom w:val="none" w:sz="0" w:space="0" w:color="auto"/>
                <w:right w:val="none" w:sz="0" w:space="0" w:color="auto"/>
              </w:divBdr>
              <w:divsChild>
                <w:div w:id="68623030">
                  <w:marLeft w:val="0"/>
                  <w:marRight w:val="0"/>
                  <w:marTop w:val="0"/>
                  <w:marBottom w:val="0"/>
                  <w:divBdr>
                    <w:top w:val="none" w:sz="0" w:space="0" w:color="auto"/>
                    <w:left w:val="none" w:sz="0" w:space="0" w:color="auto"/>
                    <w:bottom w:val="none" w:sz="0" w:space="0" w:color="auto"/>
                    <w:right w:val="none" w:sz="0" w:space="0" w:color="auto"/>
                  </w:divBdr>
                </w:div>
              </w:divsChild>
            </w:div>
            <w:div w:id="700742270">
              <w:marLeft w:val="0"/>
              <w:marRight w:val="0"/>
              <w:marTop w:val="0"/>
              <w:marBottom w:val="0"/>
              <w:divBdr>
                <w:top w:val="none" w:sz="0" w:space="0" w:color="auto"/>
                <w:left w:val="none" w:sz="0" w:space="0" w:color="auto"/>
                <w:bottom w:val="none" w:sz="0" w:space="0" w:color="auto"/>
                <w:right w:val="none" w:sz="0" w:space="0" w:color="auto"/>
              </w:divBdr>
              <w:divsChild>
                <w:div w:id="398284076">
                  <w:marLeft w:val="0"/>
                  <w:marRight w:val="0"/>
                  <w:marTop w:val="0"/>
                  <w:marBottom w:val="0"/>
                  <w:divBdr>
                    <w:top w:val="none" w:sz="0" w:space="0" w:color="auto"/>
                    <w:left w:val="none" w:sz="0" w:space="0" w:color="auto"/>
                    <w:bottom w:val="none" w:sz="0" w:space="0" w:color="auto"/>
                    <w:right w:val="none" w:sz="0" w:space="0" w:color="auto"/>
                  </w:divBdr>
                </w:div>
              </w:divsChild>
            </w:div>
            <w:div w:id="12534410">
              <w:marLeft w:val="0"/>
              <w:marRight w:val="0"/>
              <w:marTop w:val="0"/>
              <w:marBottom w:val="0"/>
              <w:divBdr>
                <w:top w:val="none" w:sz="0" w:space="0" w:color="auto"/>
                <w:left w:val="none" w:sz="0" w:space="0" w:color="auto"/>
                <w:bottom w:val="none" w:sz="0" w:space="0" w:color="auto"/>
                <w:right w:val="none" w:sz="0" w:space="0" w:color="auto"/>
              </w:divBdr>
              <w:divsChild>
                <w:div w:id="1515730371">
                  <w:marLeft w:val="0"/>
                  <w:marRight w:val="0"/>
                  <w:marTop w:val="0"/>
                  <w:marBottom w:val="0"/>
                  <w:divBdr>
                    <w:top w:val="none" w:sz="0" w:space="0" w:color="auto"/>
                    <w:left w:val="none" w:sz="0" w:space="0" w:color="auto"/>
                    <w:bottom w:val="none" w:sz="0" w:space="0" w:color="auto"/>
                    <w:right w:val="none" w:sz="0" w:space="0" w:color="auto"/>
                  </w:divBdr>
                </w:div>
              </w:divsChild>
            </w:div>
            <w:div w:id="1516187264">
              <w:marLeft w:val="0"/>
              <w:marRight w:val="0"/>
              <w:marTop w:val="0"/>
              <w:marBottom w:val="0"/>
              <w:divBdr>
                <w:top w:val="none" w:sz="0" w:space="0" w:color="auto"/>
                <w:left w:val="none" w:sz="0" w:space="0" w:color="auto"/>
                <w:bottom w:val="none" w:sz="0" w:space="0" w:color="auto"/>
                <w:right w:val="none" w:sz="0" w:space="0" w:color="auto"/>
              </w:divBdr>
              <w:divsChild>
                <w:div w:id="1340237990">
                  <w:marLeft w:val="0"/>
                  <w:marRight w:val="0"/>
                  <w:marTop w:val="0"/>
                  <w:marBottom w:val="0"/>
                  <w:divBdr>
                    <w:top w:val="none" w:sz="0" w:space="0" w:color="auto"/>
                    <w:left w:val="none" w:sz="0" w:space="0" w:color="auto"/>
                    <w:bottom w:val="none" w:sz="0" w:space="0" w:color="auto"/>
                    <w:right w:val="none" w:sz="0" w:space="0" w:color="auto"/>
                  </w:divBdr>
                </w:div>
              </w:divsChild>
            </w:div>
            <w:div w:id="1704935989">
              <w:marLeft w:val="0"/>
              <w:marRight w:val="0"/>
              <w:marTop w:val="0"/>
              <w:marBottom w:val="0"/>
              <w:divBdr>
                <w:top w:val="none" w:sz="0" w:space="0" w:color="auto"/>
                <w:left w:val="none" w:sz="0" w:space="0" w:color="auto"/>
                <w:bottom w:val="none" w:sz="0" w:space="0" w:color="auto"/>
                <w:right w:val="none" w:sz="0" w:space="0" w:color="auto"/>
              </w:divBdr>
              <w:divsChild>
                <w:div w:id="1745179686">
                  <w:marLeft w:val="0"/>
                  <w:marRight w:val="0"/>
                  <w:marTop w:val="0"/>
                  <w:marBottom w:val="0"/>
                  <w:divBdr>
                    <w:top w:val="none" w:sz="0" w:space="0" w:color="auto"/>
                    <w:left w:val="none" w:sz="0" w:space="0" w:color="auto"/>
                    <w:bottom w:val="none" w:sz="0" w:space="0" w:color="auto"/>
                    <w:right w:val="none" w:sz="0" w:space="0" w:color="auto"/>
                  </w:divBdr>
                </w:div>
              </w:divsChild>
            </w:div>
            <w:div w:id="429932661">
              <w:marLeft w:val="0"/>
              <w:marRight w:val="0"/>
              <w:marTop w:val="0"/>
              <w:marBottom w:val="0"/>
              <w:divBdr>
                <w:top w:val="none" w:sz="0" w:space="0" w:color="auto"/>
                <w:left w:val="none" w:sz="0" w:space="0" w:color="auto"/>
                <w:bottom w:val="none" w:sz="0" w:space="0" w:color="auto"/>
                <w:right w:val="none" w:sz="0" w:space="0" w:color="auto"/>
              </w:divBdr>
              <w:divsChild>
                <w:div w:id="217909549">
                  <w:marLeft w:val="0"/>
                  <w:marRight w:val="0"/>
                  <w:marTop w:val="0"/>
                  <w:marBottom w:val="0"/>
                  <w:divBdr>
                    <w:top w:val="none" w:sz="0" w:space="0" w:color="auto"/>
                    <w:left w:val="none" w:sz="0" w:space="0" w:color="auto"/>
                    <w:bottom w:val="none" w:sz="0" w:space="0" w:color="auto"/>
                    <w:right w:val="none" w:sz="0" w:space="0" w:color="auto"/>
                  </w:divBdr>
                </w:div>
              </w:divsChild>
            </w:div>
            <w:div w:id="205265866">
              <w:marLeft w:val="0"/>
              <w:marRight w:val="0"/>
              <w:marTop w:val="0"/>
              <w:marBottom w:val="0"/>
              <w:divBdr>
                <w:top w:val="none" w:sz="0" w:space="0" w:color="auto"/>
                <w:left w:val="none" w:sz="0" w:space="0" w:color="auto"/>
                <w:bottom w:val="none" w:sz="0" w:space="0" w:color="auto"/>
                <w:right w:val="none" w:sz="0" w:space="0" w:color="auto"/>
              </w:divBdr>
              <w:divsChild>
                <w:div w:id="1526483943">
                  <w:marLeft w:val="0"/>
                  <w:marRight w:val="0"/>
                  <w:marTop w:val="0"/>
                  <w:marBottom w:val="0"/>
                  <w:divBdr>
                    <w:top w:val="none" w:sz="0" w:space="0" w:color="auto"/>
                    <w:left w:val="none" w:sz="0" w:space="0" w:color="auto"/>
                    <w:bottom w:val="none" w:sz="0" w:space="0" w:color="auto"/>
                    <w:right w:val="none" w:sz="0" w:space="0" w:color="auto"/>
                  </w:divBdr>
                </w:div>
              </w:divsChild>
            </w:div>
            <w:div w:id="343359215">
              <w:marLeft w:val="0"/>
              <w:marRight w:val="0"/>
              <w:marTop w:val="0"/>
              <w:marBottom w:val="0"/>
              <w:divBdr>
                <w:top w:val="none" w:sz="0" w:space="0" w:color="auto"/>
                <w:left w:val="none" w:sz="0" w:space="0" w:color="auto"/>
                <w:bottom w:val="none" w:sz="0" w:space="0" w:color="auto"/>
                <w:right w:val="none" w:sz="0" w:space="0" w:color="auto"/>
              </w:divBdr>
              <w:divsChild>
                <w:div w:id="729614187">
                  <w:marLeft w:val="0"/>
                  <w:marRight w:val="0"/>
                  <w:marTop w:val="0"/>
                  <w:marBottom w:val="0"/>
                  <w:divBdr>
                    <w:top w:val="none" w:sz="0" w:space="0" w:color="auto"/>
                    <w:left w:val="none" w:sz="0" w:space="0" w:color="auto"/>
                    <w:bottom w:val="none" w:sz="0" w:space="0" w:color="auto"/>
                    <w:right w:val="none" w:sz="0" w:space="0" w:color="auto"/>
                  </w:divBdr>
                </w:div>
              </w:divsChild>
            </w:div>
            <w:div w:id="122775125">
              <w:marLeft w:val="0"/>
              <w:marRight w:val="0"/>
              <w:marTop w:val="0"/>
              <w:marBottom w:val="0"/>
              <w:divBdr>
                <w:top w:val="none" w:sz="0" w:space="0" w:color="auto"/>
                <w:left w:val="none" w:sz="0" w:space="0" w:color="auto"/>
                <w:bottom w:val="none" w:sz="0" w:space="0" w:color="auto"/>
                <w:right w:val="none" w:sz="0" w:space="0" w:color="auto"/>
              </w:divBdr>
              <w:divsChild>
                <w:div w:id="2103380646">
                  <w:marLeft w:val="0"/>
                  <w:marRight w:val="0"/>
                  <w:marTop w:val="0"/>
                  <w:marBottom w:val="0"/>
                  <w:divBdr>
                    <w:top w:val="none" w:sz="0" w:space="0" w:color="auto"/>
                    <w:left w:val="none" w:sz="0" w:space="0" w:color="auto"/>
                    <w:bottom w:val="none" w:sz="0" w:space="0" w:color="auto"/>
                    <w:right w:val="none" w:sz="0" w:space="0" w:color="auto"/>
                  </w:divBdr>
                </w:div>
              </w:divsChild>
            </w:div>
            <w:div w:id="192767954">
              <w:marLeft w:val="0"/>
              <w:marRight w:val="0"/>
              <w:marTop w:val="0"/>
              <w:marBottom w:val="0"/>
              <w:divBdr>
                <w:top w:val="none" w:sz="0" w:space="0" w:color="auto"/>
                <w:left w:val="none" w:sz="0" w:space="0" w:color="auto"/>
                <w:bottom w:val="none" w:sz="0" w:space="0" w:color="auto"/>
                <w:right w:val="none" w:sz="0" w:space="0" w:color="auto"/>
              </w:divBdr>
              <w:divsChild>
                <w:div w:id="1632975860">
                  <w:marLeft w:val="0"/>
                  <w:marRight w:val="0"/>
                  <w:marTop w:val="0"/>
                  <w:marBottom w:val="0"/>
                  <w:divBdr>
                    <w:top w:val="none" w:sz="0" w:space="0" w:color="auto"/>
                    <w:left w:val="none" w:sz="0" w:space="0" w:color="auto"/>
                    <w:bottom w:val="none" w:sz="0" w:space="0" w:color="auto"/>
                    <w:right w:val="none" w:sz="0" w:space="0" w:color="auto"/>
                  </w:divBdr>
                </w:div>
              </w:divsChild>
            </w:div>
            <w:div w:id="1357275432">
              <w:marLeft w:val="0"/>
              <w:marRight w:val="0"/>
              <w:marTop w:val="0"/>
              <w:marBottom w:val="0"/>
              <w:divBdr>
                <w:top w:val="none" w:sz="0" w:space="0" w:color="auto"/>
                <w:left w:val="none" w:sz="0" w:space="0" w:color="auto"/>
                <w:bottom w:val="none" w:sz="0" w:space="0" w:color="auto"/>
                <w:right w:val="none" w:sz="0" w:space="0" w:color="auto"/>
              </w:divBdr>
              <w:divsChild>
                <w:div w:id="204218322">
                  <w:marLeft w:val="0"/>
                  <w:marRight w:val="0"/>
                  <w:marTop w:val="0"/>
                  <w:marBottom w:val="0"/>
                  <w:divBdr>
                    <w:top w:val="none" w:sz="0" w:space="0" w:color="auto"/>
                    <w:left w:val="none" w:sz="0" w:space="0" w:color="auto"/>
                    <w:bottom w:val="none" w:sz="0" w:space="0" w:color="auto"/>
                    <w:right w:val="none" w:sz="0" w:space="0" w:color="auto"/>
                  </w:divBdr>
                </w:div>
              </w:divsChild>
            </w:div>
            <w:div w:id="391083923">
              <w:marLeft w:val="0"/>
              <w:marRight w:val="0"/>
              <w:marTop w:val="0"/>
              <w:marBottom w:val="0"/>
              <w:divBdr>
                <w:top w:val="none" w:sz="0" w:space="0" w:color="auto"/>
                <w:left w:val="none" w:sz="0" w:space="0" w:color="auto"/>
                <w:bottom w:val="none" w:sz="0" w:space="0" w:color="auto"/>
                <w:right w:val="none" w:sz="0" w:space="0" w:color="auto"/>
              </w:divBdr>
              <w:divsChild>
                <w:div w:id="1845167091">
                  <w:marLeft w:val="0"/>
                  <w:marRight w:val="0"/>
                  <w:marTop w:val="0"/>
                  <w:marBottom w:val="0"/>
                  <w:divBdr>
                    <w:top w:val="none" w:sz="0" w:space="0" w:color="auto"/>
                    <w:left w:val="none" w:sz="0" w:space="0" w:color="auto"/>
                    <w:bottom w:val="none" w:sz="0" w:space="0" w:color="auto"/>
                    <w:right w:val="none" w:sz="0" w:space="0" w:color="auto"/>
                  </w:divBdr>
                </w:div>
              </w:divsChild>
            </w:div>
            <w:div w:id="1731536024">
              <w:marLeft w:val="0"/>
              <w:marRight w:val="0"/>
              <w:marTop w:val="0"/>
              <w:marBottom w:val="0"/>
              <w:divBdr>
                <w:top w:val="none" w:sz="0" w:space="0" w:color="auto"/>
                <w:left w:val="none" w:sz="0" w:space="0" w:color="auto"/>
                <w:bottom w:val="none" w:sz="0" w:space="0" w:color="auto"/>
                <w:right w:val="none" w:sz="0" w:space="0" w:color="auto"/>
              </w:divBdr>
              <w:divsChild>
                <w:div w:id="1947612800">
                  <w:marLeft w:val="0"/>
                  <w:marRight w:val="0"/>
                  <w:marTop w:val="0"/>
                  <w:marBottom w:val="0"/>
                  <w:divBdr>
                    <w:top w:val="none" w:sz="0" w:space="0" w:color="auto"/>
                    <w:left w:val="none" w:sz="0" w:space="0" w:color="auto"/>
                    <w:bottom w:val="none" w:sz="0" w:space="0" w:color="auto"/>
                    <w:right w:val="none" w:sz="0" w:space="0" w:color="auto"/>
                  </w:divBdr>
                </w:div>
              </w:divsChild>
            </w:div>
            <w:div w:id="561451792">
              <w:marLeft w:val="0"/>
              <w:marRight w:val="0"/>
              <w:marTop w:val="0"/>
              <w:marBottom w:val="0"/>
              <w:divBdr>
                <w:top w:val="none" w:sz="0" w:space="0" w:color="auto"/>
                <w:left w:val="none" w:sz="0" w:space="0" w:color="auto"/>
                <w:bottom w:val="none" w:sz="0" w:space="0" w:color="auto"/>
                <w:right w:val="none" w:sz="0" w:space="0" w:color="auto"/>
              </w:divBdr>
              <w:divsChild>
                <w:div w:id="2121143271">
                  <w:marLeft w:val="0"/>
                  <w:marRight w:val="0"/>
                  <w:marTop w:val="0"/>
                  <w:marBottom w:val="0"/>
                  <w:divBdr>
                    <w:top w:val="none" w:sz="0" w:space="0" w:color="auto"/>
                    <w:left w:val="none" w:sz="0" w:space="0" w:color="auto"/>
                    <w:bottom w:val="none" w:sz="0" w:space="0" w:color="auto"/>
                    <w:right w:val="none" w:sz="0" w:space="0" w:color="auto"/>
                  </w:divBdr>
                </w:div>
              </w:divsChild>
            </w:div>
            <w:div w:id="1739785965">
              <w:marLeft w:val="0"/>
              <w:marRight w:val="0"/>
              <w:marTop w:val="0"/>
              <w:marBottom w:val="0"/>
              <w:divBdr>
                <w:top w:val="none" w:sz="0" w:space="0" w:color="auto"/>
                <w:left w:val="none" w:sz="0" w:space="0" w:color="auto"/>
                <w:bottom w:val="none" w:sz="0" w:space="0" w:color="auto"/>
                <w:right w:val="none" w:sz="0" w:space="0" w:color="auto"/>
              </w:divBdr>
              <w:divsChild>
                <w:div w:id="1650330320">
                  <w:marLeft w:val="0"/>
                  <w:marRight w:val="0"/>
                  <w:marTop w:val="0"/>
                  <w:marBottom w:val="0"/>
                  <w:divBdr>
                    <w:top w:val="none" w:sz="0" w:space="0" w:color="auto"/>
                    <w:left w:val="none" w:sz="0" w:space="0" w:color="auto"/>
                    <w:bottom w:val="none" w:sz="0" w:space="0" w:color="auto"/>
                    <w:right w:val="none" w:sz="0" w:space="0" w:color="auto"/>
                  </w:divBdr>
                </w:div>
              </w:divsChild>
            </w:div>
            <w:div w:id="1319917410">
              <w:marLeft w:val="0"/>
              <w:marRight w:val="0"/>
              <w:marTop w:val="0"/>
              <w:marBottom w:val="0"/>
              <w:divBdr>
                <w:top w:val="none" w:sz="0" w:space="0" w:color="auto"/>
                <w:left w:val="none" w:sz="0" w:space="0" w:color="auto"/>
                <w:bottom w:val="none" w:sz="0" w:space="0" w:color="auto"/>
                <w:right w:val="none" w:sz="0" w:space="0" w:color="auto"/>
              </w:divBdr>
              <w:divsChild>
                <w:div w:id="1251232585">
                  <w:marLeft w:val="0"/>
                  <w:marRight w:val="0"/>
                  <w:marTop w:val="0"/>
                  <w:marBottom w:val="0"/>
                  <w:divBdr>
                    <w:top w:val="none" w:sz="0" w:space="0" w:color="auto"/>
                    <w:left w:val="none" w:sz="0" w:space="0" w:color="auto"/>
                    <w:bottom w:val="none" w:sz="0" w:space="0" w:color="auto"/>
                    <w:right w:val="none" w:sz="0" w:space="0" w:color="auto"/>
                  </w:divBdr>
                </w:div>
              </w:divsChild>
            </w:div>
            <w:div w:id="1907255083">
              <w:marLeft w:val="0"/>
              <w:marRight w:val="0"/>
              <w:marTop w:val="0"/>
              <w:marBottom w:val="0"/>
              <w:divBdr>
                <w:top w:val="none" w:sz="0" w:space="0" w:color="auto"/>
                <w:left w:val="none" w:sz="0" w:space="0" w:color="auto"/>
                <w:bottom w:val="none" w:sz="0" w:space="0" w:color="auto"/>
                <w:right w:val="none" w:sz="0" w:space="0" w:color="auto"/>
              </w:divBdr>
              <w:divsChild>
                <w:div w:id="1631325037">
                  <w:marLeft w:val="0"/>
                  <w:marRight w:val="0"/>
                  <w:marTop w:val="0"/>
                  <w:marBottom w:val="0"/>
                  <w:divBdr>
                    <w:top w:val="none" w:sz="0" w:space="0" w:color="auto"/>
                    <w:left w:val="none" w:sz="0" w:space="0" w:color="auto"/>
                    <w:bottom w:val="none" w:sz="0" w:space="0" w:color="auto"/>
                    <w:right w:val="none" w:sz="0" w:space="0" w:color="auto"/>
                  </w:divBdr>
                </w:div>
              </w:divsChild>
            </w:div>
            <w:div w:id="919679951">
              <w:marLeft w:val="0"/>
              <w:marRight w:val="0"/>
              <w:marTop w:val="0"/>
              <w:marBottom w:val="0"/>
              <w:divBdr>
                <w:top w:val="none" w:sz="0" w:space="0" w:color="auto"/>
                <w:left w:val="none" w:sz="0" w:space="0" w:color="auto"/>
                <w:bottom w:val="none" w:sz="0" w:space="0" w:color="auto"/>
                <w:right w:val="none" w:sz="0" w:space="0" w:color="auto"/>
              </w:divBdr>
              <w:divsChild>
                <w:div w:id="259218506">
                  <w:marLeft w:val="0"/>
                  <w:marRight w:val="0"/>
                  <w:marTop w:val="0"/>
                  <w:marBottom w:val="0"/>
                  <w:divBdr>
                    <w:top w:val="none" w:sz="0" w:space="0" w:color="auto"/>
                    <w:left w:val="none" w:sz="0" w:space="0" w:color="auto"/>
                    <w:bottom w:val="none" w:sz="0" w:space="0" w:color="auto"/>
                    <w:right w:val="none" w:sz="0" w:space="0" w:color="auto"/>
                  </w:divBdr>
                </w:div>
              </w:divsChild>
            </w:div>
            <w:div w:id="381909337">
              <w:marLeft w:val="0"/>
              <w:marRight w:val="0"/>
              <w:marTop w:val="0"/>
              <w:marBottom w:val="0"/>
              <w:divBdr>
                <w:top w:val="none" w:sz="0" w:space="0" w:color="auto"/>
                <w:left w:val="none" w:sz="0" w:space="0" w:color="auto"/>
                <w:bottom w:val="none" w:sz="0" w:space="0" w:color="auto"/>
                <w:right w:val="none" w:sz="0" w:space="0" w:color="auto"/>
              </w:divBdr>
              <w:divsChild>
                <w:div w:id="617034256">
                  <w:marLeft w:val="0"/>
                  <w:marRight w:val="0"/>
                  <w:marTop w:val="0"/>
                  <w:marBottom w:val="0"/>
                  <w:divBdr>
                    <w:top w:val="none" w:sz="0" w:space="0" w:color="auto"/>
                    <w:left w:val="none" w:sz="0" w:space="0" w:color="auto"/>
                    <w:bottom w:val="none" w:sz="0" w:space="0" w:color="auto"/>
                    <w:right w:val="none" w:sz="0" w:space="0" w:color="auto"/>
                  </w:divBdr>
                </w:div>
              </w:divsChild>
            </w:div>
            <w:div w:id="431362553">
              <w:marLeft w:val="0"/>
              <w:marRight w:val="0"/>
              <w:marTop w:val="0"/>
              <w:marBottom w:val="0"/>
              <w:divBdr>
                <w:top w:val="none" w:sz="0" w:space="0" w:color="auto"/>
                <w:left w:val="none" w:sz="0" w:space="0" w:color="auto"/>
                <w:bottom w:val="none" w:sz="0" w:space="0" w:color="auto"/>
                <w:right w:val="none" w:sz="0" w:space="0" w:color="auto"/>
              </w:divBdr>
              <w:divsChild>
                <w:div w:id="781461320">
                  <w:marLeft w:val="0"/>
                  <w:marRight w:val="0"/>
                  <w:marTop w:val="0"/>
                  <w:marBottom w:val="0"/>
                  <w:divBdr>
                    <w:top w:val="none" w:sz="0" w:space="0" w:color="auto"/>
                    <w:left w:val="none" w:sz="0" w:space="0" w:color="auto"/>
                    <w:bottom w:val="none" w:sz="0" w:space="0" w:color="auto"/>
                    <w:right w:val="none" w:sz="0" w:space="0" w:color="auto"/>
                  </w:divBdr>
                </w:div>
              </w:divsChild>
            </w:div>
            <w:div w:id="578290534">
              <w:marLeft w:val="0"/>
              <w:marRight w:val="0"/>
              <w:marTop w:val="0"/>
              <w:marBottom w:val="0"/>
              <w:divBdr>
                <w:top w:val="none" w:sz="0" w:space="0" w:color="auto"/>
                <w:left w:val="none" w:sz="0" w:space="0" w:color="auto"/>
                <w:bottom w:val="none" w:sz="0" w:space="0" w:color="auto"/>
                <w:right w:val="none" w:sz="0" w:space="0" w:color="auto"/>
              </w:divBdr>
              <w:divsChild>
                <w:div w:id="2085831222">
                  <w:marLeft w:val="0"/>
                  <w:marRight w:val="0"/>
                  <w:marTop w:val="0"/>
                  <w:marBottom w:val="0"/>
                  <w:divBdr>
                    <w:top w:val="none" w:sz="0" w:space="0" w:color="auto"/>
                    <w:left w:val="none" w:sz="0" w:space="0" w:color="auto"/>
                    <w:bottom w:val="none" w:sz="0" w:space="0" w:color="auto"/>
                    <w:right w:val="none" w:sz="0" w:space="0" w:color="auto"/>
                  </w:divBdr>
                </w:div>
              </w:divsChild>
            </w:div>
            <w:div w:id="2022003515">
              <w:marLeft w:val="0"/>
              <w:marRight w:val="0"/>
              <w:marTop w:val="0"/>
              <w:marBottom w:val="0"/>
              <w:divBdr>
                <w:top w:val="none" w:sz="0" w:space="0" w:color="auto"/>
                <w:left w:val="none" w:sz="0" w:space="0" w:color="auto"/>
                <w:bottom w:val="none" w:sz="0" w:space="0" w:color="auto"/>
                <w:right w:val="none" w:sz="0" w:space="0" w:color="auto"/>
              </w:divBdr>
              <w:divsChild>
                <w:div w:id="1964191413">
                  <w:marLeft w:val="0"/>
                  <w:marRight w:val="0"/>
                  <w:marTop w:val="0"/>
                  <w:marBottom w:val="0"/>
                  <w:divBdr>
                    <w:top w:val="none" w:sz="0" w:space="0" w:color="auto"/>
                    <w:left w:val="none" w:sz="0" w:space="0" w:color="auto"/>
                    <w:bottom w:val="none" w:sz="0" w:space="0" w:color="auto"/>
                    <w:right w:val="none" w:sz="0" w:space="0" w:color="auto"/>
                  </w:divBdr>
                </w:div>
              </w:divsChild>
            </w:div>
            <w:div w:id="1363477205">
              <w:marLeft w:val="0"/>
              <w:marRight w:val="0"/>
              <w:marTop w:val="0"/>
              <w:marBottom w:val="0"/>
              <w:divBdr>
                <w:top w:val="none" w:sz="0" w:space="0" w:color="auto"/>
                <w:left w:val="none" w:sz="0" w:space="0" w:color="auto"/>
                <w:bottom w:val="none" w:sz="0" w:space="0" w:color="auto"/>
                <w:right w:val="none" w:sz="0" w:space="0" w:color="auto"/>
              </w:divBdr>
              <w:divsChild>
                <w:div w:id="7677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8191">
          <w:marLeft w:val="0"/>
          <w:marRight w:val="0"/>
          <w:marTop w:val="0"/>
          <w:marBottom w:val="600"/>
          <w:divBdr>
            <w:top w:val="none" w:sz="0" w:space="0" w:color="auto"/>
            <w:left w:val="none" w:sz="0" w:space="0" w:color="auto"/>
            <w:bottom w:val="none" w:sz="0" w:space="0" w:color="auto"/>
            <w:right w:val="none" w:sz="0" w:space="0" w:color="auto"/>
          </w:divBdr>
        </w:div>
      </w:divsChild>
    </w:div>
    <w:div w:id="1523086963">
      <w:marLeft w:val="0"/>
      <w:marRight w:val="0"/>
      <w:marTop w:val="0"/>
      <w:marBottom w:val="0"/>
      <w:divBdr>
        <w:top w:val="none" w:sz="0" w:space="0" w:color="auto"/>
        <w:left w:val="none" w:sz="0" w:space="0" w:color="auto"/>
        <w:bottom w:val="none" w:sz="0" w:space="0" w:color="auto"/>
        <w:right w:val="none" w:sz="0" w:space="0" w:color="auto"/>
      </w:divBdr>
      <w:divsChild>
        <w:div w:id="115682748">
          <w:marLeft w:val="0"/>
          <w:marRight w:val="0"/>
          <w:marTop w:val="547"/>
          <w:marBottom w:val="0"/>
          <w:divBdr>
            <w:top w:val="none" w:sz="0" w:space="0" w:color="auto"/>
            <w:left w:val="none" w:sz="0" w:space="0" w:color="auto"/>
            <w:bottom w:val="none" w:sz="0" w:space="0" w:color="auto"/>
            <w:right w:val="none" w:sz="0" w:space="0" w:color="auto"/>
          </w:divBdr>
        </w:div>
        <w:div w:id="545872713">
          <w:marLeft w:val="0"/>
          <w:marRight w:val="0"/>
          <w:marTop w:val="0"/>
          <w:marBottom w:val="0"/>
          <w:divBdr>
            <w:top w:val="none" w:sz="0" w:space="0" w:color="auto"/>
            <w:left w:val="none" w:sz="0" w:space="0" w:color="auto"/>
            <w:bottom w:val="none" w:sz="0" w:space="0" w:color="auto"/>
            <w:right w:val="none" w:sz="0" w:space="0" w:color="auto"/>
          </w:divBdr>
        </w:div>
        <w:div w:id="471101927">
          <w:marLeft w:val="0"/>
          <w:marRight w:val="0"/>
          <w:marTop w:val="0"/>
          <w:marBottom w:val="600"/>
          <w:divBdr>
            <w:top w:val="none" w:sz="0" w:space="0" w:color="auto"/>
            <w:left w:val="none" w:sz="0" w:space="0" w:color="auto"/>
            <w:bottom w:val="none" w:sz="0" w:space="0" w:color="auto"/>
            <w:right w:val="none" w:sz="0" w:space="0" w:color="auto"/>
          </w:divBdr>
        </w:div>
      </w:divsChild>
    </w:div>
    <w:div w:id="1535651633">
      <w:marLeft w:val="0"/>
      <w:marRight w:val="0"/>
      <w:marTop w:val="0"/>
      <w:marBottom w:val="0"/>
      <w:divBdr>
        <w:top w:val="none" w:sz="0" w:space="0" w:color="auto"/>
        <w:left w:val="none" w:sz="0" w:space="0" w:color="auto"/>
        <w:bottom w:val="none" w:sz="0" w:space="0" w:color="auto"/>
        <w:right w:val="none" w:sz="0" w:space="0" w:color="auto"/>
      </w:divBdr>
      <w:divsChild>
        <w:div w:id="1146776843">
          <w:marLeft w:val="0"/>
          <w:marRight w:val="0"/>
          <w:marTop w:val="547"/>
          <w:marBottom w:val="0"/>
          <w:divBdr>
            <w:top w:val="none" w:sz="0" w:space="0" w:color="auto"/>
            <w:left w:val="none" w:sz="0" w:space="0" w:color="auto"/>
            <w:bottom w:val="none" w:sz="0" w:space="0" w:color="auto"/>
            <w:right w:val="none" w:sz="0" w:space="0" w:color="auto"/>
          </w:divBdr>
        </w:div>
        <w:div w:id="678115846">
          <w:marLeft w:val="0"/>
          <w:marRight w:val="0"/>
          <w:marTop w:val="0"/>
          <w:marBottom w:val="0"/>
          <w:divBdr>
            <w:top w:val="none" w:sz="0" w:space="0" w:color="auto"/>
            <w:left w:val="none" w:sz="0" w:space="0" w:color="auto"/>
            <w:bottom w:val="none" w:sz="0" w:space="0" w:color="auto"/>
            <w:right w:val="none" w:sz="0" w:space="0" w:color="auto"/>
          </w:divBdr>
          <w:divsChild>
            <w:div w:id="521672052">
              <w:marLeft w:val="0"/>
              <w:marRight w:val="0"/>
              <w:marTop w:val="0"/>
              <w:marBottom w:val="0"/>
              <w:divBdr>
                <w:top w:val="none" w:sz="0" w:space="0" w:color="auto"/>
                <w:left w:val="none" w:sz="0" w:space="0" w:color="auto"/>
                <w:bottom w:val="none" w:sz="0" w:space="0" w:color="auto"/>
                <w:right w:val="none" w:sz="0" w:space="0" w:color="auto"/>
              </w:divBdr>
              <w:divsChild>
                <w:div w:id="1464226873">
                  <w:marLeft w:val="0"/>
                  <w:marRight w:val="0"/>
                  <w:marTop w:val="0"/>
                  <w:marBottom w:val="0"/>
                  <w:divBdr>
                    <w:top w:val="none" w:sz="0" w:space="0" w:color="auto"/>
                    <w:left w:val="none" w:sz="0" w:space="0" w:color="auto"/>
                    <w:bottom w:val="none" w:sz="0" w:space="0" w:color="auto"/>
                    <w:right w:val="none" w:sz="0" w:space="0" w:color="auto"/>
                  </w:divBdr>
                </w:div>
              </w:divsChild>
            </w:div>
            <w:div w:id="1762409458">
              <w:marLeft w:val="0"/>
              <w:marRight w:val="0"/>
              <w:marTop w:val="0"/>
              <w:marBottom w:val="0"/>
              <w:divBdr>
                <w:top w:val="none" w:sz="0" w:space="0" w:color="auto"/>
                <w:left w:val="none" w:sz="0" w:space="0" w:color="auto"/>
                <w:bottom w:val="none" w:sz="0" w:space="0" w:color="auto"/>
                <w:right w:val="none" w:sz="0" w:space="0" w:color="auto"/>
              </w:divBdr>
              <w:divsChild>
                <w:div w:id="393628216">
                  <w:marLeft w:val="0"/>
                  <w:marRight w:val="0"/>
                  <w:marTop w:val="0"/>
                  <w:marBottom w:val="0"/>
                  <w:divBdr>
                    <w:top w:val="none" w:sz="0" w:space="0" w:color="auto"/>
                    <w:left w:val="none" w:sz="0" w:space="0" w:color="auto"/>
                    <w:bottom w:val="none" w:sz="0" w:space="0" w:color="auto"/>
                    <w:right w:val="none" w:sz="0" w:space="0" w:color="auto"/>
                  </w:divBdr>
                </w:div>
              </w:divsChild>
            </w:div>
            <w:div w:id="1594586252">
              <w:marLeft w:val="0"/>
              <w:marRight w:val="0"/>
              <w:marTop w:val="0"/>
              <w:marBottom w:val="0"/>
              <w:divBdr>
                <w:top w:val="none" w:sz="0" w:space="0" w:color="auto"/>
                <w:left w:val="none" w:sz="0" w:space="0" w:color="auto"/>
                <w:bottom w:val="none" w:sz="0" w:space="0" w:color="auto"/>
                <w:right w:val="none" w:sz="0" w:space="0" w:color="auto"/>
              </w:divBdr>
              <w:divsChild>
                <w:div w:id="1548881266">
                  <w:marLeft w:val="0"/>
                  <w:marRight w:val="0"/>
                  <w:marTop w:val="0"/>
                  <w:marBottom w:val="0"/>
                  <w:divBdr>
                    <w:top w:val="none" w:sz="0" w:space="0" w:color="auto"/>
                    <w:left w:val="none" w:sz="0" w:space="0" w:color="auto"/>
                    <w:bottom w:val="none" w:sz="0" w:space="0" w:color="auto"/>
                    <w:right w:val="none" w:sz="0" w:space="0" w:color="auto"/>
                  </w:divBdr>
                </w:div>
              </w:divsChild>
            </w:div>
            <w:div w:id="1965647188">
              <w:marLeft w:val="0"/>
              <w:marRight w:val="0"/>
              <w:marTop w:val="0"/>
              <w:marBottom w:val="0"/>
              <w:divBdr>
                <w:top w:val="none" w:sz="0" w:space="0" w:color="auto"/>
                <w:left w:val="none" w:sz="0" w:space="0" w:color="auto"/>
                <w:bottom w:val="none" w:sz="0" w:space="0" w:color="auto"/>
                <w:right w:val="none" w:sz="0" w:space="0" w:color="auto"/>
              </w:divBdr>
              <w:divsChild>
                <w:div w:id="978807758">
                  <w:marLeft w:val="0"/>
                  <w:marRight w:val="0"/>
                  <w:marTop w:val="0"/>
                  <w:marBottom w:val="0"/>
                  <w:divBdr>
                    <w:top w:val="none" w:sz="0" w:space="0" w:color="auto"/>
                    <w:left w:val="none" w:sz="0" w:space="0" w:color="auto"/>
                    <w:bottom w:val="none" w:sz="0" w:space="0" w:color="auto"/>
                    <w:right w:val="none" w:sz="0" w:space="0" w:color="auto"/>
                  </w:divBdr>
                </w:div>
              </w:divsChild>
            </w:div>
            <w:div w:id="1634948375">
              <w:marLeft w:val="0"/>
              <w:marRight w:val="0"/>
              <w:marTop w:val="0"/>
              <w:marBottom w:val="0"/>
              <w:divBdr>
                <w:top w:val="none" w:sz="0" w:space="0" w:color="auto"/>
                <w:left w:val="none" w:sz="0" w:space="0" w:color="auto"/>
                <w:bottom w:val="none" w:sz="0" w:space="0" w:color="auto"/>
                <w:right w:val="none" w:sz="0" w:space="0" w:color="auto"/>
              </w:divBdr>
              <w:divsChild>
                <w:div w:id="1877230289">
                  <w:marLeft w:val="0"/>
                  <w:marRight w:val="0"/>
                  <w:marTop w:val="0"/>
                  <w:marBottom w:val="0"/>
                  <w:divBdr>
                    <w:top w:val="none" w:sz="0" w:space="0" w:color="auto"/>
                    <w:left w:val="none" w:sz="0" w:space="0" w:color="auto"/>
                    <w:bottom w:val="none" w:sz="0" w:space="0" w:color="auto"/>
                    <w:right w:val="none" w:sz="0" w:space="0" w:color="auto"/>
                  </w:divBdr>
                </w:div>
              </w:divsChild>
            </w:div>
            <w:div w:id="1470712181">
              <w:marLeft w:val="0"/>
              <w:marRight w:val="0"/>
              <w:marTop w:val="0"/>
              <w:marBottom w:val="0"/>
              <w:divBdr>
                <w:top w:val="none" w:sz="0" w:space="0" w:color="auto"/>
                <w:left w:val="none" w:sz="0" w:space="0" w:color="auto"/>
                <w:bottom w:val="none" w:sz="0" w:space="0" w:color="auto"/>
                <w:right w:val="none" w:sz="0" w:space="0" w:color="auto"/>
              </w:divBdr>
              <w:divsChild>
                <w:div w:id="1826581600">
                  <w:marLeft w:val="0"/>
                  <w:marRight w:val="0"/>
                  <w:marTop w:val="0"/>
                  <w:marBottom w:val="0"/>
                  <w:divBdr>
                    <w:top w:val="none" w:sz="0" w:space="0" w:color="auto"/>
                    <w:left w:val="none" w:sz="0" w:space="0" w:color="auto"/>
                    <w:bottom w:val="none" w:sz="0" w:space="0" w:color="auto"/>
                    <w:right w:val="none" w:sz="0" w:space="0" w:color="auto"/>
                  </w:divBdr>
                </w:div>
              </w:divsChild>
            </w:div>
            <w:div w:id="343627678">
              <w:marLeft w:val="0"/>
              <w:marRight w:val="0"/>
              <w:marTop w:val="0"/>
              <w:marBottom w:val="0"/>
              <w:divBdr>
                <w:top w:val="none" w:sz="0" w:space="0" w:color="auto"/>
                <w:left w:val="none" w:sz="0" w:space="0" w:color="auto"/>
                <w:bottom w:val="none" w:sz="0" w:space="0" w:color="auto"/>
                <w:right w:val="none" w:sz="0" w:space="0" w:color="auto"/>
              </w:divBdr>
              <w:divsChild>
                <w:div w:id="652640095">
                  <w:marLeft w:val="0"/>
                  <w:marRight w:val="0"/>
                  <w:marTop w:val="0"/>
                  <w:marBottom w:val="0"/>
                  <w:divBdr>
                    <w:top w:val="none" w:sz="0" w:space="0" w:color="auto"/>
                    <w:left w:val="none" w:sz="0" w:space="0" w:color="auto"/>
                    <w:bottom w:val="none" w:sz="0" w:space="0" w:color="auto"/>
                    <w:right w:val="none" w:sz="0" w:space="0" w:color="auto"/>
                  </w:divBdr>
                </w:div>
              </w:divsChild>
            </w:div>
            <w:div w:id="1682272195">
              <w:marLeft w:val="0"/>
              <w:marRight w:val="0"/>
              <w:marTop w:val="0"/>
              <w:marBottom w:val="0"/>
              <w:divBdr>
                <w:top w:val="none" w:sz="0" w:space="0" w:color="auto"/>
                <w:left w:val="none" w:sz="0" w:space="0" w:color="auto"/>
                <w:bottom w:val="none" w:sz="0" w:space="0" w:color="auto"/>
                <w:right w:val="none" w:sz="0" w:space="0" w:color="auto"/>
              </w:divBdr>
              <w:divsChild>
                <w:div w:id="214320926">
                  <w:marLeft w:val="0"/>
                  <w:marRight w:val="0"/>
                  <w:marTop w:val="0"/>
                  <w:marBottom w:val="0"/>
                  <w:divBdr>
                    <w:top w:val="none" w:sz="0" w:space="0" w:color="auto"/>
                    <w:left w:val="none" w:sz="0" w:space="0" w:color="auto"/>
                    <w:bottom w:val="none" w:sz="0" w:space="0" w:color="auto"/>
                    <w:right w:val="none" w:sz="0" w:space="0" w:color="auto"/>
                  </w:divBdr>
                </w:div>
              </w:divsChild>
            </w:div>
            <w:div w:id="1880507201">
              <w:marLeft w:val="0"/>
              <w:marRight w:val="0"/>
              <w:marTop w:val="0"/>
              <w:marBottom w:val="0"/>
              <w:divBdr>
                <w:top w:val="none" w:sz="0" w:space="0" w:color="auto"/>
                <w:left w:val="none" w:sz="0" w:space="0" w:color="auto"/>
                <w:bottom w:val="none" w:sz="0" w:space="0" w:color="auto"/>
                <w:right w:val="none" w:sz="0" w:space="0" w:color="auto"/>
              </w:divBdr>
              <w:divsChild>
                <w:div w:id="1175263370">
                  <w:marLeft w:val="0"/>
                  <w:marRight w:val="0"/>
                  <w:marTop w:val="0"/>
                  <w:marBottom w:val="0"/>
                  <w:divBdr>
                    <w:top w:val="none" w:sz="0" w:space="0" w:color="auto"/>
                    <w:left w:val="none" w:sz="0" w:space="0" w:color="auto"/>
                    <w:bottom w:val="none" w:sz="0" w:space="0" w:color="auto"/>
                    <w:right w:val="none" w:sz="0" w:space="0" w:color="auto"/>
                  </w:divBdr>
                </w:div>
              </w:divsChild>
            </w:div>
            <w:div w:id="1207376819">
              <w:marLeft w:val="0"/>
              <w:marRight w:val="0"/>
              <w:marTop w:val="0"/>
              <w:marBottom w:val="0"/>
              <w:divBdr>
                <w:top w:val="none" w:sz="0" w:space="0" w:color="auto"/>
                <w:left w:val="none" w:sz="0" w:space="0" w:color="auto"/>
                <w:bottom w:val="none" w:sz="0" w:space="0" w:color="auto"/>
                <w:right w:val="none" w:sz="0" w:space="0" w:color="auto"/>
              </w:divBdr>
              <w:divsChild>
                <w:div w:id="754784923">
                  <w:marLeft w:val="0"/>
                  <w:marRight w:val="0"/>
                  <w:marTop w:val="0"/>
                  <w:marBottom w:val="0"/>
                  <w:divBdr>
                    <w:top w:val="none" w:sz="0" w:space="0" w:color="auto"/>
                    <w:left w:val="none" w:sz="0" w:space="0" w:color="auto"/>
                    <w:bottom w:val="none" w:sz="0" w:space="0" w:color="auto"/>
                    <w:right w:val="none" w:sz="0" w:space="0" w:color="auto"/>
                  </w:divBdr>
                </w:div>
              </w:divsChild>
            </w:div>
            <w:div w:id="32578101">
              <w:marLeft w:val="0"/>
              <w:marRight w:val="0"/>
              <w:marTop w:val="0"/>
              <w:marBottom w:val="0"/>
              <w:divBdr>
                <w:top w:val="none" w:sz="0" w:space="0" w:color="auto"/>
                <w:left w:val="none" w:sz="0" w:space="0" w:color="auto"/>
                <w:bottom w:val="none" w:sz="0" w:space="0" w:color="auto"/>
                <w:right w:val="none" w:sz="0" w:space="0" w:color="auto"/>
              </w:divBdr>
              <w:divsChild>
                <w:div w:id="920259461">
                  <w:marLeft w:val="0"/>
                  <w:marRight w:val="0"/>
                  <w:marTop w:val="0"/>
                  <w:marBottom w:val="0"/>
                  <w:divBdr>
                    <w:top w:val="none" w:sz="0" w:space="0" w:color="auto"/>
                    <w:left w:val="none" w:sz="0" w:space="0" w:color="auto"/>
                    <w:bottom w:val="none" w:sz="0" w:space="0" w:color="auto"/>
                    <w:right w:val="none" w:sz="0" w:space="0" w:color="auto"/>
                  </w:divBdr>
                </w:div>
              </w:divsChild>
            </w:div>
            <w:div w:id="1226188286">
              <w:marLeft w:val="0"/>
              <w:marRight w:val="0"/>
              <w:marTop w:val="0"/>
              <w:marBottom w:val="0"/>
              <w:divBdr>
                <w:top w:val="none" w:sz="0" w:space="0" w:color="auto"/>
                <w:left w:val="none" w:sz="0" w:space="0" w:color="auto"/>
                <w:bottom w:val="none" w:sz="0" w:space="0" w:color="auto"/>
                <w:right w:val="none" w:sz="0" w:space="0" w:color="auto"/>
              </w:divBdr>
              <w:divsChild>
                <w:div w:id="796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5047">
          <w:marLeft w:val="0"/>
          <w:marRight w:val="0"/>
          <w:marTop w:val="0"/>
          <w:marBottom w:val="600"/>
          <w:divBdr>
            <w:top w:val="none" w:sz="0" w:space="0" w:color="auto"/>
            <w:left w:val="none" w:sz="0" w:space="0" w:color="auto"/>
            <w:bottom w:val="none" w:sz="0" w:space="0" w:color="auto"/>
            <w:right w:val="none" w:sz="0" w:space="0" w:color="auto"/>
          </w:divBdr>
        </w:div>
      </w:divsChild>
    </w:div>
    <w:div w:id="1602254648">
      <w:marLeft w:val="0"/>
      <w:marRight w:val="0"/>
      <w:marTop w:val="0"/>
      <w:marBottom w:val="0"/>
      <w:divBdr>
        <w:top w:val="none" w:sz="0" w:space="0" w:color="auto"/>
        <w:left w:val="none" w:sz="0" w:space="0" w:color="auto"/>
        <w:bottom w:val="none" w:sz="0" w:space="0" w:color="auto"/>
        <w:right w:val="none" w:sz="0" w:space="0" w:color="auto"/>
      </w:divBdr>
      <w:divsChild>
        <w:div w:id="495000384">
          <w:marLeft w:val="0"/>
          <w:marRight w:val="0"/>
          <w:marTop w:val="547"/>
          <w:marBottom w:val="0"/>
          <w:divBdr>
            <w:top w:val="none" w:sz="0" w:space="0" w:color="auto"/>
            <w:left w:val="none" w:sz="0" w:space="0" w:color="auto"/>
            <w:bottom w:val="none" w:sz="0" w:space="0" w:color="auto"/>
            <w:right w:val="none" w:sz="0" w:space="0" w:color="auto"/>
          </w:divBdr>
        </w:div>
        <w:div w:id="103500243">
          <w:marLeft w:val="0"/>
          <w:marRight w:val="0"/>
          <w:marTop w:val="0"/>
          <w:marBottom w:val="0"/>
          <w:divBdr>
            <w:top w:val="none" w:sz="0" w:space="0" w:color="auto"/>
            <w:left w:val="none" w:sz="0" w:space="0" w:color="auto"/>
            <w:bottom w:val="none" w:sz="0" w:space="0" w:color="auto"/>
            <w:right w:val="none" w:sz="0" w:space="0" w:color="auto"/>
          </w:divBdr>
        </w:div>
        <w:div w:id="1351833051">
          <w:marLeft w:val="0"/>
          <w:marRight w:val="0"/>
          <w:marTop w:val="0"/>
          <w:marBottom w:val="600"/>
          <w:divBdr>
            <w:top w:val="none" w:sz="0" w:space="0" w:color="auto"/>
            <w:left w:val="none" w:sz="0" w:space="0" w:color="auto"/>
            <w:bottom w:val="none" w:sz="0" w:space="0" w:color="auto"/>
            <w:right w:val="none" w:sz="0" w:space="0" w:color="auto"/>
          </w:divBdr>
        </w:div>
      </w:divsChild>
    </w:div>
    <w:div w:id="1641180803">
      <w:marLeft w:val="0"/>
      <w:marRight w:val="0"/>
      <w:marTop w:val="0"/>
      <w:marBottom w:val="0"/>
      <w:divBdr>
        <w:top w:val="none" w:sz="0" w:space="0" w:color="auto"/>
        <w:left w:val="none" w:sz="0" w:space="0" w:color="auto"/>
        <w:bottom w:val="none" w:sz="0" w:space="0" w:color="auto"/>
        <w:right w:val="none" w:sz="0" w:space="0" w:color="auto"/>
      </w:divBdr>
      <w:divsChild>
        <w:div w:id="2051303365">
          <w:marLeft w:val="0"/>
          <w:marRight w:val="0"/>
          <w:marTop w:val="547"/>
          <w:marBottom w:val="0"/>
          <w:divBdr>
            <w:top w:val="none" w:sz="0" w:space="0" w:color="auto"/>
            <w:left w:val="none" w:sz="0" w:space="0" w:color="auto"/>
            <w:bottom w:val="none" w:sz="0" w:space="0" w:color="auto"/>
            <w:right w:val="none" w:sz="0" w:space="0" w:color="auto"/>
          </w:divBdr>
        </w:div>
        <w:div w:id="230576443">
          <w:marLeft w:val="0"/>
          <w:marRight w:val="0"/>
          <w:marTop w:val="0"/>
          <w:marBottom w:val="0"/>
          <w:divBdr>
            <w:top w:val="none" w:sz="0" w:space="0" w:color="auto"/>
            <w:left w:val="none" w:sz="0" w:space="0" w:color="auto"/>
            <w:bottom w:val="none" w:sz="0" w:space="0" w:color="auto"/>
            <w:right w:val="none" w:sz="0" w:space="0" w:color="auto"/>
          </w:divBdr>
        </w:div>
        <w:div w:id="1431007833">
          <w:marLeft w:val="0"/>
          <w:marRight w:val="0"/>
          <w:marTop w:val="0"/>
          <w:marBottom w:val="600"/>
          <w:divBdr>
            <w:top w:val="none" w:sz="0" w:space="0" w:color="auto"/>
            <w:left w:val="none" w:sz="0" w:space="0" w:color="auto"/>
            <w:bottom w:val="none" w:sz="0" w:space="0" w:color="auto"/>
            <w:right w:val="none" w:sz="0" w:space="0" w:color="auto"/>
          </w:divBdr>
        </w:div>
      </w:divsChild>
    </w:div>
    <w:div w:id="1662780591">
      <w:marLeft w:val="0"/>
      <w:marRight w:val="0"/>
      <w:marTop w:val="0"/>
      <w:marBottom w:val="0"/>
      <w:divBdr>
        <w:top w:val="none" w:sz="0" w:space="0" w:color="auto"/>
        <w:left w:val="none" w:sz="0" w:space="0" w:color="auto"/>
        <w:bottom w:val="none" w:sz="0" w:space="0" w:color="auto"/>
        <w:right w:val="none" w:sz="0" w:space="0" w:color="auto"/>
      </w:divBdr>
      <w:divsChild>
        <w:div w:id="1626228065">
          <w:marLeft w:val="0"/>
          <w:marRight w:val="0"/>
          <w:marTop w:val="547"/>
          <w:marBottom w:val="0"/>
          <w:divBdr>
            <w:top w:val="none" w:sz="0" w:space="0" w:color="auto"/>
            <w:left w:val="none" w:sz="0" w:space="0" w:color="auto"/>
            <w:bottom w:val="none" w:sz="0" w:space="0" w:color="auto"/>
            <w:right w:val="none" w:sz="0" w:space="0" w:color="auto"/>
          </w:divBdr>
        </w:div>
        <w:div w:id="795103012">
          <w:marLeft w:val="0"/>
          <w:marRight w:val="0"/>
          <w:marTop w:val="0"/>
          <w:marBottom w:val="0"/>
          <w:divBdr>
            <w:top w:val="none" w:sz="0" w:space="0" w:color="auto"/>
            <w:left w:val="none" w:sz="0" w:space="0" w:color="auto"/>
            <w:bottom w:val="none" w:sz="0" w:space="0" w:color="auto"/>
            <w:right w:val="none" w:sz="0" w:space="0" w:color="auto"/>
          </w:divBdr>
        </w:div>
        <w:div w:id="1235429978">
          <w:marLeft w:val="0"/>
          <w:marRight w:val="0"/>
          <w:marTop w:val="0"/>
          <w:marBottom w:val="600"/>
          <w:divBdr>
            <w:top w:val="none" w:sz="0" w:space="0" w:color="auto"/>
            <w:left w:val="none" w:sz="0" w:space="0" w:color="auto"/>
            <w:bottom w:val="none" w:sz="0" w:space="0" w:color="auto"/>
            <w:right w:val="none" w:sz="0" w:space="0" w:color="auto"/>
          </w:divBdr>
        </w:div>
      </w:divsChild>
    </w:div>
    <w:div w:id="1678389134">
      <w:marLeft w:val="0"/>
      <w:marRight w:val="0"/>
      <w:marTop w:val="0"/>
      <w:marBottom w:val="0"/>
      <w:divBdr>
        <w:top w:val="none" w:sz="0" w:space="0" w:color="auto"/>
        <w:left w:val="none" w:sz="0" w:space="0" w:color="auto"/>
        <w:bottom w:val="none" w:sz="0" w:space="0" w:color="auto"/>
        <w:right w:val="none" w:sz="0" w:space="0" w:color="auto"/>
      </w:divBdr>
      <w:divsChild>
        <w:div w:id="1317763410">
          <w:marLeft w:val="0"/>
          <w:marRight w:val="0"/>
          <w:marTop w:val="547"/>
          <w:marBottom w:val="0"/>
          <w:divBdr>
            <w:top w:val="none" w:sz="0" w:space="0" w:color="auto"/>
            <w:left w:val="none" w:sz="0" w:space="0" w:color="auto"/>
            <w:bottom w:val="none" w:sz="0" w:space="0" w:color="auto"/>
            <w:right w:val="none" w:sz="0" w:space="0" w:color="auto"/>
          </w:divBdr>
        </w:div>
        <w:div w:id="1757286368">
          <w:marLeft w:val="0"/>
          <w:marRight w:val="0"/>
          <w:marTop w:val="0"/>
          <w:marBottom w:val="0"/>
          <w:divBdr>
            <w:top w:val="none" w:sz="0" w:space="0" w:color="auto"/>
            <w:left w:val="none" w:sz="0" w:space="0" w:color="auto"/>
            <w:bottom w:val="none" w:sz="0" w:space="0" w:color="auto"/>
            <w:right w:val="none" w:sz="0" w:space="0" w:color="auto"/>
          </w:divBdr>
        </w:div>
        <w:div w:id="517697029">
          <w:marLeft w:val="0"/>
          <w:marRight w:val="0"/>
          <w:marTop w:val="0"/>
          <w:marBottom w:val="600"/>
          <w:divBdr>
            <w:top w:val="none" w:sz="0" w:space="0" w:color="auto"/>
            <w:left w:val="none" w:sz="0" w:space="0" w:color="auto"/>
            <w:bottom w:val="none" w:sz="0" w:space="0" w:color="auto"/>
            <w:right w:val="none" w:sz="0" w:space="0" w:color="auto"/>
          </w:divBdr>
        </w:div>
      </w:divsChild>
    </w:div>
    <w:div w:id="1736976059">
      <w:marLeft w:val="0"/>
      <w:marRight w:val="0"/>
      <w:marTop w:val="0"/>
      <w:marBottom w:val="0"/>
      <w:divBdr>
        <w:top w:val="none" w:sz="0" w:space="0" w:color="auto"/>
        <w:left w:val="none" w:sz="0" w:space="0" w:color="auto"/>
        <w:bottom w:val="none" w:sz="0" w:space="0" w:color="auto"/>
        <w:right w:val="none" w:sz="0" w:space="0" w:color="auto"/>
      </w:divBdr>
      <w:divsChild>
        <w:div w:id="1523278836">
          <w:marLeft w:val="0"/>
          <w:marRight w:val="0"/>
          <w:marTop w:val="547"/>
          <w:marBottom w:val="0"/>
          <w:divBdr>
            <w:top w:val="none" w:sz="0" w:space="0" w:color="auto"/>
            <w:left w:val="none" w:sz="0" w:space="0" w:color="auto"/>
            <w:bottom w:val="none" w:sz="0" w:space="0" w:color="auto"/>
            <w:right w:val="none" w:sz="0" w:space="0" w:color="auto"/>
          </w:divBdr>
        </w:div>
        <w:div w:id="805396511">
          <w:marLeft w:val="0"/>
          <w:marRight w:val="0"/>
          <w:marTop w:val="0"/>
          <w:marBottom w:val="0"/>
          <w:divBdr>
            <w:top w:val="none" w:sz="0" w:space="0" w:color="auto"/>
            <w:left w:val="none" w:sz="0" w:space="0" w:color="auto"/>
            <w:bottom w:val="none" w:sz="0" w:space="0" w:color="auto"/>
            <w:right w:val="none" w:sz="0" w:space="0" w:color="auto"/>
          </w:divBdr>
        </w:div>
        <w:div w:id="506331616">
          <w:marLeft w:val="0"/>
          <w:marRight w:val="0"/>
          <w:marTop w:val="0"/>
          <w:marBottom w:val="600"/>
          <w:divBdr>
            <w:top w:val="none" w:sz="0" w:space="0" w:color="auto"/>
            <w:left w:val="none" w:sz="0" w:space="0" w:color="auto"/>
            <w:bottom w:val="none" w:sz="0" w:space="0" w:color="auto"/>
            <w:right w:val="none" w:sz="0" w:space="0" w:color="auto"/>
          </w:divBdr>
        </w:div>
      </w:divsChild>
    </w:div>
    <w:div w:id="1749883495">
      <w:marLeft w:val="0"/>
      <w:marRight w:val="0"/>
      <w:marTop w:val="0"/>
      <w:marBottom w:val="0"/>
      <w:divBdr>
        <w:top w:val="none" w:sz="0" w:space="0" w:color="auto"/>
        <w:left w:val="none" w:sz="0" w:space="0" w:color="auto"/>
        <w:bottom w:val="none" w:sz="0" w:space="0" w:color="auto"/>
        <w:right w:val="none" w:sz="0" w:space="0" w:color="auto"/>
      </w:divBdr>
      <w:divsChild>
        <w:div w:id="1445272096">
          <w:marLeft w:val="0"/>
          <w:marRight w:val="0"/>
          <w:marTop w:val="547"/>
          <w:marBottom w:val="0"/>
          <w:divBdr>
            <w:top w:val="none" w:sz="0" w:space="0" w:color="auto"/>
            <w:left w:val="none" w:sz="0" w:space="0" w:color="auto"/>
            <w:bottom w:val="none" w:sz="0" w:space="0" w:color="auto"/>
            <w:right w:val="none" w:sz="0" w:space="0" w:color="auto"/>
          </w:divBdr>
        </w:div>
        <w:div w:id="114060546">
          <w:marLeft w:val="0"/>
          <w:marRight w:val="0"/>
          <w:marTop w:val="0"/>
          <w:marBottom w:val="0"/>
          <w:divBdr>
            <w:top w:val="none" w:sz="0" w:space="0" w:color="auto"/>
            <w:left w:val="none" w:sz="0" w:space="0" w:color="auto"/>
            <w:bottom w:val="none" w:sz="0" w:space="0" w:color="auto"/>
            <w:right w:val="none" w:sz="0" w:space="0" w:color="auto"/>
          </w:divBdr>
        </w:div>
        <w:div w:id="169492250">
          <w:marLeft w:val="0"/>
          <w:marRight w:val="0"/>
          <w:marTop w:val="0"/>
          <w:marBottom w:val="600"/>
          <w:divBdr>
            <w:top w:val="none" w:sz="0" w:space="0" w:color="auto"/>
            <w:left w:val="none" w:sz="0" w:space="0" w:color="auto"/>
            <w:bottom w:val="none" w:sz="0" w:space="0" w:color="auto"/>
            <w:right w:val="none" w:sz="0" w:space="0" w:color="auto"/>
          </w:divBdr>
        </w:div>
      </w:divsChild>
    </w:div>
    <w:div w:id="1781221991">
      <w:marLeft w:val="0"/>
      <w:marRight w:val="0"/>
      <w:marTop w:val="0"/>
      <w:marBottom w:val="0"/>
      <w:divBdr>
        <w:top w:val="none" w:sz="0" w:space="0" w:color="auto"/>
        <w:left w:val="none" w:sz="0" w:space="0" w:color="auto"/>
        <w:bottom w:val="none" w:sz="0" w:space="0" w:color="auto"/>
        <w:right w:val="none" w:sz="0" w:space="0" w:color="auto"/>
      </w:divBdr>
      <w:divsChild>
        <w:div w:id="817460900">
          <w:marLeft w:val="0"/>
          <w:marRight w:val="0"/>
          <w:marTop w:val="547"/>
          <w:marBottom w:val="0"/>
          <w:divBdr>
            <w:top w:val="none" w:sz="0" w:space="0" w:color="auto"/>
            <w:left w:val="none" w:sz="0" w:space="0" w:color="auto"/>
            <w:bottom w:val="none" w:sz="0" w:space="0" w:color="auto"/>
            <w:right w:val="none" w:sz="0" w:space="0" w:color="auto"/>
          </w:divBdr>
        </w:div>
        <w:div w:id="428356552">
          <w:marLeft w:val="0"/>
          <w:marRight w:val="0"/>
          <w:marTop w:val="0"/>
          <w:marBottom w:val="0"/>
          <w:divBdr>
            <w:top w:val="none" w:sz="0" w:space="0" w:color="auto"/>
            <w:left w:val="none" w:sz="0" w:space="0" w:color="auto"/>
            <w:bottom w:val="none" w:sz="0" w:space="0" w:color="auto"/>
            <w:right w:val="none" w:sz="0" w:space="0" w:color="auto"/>
          </w:divBdr>
        </w:div>
        <w:div w:id="114105319">
          <w:marLeft w:val="0"/>
          <w:marRight w:val="0"/>
          <w:marTop w:val="0"/>
          <w:marBottom w:val="600"/>
          <w:divBdr>
            <w:top w:val="none" w:sz="0" w:space="0" w:color="auto"/>
            <w:left w:val="none" w:sz="0" w:space="0" w:color="auto"/>
            <w:bottom w:val="none" w:sz="0" w:space="0" w:color="auto"/>
            <w:right w:val="none" w:sz="0" w:space="0" w:color="auto"/>
          </w:divBdr>
        </w:div>
      </w:divsChild>
    </w:div>
    <w:div w:id="1797141874">
      <w:marLeft w:val="0"/>
      <w:marRight w:val="0"/>
      <w:marTop w:val="0"/>
      <w:marBottom w:val="0"/>
      <w:divBdr>
        <w:top w:val="none" w:sz="0" w:space="0" w:color="auto"/>
        <w:left w:val="none" w:sz="0" w:space="0" w:color="auto"/>
        <w:bottom w:val="none" w:sz="0" w:space="0" w:color="auto"/>
        <w:right w:val="none" w:sz="0" w:space="0" w:color="auto"/>
      </w:divBdr>
      <w:divsChild>
        <w:div w:id="1542133324">
          <w:marLeft w:val="0"/>
          <w:marRight w:val="0"/>
          <w:marTop w:val="547"/>
          <w:marBottom w:val="0"/>
          <w:divBdr>
            <w:top w:val="none" w:sz="0" w:space="0" w:color="auto"/>
            <w:left w:val="none" w:sz="0" w:space="0" w:color="auto"/>
            <w:bottom w:val="none" w:sz="0" w:space="0" w:color="auto"/>
            <w:right w:val="none" w:sz="0" w:space="0" w:color="auto"/>
          </w:divBdr>
        </w:div>
        <w:div w:id="2062242169">
          <w:marLeft w:val="0"/>
          <w:marRight w:val="0"/>
          <w:marTop w:val="0"/>
          <w:marBottom w:val="0"/>
          <w:divBdr>
            <w:top w:val="none" w:sz="0" w:space="0" w:color="auto"/>
            <w:left w:val="none" w:sz="0" w:space="0" w:color="auto"/>
            <w:bottom w:val="none" w:sz="0" w:space="0" w:color="auto"/>
            <w:right w:val="none" w:sz="0" w:space="0" w:color="auto"/>
          </w:divBdr>
        </w:div>
        <w:div w:id="1011760685">
          <w:marLeft w:val="0"/>
          <w:marRight w:val="0"/>
          <w:marTop w:val="0"/>
          <w:marBottom w:val="600"/>
          <w:divBdr>
            <w:top w:val="none" w:sz="0" w:space="0" w:color="auto"/>
            <w:left w:val="none" w:sz="0" w:space="0" w:color="auto"/>
            <w:bottom w:val="none" w:sz="0" w:space="0" w:color="auto"/>
            <w:right w:val="none" w:sz="0" w:space="0" w:color="auto"/>
          </w:divBdr>
        </w:div>
      </w:divsChild>
    </w:div>
    <w:div w:id="1809392198">
      <w:marLeft w:val="0"/>
      <w:marRight w:val="0"/>
      <w:marTop w:val="0"/>
      <w:marBottom w:val="0"/>
      <w:divBdr>
        <w:top w:val="none" w:sz="0" w:space="0" w:color="auto"/>
        <w:left w:val="none" w:sz="0" w:space="0" w:color="auto"/>
        <w:bottom w:val="none" w:sz="0" w:space="0" w:color="auto"/>
        <w:right w:val="none" w:sz="0" w:space="0" w:color="auto"/>
      </w:divBdr>
      <w:divsChild>
        <w:div w:id="111480229">
          <w:marLeft w:val="0"/>
          <w:marRight w:val="0"/>
          <w:marTop w:val="547"/>
          <w:marBottom w:val="0"/>
          <w:divBdr>
            <w:top w:val="none" w:sz="0" w:space="0" w:color="auto"/>
            <w:left w:val="none" w:sz="0" w:space="0" w:color="auto"/>
            <w:bottom w:val="none" w:sz="0" w:space="0" w:color="auto"/>
            <w:right w:val="none" w:sz="0" w:space="0" w:color="auto"/>
          </w:divBdr>
        </w:div>
        <w:div w:id="2106264304">
          <w:marLeft w:val="0"/>
          <w:marRight w:val="0"/>
          <w:marTop w:val="0"/>
          <w:marBottom w:val="0"/>
          <w:divBdr>
            <w:top w:val="none" w:sz="0" w:space="0" w:color="auto"/>
            <w:left w:val="none" w:sz="0" w:space="0" w:color="auto"/>
            <w:bottom w:val="none" w:sz="0" w:space="0" w:color="auto"/>
            <w:right w:val="none" w:sz="0" w:space="0" w:color="auto"/>
          </w:divBdr>
        </w:div>
        <w:div w:id="803696927">
          <w:marLeft w:val="0"/>
          <w:marRight w:val="0"/>
          <w:marTop w:val="0"/>
          <w:marBottom w:val="600"/>
          <w:divBdr>
            <w:top w:val="none" w:sz="0" w:space="0" w:color="auto"/>
            <w:left w:val="none" w:sz="0" w:space="0" w:color="auto"/>
            <w:bottom w:val="none" w:sz="0" w:space="0" w:color="auto"/>
            <w:right w:val="none" w:sz="0" w:space="0" w:color="auto"/>
          </w:divBdr>
        </w:div>
      </w:divsChild>
    </w:div>
    <w:div w:id="1810323684">
      <w:marLeft w:val="0"/>
      <w:marRight w:val="0"/>
      <w:marTop w:val="0"/>
      <w:marBottom w:val="0"/>
      <w:divBdr>
        <w:top w:val="none" w:sz="0" w:space="0" w:color="auto"/>
        <w:left w:val="none" w:sz="0" w:space="0" w:color="auto"/>
        <w:bottom w:val="none" w:sz="0" w:space="0" w:color="auto"/>
        <w:right w:val="none" w:sz="0" w:space="0" w:color="auto"/>
      </w:divBdr>
      <w:divsChild>
        <w:div w:id="188372123">
          <w:marLeft w:val="0"/>
          <w:marRight w:val="0"/>
          <w:marTop w:val="547"/>
          <w:marBottom w:val="0"/>
          <w:divBdr>
            <w:top w:val="none" w:sz="0" w:space="0" w:color="auto"/>
            <w:left w:val="none" w:sz="0" w:space="0" w:color="auto"/>
            <w:bottom w:val="none" w:sz="0" w:space="0" w:color="auto"/>
            <w:right w:val="none" w:sz="0" w:space="0" w:color="auto"/>
          </w:divBdr>
        </w:div>
        <w:div w:id="1042633948">
          <w:marLeft w:val="0"/>
          <w:marRight w:val="0"/>
          <w:marTop w:val="0"/>
          <w:marBottom w:val="0"/>
          <w:divBdr>
            <w:top w:val="none" w:sz="0" w:space="0" w:color="auto"/>
            <w:left w:val="none" w:sz="0" w:space="0" w:color="auto"/>
            <w:bottom w:val="none" w:sz="0" w:space="0" w:color="auto"/>
            <w:right w:val="none" w:sz="0" w:space="0" w:color="auto"/>
          </w:divBdr>
          <w:divsChild>
            <w:div w:id="383213678">
              <w:marLeft w:val="0"/>
              <w:marRight w:val="0"/>
              <w:marTop w:val="0"/>
              <w:marBottom w:val="0"/>
              <w:divBdr>
                <w:top w:val="none" w:sz="0" w:space="0" w:color="auto"/>
                <w:left w:val="none" w:sz="0" w:space="0" w:color="auto"/>
                <w:bottom w:val="none" w:sz="0" w:space="0" w:color="auto"/>
                <w:right w:val="none" w:sz="0" w:space="0" w:color="auto"/>
              </w:divBdr>
              <w:divsChild>
                <w:div w:id="1818643655">
                  <w:marLeft w:val="0"/>
                  <w:marRight w:val="0"/>
                  <w:marTop w:val="0"/>
                  <w:marBottom w:val="0"/>
                  <w:divBdr>
                    <w:top w:val="none" w:sz="0" w:space="0" w:color="auto"/>
                    <w:left w:val="none" w:sz="0" w:space="0" w:color="auto"/>
                    <w:bottom w:val="none" w:sz="0" w:space="0" w:color="auto"/>
                    <w:right w:val="none" w:sz="0" w:space="0" w:color="auto"/>
                  </w:divBdr>
                </w:div>
              </w:divsChild>
            </w:div>
            <w:div w:id="545484360">
              <w:marLeft w:val="0"/>
              <w:marRight w:val="0"/>
              <w:marTop w:val="0"/>
              <w:marBottom w:val="0"/>
              <w:divBdr>
                <w:top w:val="none" w:sz="0" w:space="0" w:color="auto"/>
                <w:left w:val="none" w:sz="0" w:space="0" w:color="auto"/>
                <w:bottom w:val="none" w:sz="0" w:space="0" w:color="auto"/>
                <w:right w:val="none" w:sz="0" w:space="0" w:color="auto"/>
              </w:divBdr>
              <w:divsChild>
                <w:div w:id="242955382">
                  <w:marLeft w:val="0"/>
                  <w:marRight w:val="0"/>
                  <w:marTop w:val="0"/>
                  <w:marBottom w:val="0"/>
                  <w:divBdr>
                    <w:top w:val="none" w:sz="0" w:space="0" w:color="auto"/>
                    <w:left w:val="none" w:sz="0" w:space="0" w:color="auto"/>
                    <w:bottom w:val="none" w:sz="0" w:space="0" w:color="auto"/>
                    <w:right w:val="none" w:sz="0" w:space="0" w:color="auto"/>
                  </w:divBdr>
                </w:div>
              </w:divsChild>
            </w:div>
            <w:div w:id="375395785">
              <w:marLeft w:val="0"/>
              <w:marRight w:val="0"/>
              <w:marTop w:val="0"/>
              <w:marBottom w:val="0"/>
              <w:divBdr>
                <w:top w:val="none" w:sz="0" w:space="0" w:color="auto"/>
                <w:left w:val="none" w:sz="0" w:space="0" w:color="auto"/>
                <w:bottom w:val="none" w:sz="0" w:space="0" w:color="auto"/>
                <w:right w:val="none" w:sz="0" w:space="0" w:color="auto"/>
              </w:divBdr>
              <w:divsChild>
                <w:div w:id="1488400301">
                  <w:marLeft w:val="0"/>
                  <w:marRight w:val="0"/>
                  <w:marTop w:val="0"/>
                  <w:marBottom w:val="0"/>
                  <w:divBdr>
                    <w:top w:val="none" w:sz="0" w:space="0" w:color="auto"/>
                    <w:left w:val="none" w:sz="0" w:space="0" w:color="auto"/>
                    <w:bottom w:val="none" w:sz="0" w:space="0" w:color="auto"/>
                    <w:right w:val="none" w:sz="0" w:space="0" w:color="auto"/>
                  </w:divBdr>
                </w:div>
              </w:divsChild>
            </w:div>
            <w:div w:id="2105374743">
              <w:marLeft w:val="0"/>
              <w:marRight w:val="0"/>
              <w:marTop w:val="0"/>
              <w:marBottom w:val="0"/>
              <w:divBdr>
                <w:top w:val="none" w:sz="0" w:space="0" w:color="auto"/>
                <w:left w:val="none" w:sz="0" w:space="0" w:color="auto"/>
                <w:bottom w:val="none" w:sz="0" w:space="0" w:color="auto"/>
                <w:right w:val="none" w:sz="0" w:space="0" w:color="auto"/>
              </w:divBdr>
              <w:divsChild>
                <w:div w:id="1223518048">
                  <w:marLeft w:val="0"/>
                  <w:marRight w:val="0"/>
                  <w:marTop w:val="0"/>
                  <w:marBottom w:val="0"/>
                  <w:divBdr>
                    <w:top w:val="none" w:sz="0" w:space="0" w:color="auto"/>
                    <w:left w:val="none" w:sz="0" w:space="0" w:color="auto"/>
                    <w:bottom w:val="none" w:sz="0" w:space="0" w:color="auto"/>
                    <w:right w:val="none" w:sz="0" w:space="0" w:color="auto"/>
                  </w:divBdr>
                </w:div>
              </w:divsChild>
            </w:div>
            <w:div w:id="795097252">
              <w:marLeft w:val="0"/>
              <w:marRight w:val="0"/>
              <w:marTop w:val="0"/>
              <w:marBottom w:val="0"/>
              <w:divBdr>
                <w:top w:val="none" w:sz="0" w:space="0" w:color="auto"/>
                <w:left w:val="none" w:sz="0" w:space="0" w:color="auto"/>
                <w:bottom w:val="none" w:sz="0" w:space="0" w:color="auto"/>
                <w:right w:val="none" w:sz="0" w:space="0" w:color="auto"/>
              </w:divBdr>
              <w:divsChild>
                <w:div w:id="821048742">
                  <w:marLeft w:val="0"/>
                  <w:marRight w:val="0"/>
                  <w:marTop w:val="0"/>
                  <w:marBottom w:val="0"/>
                  <w:divBdr>
                    <w:top w:val="none" w:sz="0" w:space="0" w:color="auto"/>
                    <w:left w:val="none" w:sz="0" w:space="0" w:color="auto"/>
                    <w:bottom w:val="none" w:sz="0" w:space="0" w:color="auto"/>
                    <w:right w:val="none" w:sz="0" w:space="0" w:color="auto"/>
                  </w:divBdr>
                </w:div>
              </w:divsChild>
            </w:div>
            <w:div w:id="1391424067">
              <w:marLeft w:val="0"/>
              <w:marRight w:val="0"/>
              <w:marTop w:val="0"/>
              <w:marBottom w:val="0"/>
              <w:divBdr>
                <w:top w:val="none" w:sz="0" w:space="0" w:color="auto"/>
                <w:left w:val="none" w:sz="0" w:space="0" w:color="auto"/>
                <w:bottom w:val="none" w:sz="0" w:space="0" w:color="auto"/>
                <w:right w:val="none" w:sz="0" w:space="0" w:color="auto"/>
              </w:divBdr>
              <w:divsChild>
                <w:div w:id="223640557">
                  <w:marLeft w:val="0"/>
                  <w:marRight w:val="0"/>
                  <w:marTop w:val="0"/>
                  <w:marBottom w:val="0"/>
                  <w:divBdr>
                    <w:top w:val="none" w:sz="0" w:space="0" w:color="auto"/>
                    <w:left w:val="none" w:sz="0" w:space="0" w:color="auto"/>
                    <w:bottom w:val="none" w:sz="0" w:space="0" w:color="auto"/>
                    <w:right w:val="none" w:sz="0" w:space="0" w:color="auto"/>
                  </w:divBdr>
                </w:div>
              </w:divsChild>
            </w:div>
            <w:div w:id="247232152">
              <w:marLeft w:val="0"/>
              <w:marRight w:val="0"/>
              <w:marTop w:val="0"/>
              <w:marBottom w:val="0"/>
              <w:divBdr>
                <w:top w:val="none" w:sz="0" w:space="0" w:color="auto"/>
                <w:left w:val="none" w:sz="0" w:space="0" w:color="auto"/>
                <w:bottom w:val="none" w:sz="0" w:space="0" w:color="auto"/>
                <w:right w:val="none" w:sz="0" w:space="0" w:color="auto"/>
              </w:divBdr>
              <w:divsChild>
                <w:div w:id="694044517">
                  <w:marLeft w:val="0"/>
                  <w:marRight w:val="0"/>
                  <w:marTop w:val="0"/>
                  <w:marBottom w:val="0"/>
                  <w:divBdr>
                    <w:top w:val="none" w:sz="0" w:space="0" w:color="auto"/>
                    <w:left w:val="none" w:sz="0" w:space="0" w:color="auto"/>
                    <w:bottom w:val="none" w:sz="0" w:space="0" w:color="auto"/>
                    <w:right w:val="none" w:sz="0" w:space="0" w:color="auto"/>
                  </w:divBdr>
                </w:div>
              </w:divsChild>
            </w:div>
            <w:div w:id="1901017717">
              <w:marLeft w:val="0"/>
              <w:marRight w:val="0"/>
              <w:marTop w:val="0"/>
              <w:marBottom w:val="0"/>
              <w:divBdr>
                <w:top w:val="none" w:sz="0" w:space="0" w:color="auto"/>
                <w:left w:val="none" w:sz="0" w:space="0" w:color="auto"/>
                <w:bottom w:val="none" w:sz="0" w:space="0" w:color="auto"/>
                <w:right w:val="none" w:sz="0" w:space="0" w:color="auto"/>
              </w:divBdr>
              <w:divsChild>
                <w:div w:id="1737628550">
                  <w:marLeft w:val="0"/>
                  <w:marRight w:val="0"/>
                  <w:marTop w:val="0"/>
                  <w:marBottom w:val="0"/>
                  <w:divBdr>
                    <w:top w:val="none" w:sz="0" w:space="0" w:color="auto"/>
                    <w:left w:val="none" w:sz="0" w:space="0" w:color="auto"/>
                    <w:bottom w:val="none" w:sz="0" w:space="0" w:color="auto"/>
                    <w:right w:val="none" w:sz="0" w:space="0" w:color="auto"/>
                  </w:divBdr>
                </w:div>
              </w:divsChild>
            </w:div>
            <w:div w:id="1142965258">
              <w:marLeft w:val="0"/>
              <w:marRight w:val="0"/>
              <w:marTop w:val="0"/>
              <w:marBottom w:val="0"/>
              <w:divBdr>
                <w:top w:val="none" w:sz="0" w:space="0" w:color="auto"/>
                <w:left w:val="none" w:sz="0" w:space="0" w:color="auto"/>
                <w:bottom w:val="none" w:sz="0" w:space="0" w:color="auto"/>
                <w:right w:val="none" w:sz="0" w:space="0" w:color="auto"/>
              </w:divBdr>
              <w:divsChild>
                <w:div w:id="864056990">
                  <w:marLeft w:val="0"/>
                  <w:marRight w:val="0"/>
                  <w:marTop w:val="0"/>
                  <w:marBottom w:val="0"/>
                  <w:divBdr>
                    <w:top w:val="none" w:sz="0" w:space="0" w:color="auto"/>
                    <w:left w:val="none" w:sz="0" w:space="0" w:color="auto"/>
                    <w:bottom w:val="none" w:sz="0" w:space="0" w:color="auto"/>
                    <w:right w:val="none" w:sz="0" w:space="0" w:color="auto"/>
                  </w:divBdr>
                </w:div>
              </w:divsChild>
            </w:div>
            <w:div w:id="1905527328">
              <w:marLeft w:val="0"/>
              <w:marRight w:val="0"/>
              <w:marTop w:val="0"/>
              <w:marBottom w:val="0"/>
              <w:divBdr>
                <w:top w:val="none" w:sz="0" w:space="0" w:color="auto"/>
                <w:left w:val="none" w:sz="0" w:space="0" w:color="auto"/>
                <w:bottom w:val="none" w:sz="0" w:space="0" w:color="auto"/>
                <w:right w:val="none" w:sz="0" w:space="0" w:color="auto"/>
              </w:divBdr>
              <w:divsChild>
                <w:div w:id="1394545014">
                  <w:marLeft w:val="0"/>
                  <w:marRight w:val="0"/>
                  <w:marTop w:val="0"/>
                  <w:marBottom w:val="0"/>
                  <w:divBdr>
                    <w:top w:val="none" w:sz="0" w:space="0" w:color="auto"/>
                    <w:left w:val="none" w:sz="0" w:space="0" w:color="auto"/>
                    <w:bottom w:val="none" w:sz="0" w:space="0" w:color="auto"/>
                    <w:right w:val="none" w:sz="0" w:space="0" w:color="auto"/>
                  </w:divBdr>
                </w:div>
              </w:divsChild>
            </w:div>
            <w:div w:id="179780576">
              <w:marLeft w:val="0"/>
              <w:marRight w:val="0"/>
              <w:marTop w:val="0"/>
              <w:marBottom w:val="0"/>
              <w:divBdr>
                <w:top w:val="none" w:sz="0" w:space="0" w:color="auto"/>
                <w:left w:val="none" w:sz="0" w:space="0" w:color="auto"/>
                <w:bottom w:val="none" w:sz="0" w:space="0" w:color="auto"/>
                <w:right w:val="none" w:sz="0" w:space="0" w:color="auto"/>
              </w:divBdr>
              <w:divsChild>
                <w:div w:id="1855419494">
                  <w:marLeft w:val="0"/>
                  <w:marRight w:val="0"/>
                  <w:marTop w:val="0"/>
                  <w:marBottom w:val="0"/>
                  <w:divBdr>
                    <w:top w:val="none" w:sz="0" w:space="0" w:color="auto"/>
                    <w:left w:val="none" w:sz="0" w:space="0" w:color="auto"/>
                    <w:bottom w:val="none" w:sz="0" w:space="0" w:color="auto"/>
                    <w:right w:val="none" w:sz="0" w:space="0" w:color="auto"/>
                  </w:divBdr>
                </w:div>
              </w:divsChild>
            </w:div>
            <w:div w:id="1255431048">
              <w:marLeft w:val="0"/>
              <w:marRight w:val="0"/>
              <w:marTop w:val="0"/>
              <w:marBottom w:val="0"/>
              <w:divBdr>
                <w:top w:val="none" w:sz="0" w:space="0" w:color="auto"/>
                <w:left w:val="none" w:sz="0" w:space="0" w:color="auto"/>
                <w:bottom w:val="none" w:sz="0" w:space="0" w:color="auto"/>
                <w:right w:val="none" w:sz="0" w:space="0" w:color="auto"/>
              </w:divBdr>
              <w:divsChild>
                <w:div w:id="346182093">
                  <w:marLeft w:val="0"/>
                  <w:marRight w:val="0"/>
                  <w:marTop w:val="0"/>
                  <w:marBottom w:val="0"/>
                  <w:divBdr>
                    <w:top w:val="none" w:sz="0" w:space="0" w:color="auto"/>
                    <w:left w:val="none" w:sz="0" w:space="0" w:color="auto"/>
                    <w:bottom w:val="none" w:sz="0" w:space="0" w:color="auto"/>
                    <w:right w:val="none" w:sz="0" w:space="0" w:color="auto"/>
                  </w:divBdr>
                </w:div>
              </w:divsChild>
            </w:div>
            <w:div w:id="1887446310">
              <w:marLeft w:val="0"/>
              <w:marRight w:val="0"/>
              <w:marTop w:val="0"/>
              <w:marBottom w:val="0"/>
              <w:divBdr>
                <w:top w:val="none" w:sz="0" w:space="0" w:color="auto"/>
                <w:left w:val="none" w:sz="0" w:space="0" w:color="auto"/>
                <w:bottom w:val="none" w:sz="0" w:space="0" w:color="auto"/>
                <w:right w:val="none" w:sz="0" w:space="0" w:color="auto"/>
              </w:divBdr>
              <w:divsChild>
                <w:div w:id="299383828">
                  <w:marLeft w:val="0"/>
                  <w:marRight w:val="0"/>
                  <w:marTop w:val="0"/>
                  <w:marBottom w:val="0"/>
                  <w:divBdr>
                    <w:top w:val="none" w:sz="0" w:space="0" w:color="auto"/>
                    <w:left w:val="none" w:sz="0" w:space="0" w:color="auto"/>
                    <w:bottom w:val="none" w:sz="0" w:space="0" w:color="auto"/>
                    <w:right w:val="none" w:sz="0" w:space="0" w:color="auto"/>
                  </w:divBdr>
                </w:div>
              </w:divsChild>
            </w:div>
            <w:div w:id="1681856990">
              <w:marLeft w:val="0"/>
              <w:marRight w:val="0"/>
              <w:marTop w:val="0"/>
              <w:marBottom w:val="0"/>
              <w:divBdr>
                <w:top w:val="none" w:sz="0" w:space="0" w:color="auto"/>
                <w:left w:val="none" w:sz="0" w:space="0" w:color="auto"/>
                <w:bottom w:val="none" w:sz="0" w:space="0" w:color="auto"/>
                <w:right w:val="none" w:sz="0" w:space="0" w:color="auto"/>
              </w:divBdr>
              <w:divsChild>
                <w:div w:id="623728986">
                  <w:marLeft w:val="0"/>
                  <w:marRight w:val="0"/>
                  <w:marTop w:val="0"/>
                  <w:marBottom w:val="0"/>
                  <w:divBdr>
                    <w:top w:val="none" w:sz="0" w:space="0" w:color="auto"/>
                    <w:left w:val="none" w:sz="0" w:space="0" w:color="auto"/>
                    <w:bottom w:val="none" w:sz="0" w:space="0" w:color="auto"/>
                    <w:right w:val="none" w:sz="0" w:space="0" w:color="auto"/>
                  </w:divBdr>
                </w:div>
              </w:divsChild>
            </w:div>
            <w:div w:id="87116528">
              <w:marLeft w:val="0"/>
              <w:marRight w:val="0"/>
              <w:marTop w:val="0"/>
              <w:marBottom w:val="0"/>
              <w:divBdr>
                <w:top w:val="none" w:sz="0" w:space="0" w:color="auto"/>
                <w:left w:val="none" w:sz="0" w:space="0" w:color="auto"/>
                <w:bottom w:val="none" w:sz="0" w:space="0" w:color="auto"/>
                <w:right w:val="none" w:sz="0" w:space="0" w:color="auto"/>
              </w:divBdr>
              <w:divsChild>
                <w:div w:id="1650477531">
                  <w:marLeft w:val="0"/>
                  <w:marRight w:val="0"/>
                  <w:marTop w:val="0"/>
                  <w:marBottom w:val="0"/>
                  <w:divBdr>
                    <w:top w:val="none" w:sz="0" w:space="0" w:color="auto"/>
                    <w:left w:val="none" w:sz="0" w:space="0" w:color="auto"/>
                    <w:bottom w:val="none" w:sz="0" w:space="0" w:color="auto"/>
                    <w:right w:val="none" w:sz="0" w:space="0" w:color="auto"/>
                  </w:divBdr>
                </w:div>
              </w:divsChild>
            </w:div>
            <w:div w:id="493303895">
              <w:marLeft w:val="0"/>
              <w:marRight w:val="0"/>
              <w:marTop w:val="0"/>
              <w:marBottom w:val="0"/>
              <w:divBdr>
                <w:top w:val="none" w:sz="0" w:space="0" w:color="auto"/>
                <w:left w:val="none" w:sz="0" w:space="0" w:color="auto"/>
                <w:bottom w:val="none" w:sz="0" w:space="0" w:color="auto"/>
                <w:right w:val="none" w:sz="0" w:space="0" w:color="auto"/>
              </w:divBdr>
              <w:divsChild>
                <w:div w:id="2033454375">
                  <w:marLeft w:val="0"/>
                  <w:marRight w:val="0"/>
                  <w:marTop w:val="0"/>
                  <w:marBottom w:val="0"/>
                  <w:divBdr>
                    <w:top w:val="none" w:sz="0" w:space="0" w:color="auto"/>
                    <w:left w:val="none" w:sz="0" w:space="0" w:color="auto"/>
                    <w:bottom w:val="none" w:sz="0" w:space="0" w:color="auto"/>
                    <w:right w:val="none" w:sz="0" w:space="0" w:color="auto"/>
                  </w:divBdr>
                </w:div>
              </w:divsChild>
            </w:div>
            <w:div w:id="1452817372">
              <w:marLeft w:val="0"/>
              <w:marRight w:val="0"/>
              <w:marTop w:val="0"/>
              <w:marBottom w:val="0"/>
              <w:divBdr>
                <w:top w:val="none" w:sz="0" w:space="0" w:color="auto"/>
                <w:left w:val="none" w:sz="0" w:space="0" w:color="auto"/>
                <w:bottom w:val="none" w:sz="0" w:space="0" w:color="auto"/>
                <w:right w:val="none" w:sz="0" w:space="0" w:color="auto"/>
              </w:divBdr>
              <w:divsChild>
                <w:div w:id="43144410">
                  <w:marLeft w:val="0"/>
                  <w:marRight w:val="0"/>
                  <w:marTop w:val="0"/>
                  <w:marBottom w:val="0"/>
                  <w:divBdr>
                    <w:top w:val="none" w:sz="0" w:space="0" w:color="auto"/>
                    <w:left w:val="none" w:sz="0" w:space="0" w:color="auto"/>
                    <w:bottom w:val="none" w:sz="0" w:space="0" w:color="auto"/>
                    <w:right w:val="none" w:sz="0" w:space="0" w:color="auto"/>
                  </w:divBdr>
                </w:div>
              </w:divsChild>
            </w:div>
            <w:div w:id="641347802">
              <w:marLeft w:val="0"/>
              <w:marRight w:val="0"/>
              <w:marTop w:val="0"/>
              <w:marBottom w:val="0"/>
              <w:divBdr>
                <w:top w:val="none" w:sz="0" w:space="0" w:color="auto"/>
                <w:left w:val="none" w:sz="0" w:space="0" w:color="auto"/>
                <w:bottom w:val="none" w:sz="0" w:space="0" w:color="auto"/>
                <w:right w:val="none" w:sz="0" w:space="0" w:color="auto"/>
              </w:divBdr>
              <w:divsChild>
                <w:div w:id="1916822489">
                  <w:marLeft w:val="0"/>
                  <w:marRight w:val="0"/>
                  <w:marTop w:val="0"/>
                  <w:marBottom w:val="0"/>
                  <w:divBdr>
                    <w:top w:val="none" w:sz="0" w:space="0" w:color="auto"/>
                    <w:left w:val="none" w:sz="0" w:space="0" w:color="auto"/>
                    <w:bottom w:val="none" w:sz="0" w:space="0" w:color="auto"/>
                    <w:right w:val="none" w:sz="0" w:space="0" w:color="auto"/>
                  </w:divBdr>
                </w:div>
              </w:divsChild>
            </w:div>
            <w:div w:id="1285841368">
              <w:marLeft w:val="0"/>
              <w:marRight w:val="0"/>
              <w:marTop w:val="0"/>
              <w:marBottom w:val="0"/>
              <w:divBdr>
                <w:top w:val="none" w:sz="0" w:space="0" w:color="auto"/>
                <w:left w:val="none" w:sz="0" w:space="0" w:color="auto"/>
                <w:bottom w:val="none" w:sz="0" w:space="0" w:color="auto"/>
                <w:right w:val="none" w:sz="0" w:space="0" w:color="auto"/>
              </w:divBdr>
              <w:divsChild>
                <w:div w:id="1154957632">
                  <w:marLeft w:val="0"/>
                  <w:marRight w:val="0"/>
                  <w:marTop w:val="0"/>
                  <w:marBottom w:val="0"/>
                  <w:divBdr>
                    <w:top w:val="none" w:sz="0" w:space="0" w:color="auto"/>
                    <w:left w:val="none" w:sz="0" w:space="0" w:color="auto"/>
                    <w:bottom w:val="none" w:sz="0" w:space="0" w:color="auto"/>
                    <w:right w:val="none" w:sz="0" w:space="0" w:color="auto"/>
                  </w:divBdr>
                </w:div>
              </w:divsChild>
            </w:div>
            <w:div w:id="1583371811">
              <w:marLeft w:val="0"/>
              <w:marRight w:val="0"/>
              <w:marTop w:val="0"/>
              <w:marBottom w:val="0"/>
              <w:divBdr>
                <w:top w:val="none" w:sz="0" w:space="0" w:color="auto"/>
                <w:left w:val="none" w:sz="0" w:space="0" w:color="auto"/>
                <w:bottom w:val="none" w:sz="0" w:space="0" w:color="auto"/>
                <w:right w:val="none" w:sz="0" w:space="0" w:color="auto"/>
              </w:divBdr>
              <w:divsChild>
                <w:div w:id="896162127">
                  <w:marLeft w:val="0"/>
                  <w:marRight w:val="0"/>
                  <w:marTop w:val="0"/>
                  <w:marBottom w:val="0"/>
                  <w:divBdr>
                    <w:top w:val="none" w:sz="0" w:space="0" w:color="auto"/>
                    <w:left w:val="none" w:sz="0" w:space="0" w:color="auto"/>
                    <w:bottom w:val="none" w:sz="0" w:space="0" w:color="auto"/>
                    <w:right w:val="none" w:sz="0" w:space="0" w:color="auto"/>
                  </w:divBdr>
                </w:div>
              </w:divsChild>
            </w:div>
            <w:div w:id="1929541173">
              <w:marLeft w:val="0"/>
              <w:marRight w:val="0"/>
              <w:marTop w:val="0"/>
              <w:marBottom w:val="0"/>
              <w:divBdr>
                <w:top w:val="none" w:sz="0" w:space="0" w:color="auto"/>
                <w:left w:val="none" w:sz="0" w:space="0" w:color="auto"/>
                <w:bottom w:val="none" w:sz="0" w:space="0" w:color="auto"/>
                <w:right w:val="none" w:sz="0" w:space="0" w:color="auto"/>
              </w:divBdr>
              <w:divsChild>
                <w:div w:id="420685096">
                  <w:marLeft w:val="0"/>
                  <w:marRight w:val="0"/>
                  <w:marTop w:val="0"/>
                  <w:marBottom w:val="0"/>
                  <w:divBdr>
                    <w:top w:val="none" w:sz="0" w:space="0" w:color="auto"/>
                    <w:left w:val="none" w:sz="0" w:space="0" w:color="auto"/>
                    <w:bottom w:val="none" w:sz="0" w:space="0" w:color="auto"/>
                    <w:right w:val="none" w:sz="0" w:space="0" w:color="auto"/>
                  </w:divBdr>
                </w:div>
              </w:divsChild>
            </w:div>
            <w:div w:id="567227325">
              <w:marLeft w:val="0"/>
              <w:marRight w:val="0"/>
              <w:marTop w:val="0"/>
              <w:marBottom w:val="0"/>
              <w:divBdr>
                <w:top w:val="none" w:sz="0" w:space="0" w:color="auto"/>
                <w:left w:val="none" w:sz="0" w:space="0" w:color="auto"/>
                <w:bottom w:val="none" w:sz="0" w:space="0" w:color="auto"/>
                <w:right w:val="none" w:sz="0" w:space="0" w:color="auto"/>
              </w:divBdr>
              <w:divsChild>
                <w:div w:id="138572822">
                  <w:marLeft w:val="0"/>
                  <w:marRight w:val="0"/>
                  <w:marTop w:val="0"/>
                  <w:marBottom w:val="0"/>
                  <w:divBdr>
                    <w:top w:val="none" w:sz="0" w:space="0" w:color="auto"/>
                    <w:left w:val="none" w:sz="0" w:space="0" w:color="auto"/>
                    <w:bottom w:val="none" w:sz="0" w:space="0" w:color="auto"/>
                    <w:right w:val="none" w:sz="0" w:space="0" w:color="auto"/>
                  </w:divBdr>
                </w:div>
              </w:divsChild>
            </w:div>
            <w:div w:id="2052027060">
              <w:marLeft w:val="0"/>
              <w:marRight w:val="0"/>
              <w:marTop w:val="0"/>
              <w:marBottom w:val="0"/>
              <w:divBdr>
                <w:top w:val="none" w:sz="0" w:space="0" w:color="auto"/>
                <w:left w:val="none" w:sz="0" w:space="0" w:color="auto"/>
                <w:bottom w:val="none" w:sz="0" w:space="0" w:color="auto"/>
                <w:right w:val="none" w:sz="0" w:space="0" w:color="auto"/>
              </w:divBdr>
              <w:divsChild>
                <w:div w:id="261648962">
                  <w:marLeft w:val="0"/>
                  <w:marRight w:val="0"/>
                  <w:marTop w:val="0"/>
                  <w:marBottom w:val="0"/>
                  <w:divBdr>
                    <w:top w:val="none" w:sz="0" w:space="0" w:color="auto"/>
                    <w:left w:val="none" w:sz="0" w:space="0" w:color="auto"/>
                    <w:bottom w:val="none" w:sz="0" w:space="0" w:color="auto"/>
                    <w:right w:val="none" w:sz="0" w:space="0" w:color="auto"/>
                  </w:divBdr>
                </w:div>
              </w:divsChild>
            </w:div>
            <w:div w:id="356005469">
              <w:marLeft w:val="0"/>
              <w:marRight w:val="0"/>
              <w:marTop w:val="0"/>
              <w:marBottom w:val="0"/>
              <w:divBdr>
                <w:top w:val="none" w:sz="0" w:space="0" w:color="auto"/>
                <w:left w:val="none" w:sz="0" w:space="0" w:color="auto"/>
                <w:bottom w:val="none" w:sz="0" w:space="0" w:color="auto"/>
                <w:right w:val="none" w:sz="0" w:space="0" w:color="auto"/>
              </w:divBdr>
              <w:divsChild>
                <w:div w:id="181549284">
                  <w:marLeft w:val="0"/>
                  <w:marRight w:val="0"/>
                  <w:marTop w:val="0"/>
                  <w:marBottom w:val="0"/>
                  <w:divBdr>
                    <w:top w:val="none" w:sz="0" w:space="0" w:color="auto"/>
                    <w:left w:val="none" w:sz="0" w:space="0" w:color="auto"/>
                    <w:bottom w:val="none" w:sz="0" w:space="0" w:color="auto"/>
                    <w:right w:val="none" w:sz="0" w:space="0" w:color="auto"/>
                  </w:divBdr>
                </w:div>
              </w:divsChild>
            </w:div>
            <w:div w:id="1999918032">
              <w:marLeft w:val="0"/>
              <w:marRight w:val="0"/>
              <w:marTop w:val="0"/>
              <w:marBottom w:val="0"/>
              <w:divBdr>
                <w:top w:val="none" w:sz="0" w:space="0" w:color="auto"/>
                <w:left w:val="none" w:sz="0" w:space="0" w:color="auto"/>
                <w:bottom w:val="none" w:sz="0" w:space="0" w:color="auto"/>
                <w:right w:val="none" w:sz="0" w:space="0" w:color="auto"/>
              </w:divBdr>
              <w:divsChild>
                <w:div w:id="865951240">
                  <w:marLeft w:val="0"/>
                  <w:marRight w:val="0"/>
                  <w:marTop w:val="0"/>
                  <w:marBottom w:val="0"/>
                  <w:divBdr>
                    <w:top w:val="none" w:sz="0" w:space="0" w:color="auto"/>
                    <w:left w:val="none" w:sz="0" w:space="0" w:color="auto"/>
                    <w:bottom w:val="none" w:sz="0" w:space="0" w:color="auto"/>
                    <w:right w:val="none" w:sz="0" w:space="0" w:color="auto"/>
                  </w:divBdr>
                </w:div>
              </w:divsChild>
            </w:div>
            <w:div w:id="1062363914">
              <w:marLeft w:val="0"/>
              <w:marRight w:val="0"/>
              <w:marTop w:val="0"/>
              <w:marBottom w:val="0"/>
              <w:divBdr>
                <w:top w:val="none" w:sz="0" w:space="0" w:color="auto"/>
                <w:left w:val="none" w:sz="0" w:space="0" w:color="auto"/>
                <w:bottom w:val="none" w:sz="0" w:space="0" w:color="auto"/>
                <w:right w:val="none" w:sz="0" w:space="0" w:color="auto"/>
              </w:divBdr>
              <w:divsChild>
                <w:div w:id="107895909">
                  <w:marLeft w:val="0"/>
                  <w:marRight w:val="0"/>
                  <w:marTop w:val="0"/>
                  <w:marBottom w:val="0"/>
                  <w:divBdr>
                    <w:top w:val="none" w:sz="0" w:space="0" w:color="auto"/>
                    <w:left w:val="none" w:sz="0" w:space="0" w:color="auto"/>
                    <w:bottom w:val="none" w:sz="0" w:space="0" w:color="auto"/>
                    <w:right w:val="none" w:sz="0" w:space="0" w:color="auto"/>
                  </w:divBdr>
                </w:div>
              </w:divsChild>
            </w:div>
            <w:div w:id="1924989664">
              <w:marLeft w:val="0"/>
              <w:marRight w:val="0"/>
              <w:marTop w:val="0"/>
              <w:marBottom w:val="0"/>
              <w:divBdr>
                <w:top w:val="none" w:sz="0" w:space="0" w:color="auto"/>
                <w:left w:val="none" w:sz="0" w:space="0" w:color="auto"/>
                <w:bottom w:val="none" w:sz="0" w:space="0" w:color="auto"/>
                <w:right w:val="none" w:sz="0" w:space="0" w:color="auto"/>
              </w:divBdr>
              <w:divsChild>
                <w:div w:id="290936661">
                  <w:marLeft w:val="0"/>
                  <w:marRight w:val="0"/>
                  <w:marTop w:val="0"/>
                  <w:marBottom w:val="0"/>
                  <w:divBdr>
                    <w:top w:val="none" w:sz="0" w:space="0" w:color="auto"/>
                    <w:left w:val="none" w:sz="0" w:space="0" w:color="auto"/>
                    <w:bottom w:val="none" w:sz="0" w:space="0" w:color="auto"/>
                    <w:right w:val="none" w:sz="0" w:space="0" w:color="auto"/>
                  </w:divBdr>
                </w:div>
              </w:divsChild>
            </w:div>
            <w:div w:id="1773670662">
              <w:marLeft w:val="0"/>
              <w:marRight w:val="0"/>
              <w:marTop w:val="0"/>
              <w:marBottom w:val="0"/>
              <w:divBdr>
                <w:top w:val="none" w:sz="0" w:space="0" w:color="auto"/>
                <w:left w:val="none" w:sz="0" w:space="0" w:color="auto"/>
                <w:bottom w:val="none" w:sz="0" w:space="0" w:color="auto"/>
                <w:right w:val="none" w:sz="0" w:space="0" w:color="auto"/>
              </w:divBdr>
              <w:divsChild>
                <w:div w:id="1554074432">
                  <w:marLeft w:val="0"/>
                  <w:marRight w:val="0"/>
                  <w:marTop w:val="0"/>
                  <w:marBottom w:val="0"/>
                  <w:divBdr>
                    <w:top w:val="none" w:sz="0" w:space="0" w:color="auto"/>
                    <w:left w:val="none" w:sz="0" w:space="0" w:color="auto"/>
                    <w:bottom w:val="none" w:sz="0" w:space="0" w:color="auto"/>
                    <w:right w:val="none" w:sz="0" w:space="0" w:color="auto"/>
                  </w:divBdr>
                </w:div>
              </w:divsChild>
            </w:div>
            <w:div w:id="264654171">
              <w:marLeft w:val="0"/>
              <w:marRight w:val="0"/>
              <w:marTop w:val="0"/>
              <w:marBottom w:val="0"/>
              <w:divBdr>
                <w:top w:val="none" w:sz="0" w:space="0" w:color="auto"/>
                <w:left w:val="none" w:sz="0" w:space="0" w:color="auto"/>
                <w:bottom w:val="none" w:sz="0" w:space="0" w:color="auto"/>
                <w:right w:val="none" w:sz="0" w:space="0" w:color="auto"/>
              </w:divBdr>
              <w:divsChild>
                <w:div w:id="357044466">
                  <w:marLeft w:val="0"/>
                  <w:marRight w:val="0"/>
                  <w:marTop w:val="0"/>
                  <w:marBottom w:val="0"/>
                  <w:divBdr>
                    <w:top w:val="none" w:sz="0" w:space="0" w:color="auto"/>
                    <w:left w:val="none" w:sz="0" w:space="0" w:color="auto"/>
                    <w:bottom w:val="none" w:sz="0" w:space="0" w:color="auto"/>
                    <w:right w:val="none" w:sz="0" w:space="0" w:color="auto"/>
                  </w:divBdr>
                </w:div>
              </w:divsChild>
            </w:div>
            <w:div w:id="2018186642">
              <w:marLeft w:val="0"/>
              <w:marRight w:val="0"/>
              <w:marTop w:val="0"/>
              <w:marBottom w:val="0"/>
              <w:divBdr>
                <w:top w:val="none" w:sz="0" w:space="0" w:color="auto"/>
                <w:left w:val="none" w:sz="0" w:space="0" w:color="auto"/>
                <w:bottom w:val="none" w:sz="0" w:space="0" w:color="auto"/>
                <w:right w:val="none" w:sz="0" w:space="0" w:color="auto"/>
              </w:divBdr>
              <w:divsChild>
                <w:div w:id="724261430">
                  <w:marLeft w:val="0"/>
                  <w:marRight w:val="0"/>
                  <w:marTop w:val="0"/>
                  <w:marBottom w:val="0"/>
                  <w:divBdr>
                    <w:top w:val="none" w:sz="0" w:space="0" w:color="auto"/>
                    <w:left w:val="none" w:sz="0" w:space="0" w:color="auto"/>
                    <w:bottom w:val="none" w:sz="0" w:space="0" w:color="auto"/>
                    <w:right w:val="none" w:sz="0" w:space="0" w:color="auto"/>
                  </w:divBdr>
                </w:div>
              </w:divsChild>
            </w:div>
            <w:div w:id="866407192">
              <w:marLeft w:val="0"/>
              <w:marRight w:val="0"/>
              <w:marTop w:val="0"/>
              <w:marBottom w:val="0"/>
              <w:divBdr>
                <w:top w:val="none" w:sz="0" w:space="0" w:color="auto"/>
                <w:left w:val="none" w:sz="0" w:space="0" w:color="auto"/>
                <w:bottom w:val="none" w:sz="0" w:space="0" w:color="auto"/>
                <w:right w:val="none" w:sz="0" w:space="0" w:color="auto"/>
              </w:divBdr>
              <w:divsChild>
                <w:div w:id="430396977">
                  <w:marLeft w:val="0"/>
                  <w:marRight w:val="0"/>
                  <w:marTop w:val="0"/>
                  <w:marBottom w:val="0"/>
                  <w:divBdr>
                    <w:top w:val="none" w:sz="0" w:space="0" w:color="auto"/>
                    <w:left w:val="none" w:sz="0" w:space="0" w:color="auto"/>
                    <w:bottom w:val="none" w:sz="0" w:space="0" w:color="auto"/>
                    <w:right w:val="none" w:sz="0" w:space="0" w:color="auto"/>
                  </w:divBdr>
                </w:div>
              </w:divsChild>
            </w:div>
            <w:div w:id="1181968812">
              <w:marLeft w:val="0"/>
              <w:marRight w:val="0"/>
              <w:marTop w:val="0"/>
              <w:marBottom w:val="0"/>
              <w:divBdr>
                <w:top w:val="none" w:sz="0" w:space="0" w:color="auto"/>
                <w:left w:val="none" w:sz="0" w:space="0" w:color="auto"/>
                <w:bottom w:val="none" w:sz="0" w:space="0" w:color="auto"/>
                <w:right w:val="none" w:sz="0" w:space="0" w:color="auto"/>
              </w:divBdr>
              <w:divsChild>
                <w:div w:id="1314680518">
                  <w:marLeft w:val="0"/>
                  <w:marRight w:val="0"/>
                  <w:marTop w:val="0"/>
                  <w:marBottom w:val="0"/>
                  <w:divBdr>
                    <w:top w:val="none" w:sz="0" w:space="0" w:color="auto"/>
                    <w:left w:val="none" w:sz="0" w:space="0" w:color="auto"/>
                    <w:bottom w:val="none" w:sz="0" w:space="0" w:color="auto"/>
                    <w:right w:val="none" w:sz="0" w:space="0" w:color="auto"/>
                  </w:divBdr>
                </w:div>
              </w:divsChild>
            </w:div>
            <w:div w:id="268659693">
              <w:marLeft w:val="0"/>
              <w:marRight w:val="0"/>
              <w:marTop w:val="0"/>
              <w:marBottom w:val="0"/>
              <w:divBdr>
                <w:top w:val="none" w:sz="0" w:space="0" w:color="auto"/>
                <w:left w:val="none" w:sz="0" w:space="0" w:color="auto"/>
                <w:bottom w:val="none" w:sz="0" w:space="0" w:color="auto"/>
                <w:right w:val="none" w:sz="0" w:space="0" w:color="auto"/>
              </w:divBdr>
              <w:divsChild>
                <w:div w:id="362445332">
                  <w:marLeft w:val="0"/>
                  <w:marRight w:val="0"/>
                  <w:marTop w:val="0"/>
                  <w:marBottom w:val="0"/>
                  <w:divBdr>
                    <w:top w:val="none" w:sz="0" w:space="0" w:color="auto"/>
                    <w:left w:val="none" w:sz="0" w:space="0" w:color="auto"/>
                    <w:bottom w:val="none" w:sz="0" w:space="0" w:color="auto"/>
                    <w:right w:val="none" w:sz="0" w:space="0" w:color="auto"/>
                  </w:divBdr>
                </w:div>
              </w:divsChild>
            </w:div>
            <w:div w:id="1129864118">
              <w:marLeft w:val="0"/>
              <w:marRight w:val="0"/>
              <w:marTop w:val="0"/>
              <w:marBottom w:val="0"/>
              <w:divBdr>
                <w:top w:val="none" w:sz="0" w:space="0" w:color="auto"/>
                <w:left w:val="none" w:sz="0" w:space="0" w:color="auto"/>
                <w:bottom w:val="none" w:sz="0" w:space="0" w:color="auto"/>
                <w:right w:val="none" w:sz="0" w:space="0" w:color="auto"/>
              </w:divBdr>
              <w:divsChild>
                <w:div w:id="2099016817">
                  <w:marLeft w:val="0"/>
                  <w:marRight w:val="0"/>
                  <w:marTop w:val="0"/>
                  <w:marBottom w:val="0"/>
                  <w:divBdr>
                    <w:top w:val="none" w:sz="0" w:space="0" w:color="auto"/>
                    <w:left w:val="none" w:sz="0" w:space="0" w:color="auto"/>
                    <w:bottom w:val="none" w:sz="0" w:space="0" w:color="auto"/>
                    <w:right w:val="none" w:sz="0" w:space="0" w:color="auto"/>
                  </w:divBdr>
                </w:div>
              </w:divsChild>
            </w:div>
            <w:div w:id="595141517">
              <w:marLeft w:val="0"/>
              <w:marRight w:val="0"/>
              <w:marTop w:val="0"/>
              <w:marBottom w:val="0"/>
              <w:divBdr>
                <w:top w:val="none" w:sz="0" w:space="0" w:color="auto"/>
                <w:left w:val="none" w:sz="0" w:space="0" w:color="auto"/>
                <w:bottom w:val="none" w:sz="0" w:space="0" w:color="auto"/>
                <w:right w:val="none" w:sz="0" w:space="0" w:color="auto"/>
              </w:divBdr>
              <w:divsChild>
                <w:div w:id="1917208388">
                  <w:marLeft w:val="0"/>
                  <w:marRight w:val="0"/>
                  <w:marTop w:val="0"/>
                  <w:marBottom w:val="0"/>
                  <w:divBdr>
                    <w:top w:val="none" w:sz="0" w:space="0" w:color="auto"/>
                    <w:left w:val="none" w:sz="0" w:space="0" w:color="auto"/>
                    <w:bottom w:val="none" w:sz="0" w:space="0" w:color="auto"/>
                    <w:right w:val="none" w:sz="0" w:space="0" w:color="auto"/>
                  </w:divBdr>
                </w:div>
              </w:divsChild>
            </w:div>
            <w:div w:id="1435785001">
              <w:marLeft w:val="0"/>
              <w:marRight w:val="0"/>
              <w:marTop w:val="0"/>
              <w:marBottom w:val="0"/>
              <w:divBdr>
                <w:top w:val="none" w:sz="0" w:space="0" w:color="auto"/>
                <w:left w:val="none" w:sz="0" w:space="0" w:color="auto"/>
                <w:bottom w:val="none" w:sz="0" w:space="0" w:color="auto"/>
                <w:right w:val="none" w:sz="0" w:space="0" w:color="auto"/>
              </w:divBdr>
              <w:divsChild>
                <w:div w:id="1536962479">
                  <w:marLeft w:val="0"/>
                  <w:marRight w:val="0"/>
                  <w:marTop w:val="0"/>
                  <w:marBottom w:val="0"/>
                  <w:divBdr>
                    <w:top w:val="none" w:sz="0" w:space="0" w:color="auto"/>
                    <w:left w:val="none" w:sz="0" w:space="0" w:color="auto"/>
                    <w:bottom w:val="none" w:sz="0" w:space="0" w:color="auto"/>
                    <w:right w:val="none" w:sz="0" w:space="0" w:color="auto"/>
                  </w:divBdr>
                </w:div>
              </w:divsChild>
            </w:div>
            <w:div w:id="1539780456">
              <w:marLeft w:val="0"/>
              <w:marRight w:val="0"/>
              <w:marTop w:val="0"/>
              <w:marBottom w:val="0"/>
              <w:divBdr>
                <w:top w:val="none" w:sz="0" w:space="0" w:color="auto"/>
                <w:left w:val="none" w:sz="0" w:space="0" w:color="auto"/>
                <w:bottom w:val="none" w:sz="0" w:space="0" w:color="auto"/>
                <w:right w:val="none" w:sz="0" w:space="0" w:color="auto"/>
              </w:divBdr>
              <w:divsChild>
                <w:div w:id="14750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2504">
          <w:marLeft w:val="0"/>
          <w:marRight w:val="0"/>
          <w:marTop w:val="0"/>
          <w:marBottom w:val="600"/>
          <w:divBdr>
            <w:top w:val="none" w:sz="0" w:space="0" w:color="auto"/>
            <w:left w:val="none" w:sz="0" w:space="0" w:color="auto"/>
            <w:bottom w:val="none" w:sz="0" w:space="0" w:color="auto"/>
            <w:right w:val="none" w:sz="0" w:space="0" w:color="auto"/>
          </w:divBdr>
        </w:div>
      </w:divsChild>
    </w:div>
    <w:div w:id="1832137425">
      <w:marLeft w:val="0"/>
      <w:marRight w:val="0"/>
      <w:marTop w:val="0"/>
      <w:marBottom w:val="0"/>
      <w:divBdr>
        <w:top w:val="none" w:sz="0" w:space="0" w:color="auto"/>
        <w:left w:val="none" w:sz="0" w:space="0" w:color="auto"/>
        <w:bottom w:val="none" w:sz="0" w:space="0" w:color="auto"/>
        <w:right w:val="none" w:sz="0" w:space="0" w:color="auto"/>
      </w:divBdr>
      <w:divsChild>
        <w:div w:id="1681659596">
          <w:marLeft w:val="0"/>
          <w:marRight w:val="0"/>
          <w:marTop w:val="547"/>
          <w:marBottom w:val="0"/>
          <w:divBdr>
            <w:top w:val="none" w:sz="0" w:space="0" w:color="auto"/>
            <w:left w:val="none" w:sz="0" w:space="0" w:color="auto"/>
            <w:bottom w:val="none" w:sz="0" w:space="0" w:color="auto"/>
            <w:right w:val="none" w:sz="0" w:space="0" w:color="auto"/>
          </w:divBdr>
        </w:div>
        <w:div w:id="722173756">
          <w:marLeft w:val="0"/>
          <w:marRight w:val="0"/>
          <w:marTop w:val="0"/>
          <w:marBottom w:val="0"/>
          <w:divBdr>
            <w:top w:val="none" w:sz="0" w:space="0" w:color="auto"/>
            <w:left w:val="none" w:sz="0" w:space="0" w:color="auto"/>
            <w:bottom w:val="none" w:sz="0" w:space="0" w:color="auto"/>
            <w:right w:val="none" w:sz="0" w:space="0" w:color="auto"/>
          </w:divBdr>
        </w:div>
        <w:div w:id="1327395901">
          <w:marLeft w:val="0"/>
          <w:marRight w:val="0"/>
          <w:marTop w:val="0"/>
          <w:marBottom w:val="600"/>
          <w:divBdr>
            <w:top w:val="none" w:sz="0" w:space="0" w:color="auto"/>
            <w:left w:val="none" w:sz="0" w:space="0" w:color="auto"/>
            <w:bottom w:val="none" w:sz="0" w:space="0" w:color="auto"/>
            <w:right w:val="none" w:sz="0" w:space="0" w:color="auto"/>
          </w:divBdr>
        </w:div>
      </w:divsChild>
    </w:div>
    <w:div w:id="1861238477">
      <w:marLeft w:val="0"/>
      <w:marRight w:val="0"/>
      <w:marTop w:val="0"/>
      <w:marBottom w:val="0"/>
      <w:divBdr>
        <w:top w:val="none" w:sz="0" w:space="0" w:color="auto"/>
        <w:left w:val="none" w:sz="0" w:space="0" w:color="auto"/>
        <w:bottom w:val="none" w:sz="0" w:space="0" w:color="auto"/>
        <w:right w:val="none" w:sz="0" w:space="0" w:color="auto"/>
      </w:divBdr>
      <w:divsChild>
        <w:div w:id="750395044">
          <w:marLeft w:val="0"/>
          <w:marRight w:val="0"/>
          <w:marTop w:val="547"/>
          <w:marBottom w:val="0"/>
          <w:divBdr>
            <w:top w:val="none" w:sz="0" w:space="0" w:color="auto"/>
            <w:left w:val="none" w:sz="0" w:space="0" w:color="auto"/>
            <w:bottom w:val="none" w:sz="0" w:space="0" w:color="auto"/>
            <w:right w:val="none" w:sz="0" w:space="0" w:color="auto"/>
          </w:divBdr>
        </w:div>
        <w:div w:id="1080836045">
          <w:marLeft w:val="0"/>
          <w:marRight w:val="0"/>
          <w:marTop w:val="0"/>
          <w:marBottom w:val="0"/>
          <w:divBdr>
            <w:top w:val="none" w:sz="0" w:space="0" w:color="auto"/>
            <w:left w:val="none" w:sz="0" w:space="0" w:color="auto"/>
            <w:bottom w:val="none" w:sz="0" w:space="0" w:color="auto"/>
            <w:right w:val="none" w:sz="0" w:space="0" w:color="auto"/>
          </w:divBdr>
        </w:div>
        <w:div w:id="1199126168">
          <w:marLeft w:val="0"/>
          <w:marRight w:val="0"/>
          <w:marTop w:val="0"/>
          <w:marBottom w:val="600"/>
          <w:divBdr>
            <w:top w:val="none" w:sz="0" w:space="0" w:color="auto"/>
            <w:left w:val="none" w:sz="0" w:space="0" w:color="auto"/>
            <w:bottom w:val="none" w:sz="0" w:space="0" w:color="auto"/>
            <w:right w:val="none" w:sz="0" w:space="0" w:color="auto"/>
          </w:divBdr>
        </w:div>
      </w:divsChild>
    </w:div>
    <w:div w:id="1861238630">
      <w:marLeft w:val="0"/>
      <w:marRight w:val="0"/>
      <w:marTop w:val="0"/>
      <w:marBottom w:val="0"/>
      <w:divBdr>
        <w:top w:val="none" w:sz="0" w:space="0" w:color="auto"/>
        <w:left w:val="none" w:sz="0" w:space="0" w:color="auto"/>
        <w:bottom w:val="none" w:sz="0" w:space="0" w:color="auto"/>
        <w:right w:val="none" w:sz="0" w:space="0" w:color="auto"/>
      </w:divBdr>
      <w:divsChild>
        <w:div w:id="830563073">
          <w:marLeft w:val="0"/>
          <w:marRight w:val="0"/>
          <w:marTop w:val="547"/>
          <w:marBottom w:val="0"/>
          <w:divBdr>
            <w:top w:val="none" w:sz="0" w:space="0" w:color="auto"/>
            <w:left w:val="none" w:sz="0" w:space="0" w:color="auto"/>
            <w:bottom w:val="none" w:sz="0" w:space="0" w:color="auto"/>
            <w:right w:val="none" w:sz="0" w:space="0" w:color="auto"/>
          </w:divBdr>
        </w:div>
        <w:div w:id="866136125">
          <w:marLeft w:val="0"/>
          <w:marRight w:val="0"/>
          <w:marTop w:val="0"/>
          <w:marBottom w:val="0"/>
          <w:divBdr>
            <w:top w:val="none" w:sz="0" w:space="0" w:color="auto"/>
            <w:left w:val="none" w:sz="0" w:space="0" w:color="auto"/>
            <w:bottom w:val="none" w:sz="0" w:space="0" w:color="auto"/>
            <w:right w:val="none" w:sz="0" w:space="0" w:color="auto"/>
          </w:divBdr>
        </w:div>
        <w:div w:id="650793252">
          <w:marLeft w:val="0"/>
          <w:marRight w:val="0"/>
          <w:marTop w:val="0"/>
          <w:marBottom w:val="600"/>
          <w:divBdr>
            <w:top w:val="none" w:sz="0" w:space="0" w:color="auto"/>
            <w:left w:val="none" w:sz="0" w:space="0" w:color="auto"/>
            <w:bottom w:val="none" w:sz="0" w:space="0" w:color="auto"/>
            <w:right w:val="none" w:sz="0" w:space="0" w:color="auto"/>
          </w:divBdr>
        </w:div>
      </w:divsChild>
    </w:div>
    <w:div w:id="1880389993">
      <w:marLeft w:val="0"/>
      <w:marRight w:val="0"/>
      <w:marTop w:val="0"/>
      <w:marBottom w:val="0"/>
      <w:divBdr>
        <w:top w:val="none" w:sz="0" w:space="0" w:color="auto"/>
        <w:left w:val="none" w:sz="0" w:space="0" w:color="auto"/>
        <w:bottom w:val="none" w:sz="0" w:space="0" w:color="auto"/>
        <w:right w:val="none" w:sz="0" w:space="0" w:color="auto"/>
      </w:divBdr>
      <w:divsChild>
        <w:div w:id="1577321370">
          <w:marLeft w:val="0"/>
          <w:marRight w:val="0"/>
          <w:marTop w:val="547"/>
          <w:marBottom w:val="0"/>
          <w:divBdr>
            <w:top w:val="none" w:sz="0" w:space="0" w:color="auto"/>
            <w:left w:val="none" w:sz="0" w:space="0" w:color="auto"/>
            <w:bottom w:val="none" w:sz="0" w:space="0" w:color="auto"/>
            <w:right w:val="none" w:sz="0" w:space="0" w:color="auto"/>
          </w:divBdr>
        </w:div>
        <w:div w:id="841316639">
          <w:marLeft w:val="0"/>
          <w:marRight w:val="0"/>
          <w:marTop w:val="0"/>
          <w:marBottom w:val="0"/>
          <w:divBdr>
            <w:top w:val="none" w:sz="0" w:space="0" w:color="auto"/>
            <w:left w:val="none" w:sz="0" w:space="0" w:color="auto"/>
            <w:bottom w:val="none" w:sz="0" w:space="0" w:color="auto"/>
            <w:right w:val="none" w:sz="0" w:space="0" w:color="auto"/>
          </w:divBdr>
        </w:div>
        <w:div w:id="1324354073">
          <w:marLeft w:val="0"/>
          <w:marRight w:val="0"/>
          <w:marTop w:val="0"/>
          <w:marBottom w:val="600"/>
          <w:divBdr>
            <w:top w:val="none" w:sz="0" w:space="0" w:color="auto"/>
            <w:left w:val="none" w:sz="0" w:space="0" w:color="auto"/>
            <w:bottom w:val="none" w:sz="0" w:space="0" w:color="auto"/>
            <w:right w:val="none" w:sz="0" w:space="0" w:color="auto"/>
          </w:divBdr>
        </w:div>
      </w:divsChild>
    </w:div>
    <w:div w:id="1888831278">
      <w:marLeft w:val="0"/>
      <w:marRight w:val="0"/>
      <w:marTop w:val="0"/>
      <w:marBottom w:val="0"/>
      <w:divBdr>
        <w:top w:val="none" w:sz="0" w:space="0" w:color="auto"/>
        <w:left w:val="none" w:sz="0" w:space="0" w:color="auto"/>
        <w:bottom w:val="none" w:sz="0" w:space="0" w:color="auto"/>
        <w:right w:val="none" w:sz="0" w:space="0" w:color="auto"/>
      </w:divBdr>
      <w:divsChild>
        <w:div w:id="1713191498">
          <w:marLeft w:val="0"/>
          <w:marRight w:val="0"/>
          <w:marTop w:val="547"/>
          <w:marBottom w:val="0"/>
          <w:divBdr>
            <w:top w:val="none" w:sz="0" w:space="0" w:color="auto"/>
            <w:left w:val="none" w:sz="0" w:space="0" w:color="auto"/>
            <w:bottom w:val="none" w:sz="0" w:space="0" w:color="auto"/>
            <w:right w:val="none" w:sz="0" w:space="0" w:color="auto"/>
          </w:divBdr>
        </w:div>
        <w:div w:id="660547114">
          <w:marLeft w:val="0"/>
          <w:marRight w:val="0"/>
          <w:marTop w:val="0"/>
          <w:marBottom w:val="0"/>
          <w:divBdr>
            <w:top w:val="none" w:sz="0" w:space="0" w:color="auto"/>
            <w:left w:val="none" w:sz="0" w:space="0" w:color="auto"/>
            <w:bottom w:val="none" w:sz="0" w:space="0" w:color="auto"/>
            <w:right w:val="none" w:sz="0" w:space="0" w:color="auto"/>
          </w:divBdr>
          <w:divsChild>
            <w:div w:id="331563753">
              <w:marLeft w:val="0"/>
              <w:marRight w:val="0"/>
              <w:marTop w:val="0"/>
              <w:marBottom w:val="0"/>
              <w:divBdr>
                <w:top w:val="none" w:sz="0" w:space="0" w:color="auto"/>
                <w:left w:val="none" w:sz="0" w:space="0" w:color="auto"/>
                <w:bottom w:val="none" w:sz="0" w:space="0" w:color="auto"/>
                <w:right w:val="none" w:sz="0" w:space="0" w:color="auto"/>
              </w:divBdr>
              <w:divsChild>
                <w:div w:id="1219394486">
                  <w:marLeft w:val="0"/>
                  <w:marRight w:val="0"/>
                  <w:marTop w:val="0"/>
                  <w:marBottom w:val="0"/>
                  <w:divBdr>
                    <w:top w:val="none" w:sz="0" w:space="0" w:color="auto"/>
                    <w:left w:val="none" w:sz="0" w:space="0" w:color="auto"/>
                    <w:bottom w:val="none" w:sz="0" w:space="0" w:color="auto"/>
                    <w:right w:val="none" w:sz="0" w:space="0" w:color="auto"/>
                  </w:divBdr>
                </w:div>
              </w:divsChild>
            </w:div>
            <w:div w:id="1581914661">
              <w:marLeft w:val="0"/>
              <w:marRight w:val="0"/>
              <w:marTop w:val="0"/>
              <w:marBottom w:val="0"/>
              <w:divBdr>
                <w:top w:val="none" w:sz="0" w:space="0" w:color="auto"/>
                <w:left w:val="none" w:sz="0" w:space="0" w:color="auto"/>
                <w:bottom w:val="none" w:sz="0" w:space="0" w:color="auto"/>
                <w:right w:val="none" w:sz="0" w:space="0" w:color="auto"/>
              </w:divBdr>
              <w:divsChild>
                <w:div w:id="211507752">
                  <w:marLeft w:val="0"/>
                  <w:marRight w:val="0"/>
                  <w:marTop w:val="0"/>
                  <w:marBottom w:val="0"/>
                  <w:divBdr>
                    <w:top w:val="none" w:sz="0" w:space="0" w:color="auto"/>
                    <w:left w:val="none" w:sz="0" w:space="0" w:color="auto"/>
                    <w:bottom w:val="none" w:sz="0" w:space="0" w:color="auto"/>
                    <w:right w:val="none" w:sz="0" w:space="0" w:color="auto"/>
                  </w:divBdr>
                </w:div>
              </w:divsChild>
            </w:div>
            <w:div w:id="668171846">
              <w:marLeft w:val="0"/>
              <w:marRight w:val="0"/>
              <w:marTop w:val="0"/>
              <w:marBottom w:val="0"/>
              <w:divBdr>
                <w:top w:val="none" w:sz="0" w:space="0" w:color="auto"/>
                <w:left w:val="none" w:sz="0" w:space="0" w:color="auto"/>
                <w:bottom w:val="none" w:sz="0" w:space="0" w:color="auto"/>
                <w:right w:val="none" w:sz="0" w:space="0" w:color="auto"/>
              </w:divBdr>
              <w:divsChild>
                <w:div w:id="229076257">
                  <w:marLeft w:val="0"/>
                  <w:marRight w:val="0"/>
                  <w:marTop w:val="0"/>
                  <w:marBottom w:val="0"/>
                  <w:divBdr>
                    <w:top w:val="none" w:sz="0" w:space="0" w:color="auto"/>
                    <w:left w:val="none" w:sz="0" w:space="0" w:color="auto"/>
                    <w:bottom w:val="none" w:sz="0" w:space="0" w:color="auto"/>
                    <w:right w:val="none" w:sz="0" w:space="0" w:color="auto"/>
                  </w:divBdr>
                </w:div>
              </w:divsChild>
            </w:div>
            <w:div w:id="500511283">
              <w:marLeft w:val="0"/>
              <w:marRight w:val="0"/>
              <w:marTop w:val="0"/>
              <w:marBottom w:val="0"/>
              <w:divBdr>
                <w:top w:val="none" w:sz="0" w:space="0" w:color="auto"/>
                <w:left w:val="none" w:sz="0" w:space="0" w:color="auto"/>
                <w:bottom w:val="none" w:sz="0" w:space="0" w:color="auto"/>
                <w:right w:val="none" w:sz="0" w:space="0" w:color="auto"/>
              </w:divBdr>
              <w:divsChild>
                <w:div w:id="1622111194">
                  <w:marLeft w:val="0"/>
                  <w:marRight w:val="0"/>
                  <w:marTop w:val="0"/>
                  <w:marBottom w:val="0"/>
                  <w:divBdr>
                    <w:top w:val="none" w:sz="0" w:space="0" w:color="auto"/>
                    <w:left w:val="none" w:sz="0" w:space="0" w:color="auto"/>
                    <w:bottom w:val="none" w:sz="0" w:space="0" w:color="auto"/>
                    <w:right w:val="none" w:sz="0" w:space="0" w:color="auto"/>
                  </w:divBdr>
                </w:div>
              </w:divsChild>
            </w:div>
            <w:div w:id="2005206683">
              <w:marLeft w:val="0"/>
              <w:marRight w:val="0"/>
              <w:marTop w:val="0"/>
              <w:marBottom w:val="0"/>
              <w:divBdr>
                <w:top w:val="none" w:sz="0" w:space="0" w:color="auto"/>
                <w:left w:val="none" w:sz="0" w:space="0" w:color="auto"/>
                <w:bottom w:val="none" w:sz="0" w:space="0" w:color="auto"/>
                <w:right w:val="none" w:sz="0" w:space="0" w:color="auto"/>
              </w:divBdr>
              <w:divsChild>
                <w:div w:id="1834367043">
                  <w:marLeft w:val="0"/>
                  <w:marRight w:val="0"/>
                  <w:marTop w:val="0"/>
                  <w:marBottom w:val="0"/>
                  <w:divBdr>
                    <w:top w:val="none" w:sz="0" w:space="0" w:color="auto"/>
                    <w:left w:val="none" w:sz="0" w:space="0" w:color="auto"/>
                    <w:bottom w:val="none" w:sz="0" w:space="0" w:color="auto"/>
                    <w:right w:val="none" w:sz="0" w:space="0" w:color="auto"/>
                  </w:divBdr>
                </w:div>
              </w:divsChild>
            </w:div>
            <w:div w:id="1739550412">
              <w:marLeft w:val="0"/>
              <w:marRight w:val="0"/>
              <w:marTop w:val="0"/>
              <w:marBottom w:val="0"/>
              <w:divBdr>
                <w:top w:val="none" w:sz="0" w:space="0" w:color="auto"/>
                <w:left w:val="none" w:sz="0" w:space="0" w:color="auto"/>
                <w:bottom w:val="none" w:sz="0" w:space="0" w:color="auto"/>
                <w:right w:val="none" w:sz="0" w:space="0" w:color="auto"/>
              </w:divBdr>
              <w:divsChild>
                <w:div w:id="1916621235">
                  <w:marLeft w:val="0"/>
                  <w:marRight w:val="0"/>
                  <w:marTop w:val="0"/>
                  <w:marBottom w:val="0"/>
                  <w:divBdr>
                    <w:top w:val="none" w:sz="0" w:space="0" w:color="auto"/>
                    <w:left w:val="none" w:sz="0" w:space="0" w:color="auto"/>
                    <w:bottom w:val="none" w:sz="0" w:space="0" w:color="auto"/>
                    <w:right w:val="none" w:sz="0" w:space="0" w:color="auto"/>
                  </w:divBdr>
                </w:div>
              </w:divsChild>
            </w:div>
            <w:div w:id="1180893787">
              <w:marLeft w:val="0"/>
              <w:marRight w:val="0"/>
              <w:marTop w:val="0"/>
              <w:marBottom w:val="0"/>
              <w:divBdr>
                <w:top w:val="none" w:sz="0" w:space="0" w:color="auto"/>
                <w:left w:val="none" w:sz="0" w:space="0" w:color="auto"/>
                <w:bottom w:val="none" w:sz="0" w:space="0" w:color="auto"/>
                <w:right w:val="none" w:sz="0" w:space="0" w:color="auto"/>
              </w:divBdr>
              <w:divsChild>
                <w:div w:id="1042707849">
                  <w:marLeft w:val="0"/>
                  <w:marRight w:val="0"/>
                  <w:marTop w:val="0"/>
                  <w:marBottom w:val="0"/>
                  <w:divBdr>
                    <w:top w:val="none" w:sz="0" w:space="0" w:color="auto"/>
                    <w:left w:val="none" w:sz="0" w:space="0" w:color="auto"/>
                    <w:bottom w:val="none" w:sz="0" w:space="0" w:color="auto"/>
                    <w:right w:val="none" w:sz="0" w:space="0" w:color="auto"/>
                  </w:divBdr>
                </w:div>
              </w:divsChild>
            </w:div>
            <w:div w:id="901720650">
              <w:marLeft w:val="0"/>
              <w:marRight w:val="0"/>
              <w:marTop w:val="0"/>
              <w:marBottom w:val="0"/>
              <w:divBdr>
                <w:top w:val="none" w:sz="0" w:space="0" w:color="auto"/>
                <w:left w:val="none" w:sz="0" w:space="0" w:color="auto"/>
                <w:bottom w:val="none" w:sz="0" w:space="0" w:color="auto"/>
                <w:right w:val="none" w:sz="0" w:space="0" w:color="auto"/>
              </w:divBdr>
              <w:divsChild>
                <w:div w:id="1735350683">
                  <w:marLeft w:val="0"/>
                  <w:marRight w:val="0"/>
                  <w:marTop w:val="0"/>
                  <w:marBottom w:val="0"/>
                  <w:divBdr>
                    <w:top w:val="none" w:sz="0" w:space="0" w:color="auto"/>
                    <w:left w:val="none" w:sz="0" w:space="0" w:color="auto"/>
                    <w:bottom w:val="none" w:sz="0" w:space="0" w:color="auto"/>
                    <w:right w:val="none" w:sz="0" w:space="0" w:color="auto"/>
                  </w:divBdr>
                </w:div>
              </w:divsChild>
            </w:div>
            <w:div w:id="1475368947">
              <w:marLeft w:val="0"/>
              <w:marRight w:val="0"/>
              <w:marTop w:val="0"/>
              <w:marBottom w:val="0"/>
              <w:divBdr>
                <w:top w:val="none" w:sz="0" w:space="0" w:color="auto"/>
                <w:left w:val="none" w:sz="0" w:space="0" w:color="auto"/>
                <w:bottom w:val="none" w:sz="0" w:space="0" w:color="auto"/>
                <w:right w:val="none" w:sz="0" w:space="0" w:color="auto"/>
              </w:divBdr>
              <w:divsChild>
                <w:div w:id="536165756">
                  <w:marLeft w:val="0"/>
                  <w:marRight w:val="0"/>
                  <w:marTop w:val="0"/>
                  <w:marBottom w:val="0"/>
                  <w:divBdr>
                    <w:top w:val="none" w:sz="0" w:space="0" w:color="auto"/>
                    <w:left w:val="none" w:sz="0" w:space="0" w:color="auto"/>
                    <w:bottom w:val="none" w:sz="0" w:space="0" w:color="auto"/>
                    <w:right w:val="none" w:sz="0" w:space="0" w:color="auto"/>
                  </w:divBdr>
                </w:div>
              </w:divsChild>
            </w:div>
            <w:div w:id="914511080">
              <w:marLeft w:val="0"/>
              <w:marRight w:val="0"/>
              <w:marTop w:val="0"/>
              <w:marBottom w:val="0"/>
              <w:divBdr>
                <w:top w:val="none" w:sz="0" w:space="0" w:color="auto"/>
                <w:left w:val="none" w:sz="0" w:space="0" w:color="auto"/>
                <w:bottom w:val="none" w:sz="0" w:space="0" w:color="auto"/>
                <w:right w:val="none" w:sz="0" w:space="0" w:color="auto"/>
              </w:divBdr>
              <w:divsChild>
                <w:div w:id="823473911">
                  <w:marLeft w:val="0"/>
                  <w:marRight w:val="0"/>
                  <w:marTop w:val="0"/>
                  <w:marBottom w:val="0"/>
                  <w:divBdr>
                    <w:top w:val="none" w:sz="0" w:space="0" w:color="auto"/>
                    <w:left w:val="none" w:sz="0" w:space="0" w:color="auto"/>
                    <w:bottom w:val="none" w:sz="0" w:space="0" w:color="auto"/>
                    <w:right w:val="none" w:sz="0" w:space="0" w:color="auto"/>
                  </w:divBdr>
                </w:div>
              </w:divsChild>
            </w:div>
            <w:div w:id="1436831070">
              <w:marLeft w:val="0"/>
              <w:marRight w:val="0"/>
              <w:marTop w:val="0"/>
              <w:marBottom w:val="0"/>
              <w:divBdr>
                <w:top w:val="none" w:sz="0" w:space="0" w:color="auto"/>
                <w:left w:val="none" w:sz="0" w:space="0" w:color="auto"/>
                <w:bottom w:val="none" w:sz="0" w:space="0" w:color="auto"/>
                <w:right w:val="none" w:sz="0" w:space="0" w:color="auto"/>
              </w:divBdr>
              <w:divsChild>
                <w:div w:id="1485202815">
                  <w:marLeft w:val="0"/>
                  <w:marRight w:val="0"/>
                  <w:marTop w:val="0"/>
                  <w:marBottom w:val="0"/>
                  <w:divBdr>
                    <w:top w:val="none" w:sz="0" w:space="0" w:color="auto"/>
                    <w:left w:val="none" w:sz="0" w:space="0" w:color="auto"/>
                    <w:bottom w:val="none" w:sz="0" w:space="0" w:color="auto"/>
                    <w:right w:val="none" w:sz="0" w:space="0" w:color="auto"/>
                  </w:divBdr>
                </w:div>
              </w:divsChild>
            </w:div>
            <w:div w:id="994911838">
              <w:marLeft w:val="0"/>
              <w:marRight w:val="0"/>
              <w:marTop w:val="0"/>
              <w:marBottom w:val="0"/>
              <w:divBdr>
                <w:top w:val="none" w:sz="0" w:space="0" w:color="auto"/>
                <w:left w:val="none" w:sz="0" w:space="0" w:color="auto"/>
                <w:bottom w:val="none" w:sz="0" w:space="0" w:color="auto"/>
                <w:right w:val="none" w:sz="0" w:space="0" w:color="auto"/>
              </w:divBdr>
              <w:divsChild>
                <w:div w:id="637148570">
                  <w:marLeft w:val="0"/>
                  <w:marRight w:val="0"/>
                  <w:marTop w:val="0"/>
                  <w:marBottom w:val="0"/>
                  <w:divBdr>
                    <w:top w:val="none" w:sz="0" w:space="0" w:color="auto"/>
                    <w:left w:val="none" w:sz="0" w:space="0" w:color="auto"/>
                    <w:bottom w:val="none" w:sz="0" w:space="0" w:color="auto"/>
                    <w:right w:val="none" w:sz="0" w:space="0" w:color="auto"/>
                  </w:divBdr>
                </w:div>
              </w:divsChild>
            </w:div>
            <w:div w:id="1310402461">
              <w:marLeft w:val="0"/>
              <w:marRight w:val="0"/>
              <w:marTop w:val="0"/>
              <w:marBottom w:val="0"/>
              <w:divBdr>
                <w:top w:val="none" w:sz="0" w:space="0" w:color="auto"/>
                <w:left w:val="none" w:sz="0" w:space="0" w:color="auto"/>
                <w:bottom w:val="none" w:sz="0" w:space="0" w:color="auto"/>
                <w:right w:val="none" w:sz="0" w:space="0" w:color="auto"/>
              </w:divBdr>
              <w:divsChild>
                <w:div w:id="128478785">
                  <w:marLeft w:val="0"/>
                  <w:marRight w:val="0"/>
                  <w:marTop w:val="0"/>
                  <w:marBottom w:val="0"/>
                  <w:divBdr>
                    <w:top w:val="none" w:sz="0" w:space="0" w:color="auto"/>
                    <w:left w:val="none" w:sz="0" w:space="0" w:color="auto"/>
                    <w:bottom w:val="none" w:sz="0" w:space="0" w:color="auto"/>
                    <w:right w:val="none" w:sz="0" w:space="0" w:color="auto"/>
                  </w:divBdr>
                </w:div>
              </w:divsChild>
            </w:div>
            <w:div w:id="1117141104">
              <w:marLeft w:val="0"/>
              <w:marRight w:val="0"/>
              <w:marTop w:val="0"/>
              <w:marBottom w:val="0"/>
              <w:divBdr>
                <w:top w:val="none" w:sz="0" w:space="0" w:color="auto"/>
                <w:left w:val="none" w:sz="0" w:space="0" w:color="auto"/>
                <w:bottom w:val="none" w:sz="0" w:space="0" w:color="auto"/>
                <w:right w:val="none" w:sz="0" w:space="0" w:color="auto"/>
              </w:divBdr>
              <w:divsChild>
                <w:div w:id="1056589570">
                  <w:marLeft w:val="0"/>
                  <w:marRight w:val="0"/>
                  <w:marTop w:val="0"/>
                  <w:marBottom w:val="0"/>
                  <w:divBdr>
                    <w:top w:val="none" w:sz="0" w:space="0" w:color="auto"/>
                    <w:left w:val="none" w:sz="0" w:space="0" w:color="auto"/>
                    <w:bottom w:val="none" w:sz="0" w:space="0" w:color="auto"/>
                    <w:right w:val="none" w:sz="0" w:space="0" w:color="auto"/>
                  </w:divBdr>
                </w:div>
              </w:divsChild>
            </w:div>
            <w:div w:id="162011386">
              <w:marLeft w:val="0"/>
              <w:marRight w:val="0"/>
              <w:marTop w:val="0"/>
              <w:marBottom w:val="0"/>
              <w:divBdr>
                <w:top w:val="none" w:sz="0" w:space="0" w:color="auto"/>
                <w:left w:val="none" w:sz="0" w:space="0" w:color="auto"/>
                <w:bottom w:val="none" w:sz="0" w:space="0" w:color="auto"/>
                <w:right w:val="none" w:sz="0" w:space="0" w:color="auto"/>
              </w:divBdr>
              <w:divsChild>
                <w:div w:id="10311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1851">
          <w:marLeft w:val="0"/>
          <w:marRight w:val="0"/>
          <w:marTop w:val="0"/>
          <w:marBottom w:val="600"/>
          <w:divBdr>
            <w:top w:val="none" w:sz="0" w:space="0" w:color="auto"/>
            <w:left w:val="none" w:sz="0" w:space="0" w:color="auto"/>
            <w:bottom w:val="none" w:sz="0" w:space="0" w:color="auto"/>
            <w:right w:val="none" w:sz="0" w:space="0" w:color="auto"/>
          </w:divBdr>
        </w:div>
      </w:divsChild>
    </w:div>
    <w:div w:id="1920554429">
      <w:marLeft w:val="0"/>
      <w:marRight w:val="0"/>
      <w:marTop w:val="0"/>
      <w:marBottom w:val="0"/>
      <w:divBdr>
        <w:top w:val="none" w:sz="0" w:space="0" w:color="auto"/>
        <w:left w:val="none" w:sz="0" w:space="0" w:color="auto"/>
        <w:bottom w:val="none" w:sz="0" w:space="0" w:color="auto"/>
        <w:right w:val="none" w:sz="0" w:space="0" w:color="auto"/>
      </w:divBdr>
      <w:divsChild>
        <w:div w:id="840507845">
          <w:marLeft w:val="0"/>
          <w:marRight w:val="0"/>
          <w:marTop w:val="547"/>
          <w:marBottom w:val="0"/>
          <w:divBdr>
            <w:top w:val="none" w:sz="0" w:space="0" w:color="auto"/>
            <w:left w:val="none" w:sz="0" w:space="0" w:color="auto"/>
            <w:bottom w:val="none" w:sz="0" w:space="0" w:color="auto"/>
            <w:right w:val="none" w:sz="0" w:space="0" w:color="auto"/>
          </w:divBdr>
        </w:div>
        <w:div w:id="1612126120">
          <w:marLeft w:val="0"/>
          <w:marRight w:val="0"/>
          <w:marTop w:val="0"/>
          <w:marBottom w:val="0"/>
          <w:divBdr>
            <w:top w:val="none" w:sz="0" w:space="0" w:color="auto"/>
            <w:left w:val="none" w:sz="0" w:space="0" w:color="auto"/>
            <w:bottom w:val="none" w:sz="0" w:space="0" w:color="auto"/>
            <w:right w:val="none" w:sz="0" w:space="0" w:color="auto"/>
          </w:divBdr>
          <w:divsChild>
            <w:div w:id="1900245257">
              <w:marLeft w:val="0"/>
              <w:marRight w:val="0"/>
              <w:marTop w:val="0"/>
              <w:marBottom w:val="0"/>
              <w:divBdr>
                <w:top w:val="none" w:sz="0" w:space="0" w:color="auto"/>
                <w:left w:val="none" w:sz="0" w:space="0" w:color="auto"/>
                <w:bottom w:val="none" w:sz="0" w:space="0" w:color="auto"/>
                <w:right w:val="none" w:sz="0" w:space="0" w:color="auto"/>
              </w:divBdr>
              <w:divsChild>
                <w:div w:id="268511331">
                  <w:marLeft w:val="0"/>
                  <w:marRight w:val="0"/>
                  <w:marTop w:val="0"/>
                  <w:marBottom w:val="0"/>
                  <w:divBdr>
                    <w:top w:val="none" w:sz="0" w:space="0" w:color="auto"/>
                    <w:left w:val="none" w:sz="0" w:space="0" w:color="auto"/>
                    <w:bottom w:val="none" w:sz="0" w:space="0" w:color="auto"/>
                    <w:right w:val="none" w:sz="0" w:space="0" w:color="auto"/>
                  </w:divBdr>
                </w:div>
              </w:divsChild>
            </w:div>
            <w:div w:id="1310091043">
              <w:marLeft w:val="0"/>
              <w:marRight w:val="0"/>
              <w:marTop w:val="0"/>
              <w:marBottom w:val="0"/>
              <w:divBdr>
                <w:top w:val="none" w:sz="0" w:space="0" w:color="auto"/>
                <w:left w:val="none" w:sz="0" w:space="0" w:color="auto"/>
                <w:bottom w:val="none" w:sz="0" w:space="0" w:color="auto"/>
                <w:right w:val="none" w:sz="0" w:space="0" w:color="auto"/>
              </w:divBdr>
              <w:divsChild>
                <w:div w:id="517737485">
                  <w:marLeft w:val="0"/>
                  <w:marRight w:val="0"/>
                  <w:marTop w:val="0"/>
                  <w:marBottom w:val="0"/>
                  <w:divBdr>
                    <w:top w:val="none" w:sz="0" w:space="0" w:color="auto"/>
                    <w:left w:val="none" w:sz="0" w:space="0" w:color="auto"/>
                    <w:bottom w:val="none" w:sz="0" w:space="0" w:color="auto"/>
                    <w:right w:val="none" w:sz="0" w:space="0" w:color="auto"/>
                  </w:divBdr>
                </w:div>
              </w:divsChild>
            </w:div>
            <w:div w:id="1452743657">
              <w:marLeft w:val="0"/>
              <w:marRight w:val="0"/>
              <w:marTop w:val="0"/>
              <w:marBottom w:val="0"/>
              <w:divBdr>
                <w:top w:val="none" w:sz="0" w:space="0" w:color="auto"/>
                <w:left w:val="none" w:sz="0" w:space="0" w:color="auto"/>
                <w:bottom w:val="none" w:sz="0" w:space="0" w:color="auto"/>
                <w:right w:val="none" w:sz="0" w:space="0" w:color="auto"/>
              </w:divBdr>
              <w:divsChild>
                <w:div w:id="1281641987">
                  <w:marLeft w:val="0"/>
                  <w:marRight w:val="0"/>
                  <w:marTop w:val="0"/>
                  <w:marBottom w:val="0"/>
                  <w:divBdr>
                    <w:top w:val="none" w:sz="0" w:space="0" w:color="auto"/>
                    <w:left w:val="none" w:sz="0" w:space="0" w:color="auto"/>
                    <w:bottom w:val="none" w:sz="0" w:space="0" w:color="auto"/>
                    <w:right w:val="none" w:sz="0" w:space="0" w:color="auto"/>
                  </w:divBdr>
                </w:div>
              </w:divsChild>
            </w:div>
            <w:div w:id="1864438568">
              <w:marLeft w:val="0"/>
              <w:marRight w:val="0"/>
              <w:marTop w:val="0"/>
              <w:marBottom w:val="0"/>
              <w:divBdr>
                <w:top w:val="none" w:sz="0" w:space="0" w:color="auto"/>
                <w:left w:val="none" w:sz="0" w:space="0" w:color="auto"/>
                <w:bottom w:val="none" w:sz="0" w:space="0" w:color="auto"/>
                <w:right w:val="none" w:sz="0" w:space="0" w:color="auto"/>
              </w:divBdr>
              <w:divsChild>
                <w:div w:id="1218735681">
                  <w:marLeft w:val="0"/>
                  <w:marRight w:val="0"/>
                  <w:marTop w:val="0"/>
                  <w:marBottom w:val="0"/>
                  <w:divBdr>
                    <w:top w:val="none" w:sz="0" w:space="0" w:color="auto"/>
                    <w:left w:val="none" w:sz="0" w:space="0" w:color="auto"/>
                    <w:bottom w:val="none" w:sz="0" w:space="0" w:color="auto"/>
                    <w:right w:val="none" w:sz="0" w:space="0" w:color="auto"/>
                  </w:divBdr>
                </w:div>
              </w:divsChild>
            </w:div>
            <w:div w:id="54284727">
              <w:marLeft w:val="0"/>
              <w:marRight w:val="0"/>
              <w:marTop w:val="0"/>
              <w:marBottom w:val="0"/>
              <w:divBdr>
                <w:top w:val="none" w:sz="0" w:space="0" w:color="auto"/>
                <w:left w:val="none" w:sz="0" w:space="0" w:color="auto"/>
                <w:bottom w:val="none" w:sz="0" w:space="0" w:color="auto"/>
                <w:right w:val="none" w:sz="0" w:space="0" w:color="auto"/>
              </w:divBdr>
              <w:divsChild>
                <w:div w:id="1636983955">
                  <w:marLeft w:val="0"/>
                  <w:marRight w:val="0"/>
                  <w:marTop w:val="0"/>
                  <w:marBottom w:val="0"/>
                  <w:divBdr>
                    <w:top w:val="none" w:sz="0" w:space="0" w:color="auto"/>
                    <w:left w:val="none" w:sz="0" w:space="0" w:color="auto"/>
                    <w:bottom w:val="none" w:sz="0" w:space="0" w:color="auto"/>
                    <w:right w:val="none" w:sz="0" w:space="0" w:color="auto"/>
                  </w:divBdr>
                </w:div>
              </w:divsChild>
            </w:div>
            <w:div w:id="1540245650">
              <w:marLeft w:val="0"/>
              <w:marRight w:val="0"/>
              <w:marTop w:val="0"/>
              <w:marBottom w:val="0"/>
              <w:divBdr>
                <w:top w:val="none" w:sz="0" w:space="0" w:color="auto"/>
                <w:left w:val="none" w:sz="0" w:space="0" w:color="auto"/>
                <w:bottom w:val="none" w:sz="0" w:space="0" w:color="auto"/>
                <w:right w:val="none" w:sz="0" w:space="0" w:color="auto"/>
              </w:divBdr>
              <w:divsChild>
                <w:div w:id="53705462">
                  <w:marLeft w:val="0"/>
                  <w:marRight w:val="0"/>
                  <w:marTop w:val="0"/>
                  <w:marBottom w:val="0"/>
                  <w:divBdr>
                    <w:top w:val="none" w:sz="0" w:space="0" w:color="auto"/>
                    <w:left w:val="none" w:sz="0" w:space="0" w:color="auto"/>
                    <w:bottom w:val="none" w:sz="0" w:space="0" w:color="auto"/>
                    <w:right w:val="none" w:sz="0" w:space="0" w:color="auto"/>
                  </w:divBdr>
                </w:div>
              </w:divsChild>
            </w:div>
            <w:div w:id="1628856078">
              <w:marLeft w:val="0"/>
              <w:marRight w:val="0"/>
              <w:marTop w:val="0"/>
              <w:marBottom w:val="0"/>
              <w:divBdr>
                <w:top w:val="none" w:sz="0" w:space="0" w:color="auto"/>
                <w:left w:val="none" w:sz="0" w:space="0" w:color="auto"/>
                <w:bottom w:val="none" w:sz="0" w:space="0" w:color="auto"/>
                <w:right w:val="none" w:sz="0" w:space="0" w:color="auto"/>
              </w:divBdr>
              <w:divsChild>
                <w:div w:id="4817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4172">
          <w:marLeft w:val="0"/>
          <w:marRight w:val="0"/>
          <w:marTop w:val="0"/>
          <w:marBottom w:val="600"/>
          <w:divBdr>
            <w:top w:val="none" w:sz="0" w:space="0" w:color="auto"/>
            <w:left w:val="none" w:sz="0" w:space="0" w:color="auto"/>
            <w:bottom w:val="none" w:sz="0" w:space="0" w:color="auto"/>
            <w:right w:val="none" w:sz="0" w:space="0" w:color="auto"/>
          </w:divBdr>
        </w:div>
      </w:divsChild>
    </w:div>
    <w:div w:id="1932661290">
      <w:marLeft w:val="0"/>
      <w:marRight w:val="0"/>
      <w:marTop w:val="0"/>
      <w:marBottom w:val="0"/>
      <w:divBdr>
        <w:top w:val="none" w:sz="0" w:space="0" w:color="auto"/>
        <w:left w:val="none" w:sz="0" w:space="0" w:color="auto"/>
        <w:bottom w:val="none" w:sz="0" w:space="0" w:color="auto"/>
        <w:right w:val="none" w:sz="0" w:space="0" w:color="auto"/>
      </w:divBdr>
      <w:divsChild>
        <w:div w:id="1035429272">
          <w:marLeft w:val="0"/>
          <w:marRight w:val="0"/>
          <w:marTop w:val="547"/>
          <w:marBottom w:val="0"/>
          <w:divBdr>
            <w:top w:val="none" w:sz="0" w:space="0" w:color="auto"/>
            <w:left w:val="none" w:sz="0" w:space="0" w:color="auto"/>
            <w:bottom w:val="none" w:sz="0" w:space="0" w:color="auto"/>
            <w:right w:val="none" w:sz="0" w:space="0" w:color="auto"/>
          </w:divBdr>
        </w:div>
        <w:div w:id="1444575508">
          <w:marLeft w:val="0"/>
          <w:marRight w:val="0"/>
          <w:marTop w:val="0"/>
          <w:marBottom w:val="0"/>
          <w:divBdr>
            <w:top w:val="none" w:sz="0" w:space="0" w:color="auto"/>
            <w:left w:val="none" w:sz="0" w:space="0" w:color="auto"/>
            <w:bottom w:val="none" w:sz="0" w:space="0" w:color="auto"/>
            <w:right w:val="none" w:sz="0" w:space="0" w:color="auto"/>
          </w:divBdr>
          <w:divsChild>
            <w:div w:id="704477696">
              <w:marLeft w:val="0"/>
              <w:marRight w:val="0"/>
              <w:marTop w:val="0"/>
              <w:marBottom w:val="0"/>
              <w:divBdr>
                <w:top w:val="none" w:sz="0" w:space="0" w:color="auto"/>
                <w:left w:val="none" w:sz="0" w:space="0" w:color="auto"/>
                <w:bottom w:val="none" w:sz="0" w:space="0" w:color="auto"/>
                <w:right w:val="none" w:sz="0" w:space="0" w:color="auto"/>
              </w:divBdr>
              <w:divsChild>
                <w:div w:id="318272464">
                  <w:marLeft w:val="0"/>
                  <w:marRight w:val="0"/>
                  <w:marTop w:val="0"/>
                  <w:marBottom w:val="0"/>
                  <w:divBdr>
                    <w:top w:val="none" w:sz="0" w:space="0" w:color="auto"/>
                    <w:left w:val="none" w:sz="0" w:space="0" w:color="auto"/>
                    <w:bottom w:val="none" w:sz="0" w:space="0" w:color="auto"/>
                    <w:right w:val="none" w:sz="0" w:space="0" w:color="auto"/>
                  </w:divBdr>
                </w:div>
              </w:divsChild>
            </w:div>
            <w:div w:id="1854226275">
              <w:marLeft w:val="0"/>
              <w:marRight w:val="0"/>
              <w:marTop w:val="0"/>
              <w:marBottom w:val="0"/>
              <w:divBdr>
                <w:top w:val="none" w:sz="0" w:space="0" w:color="auto"/>
                <w:left w:val="none" w:sz="0" w:space="0" w:color="auto"/>
                <w:bottom w:val="none" w:sz="0" w:space="0" w:color="auto"/>
                <w:right w:val="none" w:sz="0" w:space="0" w:color="auto"/>
              </w:divBdr>
              <w:divsChild>
                <w:div w:id="252785407">
                  <w:marLeft w:val="0"/>
                  <w:marRight w:val="0"/>
                  <w:marTop w:val="0"/>
                  <w:marBottom w:val="0"/>
                  <w:divBdr>
                    <w:top w:val="none" w:sz="0" w:space="0" w:color="auto"/>
                    <w:left w:val="none" w:sz="0" w:space="0" w:color="auto"/>
                    <w:bottom w:val="none" w:sz="0" w:space="0" w:color="auto"/>
                    <w:right w:val="none" w:sz="0" w:space="0" w:color="auto"/>
                  </w:divBdr>
                </w:div>
              </w:divsChild>
            </w:div>
            <w:div w:id="1632711750">
              <w:marLeft w:val="0"/>
              <w:marRight w:val="0"/>
              <w:marTop w:val="0"/>
              <w:marBottom w:val="0"/>
              <w:divBdr>
                <w:top w:val="none" w:sz="0" w:space="0" w:color="auto"/>
                <w:left w:val="none" w:sz="0" w:space="0" w:color="auto"/>
                <w:bottom w:val="none" w:sz="0" w:space="0" w:color="auto"/>
                <w:right w:val="none" w:sz="0" w:space="0" w:color="auto"/>
              </w:divBdr>
              <w:divsChild>
                <w:div w:id="1208637529">
                  <w:marLeft w:val="0"/>
                  <w:marRight w:val="0"/>
                  <w:marTop w:val="0"/>
                  <w:marBottom w:val="0"/>
                  <w:divBdr>
                    <w:top w:val="none" w:sz="0" w:space="0" w:color="auto"/>
                    <w:left w:val="none" w:sz="0" w:space="0" w:color="auto"/>
                    <w:bottom w:val="none" w:sz="0" w:space="0" w:color="auto"/>
                    <w:right w:val="none" w:sz="0" w:space="0" w:color="auto"/>
                  </w:divBdr>
                </w:div>
              </w:divsChild>
            </w:div>
            <w:div w:id="16395597">
              <w:marLeft w:val="0"/>
              <w:marRight w:val="0"/>
              <w:marTop w:val="0"/>
              <w:marBottom w:val="0"/>
              <w:divBdr>
                <w:top w:val="none" w:sz="0" w:space="0" w:color="auto"/>
                <w:left w:val="none" w:sz="0" w:space="0" w:color="auto"/>
                <w:bottom w:val="none" w:sz="0" w:space="0" w:color="auto"/>
                <w:right w:val="none" w:sz="0" w:space="0" w:color="auto"/>
              </w:divBdr>
              <w:divsChild>
                <w:div w:id="93987025">
                  <w:marLeft w:val="0"/>
                  <w:marRight w:val="0"/>
                  <w:marTop w:val="0"/>
                  <w:marBottom w:val="0"/>
                  <w:divBdr>
                    <w:top w:val="none" w:sz="0" w:space="0" w:color="auto"/>
                    <w:left w:val="none" w:sz="0" w:space="0" w:color="auto"/>
                    <w:bottom w:val="none" w:sz="0" w:space="0" w:color="auto"/>
                    <w:right w:val="none" w:sz="0" w:space="0" w:color="auto"/>
                  </w:divBdr>
                </w:div>
              </w:divsChild>
            </w:div>
            <w:div w:id="154952756">
              <w:marLeft w:val="0"/>
              <w:marRight w:val="0"/>
              <w:marTop w:val="0"/>
              <w:marBottom w:val="0"/>
              <w:divBdr>
                <w:top w:val="none" w:sz="0" w:space="0" w:color="auto"/>
                <w:left w:val="none" w:sz="0" w:space="0" w:color="auto"/>
                <w:bottom w:val="none" w:sz="0" w:space="0" w:color="auto"/>
                <w:right w:val="none" w:sz="0" w:space="0" w:color="auto"/>
              </w:divBdr>
              <w:divsChild>
                <w:div w:id="54592839">
                  <w:marLeft w:val="0"/>
                  <w:marRight w:val="0"/>
                  <w:marTop w:val="0"/>
                  <w:marBottom w:val="0"/>
                  <w:divBdr>
                    <w:top w:val="none" w:sz="0" w:space="0" w:color="auto"/>
                    <w:left w:val="none" w:sz="0" w:space="0" w:color="auto"/>
                    <w:bottom w:val="none" w:sz="0" w:space="0" w:color="auto"/>
                    <w:right w:val="none" w:sz="0" w:space="0" w:color="auto"/>
                  </w:divBdr>
                </w:div>
              </w:divsChild>
            </w:div>
            <w:div w:id="1859394889">
              <w:marLeft w:val="0"/>
              <w:marRight w:val="0"/>
              <w:marTop w:val="0"/>
              <w:marBottom w:val="0"/>
              <w:divBdr>
                <w:top w:val="none" w:sz="0" w:space="0" w:color="auto"/>
                <w:left w:val="none" w:sz="0" w:space="0" w:color="auto"/>
                <w:bottom w:val="none" w:sz="0" w:space="0" w:color="auto"/>
                <w:right w:val="none" w:sz="0" w:space="0" w:color="auto"/>
              </w:divBdr>
              <w:divsChild>
                <w:div w:id="884105162">
                  <w:marLeft w:val="0"/>
                  <w:marRight w:val="0"/>
                  <w:marTop w:val="0"/>
                  <w:marBottom w:val="0"/>
                  <w:divBdr>
                    <w:top w:val="none" w:sz="0" w:space="0" w:color="auto"/>
                    <w:left w:val="none" w:sz="0" w:space="0" w:color="auto"/>
                    <w:bottom w:val="none" w:sz="0" w:space="0" w:color="auto"/>
                    <w:right w:val="none" w:sz="0" w:space="0" w:color="auto"/>
                  </w:divBdr>
                </w:div>
              </w:divsChild>
            </w:div>
            <w:div w:id="1882597910">
              <w:marLeft w:val="0"/>
              <w:marRight w:val="0"/>
              <w:marTop w:val="0"/>
              <w:marBottom w:val="0"/>
              <w:divBdr>
                <w:top w:val="none" w:sz="0" w:space="0" w:color="auto"/>
                <w:left w:val="none" w:sz="0" w:space="0" w:color="auto"/>
                <w:bottom w:val="none" w:sz="0" w:space="0" w:color="auto"/>
                <w:right w:val="none" w:sz="0" w:space="0" w:color="auto"/>
              </w:divBdr>
              <w:divsChild>
                <w:div w:id="2045516905">
                  <w:marLeft w:val="0"/>
                  <w:marRight w:val="0"/>
                  <w:marTop w:val="0"/>
                  <w:marBottom w:val="0"/>
                  <w:divBdr>
                    <w:top w:val="none" w:sz="0" w:space="0" w:color="auto"/>
                    <w:left w:val="none" w:sz="0" w:space="0" w:color="auto"/>
                    <w:bottom w:val="none" w:sz="0" w:space="0" w:color="auto"/>
                    <w:right w:val="none" w:sz="0" w:space="0" w:color="auto"/>
                  </w:divBdr>
                </w:div>
              </w:divsChild>
            </w:div>
            <w:div w:id="1186407988">
              <w:marLeft w:val="0"/>
              <w:marRight w:val="0"/>
              <w:marTop w:val="0"/>
              <w:marBottom w:val="0"/>
              <w:divBdr>
                <w:top w:val="none" w:sz="0" w:space="0" w:color="auto"/>
                <w:left w:val="none" w:sz="0" w:space="0" w:color="auto"/>
                <w:bottom w:val="none" w:sz="0" w:space="0" w:color="auto"/>
                <w:right w:val="none" w:sz="0" w:space="0" w:color="auto"/>
              </w:divBdr>
              <w:divsChild>
                <w:div w:id="519314936">
                  <w:marLeft w:val="0"/>
                  <w:marRight w:val="0"/>
                  <w:marTop w:val="0"/>
                  <w:marBottom w:val="0"/>
                  <w:divBdr>
                    <w:top w:val="none" w:sz="0" w:space="0" w:color="auto"/>
                    <w:left w:val="none" w:sz="0" w:space="0" w:color="auto"/>
                    <w:bottom w:val="none" w:sz="0" w:space="0" w:color="auto"/>
                    <w:right w:val="none" w:sz="0" w:space="0" w:color="auto"/>
                  </w:divBdr>
                </w:div>
              </w:divsChild>
            </w:div>
            <w:div w:id="1051735400">
              <w:marLeft w:val="0"/>
              <w:marRight w:val="0"/>
              <w:marTop w:val="0"/>
              <w:marBottom w:val="0"/>
              <w:divBdr>
                <w:top w:val="none" w:sz="0" w:space="0" w:color="auto"/>
                <w:left w:val="none" w:sz="0" w:space="0" w:color="auto"/>
                <w:bottom w:val="none" w:sz="0" w:space="0" w:color="auto"/>
                <w:right w:val="none" w:sz="0" w:space="0" w:color="auto"/>
              </w:divBdr>
              <w:divsChild>
                <w:div w:id="560093135">
                  <w:marLeft w:val="0"/>
                  <w:marRight w:val="0"/>
                  <w:marTop w:val="0"/>
                  <w:marBottom w:val="0"/>
                  <w:divBdr>
                    <w:top w:val="none" w:sz="0" w:space="0" w:color="auto"/>
                    <w:left w:val="none" w:sz="0" w:space="0" w:color="auto"/>
                    <w:bottom w:val="none" w:sz="0" w:space="0" w:color="auto"/>
                    <w:right w:val="none" w:sz="0" w:space="0" w:color="auto"/>
                  </w:divBdr>
                </w:div>
              </w:divsChild>
            </w:div>
            <w:div w:id="1648631259">
              <w:marLeft w:val="0"/>
              <w:marRight w:val="0"/>
              <w:marTop w:val="0"/>
              <w:marBottom w:val="0"/>
              <w:divBdr>
                <w:top w:val="none" w:sz="0" w:space="0" w:color="auto"/>
                <w:left w:val="none" w:sz="0" w:space="0" w:color="auto"/>
                <w:bottom w:val="none" w:sz="0" w:space="0" w:color="auto"/>
                <w:right w:val="none" w:sz="0" w:space="0" w:color="auto"/>
              </w:divBdr>
              <w:divsChild>
                <w:div w:id="1992519834">
                  <w:marLeft w:val="0"/>
                  <w:marRight w:val="0"/>
                  <w:marTop w:val="0"/>
                  <w:marBottom w:val="0"/>
                  <w:divBdr>
                    <w:top w:val="none" w:sz="0" w:space="0" w:color="auto"/>
                    <w:left w:val="none" w:sz="0" w:space="0" w:color="auto"/>
                    <w:bottom w:val="none" w:sz="0" w:space="0" w:color="auto"/>
                    <w:right w:val="none" w:sz="0" w:space="0" w:color="auto"/>
                  </w:divBdr>
                </w:div>
              </w:divsChild>
            </w:div>
            <w:div w:id="260601157">
              <w:marLeft w:val="0"/>
              <w:marRight w:val="0"/>
              <w:marTop w:val="0"/>
              <w:marBottom w:val="0"/>
              <w:divBdr>
                <w:top w:val="none" w:sz="0" w:space="0" w:color="auto"/>
                <w:left w:val="none" w:sz="0" w:space="0" w:color="auto"/>
                <w:bottom w:val="none" w:sz="0" w:space="0" w:color="auto"/>
                <w:right w:val="none" w:sz="0" w:space="0" w:color="auto"/>
              </w:divBdr>
              <w:divsChild>
                <w:div w:id="1606961791">
                  <w:marLeft w:val="0"/>
                  <w:marRight w:val="0"/>
                  <w:marTop w:val="0"/>
                  <w:marBottom w:val="0"/>
                  <w:divBdr>
                    <w:top w:val="none" w:sz="0" w:space="0" w:color="auto"/>
                    <w:left w:val="none" w:sz="0" w:space="0" w:color="auto"/>
                    <w:bottom w:val="none" w:sz="0" w:space="0" w:color="auto"/>
                    <w:right w:val="none" w:sz="0" w:space="0" w:color="auto"/>
                  </w:divBdr>
                </w:div>
              </w:divsChild>
            </w:div>
            <w:div w:id="869761004">
              <w:marLeft w:val="0"/>
              <w:marRight w:val="0"/>
              <w:marTop w:val="0"/>
              <w:marBottom w:val="0"/>
              <w:divBdr>
                <w:top w:val="none" w:sz="0" w:space="0" w:color="auto"/>
                <w:left w:val="none" w:sz="0" w:space="0" w:color="auto"/>
                <w:bottom w:val="none" w:sz="0" w:space="0" w:color="auto"/>
                <w:right w:val="none" w:sz="0" w:space="0" w:color="auto"/>
              </w:divBdr>
              <w:divsChild>
                <w:div w:id="292684434">
                  <w:marLeft w:val="0"/>
                  <w:marRight w:val="0"/>
                  <w:marTop w:val="0"/>
                  <w:marBottom w:val="0"/>
                  <w:divBdr>
                    <w:top w:val="none" w:sz="0" w:space="0" w:color="auto"/>
                    <w:left w:val="none" w:sz="0" w:space="0" w:color="auto"/>
                    <w:bottom w:val="none" w:sz="0" w:space="0" w:color="auto"/>
                    <w:right w:val="none" w:sz="0" w:space="0" w:color="auto"/>
                  </w:divBdr>
                </w:div>
              </w:divsChild>
            </w:div>
            <w:div w:id="1464696459">
              <w:marLeft w:val="0"/>
              <w:marRight w:val="0"/>
              <w:marTop w:val="0"/>
              <w:marBottom w:val="0"/>
              <w:divBdr>
                <w:top w:val="none" w:sz="0" w:space="0" w:color="auto"/>
                <w:left w:val="none" w:sz="0" w:space="0" w:color="auto"/>
                <w:bottom w:val="none" w:sz="0" w:space="0" w:color="auto"/>
                <w:right w:val="none" w:sz="0" w:space="0" w:color="auto"/>
              </w:divBdr>
              <w:divsChild>
                <w:div w:id="602612454">
                  <w:marLeft w:val="0"/>
                  <w:marRight w:val="0"/>
                  <w:marTop w:val="0"/>
                  <w:marBottom w:val="0"/>
                  <w:divBdr>
                    <w:top w:val="none" w:sz="0" w:space="0" w:color="auto"/>
                    <w:left w:val="none" w:sz="0" w:space="0" w:color="auto"/>
                    <w:bottom w:val="none" w:sz="0" w:space="0" w:color="auto"/>
                    <w:right w:val="none" w:sz="0" w:space="0" w:color="auto"/>
                  </w:divBdr>
                </w:div>
              </w:divsChild>
            </w:div>
            <w:div w:id="1435244335">
              <w:marLeft w:val="0"/>
              <w:marRight w:val="0"/>
              <w:marTop w:val="0"/>
              <w:marBottom w:val="0"/>
              <w:divBdr>
                <w:top w:val="none" w:sz="0" w:space="0" w:color="auto"/>
                <w:left w:val="none" w:sz="0" w:space="0" w:color="auto"/>
                <w:bottom w:val="none" w:sz="0" w:space="0" w:color="auto"/>
                <w:right w:val="none" w:sz="0" w:space="0" w:color="auto"/>
              </w:divBdr>
              <w:divsChild>
                <w:div w:id="586039122">
                  <w:marLeft w:val="0"/>
                  <w:marRight w:val="0"/>
                  <w:marTop w:val="0"/>
                  <w:marBottom w:val="0"/>
                  <w:divBdr>
                    <w:top w:val="none" w:sz="0" w:space="0" w:color="auto"/>
                    <w:left w:val="none" w:sz="0" w:space="0" w:color="auto"/>
                    <w:bottom w:val="none" w:sz="0" w:space="0" w:color="auto"/>
                    <w:right w:val="none" w:sz="0" w:space="0" w:color="auto"/>
                  </w:divBdr>
                </w:div>
              </w:divsChild>
            </w:div>
            <w:div w:id="1589189918">
              <w:marLeft w:val="0"/>
              <w:marRight w:val="0"/>
              <w:marTop w:val="0"/>
              <w:marBottom w:val="0"/>
              <w:divBdr>
                <w:top w:val="none" w:sz="0" w:space="0" w:color="auto"/>
                <w:left w:val="none" w:sz="0" w:space="0" w:color="auto"/>
                <w:bottom w:val="none" w:sz="0" w:space="0" w:color="auto"/>
                <w:right w:val="none" w:sz="0" w:space="0" w:color="auto"/>
              </w:divBdr>
              <w:divsChild>
                <w:div w:id="1775897677">
                  <w:marLeft w:val="0"/>
                  <w:marRight w:val="0"/>
                  <w:marTop w:val="0"/>
                  <w:marBottom w:val="0"/>
                  <w:divBdr>
                    <w:top w:val="none" w:sz="0" w:space="0" w:color="auto"/>
                    <w:left w:val="none" w:sz="0" w:space="0" w:color="auto"/>
                    <w:bottom w:val="none" w:sz="0" w:space="0" w:color="auto"/>
                    <w:right w:val="none" w:sz="0" w:space="0" w:color="auto"/>
                  </w:divBdr>
                </w:div>
              </w:divsChild>
            </w:div>
            <w:div w:id="667909023">
              <w:marLeft w:val="0"/>
              <w:marRight w:val="0"/>
              <w:marTop w:val="0"/>
              <w:marBottom w:val="0"/>
              <w:divBdr>
                <w:top w:val="none" w:sz="0" w:space="0" w:color="auto"/>
                <w:left w:val="none" w:sz="0" w:space="0" w:color="auto"/>
                <w:bottom w:val="none" w:sz="0" w:space="0" w:color="auto"/>
                <w:right w:val="none" w:sz="0" w:space="0" w:color="auto"/>
              </w:divBdr>
              <w:divsChild>
                <w:div w:id="109714668">
                  <w:marLeft w:val="0"/>
                  <w:marRight w:val="0"/>
                  <w:marTop w:val="0"/>
                  <w:marBottom w:val="0"/>
                  <w:divBdr>
                    <w:top w:val="none" w:sz="0" w:space="0" w:color="auto"/>
                    <w:left w:val="none" w:sz="0" w:space="0" w:color="auto"/>
                    <w:bottom w:val="none" w:sz="0" w:space="0" w:color="auto"/>
                    <w:right w:val="none" w:sz="0" w:space="0" w:color="auto"/>
                  </w:divBdr>
                </w:div>
              </w:divsChild>
            </w:div>
            <w:div w:id="1674145862">
              <w:marLeft w:val="0"/>
              <w:marRight w:val="0"/>
              <w:marTop w:val="0"/>
              <w:marBottom w:val="0"/>
              <w:divBdr>
                <w:top w:val="none" w:sz="0" w:space="0" w:color="auto"/>
                <w:left w:val="none" w:sz="0" w:space="0" w:color="auto"/>
                <w:bottom w:val="none" w:sz="0" w:space="0" w:color="auto"/>
                <w:right w:val="none" w:sz="0" w:space="0" w:color="auto"/>
              </w:divBdr>
              <w:divsChild>
                <w:div w:id="671489409">
                  <w:marLeft w:val="0"/>
                  <w:marRight w:val="0"/>
                  <w:marTop w:val="0"/>
                  <w:marBottom w:val="0"/>
                  <w:divBdr>
                    <w:top w:val="none" w:sz="0" w:space="0" w:color="auto"/>
                    <w:left w:val="none" w:sz="0" w:space="0" w:color="auto"/>
                    <w:bottom w:val="none" w:sz="0" w:space="0" w:color="auto"/>
                    <w:right w:val="none" w:sz="0" w:space="0" w:color="auto"/>
                  </w:divBdr>
                </w:div>
              </w:divsChild>
            </w:div>
            <w:div w:id="515971382">
              <w:marLeft w:val="0"/>
              <w:marRight w:val="0"/>
              <w:marTop w:val="0"/>
              <w:marBottom w:val="0"/>
              <w:divBdr>
                <w:top w:val="none" w:sz="0" w:space="0" w:color="auto"/>
                <w:left w:val="none" w:sz="0" w:space="0" w:color="auto"/>
                <w:bottom w:val="none" w:sz="0" w:space="0" w:color="auto"/>
                <w:right w:val="none" w:sz="0" w:space="0" w:color="auto"/>
              </w:divBdr>
              <w:divsChild>
                <w:div w:id="1410928011">
                  <w:marLeft w:val="0"/>
                  <w:marRight w:val="0"/>
                  <w:marTop w:val="0"/>
                  <w:marBottom w:val="0"/>
                  <w:divBdr>
                    <w:top w:val="none" w:sz="0" w:space="0" w:color="auto"/>
                    <w:left w:val="none" w:sz="0" w:space="0" w:color="auto"/>
                    <w:bottom w:val="none" w:sz="0" w:space="0" w:color="auto"/>
                    <w:right w:val="none" w:sz="0" w:space="0" w:color="auto"/>
                  </w:divBdr>
                </w:div>
              </w:divsChild>
            </w:div>
            <w:div w:id="2049985657">
              <w:marLeft w:val="0"/>
              <w:marRight w:val="0"/>
              <w:marTop w:val="0"/>
              <w:marBottom w:val="0"/>
              <w:divBdr>
                <w:top w:val="none" w:sz="0" w:space="0" w:color="auto"/>
                <w:left w:val="none" w:sz="0" w:space="0" w:color="auto"/>
                <w:bottom w:val="none" w:sz="0" w:space="0" w:color="auto"/>
                <w:right w:val="none" w:sz="0" w:space="0" w:color="auto"/>
              </w:divBdr>
              <w:divsChild>
                <w:div w:id="1090659577">
                  <w:marLeft w:val="0"/>
                  <w:marRight w:val="0"/>
                  <w:marTop w:val="0"/>
                  <w:marBottom w:val="0"/>
                  <w:divBdr>
                    <w:top w:val="none" w:sz="0" w:space="0" w:color="auto"/>
                    <w:left w:val="none" w:sz="0" w:space="0" w:color="auto"/>
                    <w:bottom w:val="none" w:sz="0" w:space="0" w:color="auto"/>
                    <w:right w:val="none" w:sz="0" w:space="0" w:color="auto"/>
                  </w:divBdr>
                </w:div>
              </w:divsChild>
            </w:div>
            <w:div w:id="172497593">
              <w:marLeft w:val="0"/>
              <w:marRight w:val="0"/>
              <w:marTop w:val="0"/>
              <w:marBottom w:val="0"/>
              <w:divBdr>
                <w:top w:val="none" w:sz="0" w:space="0" w:color="auto"/>
                <w:left w:val="none" w:sz="0" w:space="0" w:color="auto"/>
                <w:bottom w:val="none" w:sz="0" w:space="0" w:color="auto"/>
                <w:right w:val="none" w:sz="0" w:space="0" w:color="auto"/>
              </w:divBdr>
              <w:divsChild>
                <w:div w:id="1476946928">
                  <w:marLeft w:val="0"/>
                  <w:marRight w:val="0"/>
                  <w:marTop w:val="0"/>
                  <w:marBottom w:val="0"/>
                  <w:divBdr>
                    <w:top w:val="none" w:sz="0" w:space="0" w:color="auto"/>
                    <w:left w:val="none" w:sz="0" w:space="0" w:color="auto"/>
                    <w:bottom w:val="none" w:sz="0" w:space="0" w:color="auto"/>
                    <w:right w:val="none" w:sz="0" w:space="0" w:color="auto"/>
                  </w:divBdr>
                </w:div>
              </w:divsChild>
            </w:div>
            <w:div w:id="1150825766">
              <w:marLeft w:val="0"/>
              <w:marRight w:val="0"/>
              <w:marTop w:val="0"/>
              <w:marBottom w:val="0"/>
              <w:divBdr>
                <w:top w:val="none" w:sz="0" w:space="0" w:color="auto"/>
                <w:left w:val="none" w:sz="0" w:space="0" w:color="auto"/>
                <w:bottom w:val="none" w:sz="0" w:space="0" w:color="auto"/>
                <w:right w:val="none" w:sz="0" w:space="0" w:color="auto"/>
              </w:divBdr>
              <w:divsChild>
                <w:div w:id="779184831">
                  <w:marLeft w:val="0"/>
                  <w:marRight w:val="0"/>
                  <w:marTop w:val="0"/>
                  <w:marBottom w:val="0"/>
                  <w:divBdr>
                    <w:top w:val="none" w:sz="0" w:space="0" w:color="auto"/>
                    <w:left w:val="none" w:sz="0" w:space="0" w:color="auto"/>
                    <w:bottom w:val="none" w:sz="0" w:space="0" w:color="auto"/>
                    <w:right w:val="none" w:sz="0" w:space="0" w:color="auto"/>
                  </w:divBdr>
                </w:div>
              </w:divsChild>
            </w:div>
            <w:div w:id="1204488969">
              <w:marLeft w:val="0"/>
              <w:marRight w:val="0"/>
              <w:marTop w:val="0"/>
              <w:marBottom w:val="0"/>
              <w:divBdr>
                <w:top w:val="none" w:sz="0" w:space="0" w:color="auto"/>
                <w:left w:val="none" w:sz="0" w:space="0" w:color="auto"/>
                <w:bottom w:val="none" w:sz="0" w:space="0" w:color="auto"/>
                <w:right w:val="none" w:sz="0" w:space="0" w:color="auto"/>
              </w:divBdr>
              <w:divsChild>
                <w:div w:id="374307056">
                  <w:marLeft w:val="0"/>
                  <w:marRight w:val="0"/>
                  <w:marTop w:val="0"/>
                  <w:marBottom w:val="0"/>
                  <w:divBdr>
                    <w:top w:val="none" w:sz="0" w:space="0" w:color="auto"/>
                    <w:left w:val="none" w:sz="0" w:space="0" w:color="auto"/>
                    <w:bottom w:val="none" w:sz="0" w:space="0" w:color="auto"/>
                    <w:right w:val="none" w:sz="0" w:space="0" w:color="auto"/>
                  </w:divBdr>
                </w:div>
              </w:divsChild>
            </w:div>
            <w:div w:id="363292083">
              <w:marLeft w:val="0"/>
              <w:marRight w:val="0"/>
              <w:marTop w:val="0"/>
              <w:marBottom w:val="0"/>
              <w:divBdr>
                <w:top w:val="none" w:sz="0" w:space="0" w:color="auto"/>
                <w:left w:val="none" w:sz="0" w:space="0" w:color="auto"/>
                <w:bottom w:val="none" w:sz="0" w:space="0" w:color="auto"/>
                <w:right w:val="none" w:sz="0" w:space="0" w:color="auto"/>
              </w:divBdr>
              <w:divsChild>
                <w:div w:id="1633630082">
                  <w:marLeft w:val="0"/>
                  <w:marRight w:val="0"/>
                  <w:marTop w:val="0"/>
                  <w:marBottom w:val="0"/>
                  <w:divBdr>
                    <w:top w:val="none" w:sz="0" w:space="0" w:color="auto"/>
                    <w:left w:val="none" w:sz="0" w:space="0" w:color="auto"/>
                    <w:bottom w:val="none" w:sz="0" w:space="0" w:color="auto"/>
                    <w:right w:val="none" w:sz="0" w:space="0" w:color="auto"/>
                  </w:divBdr>
                </w:div>
              </w:divsChild>
            </w:div>
            <w:div w:id="166866805">
              <w:marLeft w:val="0"/>
              <w:marRight w:val="0"/>
              <w:marTop w:val="0"/>
              <w:marBottom w:val="0"/>
              <w:divBdr>
                <w:top w:val="none" w:sz="0" w:space="0" w:color="auto"/>
                <w:left w:val="none" w:sz="0" w:space="0" w:color="auto"/>
                <w:bottom w:val="none" w:sz="0" w:space="0" w:color="auto"/>
                <w:right w:val="none" w:sz="0" w:space="0" w:color="auto"/>
              </w:divBdr>
              <w:divsChild>
                <w:div w:id="392239369">
                  <w:marLeft w:val="0"/>
                  <w:marRight w:val="0"/>
                  <w:marTop w:val="0"/>
                  <w:marBottom w:val="0"/>
                  <w:divBdr>
                    <w:top w:val="none" w:sz="0" w:space="0" w:color="auto"/>
                    <w:left w:val="none" w:sz="0" w:space="0" w:color="auto"/>
                    <w:bottom w:val="none" w:sz="0" w:space="0" w:color="auto"/>
                    <w:right w:val="none" w:sz="0" w:space="0" w:color="auto"/>
                  </w:divBdr>
                </w:div>
              </w:divsChild>
            </w:div>
            <w:div w:id="181095411">
              <w:marLeft w:val="0"/>
              <w:marRight w:val="0"/>
              <w:marTop w:val="0"/>
              <w:marBottom w:val="0"/>
              <w:divBdr>
                <w:top w:val="none" w:sz="0" w:space="0" w:color="auto"/>
                <w:left w:val="none" w:sz="0" w:space="0" w:color="auto"/>
                <w:bottom w:val="none" w:sz="0" w:space="0" w:color="auto"/>
                <w:right w:val="none" w:sz="0" w:space="0" w:color="auto"/>
              </w:divBdr>
              <w:divsChild>
                <w:div w:id="1115751591">
                  <w:marLeft w:val="0"/>
                  <w:marRight w:val="0"/>
                  <w:marTop w:val="0"/>
                  <w:marBottom w:val="0"/>
                  <w:divBdr>
                    <w:top w:val="none" w:sz="0" w:space="0" w:color="auto"/>
                    <w:left w:val="none" w:sz="0" w:space="0" w:color="auto"/>
                    <w:bottom w:val="none" w:sz="0" w:space="0" w:color="auto"/>
                    <w:right w:val="none" w:sz="0" w:space="0" w:color="auto"/>
                  </w:divBdr>
                </w:div>
              </w:divsChild>
            </w:div>
            <w:div w:id="1722627290">
              <w:marLeft w:val="0"/>
              <w:marRight w:val="0"/>
              <w:marTop w:val="0"/>
              <w:marBottom w:val="0"/>
              <w:divBdr>
                <w:top w:val="none" w:sz="0" w:space="0" w:color="auto"/>
                <w:left w:val="none" w:sz="0" w:space="0" w:color="auto"/>
                <w:bottom w:val="none" w:sz="0" w:space="0" w:color="auto"/>
                <w:right w:val="none" w:sz="0" w:space="0" w:color="auto"/>
              </w:divBdr>
              <w:divsChild>
                <w:div w:id="14778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90982">
          <w:marLeft w:val="0"/>
          <w:marRight w:val="0"/>
          <w:marTop w:val="0"/>
          <w:marBottom w:val="600"/>
          <w:divBdr>
            <w:top w:val="none" w:sz="0" w:space="0" w:color="auto"/>
            <w:left w:val="none" w:sz="0" w:space="0" w:color="auto"/>
            <w:bottom w:val="none" w:sz="0" w:space="0" w:color="auto"/>
            <w:right w:val="none" w:sz="0" w:space="0" w:color="auto"/>
          </w:divBdr>
        </w:div>
      </w:divsChild>
    </w:div>
    <w:div w:id="2022050218">
      <w:marLeft w:val="0"/>
      <w:marRight w:val="0"/>
      <w:marTop w:val="0"/>
      <w:marBottom w:val="0"/>
      <w:divBdr>
        <w:top w:val="none" w:sz="0" w:space="0" w:color="auto"/>
        <w:left w:val="none" w:sz="0" w:space="0" w:color="auto"/>
        <w:bottom w:val="none" w:sz="0" w:space="0" w:color="auto"/>
        <w:right w:val="none" w:sz="0" w:space="0" w:color="auto"/>
      </w:divBdr>
      <w:divsChild>
        <w:div w:id="23754273">
          <w:marLeft w:val="0"/>
          <w:marRight w:val="0"/>
          <w:marTop w:val="547"/>
          <w:marBottom w:val="0"/>
          <w:divBdr>
            <w:top w:val="none" w:sz="0" w:space="0" w:color="auto"/>
            <w:left w:val="none" w:sz="0" w:space="0" w:color="auto"/>
            <w:bottom w:val="none" w:sz="0" w:space="0" w:color="auto"/>
            <w:right w:val="none" w:sz="0" w:space="0" w:color="auto"/>
          </w:divBdr>
        </w:div>
        <w:div w:id="1804273835">
          <w:marLeft w:val="0"/>
          <w:marRight w:val="0"/>
          <w:marTop w:val="0"/>
          <w:marBottom w:val="0"/>
          <w:divBdr>
            <w:top w:val="none" w:sz="0" w:space="0" w:color="auto"/>
            <w:left w:val="none" w:sz="0" w:space="0" w:color="auto"/>
            <w:bottom w:val="none" w:sz="0" w:space="0" w:color="auto"/>
            <w:right w:val="none" w:sz="0" w:space="0" w:color="auto"/>
          </w:divBdr>
        </w:div>
        <w:div w:id="599490172">
          <w:marLeft w:val="0"/>
          <w:marRight w:val="0"/>
          <w:marTop w:val="0"/>
          <w:marBottom w:val="600"/>
          <w:divBdr>
            <w:top w:val="none" w:sz="0" w:space="0" w:color="auto"/>
            <w:left w:val="none" w:sz="0" w:space="0" w:color="auto"/>
            <w:bottom w:val="none" w:sz="0" w:space="0" w:color="auto"/>
            <w:right w:val="none" w:sz="0" w:space="0" w:color="auto"/>
          </w:divBdr>
        </w:div>
      </w:divsChild>
    </w:div>
    <w:div w:id="2035379675">
      <w:marLeft w:val="0"/>
      <w:marRight w:val="0"/>
      <w:marTop w:val="0"/>
      <w:marBottom w:val="0"/>
      <w:divBdr>
        <w:top w:val="none" w:sz="0" w:space="0" w:color="auto"/>
        <w:left w:val="none" w:sz="0" w:space="0" w:color="auto"/>
        <w:bottom w:val="none" w:sz="0" w:space="0" w:color="auto"/>
        <w:right w:val="none" w:sz="0" w:space="0" w:color="auto"/>
      </w:divBdr>
      <w:divsChild>
        <w:div w:id="1742219678">
          <w:marLeft w:val="0"/>
          <w:marRight w:val="0"/>
          <w:marTop w:val="547"/>
          <w:marBottom w:val="0"/>
          <w:divBdr>
            <w:top w:val="none" w:sz="0" w:space="0" w:color="auto"/>
            <w:left w:val="none" w:sz="0" w:space="0" w:color="auto"/>
            <w:bottom w:val="none" w:sz="0" w:space="0" w:color="auto"/>
            <w:right w:val="none" w:sz="0" w:space="0" w:color="auto"/>
          </w:divBdr>
        </w:div>
        <w:div w:id="1038120173">
          <w:marLeft w:val="0"/>
          <w:marRight w:val="0"/>
          <w:marTop w:val="0"/>
          <w:marBottom w:val="0"/>
          <w:divBdr>
            <w:top w:val="none" w:sz="0" w:space="0" w:color="auto"/>
            <w:left w:val="none" w:sz="0" w:space="0" w:color="auto"/>
            <w:bottom w:val="none" w:sz="0" w:space="0" w:color="auto"/>
            <w:right w:val="none" w:sz="0" w:space="0" w:color="auto"/>
          </w:divBdr>
        </w:div>
        <w:div w:id="1700425722">
          <w:marLeft w:val="0"/>
          <w:marRight w:val="0"/>
          <w:marTop w:val="0"/>
          <w:marBottom w:val="600"/>
          <w:divBdr>
            <w:top w:val="none" w:sz="0" w:space="0" w:color="auto"/>
            <w:left w:val="none" w:sz="0" w:space="0" w:color="auto"/>
            <w:bottom w:val="none" w:sz="0" w:space="0" w:color="auto"/>
            <w:right w:val="none" w:sz="0" w:space="0" w:color="auto"/>
          </w:divBdr>
        </w:div>
      </w:divsChild>
    </w:div>
    <w:div w:id="2063750234">
      <w:marLeft w:val="0"/>
      <w:marRight w:val="0"/>
      <w:marTop w:val="0"/>
      <w:marBottom w:val="0"/>
      <w:divBdr>
        <w:top w:val="none" w:sz="0" w:space="0" w:color="auto"/>
        <w:left w:val="none" w:sz="0" w:space="0" w:color="auto"/>
        <w:bottom w:val="none" w:sz="0" w:space="0" w:color="auto"/>
        <w:right w:val="none" w:sz="0" w:space="0" w:color="auto"/>
      </w:divBdr>
      <w:divsChild>
        <w:div w:id="1327783125">
          <w:marLeft w:val="0"/>
          <w:marRight w:val="0"/>
          <w:marTop w:val="547"/>
          <w:marBottom w:val="0"/>
          <w:divBdr>
            <w:top w:val="none" w:sz="0" w:space="0" w:color="auto"/>
            <w:left w:val="none" w:sz="0" w:space="0" w:color="auto"/>
            <w:bottom w:val="none" w:sz="0" w:space="0" w:color="auto"/>
            <w:right w:val="none" w:sz="0" w:space="0" w:color="auto"/>
          </w:divBdr>
        </w:div>
        <w:div w:id="2119718300">
          <w:marLeft w:val="0"/>
          <w:marRight w:val="0"/>
          <w:marTop w:val="0"/>
          <w:marBottom w:val="0"/>
          <w:divBdr>
            <w:top w:val="none" w:sz="0" w:space="0" w:color="auto"/>
            <w:left w:val="none" w:sz="0" w:space="0" w:color="auto"/>
            <w:bottom w:val="none" w:sz="0" w:space="0" w:color="auto"/>
            <w:right w:val="none" w:sz="0" w:space="0" w:color="auto"/>
          </w:divBdr>
        </w:div>
        <w:div w:id="1935167270">
          <w:marLeft w:val="0"/>
          <w:marRight w:val="0"/>
          <w:marTop w:val="0"/>
          <w:marBottom w:val="600"/>
          <w:divBdr>
            <w:top w:val="none" w:sz="0" w:space="0" w:color="auto"/>
            <w:left w:val="none" w:sz="0" w:space="0" w:color="auto"/>
            <w:bottom w:val="none" w:sz="0" w:space="0" w:color="auto"/>
            <w:right w:val="none" w:sz="0" w:space="0" w:color="auto"/>
          </w:divBdr>
        </w:div>
      </w:divsChild>
    </w:div>
    <w:div w:id="2139445825">
      <w:marLeft w:val="0"/>
      <w:marRight w:val="0"/>
      <w:marTop w:val="0"/>
      <w:marBottom w:val="0"/>
      <w:divBdr>
        <w:top w:val="none" w:sz="0" w:space="0" w:color="auto"/>
        <w:left w:val="none" w:sz="0" w:space="0" w:color="auto"/>
        <w:bottom w:val="none" w:sz="0" w:space="0" w:color="auto"/>
        <w:right w:val="none" w:sz="0" w:space="0" w:color="auto"/>
      </w:divBdr>
      <w:divsChild>
        <w:div w:id="1184780030">
          <w:marLeft w:val="0"/>
          <w:marRight w:val="0"/>
          <w:marTop w:val="547"/>
          <w:marBottom w:val="0"/>
          <w:divBdr>
            <w:top w:val="none" w:sz="0" w:space="0" w:color="auto"/>
            <w:left w:val="none" w:sz="0" w:space="0" w:color="auto"/>
            <w:bottom w:val="none" w:sz="0" w:space="0" w:color="auto"/>
            <w:right w:val="none" w:sz="0" w:space="0" w:color="auto"/>
          </w:divBdr>
        </w:div>
        <w:div w:id="2145460459">
          <w:marLeft w:val="0"/>
          <w:marRight w:val="0"/>
          <w:marTop w:val="0"/>
          <w:marBottom w:val="0"/>
          <w:divBdr>
            <w:top w:val="none" w:sz="0" w:space="0" w:color="auto"/>
            <w:left w:val="none" w:sz="0" w:space="0" w:color="auto"/>
            <w:bottom w:val="none" w:sz="0" w:space="0" w:color="auto"/>
            <w:right w:val="none" w:sz="0" w:space="0" w:color="auto"/>
          </w:divBdr>
        </w:div>
        <w:div w:id="1463226556">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bph-20220331xex32.htm" TargetMode="External"/><Relationship Id="rId5" Type="http://schemas.openxmlformats.org/officeDocument/2006/relationships/hyperlink" Target="tbph-20220331xex31d2.htm" TargetMode="External"/><Relationship Id="rId4" Type="http://schemas.openxmlformats.org/officeDocument/2006/relationships/hyperlink" Target="tbph-20220331xex31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46991</Words>
  <Characters>267853</Characters>
  <Application>Microsoft Office Word</Application>
  <DocSecurity>0</DocSecurity>
  <Lines>2232</Lines>
  <Paragraphs>628</Paragraphs>
  <ScaleCrop>false</ScaleCrop>
  <Company/>
  <LinksUpToDate>false</LinksUpToDate>
  <CharactersWithSpaces>314216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dc:title>
  <dc:subject/>
  <dc:creator>Chongjian.Yue</dc:creator>
  <cp:keywords/>
  <dc:description/>
  <cp:lastModifiedBy>Yue Chongjian</cp:lastModifiedBy>
  <cp:revision>1</cp:revision>
  <dcterms:created xsi:type="dcterms:W3CDTF">2024-01-04T16:16:00Z</dcterms:created>
  <dcterms:modified xsi:type="dcterms:W3CDTF">2024-01-04T16:16:00Z</dcterms:modified>
</cp:coreProperties>
</file>