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270CC">
      <w:pPr>
        <w:divId w:val="1544749386"/>
        <w:rPr>
          <w:rFonts w:eastAsia="Times New Roman"/>
          <w:vanish/>
        </w:rPr>
      </w:pPr>
      <w:r>
        <w:rPr>
          <w:rFonts w:eastAsia="Times New Roman"/>
          <w:vanish/>
        </w:rPr>
        <w:t>UGI CORP /PA/0000884614FALSE2020Q39/30us-gaap:AccountingStandardsUpdate201409MemberP1Yus-gaap:OtherAssetsus-gaap:PropertyPlantAndEquipmentNetus-gaap:OtherLiabilitiesCurrentus-gaap:OtherLiabilitiesNoncurrent</w:t>
      </w:r>
      <w:r>
        <w:rPr>
          <w:rFonts w:eastAsia="Times New Roman"/>
          <w:vanish/>
        </w:rPr>
        <w:t>us-gaap:LongTermDebtAndCapitalLeaseObligationsCurrentus-gaap:FinanceLeaseLiabilityNoncurrent00008846142019-10-012020-06-30xbrli:shares00008846142020-07-31iso4217:USD00008846142020-06-3000008846142019-09-3000008846142019-06-3000008846142020-04-012020-06-300</w:t>
      </w:r>
      <w:r>
        <w:rPr>
          <w:rFonts w:eastAsia="Times New Roman"/>
          <w:vanish/>
        </w:rPr>
        <w:t>0008846142019-04-012019-06-3000008846142018-10-012019-06-30iso4217:USDxbrli:shares00008846142018-09-300000884614us-gaap:CommonStockIncludingAdditionalPaidInCapitalMember2020-03-310000884614us-gaap:CommonStockIncludingAdditionalPaidInCapitalMember2019-03-31</w:t>
      </w:r>
      <w:r>
        <w:rPr>
          <w:rFonts w:eastAsia="Times New Roman"/>
          <w:vanish/>
        </w:rPr>
        <w:t>0000884614us-gaap:CommonStockIncludingAdditionalPaidInCapitalMember2019-09-300000884614us-gaap:CommonStockIncludingAdditionalPaidInCapitalMember2018-09-300000884614us-gaap:CommonStockIncludingAdditionalPaidInCapitalMember2019-04-012019-06-300000884614us-ga</w:t>
      </w:r>
      <w:r>
        <w:rPr>
          <w:rFonts w:eastAsia="Times New Roman"/>
          <w:vanish/>
        </w:rPr>
        <w:t>ap:CommonStockIncludingAdditionalPaidInCapitalMember2019-10-012020-06-300000884614us-gaap:CommonStockIncludingAdditionalPaidInCapitalMember2018-10-012019-06-300000884614us-gaap:CommonStockIncludingAdditionalPaidInCapitalMember2020-04-012020-06-300000884614</w:t>
      </w:r>
      <w:r>
        <w:rPr>
          <w:rFonts w:eastAsia="Times New Roman"/>
          <w:vanish/>
        </w:rPr>
        <w:t>us-gaap:CommonStockIncludingAdditionalPaidInCapitalMember2020-06-300000884614us-gaap:CommonStockIncludingAdditionalPaidInCapitalMember2019-06-300000884614us-gaap:RetainedEarningsMember2020-03-310000884614us-gaap:RetainedEarningsMember2019-03-310000884614us</w:t>
      </w:r>
      <w:r>
        <w:rPr>
          <w:rFonts w:eastAsia="Times New Roman"/>
          <w:vanish/>
        </w:rPr>
        <w:t>-gaap:RetainedEarningsMember2019-09-300000884614us-gaap:RetainedEarningsMember2018-09-300000884614us-gaap:RetainedEarningsMembersrt:RevisionOfPriorPeriodAccountingStandardsUpdateAdjustmentMember2018-09-300000884614us-gaap:RetainedEarningsMember2018-10-0120</w:t>
      </w:r>
      <w:r>
        <w:rPr>
          <w:rFonts w:eastAsia="Times New Roman"/>
          <w:vanish/>
        </w:rPr>
        <w:t>19-06-300000884614us-gaap:RetainedEarningsMember2020-04-012020-06-300000884614us-gaap:RetainedEarningsMember2019-04-012019-06-300000884614us-gaap:RetainedEarningsMember2019-10-012020-06-300000884614us-gaap:RetainedEarningsMember2020-06-300000884614us-gaap:</w:t>
      </w:r>
      <w:r>
        <w:rPr>
          <w:rFonts w:eastAsia="Times New Roman"/>
          <w:vanish/>
        </w:rPr>
        <w:t>RetainedEarningsMember2019-06-300000884614us-gaap:AociIncludingPortionAttributableToNoncontrollingInterestMember2020-03-310000884614us-gaap:AociIncludingPortionAttributableToNoncontrollingInterestMember2019-03-310000884614us-gaap:AociIncludingPortionAttrib</w:t>
      </w:r>
      <w:r>
        <w:rPr>
          <w:rFonts w:eastAsia="Times New Roman"/>
          <w:vanish/>
        </w:rPr>
        <w:t>utableToNoncontrollingInterestMember2019-09-300000884614us-gaap:AociIncludingPortionAttributableToNoncontrollingInterestMember2018-09-300000884614us-gaap:AociIncludingPortionAttributableToNoncontrollingInterestMember2018-10-012019-06-300000884614us-gaap:Ao</w:t>
      </w:r>
      <w:r>
        <w:rPr>
          <w:rFonts w:eastAsia="Times New Roman"/>
          <w:vanish/>
        </w:rPr>
        <w:t>ciIncludingPortionAttributableToNoncontrollingInterestMember2020-04-012020-06-300000884614us-gaap:AociIncludingPortionAttributableToNoncontrollingInterestMember2019-04-012019-06-300000884614us-gaap:AociIncludingPortionAttributableToNoncontrollingInterestMe</w:t>
      </w:r>
      <w:r>
        <w:rPr>
          <w:rFonts w:eastAsia="Times New Roman"/>
          <w:vanish/>
        </w:rPr>
        <w:t>mber2019-10-012020-06-300000884614us-gaap:AociIncludingPortionAttributableToNoncontrollingInterestMember2020-06-300000884614us-gaap:AociIncludingPortionAttributableToNoncontrollingInterestMember2019-06-300000884614us-gaap:TreasuryStockMember2020-03-3100008</w:t>
      </w:r>
      <w:r>
        <w:rPr>
          <w:rFonts w:eastAsia="Times New Roman"/>
          <w:vanish/>
        </w:rPr>
        <w:t>84614us-gaap:TreasuryStockMember2019-03-310000884614us-gaap:TreasuryStockMember2019-09-300000884614us-gaap:TreasuryStockMember2018-09-300000884614us-gaap:TreasuryStockMember2020-04-012020-06-300000884614us-gaap:TreasuryStockMember2019-04-012019-06-30000088</w:t>
      </w:r>
      <w:r>
        <w:rPr>
          <w:rFonts w:eastAsia="Times New Roman"/>
          <w:vanish/>
        </w:rPr>
        <w:t>4614us-gaap:TreasuryStockMember2019-10-012020-06-300000884614us-gaap:TreasuryStockMember2018-10-012019-06-300000884614us-gaap:TreasuryStockMember2020-06-300000884614us-gaap:TreasuryStockMember2019-06-300000884614us-gaap:ParentMember2020-06-300000884614us-g</w:t>
      </w:r>
      <w:r>
        <w:rPr>
          <w:rFonts w:eastAsia="Times New Roman"/>
          <w:vanish/>
        </w:rPr>
        <w:t>aap:ParentMember2019-06-300000884614us-gaap:NoncontrollingInterestMember2020-03-310000884614us-gaap:NoncontrollingInterestMember2019-03-310000884614us-gaap:NoncontrollingInterestMember2019-09-300000884614us-gaap:NoncontrollingInterestMember2018-09-30000088</w:t>
      </w:r>
      <w:r>
        <w:rPr>
          <w:rFonts w:eastAsia="Times New Roman"/>
          <w:vanish/>
        </w:rPr>
        <w:t>4614us-gaap:NoncontrollingInterestMember2020-04-012020-06-300000884614us-gaap:NoncontrollingInterestMember2019-04-012019-06-300000884614us-gaap:NoncontrollingInterestMember2019-10-012020-06-300000884614us-gaap:NoncontrollingInterestMember2018-10-012019-06-</w:t>
      </w:r>
      <w:r>
        <w:rPr>
          <w:rFonts w:eastAsia="Times New Roman"/>
          <w:vanish/>
        </w:rPr>
        <w:t>300000884614us-gaap:NoncontrollingInterestMember2020-06-300000884614us-gaap:NoncontrollingInterestMember2019-06-3000008846142017-10-012018-09-300000884614ugi:MergerSubMemberus-gaap:CommonStockMember2019-08-212019-08-210000884614ugi:MergerSubMember2019-08-2</w:t>
      </w:r>
      <w:r>
        <w:rPr>
          <w:rFonts w:eastAsia="Times New Roman"/>
          <w:vanish/>
        </w:rPr>
        <w:t>12019-08-21xbrli:pure0000884614ugi:AmerigasPropaneMemberugi:AmeriGasPartnersL.P.Member2019-08-202019-08-200000884614ugi:AmerigasPropaneMemberugi:AmeriGasOLPMember2019-08-20ugi:county0000884614us-gaap:AccountingStandardsUpdate201602Member2019-10-01000088461</w:t>
      </w:r>
      <w:r>
        <w:rPr>
          <w:rFonts w:eastAsia="Times New Roman"/>
          <w:vanish/>
        </w:rPr>
        <w:t>42019-10-010000884614ugi:EnbridgeIncMembersrt:AffiliatedEntityMemberugi:PennEastPipelineCompanyLLCMember2020-06-300000884614ugi:UGIPennEastLLCMembersrt:AffiliatedEntityMemberugi:PennEastPipelineCompanyLLCMember2020-06-300000884614srt:AffiliatedEntityMember</w:t>
      </w:r>
      <w:r>
        <w:rPr>
          <w:rFonts w:eastAsia="Times New Roman"/>
          <w:vanish/>
        </w:rPr>
        <w:t>ugi:SouthernCompanyMemberugi:PennEastPipelineCompanyLLCMember2020-06-300000884614ugi:NewJerseyResourcesMembersrt:AffiliatedEntityMemberugi:PennEastPipelineCompanyLLCMember2020-06-300000884614srt:AffiliatedEntityMemberugi:SouthJerseyIndustriesMemberugi:Penn</w:t>
      </w:r>
      <w:r>
        <w:rPr>
          <w:rFonts w:eastAsia="Times New Roman"/>
          <w:vanish/>
        </w:rPr>
        <w:t>EastPipelineCompanyLLCMember2020-06-300000884614ugi:MergerSubMemberus-gaap:CommonStockMember2019-08-012019-08-310000884614us-gaap:SubsequentEventMemberus-gaap:JointlyOwnedElectricityGenerationPlantMember2020-07-21utr:MW0000884614us-gaap:SubsequentEventMemb</w:t>
      </w:r>
      <w:r>
        <w:rPr>
          <w:rFonts w:eastAsia="Times New Roman"/>
          <w:vanish/>
        </w:rPr>
        <w:t>erus-gaap:JointlyOwnedElectricityGenerationPlantMember2020-07-212020-07-210000884614ugi:ResidentialMember2020-04-012020-06-300000884614us-gaap:IntersegmentEliminationMemberugi:ResidentialMember2020-04-012020-06-300000884614us-gaap:OperatingSegmentsMemberug</w:t>
      </w:r>
      <w:r>
        <w:rPr>
          <w:rFonts w:eastAsia="Times New Roman"/>
          <w:vanish/>
        </w:rPr>
        <w:t>i:AmerigasPropaneMemberugi:ResidentialMember2020-04-012020-06-300000884614us-gaap:OperatingSegmentsMemberugi:ResidentialMemberugi:UGIInternationalMember2020-04-012020-06-300000884614us-gaap:OperatingSegmentsMemberugi:MidstreamAndMarketingMemberugi:Resident</w:t>
      </w:r>
      <w:r>
        <w:rPr>
          <w:rFonts w:eastAsia="Times New Roman"/>
          <w:vanish/>
        </w:rPr>
        <w:t>ialMember2020-04-012020-06-300000884614us-gaap:OperatingSegmentsMemberugi:UgiUtilitiesMemberugi:ResidentialMember2020-04-012020-06-300000884614us-gaap:CorporateNonSegmentMemberugi:ResidentialMember2020-04-012020-06-300000884614ugi:CommercialandIndustrialMe</w:t>
      </w:r>
      <w:r>
        <w:rPr>
          <w:rFonts w:eastAsia="Times New Roman"/>
          <w:vanish/>
        </w:rPr>
        <w:t>mber2020-04-012020-06-300000884614us-gaap:IntersegmentEliminationMemberugi:CommercialandIndustrialMember2020-04-012020-06-300000884614us-gaap:OperatingSegmentsMemberugi:AmerigasPropaneMemberugi:CommercialandIndustrialMember2020-04-012020-06-300000884614us-</w:t>
      </w:r>
      <w:r>
        <w:rPr>
          <w:rFonts w:eastAsia="Times New Roman"/>
          <w:vanish/>
        </w:rPr>
        <w:t>gaap:OperatingSegmentsMemberugi:CommercialandIndustrialMemberugi:UGIInternationalMember2020-04-012020-06-300000884614us-gaap:OperatingSegmentsMemberugi:MidstreamAndMarketingMemberugi:CommercialandIndustrialMember2020-04-012020-06-300000884614us-gaap:Operat</w:t>
      </w:r>
      <w:r>
        <w:rPr>
          <w:rFonts w:eastAsia="Times New Roman"/>
          <w:vanish/>
        </w:rPr>
        <w:t>ingSegmentsMemberugi:UgiUtilitiesMemberugi:CommercialandIndustrialMember2020-04-012020-06-300000884614us-gaap:CorporateNonSegmentMemberugi:CommercialandIndustrialMember2020-04-012020-06-300000884614ugi:LargeDeliveryServiceMember2020-04-012020-06-3000008846</w:t>
      </w:r>
      <w:r>
        <w:rPr>
          <w:rFonts w:eastAsia="Times New Roman"/>
          <w:vanish/>
        </w:rPr>
        <w:t>14ugi:LargeDeliveryServiceMemberus-gaap:IntersegmentEliminationMember2020-04-012020-06-300000884614us-gaap:OperatingSegmentsMemberugi:LargeDeliveryServiceMemberugi:AmerigasPropaneMember2020-04-012020-06-300000884614us-gaap:OperatingSegmentsMemberugi:LargeD</w:t>
      </w:r>
      <w:r>
        <w:rPr>
          <w:rFonts w:eastAsia="Times New Roman"/>
          <w:vanish/>
        </w:rPr>
        <w:t>eliveryServiceMemberugi:UGIInternationalMember2020-04-012020-06-300000884614us-gaap:OperatingSegmentsMemberugi:LargeDeliveryServiceMemberugi:MidstreamAndMarketingMember2020-04-012020-06-300000884614us-gaap:OperatingSegmentsMemberugi:LargeDeliveryServiceMem</w:t>
      </w:r>
      <w:r>
        <w:rPr>
          <w:rFonts w:eastAsia="Times New Roman"/>
          <w:vanish/>
        </w:rPr>
        <w:t>berugi:UgiUtilitiesMember2020-04-012020-06-300000884614ugi:LargeDeliveryServiceMemberus-gaap:CorporateNonSegmentMember2020-04-012020-06-300000884614ugi:OffSystemSalesandCapacityReleasesMember2020-04-012020-06-300000884614ugi:OffSystemSalesandCapacityReleas</w:t>
      </w:r>
      <w:r>
        <w:rPr>
          <w:rFonts w:eastAsia="Times New Roman"/>
          <w:vanish/>
        </w:rPr>
        <w:t>esMemberus-gaap:IntersegmentEliminationMember2020-04-012020-06-300000884614us-gaap:OperatingSegmentsMemberugi:OffSystemSalesandCapacityReleasesMemberugi:AmerigasPropaneMember2020-04-012020-06-300000884614us-gaap:OperatingSegmentsMemberugi:OffSystemSalesand</w:t>
      </w:r>
      <w:r>
        <w:rPr>
          <w:rFonts w:eastAsia="Times New Roman"/>
          <w:vanish/>
        </w:rPr>
        <w:t>CapacityReleasesMemberugi:UGIInternationalMember2020-04-012020-06-300000884614us-gaap:OperatingSegmentsMemberugi:OffSystemSalesandCapacityReleasesMemberugi:MidstreamAndMarketingMember2020-04-012020-06-300000884614us-gaap:OperatingSegmentsMemberugi:OffSyste</w:t>
      </w:r>
      <w:r>
        <w:rPr>
          <w:rFonts w:eastAsia="Times New Roman"/>
          <w:vanish/>
        </w:rPr>
        <w:t>mSalesandCapacityReleasesMemberugi:UgiUtilitiesMember2020-04-012020-06-300000884614ugi:OffSystemSalesandCapacityReleasesMemberus-gaap:CorporateNonSegmentMember2020-04-012020-06-300000884614ugi:UtilityOtherMember2020-04-012020-06-300000884614ugi:UtilityOthe</w:t>
      </w:r>
      <w:r>
        <w:rPr>
          <w:rFonts w:eastAsia="Times New Roman"/>
          <w:vanish/>
        </w:rPr>
        <w:t>rMemberus-gaap:IntersegmentEliminationMember2020-04-012020-06-300000884614us-gaap:OperatingSegmentsMemberugi:UtilityOtherMemberugi:AmerigasPropaneMember2020-04-012020-06-300000884614us-gaap:OperatingSegmentsMemberugi:UtilityOtherMemberugi:UGIInternationalM</w:t>
      </w:r>
      <w:r>
        <w:rPr>
          <w:rFonts w:eastAsia="Times New Roman"/>
          <w:vanish/>
        </w:rPr>
        <w:t>ember2020-04-012020-06-300000884614us-gaap:OperatingSegmentsMemberugi:UtilityOtherMemberugi:MidstreamAndMarketingMember2020-04-012020-06-300000884614us-gaap:OperatingSegmentsMemberugi:UtilityOtherMemberugi:UgiUtilitiesMember2020-04-012020-06-300000884614ug</w:t>
      </w:r>
      <w:r>
        <w:rPr>
          <w:rFonts w:eastAsia="Times New Roman"/>
          <w:vanish/>
        </w:rPr>
        <w:t>i:UtilityOtherMemberus-gaap:CorporateNonSegmentMember2020-04-012020-06-300000884614ugi:UtilityMember2020-04-012020-06-300000884614us-gaap:IntersegmentEliminationMemberugi:UtilityMember2020-04-012020-06-300000884614us-gaap:OperatingSegmentsMemberugi:Ameriga</w:t>
      </w:r>
      <w:r>
        <w:rPr>
          <w:rFonts w:eastAsia="Times New Roman"/>
          <w:vanish/>
        </w:rPr>
        <w:t>sPropaneMemberugi:UtilityMember2020-04-012020-06-300000884614us-gaap:OperatingSegmentsMemberugi:UtilityMemberugi:UGIInternationalMember2020-04-012020-06-300000884614us-gaap:OperatingSegmentsMemberugi:UtilityMemberugi:MidstreamAndMarketingMember2020-04-0120</w:t>
      </w:r>
      <w:r>
        <w:rPr>
          <w:rFonts w:eastAsia="Times New Roman"/>
          <w:vanish/>
        </w:rPr>
        <w:t>20-06-300000884614us-gaap:OperatingSegmentsMemberugi:UgiUtilitiesMemberugi:UtilityMember2020-04-012020-06-300000884614us-gaap:CorporateNonSegmentMemberugi:UtilityMember2020-04-012020-06-300000884614us-gaap:RetailMember2020-04-012020-06-300000884614us-gaap:</w:t>
      </w:r>
      <w:r>
        <w:rPr>
          <w:rFonts w:eastAsia="Times New Roman"/>
          <w:vanish/>
        </w:rPr>
        <w:t>IntersegmentEliminationMemberus-gaap:RetailMember2020-04-012020-06-300000884614us-gaap:OperatingSegmentsMemberus-gaap:RetailMemberugi:AmerigasPropaneMember2020-04-012020-06-300000884614us-gaap:OperatingSegmentsMemberus-gaap:RetailMemberugi:UGIInternational</w:t>
      </w:r>
      <w:r>
        <w:rPr>
          <w:rFonts w:eastAsia="Times New Roman"/>
          <w:vanish/>
        </w:rPr>
        <w:t>Member2020-04-012020-06-300000884614us-gaap:OperatingSegmentsMemberus-gaap:RetailMemberugi:MidstreamAndMarketingMember2020-04-012020-06-300000884614us-gaap:OperatingSegmentsMemberugi:UgiUtilitiesMemberus-gaap:RetailMember2020-04-012020-06-300000884614us-ga</w:t>
      </w:r>
      <w:r>
        <w:rPr>
          <w:rFonts w:eastAsia="Times New Roman"/>
          <w:vanish/>
        </w:rPr>
        <w:t>ap:RetailMemberus-gaap:CorporateNonSegmentMember2020-04-012020-06-300000884614ugi:WholesaleMember2020-04-012020-06-300000884614us-gaap:IntersegmentEliminationMemberugi:WholesaleMember2020-04-012020-06-300000884614us-gaap:OperatingSegmentsMemberugi:Amerigas</w:t>
      </w:r>
      <w:r>
        <w:rPr>
          <w:rFonts w:eastAsia="Times New Roman"/>
          <w:vanish/>
        </w:rPr>
        <w:t>PropaneMemberugi:WholesaleMember2020-04-012020-06-300000884614us-gaap:OperatingSegmentsMemberugi:WholesaleMemberugi:UGIInternationalMember2020-04-012020-06-300000884614us-gaap:OperatingSegmentsMemberugi:WholesaleMemberugi:MidstreamAndMarketingMember2020-04</w:t>
      </w:r>
      <w:r>
        <w:rPr>
          <w:rFonts w:eastAsia="Times New Roman"/>
          <w:vanish/>
        </w:rPr>
        <w:t>-012020-06-300000884614us-gaap:OperatingSegmentsMemberugi:UgiUtilitiesMemberugi:WholesaleMember2020-04-012020-06-300000884614ugi:WholesaleMemberus-gaap:CorporateNonSegmentMember2020-04-012020-06-300000884614ugi:EnergyMarketingMember2020-04-012020-06-300000</w:t>
      </w:r>
      <w:r>
        <w:rPr>
          <w:rFonts w:eastAsia="Times New Roman"/>
          <w:vanish/>
        </w:rPr>
        <w:t>884614us-gaap:IntersegmentEliminationMemberugi:EnergyMarketingMember2020-04-012020-06-300000884614us-gaap:OperatingSegmentsMemberugi:AmerigasPropaneMemberugi:EnergyMarketingMember2020-04-012020-06-300000884614us-gaap:OperatingSegmentsMemberugi:EnergyMarket</w:t>
      </w:r>
      <w:r>
        <w:rPr>
          <w:rFonts w:eastAsia="Times New Roman"/>
          <w:vanish/>
        </w:rPr>
        <w:t>ingMemberugi:UGIInternationalMember2020-04-012020-06-300000884614us-gaap:OperatingSegmentsMemberugi:MidstreamAndMarketingMemberugi:EnergyMarketingMember2020-04-012020-06-300000884614us-gaap:OperatingSegmentsMemberugi:UgiUtilitiesMemberugi:EnergyMarketingMe</w:t>
      </w:r>
      <w:r>
        <w:rPr>
          <w:rFonts w:eastAsia="Times New Roman"/>
          <w:vanish/>
        </w:rPr>
        <w:t>mber2020-04-012020-06-300000884614us-gaap:CorporateNonSegmentMemberugi:EnergyMarketingMember2020-04-012020-06-300000884614ugi:PipelineMember2020-04-012020-06-300000884614us-gaap:IntersegmentEliminationMemberugi:PipelineMember2020-04-012020-06-300000884614u</w:t>
      </w:r>
      <w:r>
        <w:rPr>
          <w:rFonts w:eastAsia="Times New Roman"/>
          <w:vanish/>
        </w:rPr>
        <w:t>s-gaap:OperatingSegmentsMemberugi:PipelineMemberugi:AmerigasPropaneMember2020-04-012020-06-300000884614us-gaap:OperatingSegmentsMemberugi:PipelineMemberugi:UGIInternationalMember2020-04-012020-06-300000884614us-gaap:OperatingSegmentsMemberugi:PipelineMembe</w:t>
      </w:r>
      <w:r>
        <w:rPr>
          <w:rFonts w:eastAsia="Times New Roman"/>
          <w:vanish/>
        </w:rPr>
        <w:t>rugi:MidstreamAndMarketingMember2020-04-012020-06-300000884614us-gaap:OperatingSegmentsMemberugi:UgiUtilitiesMemberugi:PipelineMember2020-04-012020-06-300000884614ugi:PipelineMemberus-gaap:CorporateNonSegmentMember2020-04-012020-06-300000884614ugi:PeakingM</w:t>
      </w:r>
      <w:r>
        <w:rPr>
          <w:rFonts w:eastAsia="Times New Roman"/>
          <w:vanish/>
        </w:rPr>
        <w:t>ember2020-04-012020-06-300000884614us-gaap:IntersegmentEliminationMemberugi:PeakingMember2020-04-012020-06-300000884614us-gaap:OperatingSegmentsMemberugi:AmerigasPropaneMemberugi:PeakingMember2020-04-012020-06-300000884614us-gaap:OperatingSegmentsMemberugi</w:t>
      </w:r>
      <w:r>
        <w:rPr>
          <w:rFonts w:eastAsia="Times New Roman"/>
          <w:vanish/>
        </w:rPr>
        <w:t>:PeakingMemberugi:UGIInternationalMember2020-04-012020-06-300000884614us-gaap:OperatingSegmentsMemberugi:MidstreamAndMarketingMemberugi:PeakingMember2020-04-012020-06-300000884614us-gaap:OperatingSegmentsMemberugi:UgiUtilitiesMemberugi:PeakingMember2020-04</w:t>
      </w:r>
      <w:r>
        <w:rPr>
          <w:rFonts w:eastAsia="Times New Roman"/>
          <w:vanish/>
        </w:rPr>
        <w:t>-012020-06-300000884614us-gaap:CorporateNonSegmentMemberugi:PeakingMember2020-04-012020-06-300000884614ugi:MidstreamOtherMember2020-04-012020-06-300000884614us-gaap:IntersegmentEliminationMemberugi:MidstreamOtherMember2020-04-012020-06-300000884614us-gaap:</w:t>
      </w:r>
      <w:r>
        <w:rPr>
          <w:rFonts w:eastAsia="Times New Roman"/>
          <w:vanish/>
        </w:rPr>
        <w:t>OperatingSegmentsMemberugi:AmerigasPropaneMemberugi:MidstreamOtherMember2020-04-012020-06-300000884614us-gaap:OperatingSegmentsMemberugi:MidstreamOtherMemberugi:UGIInternationalMember2020-04-012020-06-300000884614us-gaap:OperatingSegmentsMemberugi:Midstrea</w:t>
      </w:r>
      <w:r>
        <w:rPr>
          <w:rFonts w:eastAsia="Times New Roman"/>
          <w:vanish/>
        </w:rPr>
        <w:t>mOtherMemberugi:MidstreamAndMarketingMember2020-04-012020-06-300000884614us-gaap:OperatingSegmentsMemberugi:UgiUtilitiesMemberugi:MidstreamOtherMember2020-04-012020-06-300000884614ugi:MidstreamOtherMemberus-gaap:CorporateNonSegmentMember2020-04-012020-06-3</w:t>
      </w:r>
      <w:r>
        <w:rPr>
          <w:rFonts w:eastAsia="Times New Roman"/>
          <w:vanish/>
        </w:rPr>
        <w:t>00000884614us-gaap:ElectricityGenerationMember2020-04-012020-06-300000884614us-gaap:IntersegmentEliminationMemberus-gaap:ElectricityGenerationMember2020-04-012020-06-300000884614us-gaap:OperatingSegmentsMemberugi:AmerigasPropaneMemberus-gaap:ElectricityGen</w:t>
      </w:r>
      <w:r>
        <w:rPr>
          <w:rFonts w:eastAsia="Times New Roman"/>
          <w:vanish/>
        </w:rPr>
        <w:t>erationMember2020-04-012020-06-300000884614us-gaap:OperatingSegmentsMemberugi:UGIInternationalMemberus-gaap:ElectricityGenerationMember2020-04-012020-06-300000884614us-gaap:OperatingSegmentsMemberugi:MidstreamAndMarketingMemberus-gaap:ElectricityGeneration</w:t>
      </w:r>
      <w:r>
        <w:rPr>
          <w:rFonts w:eastAsia="Times New Roman"/>
          <w:vanish/>
        </w:rPr>
        <w:t>Member2020-04-012020-06-300000884614us-gaap:OperatingSegmentsMemberugi:UgiUtilitiesMemberus-gaap:ElectricityGenerationMember2020-04-012020-06-300000884614us-gaap:CorporateNonSegmentMemberus-gaap:ElectricityGenerationMember2020-04-012020-06-300000884614ugi:</w:t>
      </w:r>
      <w:r>
        <w:rPr>
          <w:rFonts w:eastAsia="Times New Roman"/>
          <w:vanish/>
        </w:rPr>
        <w:t>NonutilityOtherMember2020-04-012020-06-300000884614us-gaap:IntersegmentEliminationMemberugi:NonutilityOtherMember2020-04-012020-06-300000884614us-gaap:OperatingSegmentsMemberugi:AmerigasPropaneMemberugi:NonutilityOtherMember2020-04-012020-06-300000884614us</w:t>
      </w:r>
      <w:r>
        <w:rPr>
          <w:rFonts w:eastAsia="Times New Roman"/>
          <w:vanish/>
        </w:rPr>
        <w:t>-gaap:OperatingSegmentsMemberugi:NonutilityOtherMemberugi:UGIInternationalMember2020-04-012020-06-300000884614us-gaap:OperatingSegmentsMemberugi:MidstreamAndMarketingMemberugi:NonutilityOtherMember2020-04-012020-06-300000884614us-gaap:OperatingSegmentsMemb</w:t>
      </w:r>
      <w:r>
        <w:rPr>
          <w:rFonts w:eastAsia="Times New Roman"/>
          <w:vanish/>
        </w:rPr>
        <w:t>erugi:UgiUtilitiesMemberugi:NonutilityOtherMember2020-04-012020-06-300000884614us-gaap:CorporateNonSegmentMemberugi:NonutilityOtherMember2020-04-012020-06-300000884614ugi:NonutilityMember2020-04-012020-06-300000884614us-gaap:IntersegmentEliminationMemberug</w:t>
      </w:r>
      <w:r>
        <w:rPr>
          <w:rFonts w:eastAsia="Times New Roman"/>
          <w:vanish/>
        </w:rPr>
        <w:t>i:NonutilityMember2020-04-012020-06-300000884614us-gaap:OperatingSegmentsMemberugi:AmerigasPropaneMemberugi:NonutilityMember2020-04-012020-06-300000884614us-gaap:OperatingSegmentsMemberugi:UGIInternationalMemberugi:NonutilityMember2020-04-012020-06-3000008</w:t>
      </w:r>
      <w:r>
        <w:rPr>
          <w:rFonts w:eastAsia="Times New Roman"/>
          <w:vanish/>
        </w:rPr>
        <w:t>84614us-gaap:OperatingSegmentsMemberugi:MidstreamAndMarketingMemberugi:NonutilityMember2020-04-012020-06-300000884614us-gaap:OperatingSegmentsMemberugi:UgiUtilitiesMemberugi:NonutilityMember2020-04-012020-06-300000884614us-gaap:CorporateNonSegmentMemberugi</w:t>
      </w:r>
      <w:r>
        <w:rPr>
          <w:rFonts w:eastAsia="Times New Roman"/>
          <w:vanish/>
        </w:rPr>
        <w:t>:NonutilityMember2020-04-012020-06-300000884614us-gaap:IntersegmentEliminationMember2020-04-012020-06-300000884614us-gaap:OperatingSegmentsMemberugi:AmerigasPropaneMember2020-04-012020-06-300000884614us-gaap:OperatingSegmentsMemberugi:UGIInternationalMembe</w:t>
      </w:r>
      <w:r>
        <w:rPr>
          <w:rFonts w:eastAsia="Times New Roman"/>
          <w:vanish/>
        </w:rPr>
        <w:t>r2020-04-012020-06-300000884614us-gaap:OperatingSegmentsMemberugi:MidstreamAndMarketingMember2020-04-012020-06-300000884614us-gaap:OperatingSegmentsMemberugi:UgiUtilitiesMember2020-04-012020-06-300000884614us-gaap:CorporateNonSegmentMember2020-04-012020-06</w:t>
      </w:r>
      <w:r>
        <w:rPr>
          <w:rFonts w:eastAsia="Times New Roman"/>
          <w:vanish/>
        </w:rPr>
        <w:t>-300000884614ugi:ResidentialMember2019-04-012019-06-300000884614us-gaap:IntersegmentEliminationMemberugi:ResidentialMember2019-04-012019-06-300000884614us-gaap:OperatingSegmentsMemberugi:AmerigasPropaneMemberugi:ResidentialMember2019-04-012019-06-300000884</w:t>
      </w:r>
      <w:r>
        <w:rPr>
          <w:rFonts w:eastAsia="Times New Roman"/>
          <w:vanish/>
        </w:rPr>
        <w:t>614us-gaap:OperatingSegmentsMemberugi:ResidentialMemberugi:UGIInternationalMember2019-04-012019-06-300000884614us-gaap:OperatingSegmentsMemberugi:MidstreamAndMarketingMemberugi:ResidentialMember2019-04-012019-06-300000884614us-gaap:OperatingSegmentsMemberu</w:t>
      </w:r>
      <w:r>
        <w:rPr>
          <w:rFonts w:eastAsia="Times New Roman"/>
          <w:vanish/>
        </w:rPr>
        <w:t>gi:UgiUtilitiesMemberugi:ResidentialMember2019-04-012019-06-300000884614us-gaap:CorporateNonSegmentMemberugi:ResidentialMember2019-04-012019-06-300000884614ugi:CommercialandIndustrialMember2019-04-012019-06-300000884614us-gaap:IntersegmentEliminationMember</w:t>
      </w:r>
      <w:r>
        <w:rPr>
          <w:rFonts w:eastAsia="Times New Roman"/>
          <w:vanish/>
        </w:rPr>
        <w:t>ugi:CommercialandIndustrialMember2019-04-012019-06-300000884614us-gaap:OperatingSegmentsMemberugi:AmerigasPropaneMemberugi:CommercialandIndustrialMember2019-04-012019-06-300000884614us-gaap:OperatingSegmentsMemberugi:CommercialandIndustrialMemberugi:UGIInt</w:t>
      </w:r>
      <w:r>
        <w:rPr>
          <w:rFonts w:eastAsia="Times New Roman"/>
          <w:vanish/>
        </w:rPr>
        <w:t>ernationalMember2019-04-012019-06-300000884614us-gaap:OperatingSegmentsMemberugi:MidstreamAndMarketingMemberugi:CommercialandIndustrialMember2019-04-012019-06-300000884614us-gaap:OperatingSegmentsMemberugi:UgiUtilitiesMemberugi:CommercialandIndustrialMembe</w:t>
      </w:r>
      <w:r>
        <w:rPr>
          <w:rFonts w:eastAsia="Times New Roman"/>
          <w:vanish/>
        </w:rPr>
        <w:t>r2019-04-012019-06-300000884614us-gaap:CorporateNonSegmentMemberugi:CommercialandIndustrialMember2019-04-012019-06-300000884614ugi:LargeDeliveryServiceMember2019-04-012019-06-300000884614ugi:LargeDeliveryServiceMemberus-gaap:IntersegmentEliminationMember20</w:t>
      </w:r>
      <w:r>
        <w:rPr>
          <w:rFonts w:eastAsia="Times New Roman"/>
          <w:vanish/>
        </w:rPr>
        <w:t>19-04-012019-06-300000884614us-gaap:OperatingSegmentsMemberugi:LargeDeliveryServiceMemberugi:AmerigasPropaneMember2019-04-012019-06-300000884614us-gaap:OperatingSegmentsMemberugi:LargeDeliveryServiceMemberugi:UGIInternationalMember2019-04-012019-06-3000008</w:t>
      </w:r>
      <w:r>
        <w:rPr>
          <w:rFonts w:eastAsia="Times New Roman"/>
          <w:vanish/>
        </w:rPr>
        <w:t>84614us-gaap:OperatingSegmentsMemberugi:LargeDeliveryServiceMemberugi:MidstreamAndMarketingMember2019-04-012019-06-300000884614us-gaap:OperatingSegmentsMemberugi:LargeDeliveryServiceMemberugi:UgiUtilitiesMember2019-04-012019-06-300000884614ugi:LargeDeliver</w:t>
      </w:r>
      <w:r>
        <w:rPr>
          <w:rFonts w:eastAsia="Times New Roman"/>
          <w:vanish/>
        </w:rPr>
        <w:t>yServiceMemberus-gaap:CorporateNonSegmentMember2019-04-012019-06-300000884614ugi:OffSystemSalesandCapacityReleasesMember2019-04-012019-06-300000884614ugi:OffSystemSalesandCapacityReleasesMemberus-gaap:IntersegmentEliminationMember2019-04-012019-06-30000088</w:t>
      </w:r>
      <w:r>
        <w:rPr>
          <w:rFonts w:eastAsia="Times New Roman"/>
          <w:vanish/>
        </w:rPr>
        <w:t>4614us-gaap:OperatingSegmentsMemberugi:OffSystemSalesandCapacityReleasesMemberugi:AmerigasPropaneMember2019-04-012019-06-300000884614us-gaap:OperatingSegmentsMemberugi:OffSystemSalesandCapacityReleasesMemberugi:UGIInternationalMember2019-04-012019-06-30000</w:t>
      </w:r>
      <w:r>
        <w:rPr>
          <w:rFonts w:eastAsia="Times New Roman"/>
          <w:vanish/>
        </w:rPr>
        <w:t>0884614us-gaap:OperatingSegmentsMemberugi:OffSystemSalesandCapacityReleasesMemberugi:MidstreamAndMarketingMember2019-04-012019-06-300000884614us-gaap:OperatingSegmentsMemberugi:OffSystemSalesandCapacityReleasesMemberugi:UgiUtilitiesMember2019-04-012019-06-</w:t>
      </w:r>
      <w:r>
        <w:rPr>
          <w:rFonts w:eastAsia="Times New Roman"/>
          <w:vanish/>
        </w:rPr>
        <w:t>300000884614ugi:OffSystemSalesandCapacityReleasesMemberus-gaap:CorporateNonSegmentMember2019-04-012019-06-300000884614ugi:UtilityOtherMember2019-04-012019-06-300000884614ugi:UtilityOtherMemberus-gaap:IntersegmentEliminationMember2019-04-012019-06-300000884</w:t>
      </w:r>
      <w:r>
        <w:rPr>
          <w:rFonts w:eastAsia="Times New Roman"/>
          <w:vanish/>
        </w:rPr>
        <w:t>614us-gaap:OperatingSegmentsMemberugi:UtilityOtherMemberugi:AmerigasPropaneMember2019-04-012019-06-300000884614us-gaap:OperatingSegmentsMemberugi:UtilityOtherMemberugi:UGIInternationalMember2019-04-012019-06-300000884614us-gaap:OperatingSegmentsMemberugi:U</w:t>
      </w:r>
      <w:r>
        <w:rPr>
          <w:rFonts w:eastAsia="Times New Roman"/>
          <w:vanish/>
        </w:rPr>
        <w:t>tilityOtherMemberugi:MidstreamAndMarketingMember2019-04-012019-06-300000884614us-gaap:OperatingSegmentsMemberugi:UtilityOtherMemberugi:UgiUtilitiesMember2019-04-012019-06-300000884614ugi:UtilityOtherMemberus-gaap:CorporateNonSegmentMember2019-04-012019-06-</w:t>
      </w:r>
      <w:r>
        <w:rPr>
          <w:rFonts w:eastAsia="Times New Roman"/>
          <w:vanish/>
        </w:rPr>
        <w:t>300000884614ugi:UtilityMember2019-04-012019-06-300000884614us-gaap:IntersegmentEliminationMemberugi:UtilityMember2019-04-012019-06-300000884614us-gaap:OperatingSegmentsMemberugi:AmerigasPropaneMemberugi:UtilityMember2019-04-012019-06-300000884614us-gaap:Op</w:t>
      </w:r>
      <w:r>
        <w:rPr>
          <w:rFonts w:eastAsia="Times New Roman"/>
          <w:vanish/>
        </w:rPr>
        <w:t>eratingSegmentsMemberugi:UtilityMemberugi:UGIInternationalMember2019-04-012019-06-300000884614us-gaap:OperatingSegmentsMemberugi:UtilityMemberugi:MidstreamAndMarketingMember2019-04-012019-06-300000884614us-gaap:OperatingSegmentsMemberugi:UgiUtilitiesMember</w:t>
      </w:r>
      <w:r>
        <w:rPr>
          <w:rFonts w:eastAsia="Times New Roman"/>
          <w:vanish/>
        </w:rPr>
        <w:t>ugi:UtilityMember2019-04-012019-06-300000884614us-gaap:CorporateNonSegmentMemberugi:UtilityMember2019-04-012019-06-300000884614us-gaap:RetailMember2019-04-012019-06-300000884614us-gaap:IntersegmentEliminationMemberus-gaap:RetailMember2019-04-012019-06-3000</w:t>
      </w:r>
      <w:r>
        <w:rPr>
          <w:rFonts w:eastAsia="Times New Roman"/>
          <w:vanish/>
        </w:rPr>
        <w:t>00884614us-gaap:OperatingSegmentsMemberus-gaap:RetailMemberugi:AmerigasPropaneMember2019-04-012019-06-300000884614us-gaap:OperatingSegmentsMemberus-gaap:RetailMemberugi:UGIInternationalMember2019-04-012019-06-300000884614us-gaap:OperatingSegmentsMemberus-g</w:t>
      </w:r>
      <w:r>
        <w:rPr>
          <w:rFonts w:eastAsia="Times New Roman"/>
          <w:vanish/>
        </w:rPr>
        <w:t>aap:RetailMemberugi:MidstreamAndMarketingMember2019-04-012019-06-300000884614us-gaap:OperatingSegmentsMemberugi:UgiUtilitiesMemberus-gaap:RetailMember2019-04-012019-06-300000884614us-gaap:RetailMemberus-gaap:CorporateNonSegmentMember2019-04-012019-06-30000</w:t>
      </w:r>
      <w:r>
        <w:rPr>
          <w:rFonts w:eastAsia="Times New Roman"/>
          <w:vanish/>
        </w:rPr>
        <w:t>0884614ugi:WholesaleMember2019-04-012019-06-300000884614us-gaap:IntersegmentEliminationMemberugi:WholesaleMember2019-04-012019-06-300000884614us-gaap:OperatingSegmentsMemberugi:AmerigasPropaneMemberugi:WholesaleMember2019-04-012019-06-300000884614us-gaap:O</w:t>
      </w:r>
      <w:r>
        <w:rPr>
          <w:rFonts w:eastAsia="Times New Roman"/>
          <w:vanish/>
        </w:rPr>
        <w:t>peratingSegmentsMemberugi:WholesaleMemberugi:UGIInternationalMember2019-04-012019-06-300000884614us-gaap:OperatingSegmentsMemberugi:WholesaleMemberugi:MidstreamAndMarketingMember2019-04-012019-06-300000884614us-gaap:OperatingSegmentsMemberugi:UgiUtilitiesM</w:t>
      </w:r>
      <w:r>
        <w:rPr>
          <w:rFonts w:eastAsia="Times New Roman"/>
          <w:vanish/>
        </w:rPr>
        <w:t>emberugi:WholesaleMember2019-04-012019-06-300000884614ugi:WholesaleMemberus-gaap:CorporateNonSegmentMember2019-04-012019-06-300000884614ugi:EnergyMarketingMember2019-04-012019-06-300000884614us-gaap:IntersegmentEliminationMemberugi:EnergyMarketingMember201</w:t>
      </w:r>
      <w:r>
        <w:rPr>
          <w:rFonts w:eastAsia="Times New Roman"/>
          <w:vanish/>
        </w:rPr>
        <w:t>9-04-012019-06-300000884614us-gaap:OperatingSegmentsMemberugi:AmerigasPropaneMemberugi:EnergyMarketingMember2019-04-012019-06-300000884614us-gaap:OperatingSegmentsMemberugi:EnergyMarketingMemberugi:UGIInternationalMember2019-04-012019-06-300000884614us-gaa</w:t>
      </w:r>
      <w:r>
        <w:rPr>
          <w:rFonts w:eastAsia="Times New Roman"/>
          <w:vanish/>
        </w:rPr>
        <w:t>p:OperatingSegmentsMemberugi:MidstreamAndMarketingMemberugi:EnergyMarketingMember2019-04-012019-06-300000884614us-gaap:OperatingSegmentsMemberugi:UgiUtilitiesMemberugi:EnergyMarketingMember2019-04-012019-06-300000884614us-gaap:CorporateNonSegmentMemberugi:</w:t>
      </w:r>
      <w:r>
        <w:rPr>
          <w:rFonts w:eastAsia="Times New Roman"/>
          <w:vanish/>
        </w:rPr>
        <w:t>EnergyMarketingMember2019-04-012019-06-300000884614ugi:PipelineMember2019-04-012019-06-300000884614us-gaap:IntersegmentEliminationMemberugi:PipelineMember2019-04-012019-06-300000884614us-gaap:OperatingSegmentsMemberugi:PipelineMemberugi:AmerigasPropaneMemb</w:t>
      </w:r>
      <w:r>
        <w:rPr>
          <w:rFonts w:eastAsia="Times New Roman"/>
          <w:vanish/>
        </w:rPr>
        <w:t>er2019-04-012019-06-300000884614us-gaap:OperatingSegmentsMemberugi:PipelineMemberugi:UGIInternationalMember2019-04-012019-06-300000884614us-gaap:OperatingSegmentsMemberugi:PipelineMemberugi:MidstreamAndMarketingMember2019-04-012019-06-300000884614us-gaap:O</w:t>
      </w:r>
      <w:r>
        <w:rPr>
          <w:rFonts w:eastAsia="Times New Roman"/>
          <w:vanish/>
        </w:rPr>
        <w:t>peratingSegmentsMemberugi:UgiUtilitiesMemberugi:PipelineMember2019-04-012019-06-300000884614ugi:PipelineMemberus-gaap:CorporateNonSegmentMember2019-04-012019-06-300000884614ugi:PeakingMember2019-04-012019-06-300000884614us-gaap:IntersegmentEliminationMembe</w:t>
      </w:r>
      <w:r>
        <w:rPr>
          <w:rFonts w:eastAsia="Times New Roman"/>
          <w:vanish/>
        </w:rPr>
        <w:t>rugi:PeakingMember2019-04-012019-06-300000884614us-gaap:OperatingSegmentsMemberugi:AmerigasPropaneMemberugi:PeakingMember2019-04-012019-06-300000884614us-gaap:OperatingSegmentsMemberugi:PeakingMemberugi:UGIInternationalMember2019-04-012019-06-300000884614u</w:t>
      </w:r>
      <w:r>
        <w:rPr>
          <w:rFonts w:eastAsia="Times New Roman"/>
          <w:vanish/>
        </w:rPr>
        <w:t>s-gaap:OperatingSegmentsMemberugi:MidstreamAndMarketingMemberugi:PeakingMember2019-04-012019-06-300000884614us-gaap:OperatingSegmentsMemberugi:UgiUtilitiesMemberugi:PeakingMember2019-04-012019-06-300000884614us-gaap:CorporateNonSegmentMemberugi:PeakingMemb</w:t>
      </w:r>
      <w:r>
        <w:rPr>
          <w:rFonts w:eastAsia="Times New Roman"/>
          <w:vanish/>
        </w:rPr>
        <w:t>er2019-04-012019-06-300000884614ugi:MidstreamOtherMember2019-04-012019-06-300000884614us-gaap:IntersegmentEliminationMemberugi:MidstreamOtherMember2019-04-012019-06-300000884614us-gaap:OperatingSegmentsMemberugi:AmerigasPropaneMemberugi:MidstreamOtherMembe</w:t>
      </w:r>
      <w:r>
        <w:rPr>
          <w:rFonts w:eastAsia="Times New Roman"/>
          <w:vanish/>
        </w:rPr>
        <w:t>r2019-04-012019-06-300000884614us-gaap:OperatingSegmentsMemberugi:MidstreamOtherMemberugi:UGIInternationalMember2019-04-012019-06-300000884614us-gaap:OperatingSegmentsMemberugi:MidstreamOtherMemberugi:MidstreamAndMarketingMember2019-04-012019-06-3000008846</w:t>
      </w:r>
      <w:r>
        <w:rPr>
          <w:rFonts w:eastAsia="Times New Roman"/>
          <w:vanish/>
        </w:rPr>
        <w:t>14us-gaap:OperatingSegmentsMemberugi:UgiUtilitiesMemberugi:MidstreamOtherMember2019-04-012019-06-300000884614ugi:MidstreamOtherMemberus-gaap:CorporateNonSegmentMember2019-04-012019-06-300000884614us-gaap:ElectricityGenerationMember2019-04-012019-06-3000008</w:t>
      </w:r>
      <w:r>
        <w:rPr>
          <w:rFonts w:eastAsia="Times New Roman"/>
          <w:vanish/>
        </w:rPr>
        <w:t>84614us-gaap:IntersegmentEliminationMemberus-gaap:ElectricityGenerationMember2019-04-012019-06-300000884614us-gaap:OperatingSegmentsMemberugi:AmerigasPropaneMemberus-gaap:ElectricityGenerationMember2019-04-012019-06-300000884614us-gaap:OperatingSegmentsMem</w:t>
      </w:r>
      <w:r>
        <w:rPr>
          <w:rFonts w:eastAsia="Times New Roman"/>
          <w:vanish/>
        </w:rPr>
        <w:t>berugi:UGIInternationalMemberus-gaap:ElectricityGenerationMember2019-04-012019-06-300000884614us-gaap:OperatingSegmentsMemberugi:MidstreamAndMarketingMemberus-gaap:ElectricityGenerationMember2019-04-012019-06-300000884614us-gaap:OperatingSegmentsMemberugi:</w:t>
      </w:r>
      <w:r>
        <w:rPr>
          <w:rFonts w:eastAsia="Times New Roman"/>
          <w:vanish/>
        </w:rPr>
        <w:t>UgiUtilitiesMemberus-gaap:ElectricityGenerationMember2019-04-012019-06-300000884614us-gaap:CorporateNonSegmentMemberus-gaap:ElectricityGenerationMember2019-04-012019-06-300000884614ugi:NonutilityOtherMember2019-04-012019-06-300000884614us-gaap:Intersegment</w:t>
      </w:r>
      <w:r>
        <w:rPr>
          <w:rFonts w:eastAsia="Times New Roman"/>
          <w:vanish/>
        </w:rPr>
        <w:t>EliminationMemberugi:NonutilityOtherMember2019-04-012019-06-300000884614us-gaap:OperatingSegmentsMemberugi:AmerigasPropaneMemberugi:NonutilityOtherMember2019-04-012019-06-300000884614us-gaap:OperatingSegmentsMemberugi:NonutilityOtherMemberugi:UGIInternatio</w:t>
      </w:r>
      <w:r>
        <w:rPr>
          <w:rFonts w:eastAsia="Times New Roman"/>
          <w:vanish/>
        </w:rPr>
        <w:t>nalMember2019-04-012019-06-300000884614us-gaap:OperatingSegmentsMemberugi:MidstreamAndMarketingMemberugi:NonutilityOtherMember2019-04-012019-06-300000884614us-gaap:OperatingSegmentsMemberugi:UgiUtilitiesMemberugi:NonutilityOtherMember2019-04-012019-06-3000</w:t>
      </w:r>
      <w:r>
        <w:rPr>
          <w:rFonts w:eastAsia="Times New Roman"/>
          <w:vanish/>
        </w:rPr>
        <w:t>00884614us-gaap:CorporateNonSegmentMemberugi:NonutilityOtherMember2019-04-012019-06-300000884614ugi:NonutilityMember2019-04-012019-06-300000884614us-gaap:IntersegmentEliminationMemberugi:NonutilityMember2019-04-012019-06-300000884614us-gaap:OperatingSegmen</w:t>
      </w:r>
      <w:r>
        <w:rPr>
          <w:rFonts w:eastAsia="Times New Roman"/>
          <w:vanish/>
        </w:rPr>
        <w:t>tsMemberugi:AmerigasPropaneMemberugi:NonutilityMember2019-04-012019-06-300000884614us-gaap:OperatingSegmentsMemberugi:UGIInternationalMemberugi:NonutilityMember2019-04-012019-06-300000884614us-gaap:OperatingSegmentsMemberugi:MidstreamAndMarketingMemberugi:</w:t>
      </w:r>
      <w:r>
        <w:rPr>
          <w:rFonts w:eastAsia="Times New Roman"/>
          <w:vanish/>
        </w:rPr>
        <w:t>NonutilityMember2019-04-012019-06-300000884614us-gaap:OperatingSegmentsMemberugi:UgiUtilitiesMemberugi:NonutilityMember2019-04-012019-06-300000884614us-gaap:CorporateNonSegmentMemberugi:NonutilityMember2019-04-012019-06-300000884614us-gaap:IntersegmentElim</w:t>
      </w:r>
      <w:r>
        <w:rPr>
          <w:rFonts w:eastAsia="Times New Roman"/>
          <w:vanish/>
        </w:rPr>
        <w:t>inationMember2019-04-012019-06-300000884614us-gaap:OperatingSegmentsMemberugi:AmerigasPropaneMember2019-04-012019-06-300000884614us-gaap:OperatingSegmentsMemberugi:UGIInternationalMember2019-04-012019-06-300000884614us-gaap:OperatingSegmentsMemberugi:Midst</w:t>
      </w:r>
      <w:r>
        <w:rPr>
          <w:rFonts w:eastAsia="Times New Roman"/>
          <w:vanish/>
        </w:rPr>
        <w:t>reamAndMarketingMember2019-04-012019-06-300000884614us-gaap:OperatingSegmentsMemberugi:UgiUtilitiesMember2019-04-012019-06-300000884614us-gaap:CorporateNonSegmentMember2019-04-012019-06-300000884614ugi:ResidentialMember2019-10-012020-06-300000884614us-gaap</w:t>
      </w:r>
      <w:r>
        <w:rPr>
          <w:rFonts w:eastAsia="Times New Roman"/>
          <w:vanish/>
        </w:rPr>
        <w:t>:IntersegmentEliminationMemberugi:ResidentialMember2019-10-012020-06-300000884614us-gaap:OperatingSegmentsMemberugi:AmerigasPropaneMemberugi:ResidentialMember2019-10-012020-06-300000884614us-gaap:OperatingSegmentsMemberugi:ResidentialMemberugi:UGIInternati</w:t>
      </w:r>
      <w:r>
        <w:rPr>
          <w:rFonts w:eastAsia="Times New Roman"/>
          <w:vanish/>
        </w:rPr>
        <w:t>onalMember2019-10-012020-06-300000884614us-gaap:OperatingSegmentsMemberugi:MidstreamAndMarketingMemberugi:ResidentialMember2019-10-012020-06-300000884614us-gaap:OperatingSegmentsMemberugi:UgiUtilitiesMemberugi:ResidentialMember2019-10-012020-06-30000088461</w:t>
      </w:r>
      <w:r>
        <w:rPr>
          <w:rFonts w:eastAsia="Times New Roman"/>
          <w:vanish/>
        </w:rPr>
        <w:t>4us-gaap:CorporateNonSegmentMemberugi:ResidentialMember2019-10-012020-06-300000884614ugi:CommercialandIndustrialMember2019-10-012020-06-300000884614us-gaap:IntersegmentEliminationMemberugi:CommercialandIndustrialMember2019-10-012020-06-300000884614us-gaap:</w:t>
      </w:r>
      <w:r>
        <w:rPr>
          <w:rFonts w:eastAsia="Times New Roman"/>
          <w:vanish/>
        </w:rPr>
        <w:t>OperatingSegmentsMemberugi:AmerigasPropaneMemberugi:CommercialandIndustrialMember2019-10-012020-06-300000884614us-gaap:OperatingSegmentsMemberugi:CommercialandIndustrialMemberugi:UGIInternationalMember2019-10-012020-06-300000884614us-gaap:OperatingSegments</w:t>
      </w:r>
      <w:r>
        <w:rPr>
          <w:rFonts w:eastAsia="Times New Roman"/>
          <w:vanish/>
        </w:rPr>
        <w:t>Memberugi:MidstreamAndMarketingMemberugi:CommercialandIndustrialMember2019-10-012020-06-300000884614us-gaap:OperatingSegmentsMemberugi:UgiUtilitiesMemberugi:CommercialandIndustrialMember2019-10-012020-06-300000884614us-gaap:CorporateNonSegmentMemberugi:Com</w:t>
      </w:r>
      <w:r>
        <w:rPr>
          <w:rFonts w:eastAsia="Times New Roman"/>
          <w:vanish/>
        </w:rPr>
        <w:t>mercialandIndustrialMember2019-10-012020-06-300000884614ugi:LargeDeliveryServiceMember2019-10-012020-06-300000884614ugi:LargeDeliveryServiceMemberus-gaap:IntersegmentEliminationMember2019-10-012020-06-300000884614us-gaap:OperatingSegmentsMemberugi:LargeDel</w:t>
      </w:r>
      <w:r>
        <w:rPr>
          <w:rFonts w:eastAsia="Times New Roman"/>
          <w:vanish/>
        </w:rPr>
        <w:t>iveryServiceMemberugi:AmerigasPropaneMember2019-10-012020-06-300000884614us-gaap:OperatingSegmentsMemberugi:LargeDeliveryServiceMemberugi:UGIInternationalMember2019-10-012020-06-300000884614us-gaap:OperatingSegmentsMemberugi:LargeDeliveryServiceMemberugi:M</w:t>
      </w:r>
      <w:r>
        <w:rPr>
          <w:rFonts w:eastAsia="Times New Roman"/>
          <w:vanish/>
        </w:rPr>
        <w:t>idstreamAndMarketingMember2019-10-012020-06-300000884614us-gaap:OperatingSegmentsMemberugi:LargeDeliveryServiceMemberugi:UgiUtilitiesMember2019-10-012020-06-300000884614ugi:LargeDeliveryServiceMemberus-gaap:CorporateNonSegmentMember2019-10-012020-06-300000</w:t>
      </w:r>
      <w:r>
        <w:rPr>
          <w:rFonts w:eastAsia="Times New Roman"/>
          <w:vanish/>
        </w:rPr>
        <w:t>884614ugi:OffSystemSalesandCapacityReleasesMember2019-10-012020-06-300000884614ugi:OffSystemSalesandCapacityReleasesMemberus-gaap:IntersegmentEliminationMember2019-10-012020-06-300000884614us-gaap:OperatingSegmentsMemberugi:OffSystemSalesandCapacityRelease</w:t>
      </w:r>
      <w:r>
        <w:rPr>
          <w:rFonts w:eastAsia="Times New Roman"/>
          <w:vanish/>
        </w:rPr>
        <w:t>sMemberugi:AmerigasPropaneMember2019-10-012020-06-300000884614us-gaap:OperatingSegmentsMemberugi:OffSystemSalesandCapacityReleasesMemberugi:UGIInternationalMember2019-10-012020-06-300000884614us-gaap:OperatingSegmentsMemberugi:OffSystemSalesandCapacityRele</w:t>
      </w:r>
      <w:r>
        <w:rPr>
          <w:rFonts w:eastAsia="Times New Roman"/>
          <w:vanish/>
        </w:rPr>
        <w:t>asesMemberugi:MidstreamAndMarketingMember2019-10-012020-06-300000884614us-gaap:OperatingSegmentsMemberugi:OffSystemSalesandCapacityReleasesMemberugi:UgiUtilitiesMember2019-10-012020-06-300000884614ugi:OffSystemSalesandCapacityReleasesMemberus-gaap:Corporat</w:t>
      </w:r>
      <w:r>
        <w:rPr>
          <w:rFonts w:eastAsia="Times New Roman"/>
          <w:vanish/>
        </w:rPr>
        <w:t>eNonSegmentMember2019-10-012020-06-300000884614ugi:UtilityOtherMember2019-10-012020-06-300000884614ugi:UtilityOtherMemberus-gaap:IntersegmentEliminationMember2019-10-012020-06-300000884614us-gaap:OperatingSegmentsMemberugi:UtilityOtherMemberugi:AmerigasPro</w:t>
      </w:r>
      <w:r>
        <w:rPr>
          <w:rFonts w:eastAsia="Times New Roman"/>
          <w:vanish/>
        </w:rPr>
        <w:t>paneMember2019-10-012020-06-300000884614us-gaap:OperatingSegmentsMemberugi:UtilityOtherMemberugi:UGIInternationalMember2019-10-012020-06-300000884614us-gaap:OperatingSegmentsMemberugi:UtilityOtherMemberugi:MidstreamAndMarketingMember2019-10-012020-06-30000</w:t>
      </w:r>
      <w:r>
        <w:rPr>
          <w:rFonts w:eastAsia="Times New Roman"/>
          <w:vanish/>
        </w:rPr>
        <w:t>0884614us-gaap:OperatingSegmentsMemberugi:UtilityOtherMemberugi:UgiUtilitiesMember2019-10-012020-06-300000884614ugi:UtilityOtherMemberus-gaap:CorporateNonSegmentMember2019-10-012020-06-300000884614ugi:UtilityMember2019-10-012020-06-300000884614us-gaap:Inte</w:t>
      </w:r>
      <w:r>
        <w:rPr>
          <w:rFonts w:eastAsia="Times New Roman"/>
          <w:vanish/>
        </w:rPr>
        <w:t>rsegmentEliminationMemberugi:UtilityMember2019-10-012020-06-300000884614us-gaap:OperatingSegmentsMemberugi:AmerigasPropaneMemberugi:UtilityMember2019-10-012020-06-300000884614us-gaap:OperatingSegmentsMemberugi:UtilityMemberugi:UGIInternationalMember2019-10</w:t>
      </w:r>
      <w:r>
        <w:rPr>
          <w:rFonts w:eastAsia="Times New Roman"/>
          <w:vanish/>
        </w:rPr>
        <w:t>-012020-06-300000884614us-gaap:OperatingSegmentsMemberugi:UtilityMemberugi:MidstreamAndMarketingMember2019-10-012020-06-300000884614us-gaap:OperatingSegmentsMemberugi:UgiUtilitiesMemberugi:UtilityMember2019-10-012020-06-300000884614us-gaap:CorporateNonSegm</w:t>
      </w:r>
      <w:r>
        <w:rPr>
          <w:rFonts w:eastAsia="Times New Roman"/>
          <w:vanish/>
        </w:rPr>
        <w:t>entMemberugi:UtilityMember2019-10-012020-06-300000884614us-gaap:RetailMember2019-10-012020-06-300000884614us-gaap:IntersegmentEliminationMemberus-gaap:RetailMember2019-10-012020-06-300000884614us-gaap:OperatingSegmentsMemberus-gaap:RetailMemberugi:Amerigas</w:t>
      </w:r>
      <w:r>
        <w:rPr>
          <w:rFonts w:eastAsia="Times New Roman"/>
          <w:vanish/>
        </w:rPr>
        <w:t>PropaneMember2019-10-012020-06-300000884614us-gaap:OperatingSegmentsMemberus-gaap:RetailMemberugi:UGIInternationalMember2019-10-012020-06-300000884614us-gaap:OperatingSegmentsMemberus-gaap:RetailMemberugi:MidstreamAndMarketingMember2019-10-012020-06-300000</w:t>
      </w:r>
      <w:r>
        <w:rPr>
          <w:rFonts w:eastAsia="Times New Roman"/>
          <w:vanish/>
        </w:rPr>
        <w:t>884614us-gaap:OperatingSegmentsMemberugi:UgiUtilitiesMemberus-gaap:RetailMember2019-10-012020-06-300000884614us-gaap:RetailMemberus-gaap:CorporateNonSegmentMember2019-10-012020-06-300000884614ugi:WholesaleMember2019-10-012020-06-300000884614us-gaap:Interse</w:t>
      </w:r>
      <w:r>
        <w:rPr>
          <w:rFonts w:eastAsia="Times New Roman"/>
          <w:vanish/>
        </w:rPr>
        <w:t>gmentEliminationMemberugi:WholesaleMember2019-10-012020-06-300000884614us-gaap:OperatingSegmentsMemberugi:AmerigasPropaneMemberugi:WholesaleMember2019-10-012020-06-300000884614us-gaap:OperatingSegmentsMemberugi:WholesaleMemberugi:UGIInternationalMember2019</w:t>
      </w:r>
      <w:r>
        <w:rPr>
          <w:rFonts w:eastAsia="Times New Roman"/>
          <w:vanish/>
        </w:rPr>
        <w:t>-10-012020-06-300000884614us-gaap:OperatingSegmentsMemberugi:WholesaleMemberugi:MidstreamAndMarketingMember2019-10-012020-06-300000884614us-gaap:OperatingSegmentsMemberugi:UgiUtilitiesMemberugi:WholesaleMember2019-10-012020-06-300000884614ugi:WholesaleMemb</w:t>
      </w:r>
      <w:r>
        <w:rPr>
          <w:rFonts w:eastAsia="Times New Roman"/>
          <w:vanish/>
        </w:rPr>
        <w:t>erus-gaap:CorporateNonSegmentMember2019-10-012020-06-300000884614ugi:EnergyMarketingMember2019-10-012020-06-300000884614us-gaap:IntersegmentEliminationMemberugi:EnergyMarketingMember2019-10-012020-06-300000884614us-gaap:OperatingSegmentsMemberugi:AmerigasP</w:t>
      </w:r>
      <w:r>
        <w:rPr>
          <w:rFonts w:eastAsia="Times New Roman"/>
          <w:vanish/>
        </w:rPr>
        <w:t>ropaneMemberugi:EnergyMarketingMember2019-10-012020-06-300000884614us-gaap:OperatingSegmentsMemberugi:EnergyMarketingMemberugi:UGIInternationalMember2019-10-012020-06-300000884614us-gaap:OperatingSegmentsMemberugi:MidstreamAndMarketingMemberugi:EnergyMarke</w:t>
      </w:r>
      <w:r>
        <w:rPr>
          <w:rFonts w:eastAsia="Times New Roman"/>
          <w:vanish/>
        </w:rPr>
        <w:t>tingMember2019-10-012020-06-300000884614us-gaap:OperatingSegmentsMemberugi:UgiUtilitiesMemberugi:EnergyMarketingMember2019-10-012020-06-300000884614us-gaap:CorporateNonSegmentMemberugi:EnergyMarketingMember2019-10-012020-06-300000884614ugi:PipelineMember20</w:t>
      </w:r>
      <w:r>
        <w:rPr>
          <w:rFonts w:eastAsia="Times New Roman"/>
          <w:vanish/>
        </w:rPr>
        <w:t>19-10-012020-06-300000884614us-gaap:IntersegmentEliminationMemberugi:PipelineMember2019-10-012020-06-300000884614us-gaap:OperatingSegmentsMemberugi:PipelineMemberugi:AmerigasPropaneMember2019-10-012020-06-300000884614us-gaap:OperatingSegmentsMemberugi:Pipe</w:t>
      </w:r>
      <w:r>
        <w:rPr>
          <w:rFonts w:eastAsia="Times New Roman"/>
          <w:vanish/>
        </w:rPr>
        <w:t>lineMemberugi:UGIInternationalMember2019-10-012020-06-300000884614us-gaap:OperatingSegmentsMemberugi:PipelineMemberugi:MidstreamAndMarketingMember2019-10-012020-06-300000884614us-gaap:OperatingSegmentsMemberugi:UgiUtilitiesMemberugi:PipelineMember2019-10-0</w:t>
      </w:r>
      <w:r>
        <w:rPr>
          <w:rFonts w:eastAsia="Times New Roman"/>
          <w:vanish/>
        </w:rPr>
        <w:t>12020-06-300000884614ugi:PipelineMemberus-gaap:CorporateNonSegmentMember2019-10-012020-06-300000884614ugi:PeakingMember2019-10-012020-06-300000884614us-gaap:IntersegmentEliminationMemberugi:PeakingMember2019-10-012020-06-300000884614us-gaap:OperatingSegmen</w:t>
      </w:r>
      <w:r>
        <w:rPr>
          <w:rFonts w:eastAsia="Times New Roman"/>
          <w:vanish/>
        </w:rPr>
        <w:t>tsMemberugi:AmerigasPropaneMemberugi:PeakingMember2019-10-012020-06-300000884614us-gaap:OperatingSegmentsMemberugi:PeakingMemberugi:UGIInternationalMember2019-10-012020-06-300000884614us-gaap:OperatingSegmentsMemberugi:MidstreamAndMarketingMemberugi:Peakin</w:t>
      </w:r>
      <w:r>
        <w:rPr>
          <w:rFonts w:eastAsia="Times New Roman"/>
          <w:vanish/>
        </w:rPr>
        <w:t>gMember2019-10-012020-06-300000884614us-gaap:OperatingSegmentsMemberugi:UgiUtilitiesMemberugi:PeakingMember2019-10-012020-06-300000884614us-gaap:CorporateNonSegmentMemberugi:PeakingMember2019-10-012020-06-300000884614ugi:MidstreamOtherMember2019-10-012020-</w:t>
      </w:r>
      <w:r>
        <w:rPr>
          <w:rFonts w:eastAsia="Times New Roman"/>
          <w:vanish/>
        </w:rPr>
        <w:t>06-300000884614us-gaap:IntersegmentEliminationMemberugi:MidstreamOtherMember2019-10-012020-06-300000884614us-gaap:OperatingSegmentsMemberugi:AmerigasPropaneMemberugi:MidstreamOtherMember2019-10-012020-06-300000884614us-gaap:OperatingSegmentsMemberugi:Midst</w:t>
      </w:r>
      <w:r>
        <w:rPr>
          <w:rFonts w:eastAsia="Times New Roman"/>
          <w:vanish/>
        </w:rPr>
        <w:t>reamOtherMemberugi:UGIInternationalMember2019-10-012020-06-300000884614us-gaap:OperatingSegmentsMemberugi:MidstreamOtherMemberugi:MidstreamAndMarketingMember2019-10-012020-06-300000884614us-gaap:OperatingSegmentsMemberugi:UgiUtilitiesMemberugi:MidstreamOth</w:t>
      </w:r>
      <w:r>
        <w:rPr>
          <w:rFonts w:eastAsia="Times New Roman"/>
          <w:vanish/>
        </w:rPr>
        <w:t>erMember2019-10-012020-06-300000884614ugi:MidstreamOtherMemberus-gaap:CorporateNonSegmentMember2019-10-012020-06-300000884614us-gaap:ElectricityGenerationMember2019-10-012020-06-300000884614us-gaap:IntersegmentEliminationMemberus-gaap:ElectricityGeneration</w:t>
      </w:r>
      <w:r>
        <w:rPr>
          <w:rFonts w:eastAsia="Times New Roman"/>
          <w:vanish/>
        </w:rPr>
        <w:t>Member2019-10-012020-06-300000884614us-gaap:OperatingSegmentsMemberugi:AmerigasPropaneMemberus-gaap:ElectricityGenerationMember2019-10-012020-06-300000884614us-gaap:OperatingSegmentsMemberugi:UGIInternationalMemberus-gaap:ElectricityGenerationMember2019-10</w:t>
      </w:r>
      <w:r>
        <w:rPr>
          <w:rFonts w:eastAsia="Times New Roman"/>
          <w:vanish/>
        </w:rPr>
        <w:t>-012020-06-300000884614us-gaap:OperatingSegmentsMemberugi:MidstreamAndMarketingMemberus-gaap:ElectricityGenerationMember2019-10-012020-06-300000884614us-gaap:OperatingSegmentsMemberugi:UgiUtilitiesMemberus-gaap:ElectricityGenerationMember2019-10-012020-06-</w:t>
      </w:r>
      <w:r>
        <w:rPr>
          <w:rFonts w:eastAsia="Times New Roman"/>
          <w:vanish/>
        </w:rPr>
        <w:t>300000884614us-gaap:CorporateNonSegmentMemberus-gaap:ElectricityGenerationMember2019-10-012020-06-300000884614ugi:NonutilityOtherMember2019-10-012020-06-300000884614us-gaap:IntersegmentEliminationMemberugi:NonutilityOtherMember2019-10-012020-06-30000088461</w:t>
      </w:r>
      <w:r>
        <w:rPr>
          <w:rFonts w:eastAsia="Times New Roman"/>
          <w:vanish/>
        </w:rPr>
        <w:t>4us-gaap:OperatingSegmentsMemberugi:AmerigasPropaneMemberugi:NonutilityOtherMember2019-10-012020-06-300000884614us-gaap:OperatingSegmentsMemberugi:NonutilityOtherMemberugi:UGIInternationalMember2019-10-012020-06-300000884614us-gaap:OperatingSegmentsMemberu</w:t>
      </w:r>
      <w:r>
        <w:rPr>
          <w:rFonts w:eastAsia="Times New Roman"/>
          <w:vanish/>
        </w:rPr>
        <w:t>gi:MidstreamAndMarketingMemberugi:NonutilityOtherMember2019-10-012020-06-300000884614us-gaap:OperatingSegmentsMemberugi:UgiUtilitiesMemberugi:NonutilityOtherMember2019-10-012020-06-300000884614us-gaap:CorporateNonSegmentMemberugi:NonutilityOtherMember2019-</w:t>
      </w:r>
      <w:r>
        <w:rPr>
          <w:rFonts w:eastAsia="Times New Roman"/>
          <w:vanish/>
        </w:rPr>
        <w:t>10-012020-06-300000884614ugi:NonutilityMember2019-10-012020-06-300000884614us-gaap:IntersegmentEliminationMemberugi:NonutilityMember2019-10-012020-06-300000884614us-gaap:OperatingSegmentsMemberugi:AmerigasPropaneMemberugi:NonutilityMember2019-10-012020-06-</w:t>
      </w:r>
      <w:r>
        <w:rPr>
          <w:rFonts w:eastAsia="Times New Roman"/>
          <w:vanish/>
        </w:rPr>
        <w:t>300000884614us-gaap:OperatingSegmentsMemberugi:UGIInternationalMemberugi:NonutilityMember2019-10-012020-06-300000884614us-gaap:OperatingSegmentsMemberugi:MidstreamAndMarketingMemberugi:NonutilityMember2019-10-012020-06-300000884614us-gaap:OperatingSegments</w:t>
      </w:r>
      <w:r>
        <w:rPr>
          <w:rFonts w:eastAsia="Times New Roman"/>
          <w:vanish/>
        </w:rPr>
        <w:t>Memberugi:UgiUtilitiesMemberugi:NonutilityMember2019-10-012020-06-300000884614us-gaap:CorporateNonSegmentMemberugi:NonutilityMember2019-10-012020-06-300000884614us-gaap:IntersegmentEliminationMember2019-10-012020-06-300000884614us-gaap:OperatingSegmentsMem</w:t>
      </w:r>
      <w:r>
        <w:rPr>
          <w:rFonts w:eastAsia="Times New Roman"/>
          <w:vanish/>
        </w:rPr>
        <w:t>berugi:AmerigasPropaneMember2019-10-012020-06-300000884614us-gaap:OperatingSegmentsMemberugi:UGIInternationalMember2019-10-012020-06-300000884614us-gaap:OperatingSegmentsMemberugi:MidstreamAndMarketingMember2019-10-012020-06-300000884614us-gaap:OperatingSe</w:t>
      </w:r>
      <w:r>
        <w:rPr>
          <w:rFonts w:eastAsia="Times New Roman"/>
          <w:vanish/>
        </w:rPr>
        <w:t>gmentsMemberugi:UgiUtilitiesMember2019-10-012020-06-300000884614us-gaap:CorporateNonSegmentMember2019-10-012020-06-300000884614ugi:ResidentialMember2018-10-012019-06-300000884614us-gaap:IntersegmentEliminationMemberugi:ResidentialMember2018-10-012019-06-30</w:t>
      </w:r>
      <w:r>
        <w:rPr>
          <w:rFonts w:eastAsia="Times New Roman"/>
          <w:vanish/>
        </w:rPr>
        <w:t>0000884614us-gaap:OperatingSegmentsMemberugi:AmerigasPropaneMemberugi:ResidentialMember2018-10-012019-06-300000884614us-gaap:OperatingSegmentsMemberugi:ResidentialMemberugi:UGIInternationalMember2018-10-012019-06-300000884614us-gaap:OperatingSegmentsMember</w:t>
      </w:r>
      <w:r>
        <w:rPr>
          <w:rFonts w:eastAsia="Times New Roman"/>
          <w:vanish/>
        </w:rPr>
        <w:t>ugi:MidstreamAndMarketingMemberugi:ResidentialMember2018-10-012019-06-300000884614us-gaap:OperatingSegmentsMemberugi:UgiUtilitiesMemberugi:ResidentialMember2018-10-012019-06-300000884614us-gaap:CorporateNonSegmentMemberugi:ResidentialMember2018-10-012019-0</w:t>
      </w:r>
      <w:r>
        <w:rPr>
          <w:rFonts w:eastAsia="Times New Roman"/>
          <w:vanish/>
        </w:rPr>
        <w:t>6-300000884614ugi:CommercialandIndustrialMember2018-10-012019-06-300000884614us-gaap:IntersegmentEliminationMemberugi:CommercialandIndustrialMember2018-10-012019-06-300000884614us-gaap:OperatingSegmentsMemberugi:AmerigasPropaneMemberugi:CommercialandIndust</w:t>
      </w:r>
      <w:r>
        <w:rPr>
          <w:rFonts w:eastAsia="Times New Roman"/>
          <w:vanish/>
        </w:rPr>
        <w:t>rialMember2018-10-012019-06-300000884614us-gaap:OperatingSegmentsMemberugi:CommercialandIndustrialMemberugi:UGIInternationalMember2018-10-012019-06-300000884614us-gaap:OperatingSegmentsMemberugi:MidstreamAndMarketingMemberugi:CommercialandIndustrialMember2</w:t>
      </w:r>
      <w:r>
        <w:rPr>
          <w:rFonts w:eastAsia="Times New Roman"/>
          <w:vanish/>
        </w:rPr>
        <w:t>018-10-012019-06-300000884614us-gaap:OperatingSegmentsMemberugi:UgiUtilitiesMemberugi:CommercialandIndustrialMember2018-10-012019-06-300000884614us-gaap:CorporateNonSegmentMemberugi:CommercialandIndustrialMember2018-10-012019-06-300000884614ugi:LargeDelive</w:t>
      </w:r>
      <w:r>
        <w:rPr>
          <w:rFonts w:eastAsia="Times New Roman"/>
          <w:vanish/>
        </w:rPr>
        <w:t>ryServiceMember2018-10-012019-06-300000884614ugi:LargeDeliveryServiceMemberus-gaap:IntersegmentEliminationMember2018-10-012019-06-300000884614us-gaap:OperatingSegmentsMemberugi:LargeDeliveryServiceMemberugi:AmerigasPropaneMember2018-10-012019-06-3000008846</w:t>
      </w:r>
      <w:r>
        <w:rPr>
          <w:rFonts w:eastAsia="Times New Roman"/>
          <w:vanish/>
        </w:rPr>
        <w:t>14us-gaap:OperatingSegmentsMemberugi:LargeDeliveryServiceMemberugi:UGIInternationalMember2018-10-012019-06-300000884614us-gaap:OperatingSegmentsMemberugi:LargeDeliveryServiceMemberugi:MidstreamAndMarketingMember2018-10-012019-06-300000884614us-gaap:Operati</w:t>
      </w:r>
      <w:r>
        <w:rPr>
          <w:rFonts w:eastAsia="Times New Roman"/>
          <w:vanish/>
        </w:rPr>
        <w:t>ngSegmentsMemberugi:LargeDeliveryServiceMemberugi:UgiUtilitiesMember2018-10-012019-06-300000884614ugi:LargeDeliveryServiceMemberus-gaap:CorporateNonSegmentMember2018-10-012019-06-300000884614ugi:OffSystemSalesandCapacityReleasesMember2018-10-012019-06-3000</w:t>
      </w:r>
      <w:r>
        <w:rPr>
          <w:rFonts w:eastAsia="Times New Roman"/>
          <w:vanish/>
        </w:rPr>
        <w:t>00884614ugi:OffSystemSalesandCapacityReleasesMemberus-gaap:IntersegmentEliminationMember2018-10-012019-06-300000884614us-gaap:OperatingSegmentsMemberugi:OffSystemSalesandCapacityReleasesMemberugi:AmerigasPropaneMember2018-10-012019-06-300000884614us-gaap:O</w:t>
      </w:r>
      <w:r>
        <w:rPr>
          <w:rFonts w:eastAsia="Times New Roman"/>
          <w:vanish/>
        </w:rPr>
        <w:t>peratingSegmentsMemberugi:OffSystemSalesandCapacityReleasesMemberugi:UGIInternationalMember2018-10-012019-06-300000884614us-gaap:OperatingSegmentsMemberugi:OffSystemSalesandCapacityReleasesMemberugi:MidstreamAndMarketingMember2018-10-012019-06-300000884614</w:t>
      </w:r>
      <w:r>
        <w:rPr>
          <w:rFonts w:eastAsia="Times New Roman"/>
          <w:vanish/>
        </w:rPr>
        <w:t>us-gaap:OperatingSegmentsMemberugi:OffSystemSalesandCapacityReleasesMemberugi:UgiUtilitiesMember2018-10-012019-06-300000884614ugi:OffSystemSalesandCapacityReleasesMemberus-gaap:CorporateNonSegmentMember2018-10-012019-06-300000884614ugi:UtilityOtherMember20</w:t>
      </w:r>
      <w:r>
        <w:rPr>
          <w:rFonts w:eastAsia="Times New Roman"/>
          <w:vanish/>
        </w:rPr>
        <w:t>18-10-012019-06-300000884614ugi:UtilityOtherMemberus-gaap:IntersegmentEliminationMember2018-10-012019-06-300000884614us-gaap:OperatingSegmentsMemberugi:UtilityOtherMemberugi:AmerigasPropaneMember2018-10-012019-06-300000884614us-gaap:OperatingSegmentsMember</w:t>
      </w:r>
      <w:r>
        <w:rPr>
          <w:rFonts w:eastAsia="Times New Roman"/>
          <w:vanish/>
        </w:rPr>
        <w:t>ugi:UtilityOtherMemberugi:UGIInternationalMember2018-10-012019-06-300000884614us-gaap:OperatingSegmentsMemberugi:UtilityOtherMemberugi:MidstreamAndMarketingMember2018-10-012019-06-300000884614us-gaap:OperatingSegmentsMemberugi:UtilityOtherMemberugi:UgiUtil</w:t>
      </w:r>
      <w:r>
        <w:rPr>
          <w:rFonts w:eastAsia="Times New Roman"/>
          <w:vanish/>
        </w:rPr>
        <w:t>itiesMember2018-10-012019-06-300000884614ugi:UtilityOtherMemberus-gaap:CorporateNonSegmentMember2018-10-012019-06-300000884614ugi:UtilityMember2018-10-012019-06-300000884614us-gaap:IntersegmentEliminationMemberugi:UtilityMember2018-10-012019-06-30000088461</w:t>
      </w:r>
      <w:r>
        <w:rPr>
          <w:rFonts w:eastAsia="Times New Roman"/>
          <w:vanish/>
        </w:rPr>
        <w:t>4us-gaap:OperatingSegmentsMemberugi:AmerigasPropaneMemberugi:UtilityMember2018-10-012019-06-300000884614us-gaap:OperatingSegmentsMemberugi:UtilityMemberugi:UGIInternationalMember2018-10-012019-06-300000884614us-gaap:OperatingSegmentsMemberugi:UtilityMember</w:t>
      </w:r>
      <w:r>
        <w:rPr>
          <w:rFonts w:eastAsia="Times New Roman"/>
          <w:vanish/>
        </w:rPr>
        <w:t>ugi:MidstreamAndMarketingMember2018-10-012019-06-300000884614us-gaap:OperatingSegmentsMemberugi:UgiUtilitiesMemberugi:UtilityMember2018-10-012019-06-300000884614us-gaap:CorporateNonSegmentMemberugi:UtilityMember2018-10-012019-06-300000884614us-gaap:RetailM</w:t>
      </w:r>
      <w:r>
        <w:rPr>
          <w:rFonts w:eastAsia="Times New Roman"/>
          <w:vanish/>
        </w:rPr>
        <w:t>ember2018-10-012019-06-300000884614us-gaap:IntersegmentEliminationMemberus-gaap:RetailMember2018-10-012019-06-300000884614us-gaap:OperatingSegmentsMemberus-gaap:RetailMemberugi:AmerigasPropaneMember2018-10-012019-06-300000884614us-gaap:OperatingSegmentsMem</w:t>
      </w:r>
      <w:r>
        <w:rPr>
          <w:rFonts w:eastAsia="Times New Roman"/>
          <w:vanish/>
        </w:rPr>
        <w:t>berus-gaap:RetailMemberugi:UGIInternationalMember2018-10-012019-06-300000884614us-gaap:OperatingSegmentsMemberus-gaap:RetailMemberugi:MidstreamAndMarketingMember2018-10-012019-06-300000884614us-gaap:OperatingSegmentsMemberugi:UgiUtilitiesMemberus-gaap:Reta</w:t>
      </w:r>
      <w:r>
        <w:rPr>
          <w:rFonts w:eastAsia="Times New Roman"/>
          <w:vanish/>
        </w:rPr>
        <w:t>ilMember2018-10-012019-06-300000884614us-gaap:RetailMemberus-gaap:CorporateNonSegmentMember2018-10-012019-06-300000884614ugi:WholesaleMember2018-10-012019-06-300000884614us-gaap:IntersegmentEliminationMemberugi:WholesaleMember2018-10-012019-06-300000884614</w:t>
      </w:r>
      <w:r>
        <w:rPr>
          <w:rFonts w:eastAsia="Times New Roman"/>
          <w:vanish/>
        </w:rPr>
        <w:t>us-gaap:OperatingSegmentsMemberugi:AmerigasPropaneMemberugi:WholesaleMember2018-10-012019-06-300000884614us-gaap:OperatingSegmentsMemberugi:WholesaleMemberugi:UGIInternationalMember2018-10-012019-06-300000884614us-gaap:OperatingSegmentsMemberugi:WholesaleM</w:t>
      </w:r>
      <w:r>
        <w:rPr>
          <w:rFonts w:eastAsia="Times New Roman"/>
          <w:vanish/>
        </w:rPr>
        <w:t>emberugi:MidstreamAndMarketingMember2018-10-012019-06-300000884614us-gaap:OperatingSegmentsMemberugi:UgiUtilitiesMemberugi:WholesaleMember2018-10-012019-06-300000884614ugi:WholesaleMemberus-gaap:CorporateNonSegmentMember2018-10-012019-06-300000884614ugi:En</w:t>
      </w:r>
      <w:r>
        <w:rPr>
          <w:rFonts w:eastAsia="Times New Roman"/>
          <w:vanish/>
        </w:rPr>
        <w:t>ergyMarketingMember2018-10-012019-06-300000884614us-gaap:IntersegmentEliminationMemberugi:EnergyMarketingMember2018-10-012019-06-300000884614us-gaap:OperatingSegmentsMemberugi:AmerigasPropaneMemberugi:EnergyMarketingMember2018-10-012019-06-300000884614us-g</w:t>
      </w:r>
      <w:r>
        <w:rPr>
          <w:rFonts w:eastAsia="Times New Roman"/>
          <w:vanish/>
        </w:rPr>
        <w:t>aap:OperatingSegmentsMemberugi:EnergyMarketingMemberugi:UGIInternationalMember2018-10-012019-06-300000884614us-gaap:OperatingSegmentsMemberugi:MidstreamAndMarketingMemberugi:EnergyMarketingMember2018-10-012019-06-300000884614us-gaap:OperatingSegmentsMember</w:t>
      </w:r>
      <w:r>
        <w:rPr>
          <w:rFonts w:eastAsia="Times New Roman"/>
          <w:vanish/>
        </w:rPr>
        <w:t>ugi:UgiUtilitiesMemberugi:EnergyMarketingMember2018-10-012019-06-300000884614us-gaap:CorporateNonSegmentMemberugi:EnergyMarketingMember2018-10-012019-06-300000884614ugi:PipelineMember2018-10-012019-06-300000884614us-gaap:IntersegmentEliminationMemberugi:Pi</w:t>
      </w:r>
      <w:r>
        <w:rPr>
          <w:rFonts w:eastAsia="Times New Roman"/>
          <w:vanish/>
        </w:rPr>
        <w:t>pelineMember2018-10-012019-06-300000884614us-gaap:OperatingSegmentsMemberugi:PipelineMemberugi:AmerigasPropaneMember2018-10-012019-06-300000884614us-gaap:OperatingSegmentsMemberugi:PipelineMemberugi:UGIInternationalMember2018-10-012019-06-300000884614us-ga</w:t>
      </w:r>
      <w:r>
        <w:rPr>
          <w:rFonts w:eastAsia="Times New Roman"/>
          <w:vanish/>
        </w:rPr>
        <w:t>ap:OperatingSegmentsMemberugi:PipelineMemberugi:MidstreamAndMarketingMember2018-10-012019-06-300000884614us-gaap:OperatingSegmentsMemberugi:UgiUtilitiesMemberugi:PipelineMember2018-10-012019-06-300000884614ugi:PipelineMemberus-gaap:CorporateNonSegmentMembe</w:t>
      </w:r>
      <w:r>
        <w:rPr>
          <w:rFonts w:eastAsia="Times New Roman"/>
          <w:vanish/>
        </w:rPr>
        <w:t>r2018-10-012019-06-300000884614ugi:PeakingMember2018-10-012019-06-300000884614us-gaap:IntersegmentEliminationMemberugi:PeakingMember2018-10-012019-06-300000884614us-gaap:OperatingSegmentsMemberugi:AmerigasPropaneMemberugi:PeakingMember2018-10-012019-06-300</w:t>
      </w:r>
      <w:r>
        <w:rPr>
          <w:rFonts w:eastAsia="Times New Roman"/>
          <w:vanish/>
        </w:rPr>
        <w:t>000884614us-gaap:OperatingSegmentsMemberugi:PeakingMemberugi:UGIInternationalMember2018-10-012019-06-300000884614us-gaap:OperatingSegmentsMemberugi:MidstreamAndMarketingMemberugi:PeakingMember2018-10-012019-06-300000884614us-gaap:OperatingSegmentsMemberugi</w:t>
      </w:r>
      <w:r>
        <w:rPr>
          <w:rFonts w:eastAsia="Times New Roman"/>
          <w:vanish/>
        </w:rPr>
        <w:t>:UgiUtilitiesMemberugi:PeakingMember2018-10-012019-06-300000884614us-gaap:CorporateNonSegmentMemberugi:PeakingMember2018-10-012019-06-300000884614ugi:MidstreamOtherMember2018-10-012019-06-300000884614us-gaap:IntersegmentEliminationMemberugi:MidstreamOtherM</w:t>
      </w:r>
      <w:r>
        <w:rPr>
          <w:rFonts w:eastAsia="Times New Roman"/>
          <w:vanish/>
        </w:rPr>
        <w:t>ember2018-10-012019-06-300000884614us-gaap:OperatingSegmentsMemberugi:AmerigasPropaneMemberugi:MidstreamOtherMember2018-10-012019-06-300000884614us-gaap:OperatingSegmentsMemberugi:MidstreamOtherMemberugi:UGIInternationalMember2018-10-012019-06-300000884614</w:t>
      </w:r>
      <w:r>
        <w:rPr>
          <w:rFonts w:eastAsia="Times New Roman"/>
          <w:vanish/>
        </w:rPr>
        <w:t>us-gaap:OperatingSegmentsMemberugi:MidstreamOtherMemberugi:MidstreamAndMarketingMember2018-10-012019-06-300000884614us-gaap:OperatingSegmentsMemberugi:UgiUtilitiesMemberugi:MidstreamOtherMember2018-10-012019-06-300000884614ugi:MidstreamOtherMemberus-gaap:C</w:t>
      </w:r>
      <w:r>
        <w:rPr>
          <w:rFonts w:eastAsia="Times New Roman"/>
          <w:vanish/>
        </w:rPr>
        <w:t>orporateNonSegmentMember2018-10-012019-06-300000884614us-gaap:ElectricityGenerationMember2018-10-012019-06-300000884614us-gaap:IntersegmentEliminationMemberus-gaap:ElectricityGenerationMember2018-10-012019-06-300000884614us-gaap:OperatingSegmentsMemberugi:</w:t>
      </w:r>
      <w:r>
        <w:rPr>
          <w:rFonts w:eastAsia="Times New Roman"/>
          <w:vanish/>
        </w:rPr>
        <w:t>AmerigasPropaneMemberus-gaap:ElectricityGenerationMember2018-10-012019-06-300000884614us-gaap:OperatingSegmentsMemberugi:UGIInternationalMemberus-gaap:ElectricityGenerationMember2018-10-012019-06-300000884614us-gaap:OperatingSegmentsMemberugi:MidstreamAndM</w:t>
      </w:r>
      <w:r>
        <w:rPr>
          <w:rFonts w:eastAsia="Times New Roman"/>
          <w:vanish/>
        </w:rPr>
        <w:t>arketingMemberus-gaap:ElectricityGenerationMember2018-10-012019-06-300000884614us-gaap:OperatingSegmentsMemberugi:UgiUtilitiesMemberus-gaap:ElectricityGenerationMember2018-10-012019-06-300000884614us-gaap:CorporateNonSegmentMemberus-gaap:ElectricityGenerat</w:t>
      </w:r>
      <w:r>
        <w:rPr>
          <w:rFonts w:eastAsia="Times New Roman"/>
          <w:vanish/>
        </w:rPr>
        <w:t>ionMember2018-10-012019-06-300000884614ugi:NonutilityOtherMember2018-10-012019-06-300000884614us-gaap:IntersegmentEliminationMemberugi:NonutilityOtherMember2018-10-012019-06-300000884614us-gaap:OperatingSegmentsMemberugi:AmerigasPropaneMemberugi:Nonutility</w:t>
      </w:r>
      <w:r>
        <w:rPr>
          <w:rFonts w:eastAsia="Times New Roman"/>
          <w:vanish/>
        </w:rPr>
        <w:t>OtherMember2018-10-012019-06-300000884614us-gaap:OperatingSegmentsMemberugi:NonutilityOtherMemberugi:UGIInternationalMember2018-10-012019-06-300000884614us-gaap:OperatingSegmentsMemberugi:MidstreamAndMarketingMemberugi:NonutilityOtherMember2018-10-012019-0</w:t>
      </w:r>
      <w:r>
        <w:rPr>
          <w:rFonts w:eastAsia="Times New Roman"/>
          <w:vanish/>
        </w:rPr>
        <w:t>6-300000884614us-gaap:OperatingSegmentsMemberugi:UgiUtilitiesMemberugi:NonutilityOtherMember2018-10-012019-06-300000884614us-gaap:CorporateNonSegmentMemberugi:NonutilityOtherMember2018-10-012019-06-300000884614ugi:NonutilityMember2018-10-012019-06-30000088</w:t>
      </w:r>
      <w:r>
        <w:rPr>
          <w:rFonts w:eastAsia="Times New Roman"/>
          <w:vanish/>
        </w:rPr>
        <w:t>4614us-gaap:IntersegmentEliminationMemberugi:NonutilityMember2018-10-012019-06-300000884614us-gaap:OperatingSegmentsMemberugi:AmerigasPropaneMemberugi:NonutilityMember2018-10-012019-06-300000884614us-gaap:OperatingSegmentsMemberugi:UGIInternationalMemberug</w:t>
      </w:r>
      <w:r>
        <w:rPr>
          <w:rFonts w:eastAsia="Times New Roman"/>
          <w:vanish/>
        </w:rPr>
        <w:t>i:NonutilityMember2018-10-012019-06-300000884614us-gaap:OperatingSegmentsMemberugi:MidstreamAndMarketingMemberugi:NonutilityMember2018-10-012019-06-300000884614us-gaap:OperatingSegmentsMemberugi:UgiUtilitiesMemberugi:NonutilityMember2018-10-012019-06-30000</w:t>
      </w:r>
      <w:r>
        <w:rPr>
          <w:rFonts w:eastAsia="Times New Roman"/>
          <w:vanish/>
        </w:rPr>
        <w:t>0884614us-gaap:CorporateNonSegmentMemberugi:NonutilityMember2018-10-012019-06-300000884614us-gaap:IntersegmentEliminationMember2018-10-012019-06-300000884614us-gaap:OperatingSegmentsMemberugi:AmerigasPropaneMember2018-10-012019-06-300000884614us-gaap:Opera</w:t>
      </w:r>
      <w:r>
        <w:rPr>
          <w:rFonts w:eastAsia="Times New Roman"/>
          <w:vanish/>
        </w:rPr>
        <w:t>tingSegmentsMemberugi:UGIInternationalMember2018-10-012019-06-300000884614us-gaap:OperatingSegmentsMemberugi:MidstreamAndMarketingMember2018-10-012019-06-300000884614us-gaap:OperatingSegmentsMemberugi:UgiUtilitiesMember2018-10-012019-06-300000884614us-gaap</w:t>
      </w:r>
      <w:r>
        <w:rPr>
          <w:rFonts w:eastAsia="Times New Roman"/>
          <w:vanish/>
        </w:rPr>
        <w:t>:CorporateNonSegmentMember2018-10-012019-06-300000884614ugi:MidstreamAndMarketingMember2020-06-300000884614ugi:UgiUtilitiesMember2020-06-300000884614ugi:PennantMembersrt:AffiliatedEntityMemberugi:CMGMember2019-08-010000884614ugi:CMGMember2019-08-012019-08-</w:t>
      </w:r>
      <w:r>
        <w:rPr>
          <w:rFonts w:eastAsia="Times New Roman"/>
          <w:vanish/>
        </w:rPr>
        <w:t>010000884614ugi:CMGMember2019-08-010000884614us-gaap:CustomerRelationshipsMemberugi:CMGMember2019-08-012019-08-010000884614ugi:NonUtilityLpgAndNaturalGasMember2020-06-300000884614ugi:NonUtilityLpgAndNaturalGasMember2019-09-300000884614ugi:NonUtilityLpgAndN</w:t>
      </w:r>
      <w:r>
        <w:rPr>
          <w:rFonts w:eastAsia="Times New Roman"/>
          <w:vanish/>
        </w:rPr>
        <w:t>aturalGasMember2019-06-300000884614ugi:GasUtilityNaturalGasMember2020-06-300000884614ugi:GasUtilityNaturalGasMember2019-09-300000884614ugi:GasUtilityNaturalGasMember2019-06-300000884614ugi:MaterialsSuppliesAndOtherMember2020-06-300000884614ugi:MaterialsSup</w:t>
      </w:r>
      <w:r>
        <w:rPr>
          <w:rFonts w:eastAsia="Times New Roman"/>
          <w:vanish/>
        </w:rPr>
        <w:t>pliesAndOtherMember2019-09-300000884614ugi:MaterialsSuppliesAndOtherMember2019-06-30ugi:storage_agreement0000884614ugi:UgiUtilitiesMember2020-06-300000884614ugi:UgiUtilitiesMember2019-10-012020-06-300000884614ugi:IncomeTaxesRecoverableMemberugi:UgiUtilitie</w:t>
      </w:r>
      <w:r>
        <w:rPr>
          <w:rFonts w:eastAsia="Times New Roman"/>
          <w:vanish/>
        </w:rPr>
        <w:t>sMember2020-06-300000884614ugi:IncomeTaxesRecoverableMemberugi:UgiUtilitiesMember2019-09-300000884614ugi:IncomeTaxesRecoverableMemberugi:UgiUtilitiesMember2019-06-300000884614us-gaap:PensionCostsMemberugi:UgiUtilitiesMember2020-06-300000884614us-gaap:Pensi</w:t>
      </w:r>
      <w:r>
        <w:rPr>
          <w:rFonts w:eastAsia="Times New Roman"/>
          <w:vanish/>
        </w:rPr>
        <w:t>onCostsMemberugi:UgiUtilitiesMember2019-09-300000884614us-gaap:PensionCostsMemberugi:UgiUtilitiesMember2019-06-300000884614ugi:UgiUtilitiesMemberus-gaap:EnvironmentalRestorationCostsMember2020-06-300000884614ugi:UgiUtilitiesMemberus-gaap:EnvironmentalResto</w:t>
      </w:r>
      <w:r>
        <w:rPr>
          <w:rFonts w:eastAsia="Times New Roman"/>
          <w:vanish/>
        </w:rPr>
        <w:t>rationCostsMember2019-09-300000884614ugi:UgiUtilitiesMemberus-gaap:EnvironmentalRestorationCostsMember2019-06-300000884614ugi:RemovalCostsNetMemberugi:UgiUtilitiesMember2020-06-300000884614ugi:RemovalCostsNetMemberugi:UgiUtilitiesMember2019-09-300000884614</w:t>
      </w:r>
      <w:r>
        <w:rPr>
          <w:rFonts w:eastAsia="Times New Roman"/>
          <w:vanish/>
        </w:rPr>
        <w:t>ugi:RemovalCostsNetMemberugi:UgiUtilitiesMember2019-06-300000884614ugi:OtherRegulatoryAssetsMemberugi:UgiUtilitiesMember2020-06-300000884614ugi:OtherRegulatoryAssetsMemberugi:UgiUtilitiesMember2019-09-300000884614ugi:OtherRegulatoryAssetsMemberugi:UgiUtili</w:t>
      </w:r>
      <w:r>
        <w:rPr>
          <w:rFonts w:eastAsia="Times New Roman"/>
          <w:vanish/>
        </w:rPr>
        <w:t>tiesMember2019-06-300000884614ugi:UgiUtilitiesMember2019-09-300000884614ugi:UgiUtilitiesMember2019-06-300000884614us-gaap:PostretirementBenefitCostsMemberugi:UgiUtilitiesMember2020-06-300000884614us-gaap:PostretirementBenefitCostsMemberugi:UgiUtilitiesMemb</w:t>
      </w:r>
      <w:r>
        <w:rPr>
          <w:rFonts w:eastAsia="Times New Roman"/>
          <w:vanish/>
        </w:rPr>
        <w:t>er2019-09-300000884614us-gaap:PostretirementBenefitCostsMemberugi:UgiUtilitiesMember2019-06-300000884614ugi:UgiUtilitiesMemberugi:DeferredFuelAndPowerRefundsMember2020-06-300000884614ugi:UgiUtilitiesMemberugi:DeferredFuelAndPowerRefundsMember2019-09-300000</w:t>
      </w:r>
      <w:r>
        <w:rPr>
          <w:rFonts w:eastAsia="Times New Roman"/>
          <w:vanish/>
        </w:rPr>
        <w:t>884614ugi:UgiUtilitiesMemberugi:DeferredFuelAndPowerRefundsMember2019-06-300000884614us-gaap:DeferredIncomeTaxChargesMemberugi:UgiUtilitiesMember2020-06-300000884614us-gaap:DeferredIncomeTaxChargesMemberugi:UgiUtilitiesMember2019-09-300000884614us-gaap:Def</w:t>
      </w:r>
      <w:r>
        <w:rPr>
          <w:rFonts w:eastAsia="Times New Roman"/>
          <w:vanish/>
        </w:rPr>
        <w:t>erredIncomeTaxChargesMemberugi:UgiUtilitiesMember2019-06-300000884614ugi:PAPUCTemporaryRatesOrderMemberugi:UgiUtilitiesMember2020-06-300000884614ugi:PAPUCTemporaryRatesOrderMemberugi:UgiUtilitiesMember2019-09-300000884614ugi:PAPUCTemporaryRatesOrderMemberu</w:t>
      </w:r>
      <w:r>
        <w:rPr>
          <w:rFonts w:eastAsia="Times New Roman"/>
          <w:vanish/>
        </w:rPr>
        <w:t>gi:UgiUtilitiesMember2019-06-300000884614ugi:ExcessFederalDeferredIncomeTaxesMemberugi:UgiUtilitiesMember2020-06-300000884614ugi:ExcessFederalDeferredIncomeTaxesMemberugi:UgiUtilitiesMember2019-09-300000884614ugi:ExcessFederalDeferredIncomeTaxesMemberugi:U</w:t>
      </w:r>
      <w:r>
        <w:rPr>
          <w:rFonts w:eastAsia="Times New Roman"/>
          <w:vanish/>
        </w:rPr>
        <w:t>giUtilitiesMember2019-06-300000884614us-gaap:OtherLiabilitiesMemberugi:UgiUtilitiesMember2020-06-300000884614us-gaap:OtherLiabilitiesMemberugi:UgiUtilitiesMember2019-09-300000884614us-gaap:OtherLiabilitiesMemberugi:UgiUtilitiesMember2019-06-300000884614ugi</w:t>
      </w:r>
      <w:r>
        <w:rPr>
          <w:rFonts w:eastAsia="Times New Roman"/>
          <w:vanish/>
        </w:rPr>
        <w:t>:GasUtilityMember2020-06-300000884614ugi:GasUtilityMember2019-09-300000884614ugi:GasUtilityMember2019-06-300000884614ugi:PennsylvaniaPublicUtilityCommissionMemberugi:UGIGasMember2020-01-282020-01-280000884614us-gaap:SubsequentEventMemberugi:PennsylvaniaPub</w:t>
      </w:r>
      <w:r>
        <w:rPr>
          <w:rFonts w:eastAsia="Times New Roman"/>
          <w:vanish/>
        </w:rPr>
        <w:t>licUtilityCommissionMemberugi:UGIGasMember2020-08-032020-08-030000884614us-gaap:SubsequentEventMemberugi:PennsylvaniaPublicUtilityCommissionMemberugi:UGIGasMemberugi:PublicUtilityRequestedRateIncreaseTermOneMember2020-08-032020-08-030000884614us-gaap:Subse</w:t>
      </w:r>
      <w:r>
        <w:rPr>
          <w:rFonts w:eastAsia="Times New Roman"/>
          <w:vanish/>
        </w:rPr>
        <w:t>quentEventMemberugi:PennsylvaniaPublicUtilityCommissionMemberugi:UGIGasMemberugi:PublicUtilityRequestedRateIncreaseTermTwoMember2020-08-032020-08-030000884614us-gaap:SubsequentEventMemberugi:PennsylvaniaPublicUtilityCommissionMemberugi:UGIGasMember2020-08-</w:t>
      </w:r>
      <w:r>
        <w:rPr>
          <w:rFonts w:eastAsia="Times New Roman"/>
          <w:vanish/>
        </w:rPr>
        <w:t>030000884614ugi:PennsylvaniaPublicUtilityCommissionMemberugi:UGIGasMember2019-01-282019-01-280000884614ugi:PennsylvaniaPublicUtilityCommissionMemberugi:UGIGasMember2019-10-112019-10-110000884614ugi:PennsylvaniaPublicUtilityCommissionMemberugi:ElectricUtili</w:t>
      </w:r>
      <w:r>
        <w:rPr>
          <w:rFonts w:eastAsia="Times New Roman"/>
          <w:vanish/>
        </w:rPr>
        <w:t>tyMember2018-10-252018-10-250000884614ugi:PennsylvaniaPublicUtilityCommissionMemberugi:ElectricUtilityMember2018-10-272018-10-270000884614srt:MinimumMemberus-gaap:VehiclesMember2020-06-300000884614srt:MaximumMemberus-gaap:VehiclesMember2020-06-300000884614</w:t>
      </w:r>
      <w:r>
        <w:rPr>
          <w:rFonts w:eastAsia="Times New Roman"/>
          <w:vanish/>
        </w:rPr>
        <w:t>ugi:AmerigasPropaneMemberugi:LeaseLiabilityTotalMemberugi:SegmentConcentrationRiskMember2019-10-012020-06-300000884614us-gaap:LineOfCreditMemberugi:EnergyServicesCreditAgreementMemberugi:EnergyServicesMember2020-03-060000884614us-gaap:LineOfCreditMemberus-</w:t>
      </w:r>
      <w:r>
        <w:rPr>
          <w:rFonts w:eastAsia="Times New Roman"/>
          <w:vanish/>
        </w:rPr>
        <w:t>gaap:LetterOfCreditMemberugi:EnergyServicesCreditAgreementMemberugi:EnergyServicesMember2020-03-060000884614us-gaap:LineOfCreditMemberugi:EnergyServicesCreditAgreementMemberus-gaap:FederalFundsEffectiveSwapRateMemberugi:EnergyServicesMember2020-03-062020-0</w:t>
      </w:r>
      <w:r>
        <w:rPr>
          <w:rFonts w:eastAsia="Times New Roman"/>
          <w:vanish/>
        </w:rPr>
        <w:t>3-060000884614us-gaap:LineOfCreditMemberus-gaap:LondonInterbankOfferedRateLIBORMemberugi:EnergyServicesCreditAgreementMemberugi:EnergyServicesMember2020-03-062020-03-060000884614us-gaap:LineOfCreditMemberugi:EnergyServicesCreditAgreementMemberugi:EnergySer</w:t>
      </w:r>
      <w:r>
        <w:rPr>
          <w:rFonts w:eastAsia="Times New Roman"/>
          <w:vanish/>
        </w:rPr>
        <w:t>vicesMember2020-03-062020-03-060000884614srt:MinimumMemberus-gaap:LineOfCreditMemberugi:EnergyServicesCreditAgreementMemberugi:EnergyServicesMember2020-03-062020-03-060000884614us-gaap:LineOfCreditMembersrt:MaximumMemberugi:EnergyServicesCreditAgreementMem</w:t>
      </w:r>
      <w:r>
        <w:rPr>
          <w:rFonts w:eastAsia="Times New Roman"/>
          <w:vanish/>
        </w:rPr>
        <w:t>berugi:EnergyServicesMember2020-03-062020-03-060000884614srt:MinimumMemberus-gaap:LineOfCreditMemberugi:EnergyServicesCreditAgreementMemberugi:AlternateRateAndAdjustedLIBORMemberugi:EnergyServicesMember2020-03-062020-03-060000884614us-gaap:LineOfCreditMemb</w:t>
      </w:r>
      <w:r>
        <w:rPr>
          <w:rFonts w:eastAsia="Times New Roman"/>
          <w:vanish/>
        </w:rPr>
        <w:t>ersrt:MaximumMemberugi:EnergyServicesCreditAgreementMemberugi:AlternateRateAndAdjustedLIBORMemberugi:EnergyServicesMember2020-03-062020-03-060000884614us-gaap:SeniorNotesMemberugi:UgiUtilitiesMemberugi:A312SeniorNotesDueApril2050Member2020-04-16ugi:subsidi</w:t>
      </w:r>
      <w:r>
        <w:rPr>
          <w:rFonts w:eastAsia="Times New Roman"/>
          <w:vanish/>
        </w:rPr>
        <w:t>ary0000884614ugi:PNGandCPGMemberugi:UgiUtilitiesMember2020-06-30ugi:agreement0000884614ugi:CPGCOA.PNGCOAandUGIGasCOAMember2020-06-300000884614ugi:CPGCOA.PNGCOAandUGIGasCOAMember2019-09-300000884614ugi:CPGCOA.PNGCOAandUGIGasCOAMember2019-06-30ugi:record_of_</w:t>
      </w:r>
      <w:r>
        <w:rPr>
          <w:rFonts w:eastAsia="Times New Roman"/>
          <w:vanish/>
        </w:rPr>
        <w:t>decision0000884614ugi:SaranacLakeNewYorkMemberugi:NewYorkStateDepartmentofEnvironmentConservationRemediationPlanMemberugi:AmeriGasOLPMember2017-01-012017-12-310000884614ugi:SaranacLakeNewYorkMemberugi:NewYorkStateDepartmentofEnvironmentConservationRemediat</w:t>
      </w:r>
      <w:r>
        <w:rPr>
          <w:rFonts w:eastAsia="Times New Roman"/>
          <w:vanish/>
        </w:rPr>
        <w:t>ionPlanMemberugi:AmeriGasOLPMember2017-09-300000884614ugi:SaranacLakeNewYorkMemberugi:NewYorkStateDepartmentofEnvironmentConservationRemediationPlanMemberugi:AmeriGasOLPMember2020-06-30utr:lb00008846142007-01-012007-12-3100008846142008-01-012008-12-3100008</w:t>
      </w:r>
      <w:r>
        <w:rPr>
          <w:rFonts w:eastAsia="Times New Roman"/>
          <w:vanish/>
        </w:rPr>
        <w:t>84614us-gaap:PensionPlansDefinedBenefitMember2020-04-012020-06-300000884614us-gaap:PensionPlansDefinedBenefitMember2019-04-012019-06-300000884614us-gaap:OtherPostretirementBenefitPlansDefinedBenefitMember2020-04-012020-06-300000884614us-gaap:OtherPostretir</w:t>
      </w:r>
      <w:r>
        <w:rPr>
          <w:rFonts w:eastAsia="Times New Roman"/>
          <w:vanish/>
        </w:rPr>
        <w:t>ementBenefitPlansDefinedBenefitMember2019-04-012019-06-300000884614us-gaap:PensionPlansDefinedBenefitMember2019-10-012020-06-300000884614us-gaap:PensionPlansDefinedBenefitMember2018-10-012019-06-300000884614us-gaap:OtherPostretirementBenefitPlansDefinedBen</w:t>
      </w:r>
      <w:r>
        <w:rPr>
          <w:rFonts w:eastAsia="Times New Roman"/>
          <w:vanish/>
        </w:rPr>
        <w:t>efitMember2019-10-012020-06-300000884614us-gaap:OtherPostretirementBenefitPlansDefinedBenefitMember2018-10-012019-06-300000884614us-gaap:NonqualifiedPlanMemberus-gaap:UnfundedPlanMember2020-04-012020-06-300000884614us-gaap:FairValueInputsLevel1Memberus-gaa</w:t>
      </w:r>
      <w:r>
        <w:rPr>
          <w:rFonts w:eastAsia="Times New Roman"/>
          <w:vanish/>
        </w:rPr>
        <w:t>p:FairValueMeasurementsRecurringMemberus-gaap:CommodityContractMember2020-06-300000884614us-gaap:FairValueMeasurementsRecurringMemberus-gaap:FairValueInputsLevel2Memberus-gaap:CommodityContractMember2020-06-300000884614us-gaap:FairValueInputsLevel3Memberus</w:t>
      </w:r>
      <w:r>
        <w:rPr>
          <w:rFonts w:eastAsia="Times New Roman"/>
          <w:vanish/>
        </w:rPr>
        <w:t>-gaap:FairValueMeasurementsRecurringMemberus-gaap:CommodityContractMember2020-06-300000884614us-gaap:FairValueMeasurementsRecurringMemberus-gaap:CommodityContractMember2020-06-300000884614us-gaap:ForeignExchangeContractMemberus-gaap:FairValueInputsLevel1Me</w:t>
      </w:r>
      <w:r>
        <w:rPr>
          <w:rFonts w:eastAsia="Times New Roman"/>
          <w:vanish/>
        </w:rPr>
        <w:t>mberus-gaap:FairValueMeasurementsRecurringMember2020-06-300000884614us-gaap:ForeignExchangeContractMemberus-gaap:FairValueMeasurementsRecurringMemberus-gaap:FairValueInputsLevel2Member2020-06-300000884614us-gaap:ForeignExchangeContractMemberus-gaap:FairVal</w:t>
      </w:r>
      <w:r>
        <w:rPr>
          <w:rFonts w:eastAsia="Times New Roman"/>
          <w:vanish/>
        </w:rPr>
        <w:t>ueInputsLevel3Memberus-gaap:FairValueMeasurementsRecurringMember2020-06-300000884614us-gaap:ForeignExchangeContractMemberus-gaap:FairValueMeasurementsRecurringMember2020-06-300000884614us-gaap:FairValueInputsLevel1Memberus-gaap:FairValueMeasurementsRecurri</w:t>
      </w:r>
      <w:r>
        <w:rPr>
          <w:rFonts w:eastAsia="Times New Roman"/>
          <w:vanish/>
        </w:rPr>
        <w:t>ngMemberus-gaap:InterestRateContractMember2020-06-300000884614us-gaap:FairValueMeasurementsRecurringMemberus-gaap:FairValueInputsLevel2Memberus-gaap:InterestRateContractMember2020-06-300000884614us-gaap:FairValueInputsLevel3Memberus-gaap:FairValueMeasureme</w:t>
      </w:r>
      <w:r>
        <w:rPr>
          <w:rFonts w:eastAsia="Times New Roman"/>
          <w:vanish/>
        </w:rPr>
        <w:t>ntsRecurringMemberus-gaap:InterestRateContractMember2020-06-300000884614us-gaap:FairValueMeasurementsRecurringMemberus-gaap:InterestRateContractMember2020-06-300000884614us-gaap:FairValueInputsLevel1Memberus-gaap:FairValueMeasurementsRecurringMember2020-06</w:t>
      </w:r>
      <w:r>
        <w:rPr>
          <w:rFonts w:eastAsia="Times New Roman"/>
          <w:vanish/>
        </w:rPr>
        <w:t>-300000884614us-gaap:FairValueMeasurementsRecurringMemberus-gaap:FairValueInputsLevel2Member2020-06-300000884614us-gaap:FairValueInputsLevel3Memberus-gaap:FairValueMeasurementsRecurringMember2020-06-300000884614us-gaap:FairValueMeasurementsRecurringMember2</w:t>
      </w:r>
      <w:r>
        <w:rPr>
          <w:rFonts w:eastAsia="Times New Roman"/>
          <w:vanish/>
        </w:rPr>
        <w:t>020-06-300000884614us-gaap:FairValueInputsLevel1Memberus-gaap:FairValueMeasurementsRecurringMemberus-gaap:CommodityContractMember2019-09-300000884614us-gaap:FairValueMeasurementsRecurringMemberus-gaap:FairValueInputsLevel2Memberus-gaap:CommodityContractMem</w:t>
      </w:r>
      <w:r>
        <w:rPr>
          <w:rFonts w:eastAsia="Times New Roman"/>
          <w:vanish/>
        </w:rPr>
        <w:t>ber2019-09-300000884614us-gaap:FairValueInputsLevel3Memberus-gaap:FairValueMeasurementsRecurringMemberus-gaap:CommodityContractMember2019-09-300000884614us-gaap:FairValueMeasurementsRecurringMemberus-gaap:CommodityContractMember2019-09-300000884614us-gaap:</w:t>
      </w:r>
      <w:r>
        <w:rPr>
          <w:rFonts w:eastAsia="Times New Roman"/>
          <w:vanish/>
        </w:rPr>
        <w:t>ForeignExchangeContractMemberus-gaap:FairValueInputsLevel1Memberus-gaap:FairValueMeasurementsRecurringMember2019-09-300000884614us-gaap:ForeignExchangeContractMemberus-gaap:FairValueMeasurementsRecurringMemberus-gaap:FairValueInputsLevel2Member2019-09-3000</w:t>
      </w:r>
      <w:r>
        <w:rPr>
          <w:rFonts w:eastAsia="Times New Roman"/>
          <w:vanish/>
        </w:rPr>
        <w:t>00884614us-gaap:ForeignExchangeContractMemberus-gaap:FairValueInputsLevel3Memberus-gaap:FairValueMeasurementsRecurringMember2019-09-300000884614us-gaap:ForeignExchangeContractMemberus-gaap:FairValueMeasurementsRecurringMember2019-09-300000884614us-gaap:Fai</w:t>
      </w:r>
      <w:r>
        <w:rPr>
          <w:rFonts w:eastAsia="Times New Roman"/>
          <w:vanish/>
        </w:rPr>
        <w:t>rValueInputsLevel1Memberus-gaap:FairValueMeasurementsRecurringMemberus-gaap:InterestRateContractMember2019-09-300000884614us-gaap:FairValueMeasurementsRecurringMemberus-gaap:FairValueInputsLevel2Memberus-gaap:InterestRateContractMember2019-09-300000884614u</w:t>
      </w:r>
      <w:r>
        <w:rPr>
          <w:rFonts w:eastAsia="Times New Roman"/>
          <w:vanish/>
        </w:rPr>
        <w:t>s-gaap:FairValueInputsLevel3Memberus-gaap:FairValueMeasurementsRecurringMemberus-gaap:InterestRateContractMember2019-09-300000884614us-gaap:FairValueMeasurementsRecurringMemberus-gaap:InterestRateContractMember2019-09-300000884614us-gaap:FairValueInputsLev</w:t>
      </w:r>
      <w:r>
        <w:rPr>
          <w:rFonts w:eastAsia="Times New Roman"/>
          <w:vanish/>
        </w:rPr>
        <w:t>el1Memberus-gaap:FairValueMeasurementsRecurringMember2019-09-300000884614us-gaap:FairValueMeasurementsRecurringMemberus-gaap:FairValueInputsLevel2Member2019-09-300000884614us-gaap:FairValueInputsLevel3Memberus-gaap:FairValueMeasurementsRecurringMember2019-</w:t>
      </w:r>
      <w:r>
        <w:rPr>
          <w:rFonts w:eastAsia="Times New Roman"/>
          <w:vanish/>
        </w:rPr>
        <w:t>09-300000884614us-gaap:FairValueMeasurementsRecurringMember2019-09-300000884614us-gaap:FairValueInputsLevel1Memberus-gaap:FairValueMeasurementsRecurringMemberus-gaap:CommodityContractMember2019-06-300000884614us-gaap:FairValueMeasurementsRecurringMemberus-</w:t>
      </w:r>
      <w:r>
        <w:rPr>
          <w:rFonts w:eastAsia="Times New Roman"/>
          <w:vanish/>
        </w:rPr>
        <w:t>gaap:FairValueInputsLevel2Memberus-gaap:CommodityContractMember2019-06-300000884614us-gaap:FairValueInputsLevel3Memberus-gaap:FairValueMeasurementsRecurringMemberus-gaap:CommodityContractMember2019-06-300000884614us-gaap:FairValueMeasurementsRecurringMembe</w:t>
      </w:r>
      <w:r>
        <w:rPr>
          <w:rFonts w:eastAsia="Times New Roman"/>
          <w:vanish/>
        </w:rPr>
        <w:t>rus-gaap:CommodityContractMember2019-06-300000884614us-gaap:ForeignExchangeContractMemberus-gaap:FairValueInputsLevel1Memberus-gaap:FairValueMeasurementsRecurringMember2019-06-300000884614us-gaap:ForeignExchangeContractMemberus-gaap:FairValueMeasurementsRe</w:t>
      </w:r>
      <w:r>
        <w:rPr>
          <w:rFonts w:eastAsia="Times New Roman"/>
          <w:vanish/>
        </w:rPr>
        <w:t>curringMemberus-gaap:FairValueInputsLevel2Member2019-06-300000884614us-gaap:ForeignExchangeContractMemberus-gaap:FairValueInputsLevel3Memberus-gaap:FairValueMeasurementsRecurringMember2019-06-300000884614us-gaap:ForeignExchangeContractMemberus-gaap:FairVal</w:t>
      </w:r>
      <w:r>
        <w:rPr>
          <w:rFonts w:eastAsia="Times New Roman"/>
          <w:vanish/>
        </w:rPr>
        <w:t>ueMeasurementsRecurringMember2019-06-300000884614us-gaap:FairValueInputsLevel1Memberus-gaap:FairValueMeasurementsRecurringMemberus-gaap:InterestRateContractMember2019-06-300000884614us-gaap:FairValueMeasurementsRecurringMemberus-gaap:FairValueInputsLevel2M</w:t>
      </w:r>
      <w:r>
        <w:rPr>
          <w:rFonts w:eastAsia="Times New Roman"/>
          <w:vanish/>
        </w:rPr>
        <w:t>emberus-gaap:InterestRateContractMember2019-06-300000884614us-gaap:FairValueInputsLevel3Memberus-gaap:FairValueMeasurementsRecurringMemberus-gaap:InterestRateContractMember2019-06-300000884614us-gaap:FairValueMeasurementsRecurringMemberus-gaap:InterestRate</w:t>
      </w:r>
      <w:r>
        <w:rPr>
          <w:rFonts w:eastAsia="Times New Roman"/>
          <w:vanish/>
        </w:rPr>
        <w:t>ContractMember2019-06-300000884614us-gaap:FairValueInputsLevel1Memberus-gaap:FairValueMeasurementsRecurringMember2019-06-300000884614us-gaap:FairValueMeasurementsRecurringMemberus-gaap:FairValueInputsLevel2Member2019-06-300000884614us-gaap:FairValueInputsL</w:t>
      </w:r>
      <w:r>
        <w:rPr>
          <w:rFonts w:eastAsia="Times New Roman"/>
          <w:vanish/>
        </w:rPr>
        <w:t>evel3Memberus-gaap:FairValueMeasurementsRecurringMember2019-06-300000884614us-gaap:FairValueMeasurementsRecurringMember2019-06-300000884614us-gaap:CarryingReportedAmountFairValueDisclosureMember2020-06-300000884614us-gaap:CarryingReportedAmountFairValueDis</w:t>
      </w:r>
      <w:r>
        <w:rPr>
          <w:rFonts w:eastAsia="Times New Roman"/>
          <w:vanish/>
        </w:rPr>
        <w:t>closureMember2019-09-300000884614us-gaap:CarryingReportedAmountFairValueDisclosureMember2019-06-300000884614us-gaap:EstimateOfFairValueFairValueDisclosureMember2020-06-300000884614us-gaap:EstimateOfFairValueFairValueDisclosureMember2019-09-300000884614us-g</w:t>
      </w:r>
      <w:r>
        <w:rPr>
          <w:rFonts w:eastAsia="Times New Roman"/>
          <w:vanish/>
        </w:rPr>
        <w:t>aap:EstimateOfFairValueFairValueDisclosureMember2019-06-300000884614ugi:InterestRateProtectionAgreementsMember2020-06-300000884614ugi:InterestRateProtectionAgreementsMember2019-09-300000884614ugi:InterestRateProtectionAgreementsMember2019-06-300000884614us</w:t>
      </w:r>
      <w:r>
        <w:rPr>
          <w:rFonts w:eastAsia="Times New Roman"/>
          <w:vanish/>
        </w:rPr>
        <w:t>-gaap:ForeignExchangeForwardMember2020-06-300000884614ugi:A3.25SeniorUnsecuredNotesDueNovember2025Memberus-gaap:SeniorNotesMemberugi:UGIInternationalLLCMember2018-10-25ugi:DTH0000884614us-gaap:RegulatedOperationMemberugi:NaturalGasMemberus-gaap:CommodityCo</w:t>
      </w:r>
      <w:r>
        <w:rPr>
          <w:rFonts w:eastAsia="Times New Roman"/>
          <w:vanish/>
        </w:rPr>
        <w:t>ntractMember2020-06-300000884614us-gaap:RegulatedOperationMemberugi:NaturalGasMemberus-gaap:CommodityContractMember2019-09-300000884614us-gaap:RegulatedOperationMemberugi:NaturalGasMemberus-gaap:CommodityContractMember2019-06-30utr:gal0000884614us-gaap:Pub</w:t>
      </w:r>
      <w:r>
        <w:rPr>
          <w:rFonts w:eastAsia="Times New Roman"/>
          <w:vanish/>
        </w:rPr>
        <w:t>licUtilitiesInventoryPropaneMemberus-gaap:CommodityContractMember2020-06-300000884614us-gaap:PublicUtilitiesInventoryPropaneMemberus-gaap:CommodityContractMember2019-09-300000884614us-gaap:PublicUtilitiesInventoryPropaneMemberus-gaap:CommodityContractMembe</w:t>
      </w:r>
      <w:r>
        <w:rPr>
          <w:rFonts w:eastAsia="Times New Roman"/>
          <w:vanish/>
        </w:rPr>
        <w:t>r2019-06-300000884614ugi:NaturalGasMemberugi:NaturalGasFuturesForwardAndPipelineContractsMember2020-06-300000884614ugi:NaturalGasMemberugi:NaturalGasFuturesForwardAndPipelineContractsMember2019-09-300000884614ugi:NaturalGasMemberugi:NaturalGasFuturesForwar</w:t>
      </w:r>
      <w:r>
        <w:rPr>
          <w:rFonts w:eastAsia="Times New Roman"/>
          <w:vanish/>
        </w:rPr>
        <w:t>dAndPipelineContractsMember2019-06-300000884614ugi:NaturalGasMemberugi:IntercontinentalExchangeGasBasisSwapContractsMember2020-06-300000884614ugi:NaturalGasMemberugi:IntercontinentalExchangeGasBasisSwapContractsMember2019-09-300000884614ugi:NaturalGasMembe</w:t>
      </w:r>
      <w:r>
        <w:rPr>
          <w:rFonts w:eastAsia="Times New Roman"/>
          <w:vanish/>
        </w:rPr>
        <w:t>rugi:IntercontinentalExchangeGasBasisSwapContractsMember2019-06-300000884614ugi:NaturalGasMemberugi:NYMEXNaturalGasStorageMember2020-06-300000884614ugi:NaturalGasMemberugi:NYMEXNaturalGasStorageMember2019-09-300000884614ugi:NaturalGasMemberugi:NYMEXNatural</w:t>
      </w:r>
      <w:r>
        <w:rPr>
          <w:rFonts w:eastAsia="Times New Roman"/>
          <w:vanish/>
        </w:rPr>
        <w:t>GasStorageMember2019-06-300000884614ugi:NYMEXNaturalGasOptionContractsMemberugi:NaturalGasMember2020-06-300000884614ugi:NYMEXNaturalGasOptionContractsMemberugi:NaturalGasMember2019-09-300000884614ugi:NYMEXNaturalGasOptionContractsMemberugi:NaturalGasMember</w:t>
      </w:r>
      <w:r>
        <w:rPr>
          <w:rFonts w:eastAsia="Times New Roman"/>
          <w:vanish/>
        </w:rPr>
        <w:t>2019-06-300000884614us-gaap:PublicUtilitiesInventoryPropaneMemberugi:NYMEXPropaneStorageMember2020-06-300000884614us-gaap:PublicUtilitiesInventoryPropaneMemberugi:NYMEXPropaneStorageMember2019-09-300000884614us-gaap:PublicUtilitiesInventoryPropaneMemberugi</w:t>
      </w:r>
      <w:r>
        <w:rPr>
          <w:rFonts w:eastAsia="Times New Roman"/>
          <w:vanish/>
        </w:rPr>
        <w:t>:NYMEXPropaneStorageMember2019-06-30utr:kWh0000884614us-gaap:ElectricityMemberus-gaap:LongMemberus-gaap:CommodityContractMember2020-06-300000884614us-gaap:ElectricityMemberus-gaap:LongMemberus-gaap:CommodityContractMember2019-09-300000884614us-gaap:Electri</w:t>
      </w:r>
      <w:r>
        <w:rPr>
          <w:rFonts w:eastAsia="Times New Roman"/>
          <w:vanish/>
        </w:rPr>
        <w:t>cityMemberus-gaap:LongMemberus-gaap:CommodityContractMember2019-06-300000884614us-gaap:ShortMemberus-gaap:ElectricityMemberus-gaap:CommodityContractMember2020-06-300000884614us-gaap:ShortMemberus-gaap:ElectricityMemberus-gaap:CommodityContractMember2019-09</w:t>
      </w:r>
      <w:r>
        <w:rPr>
          <w:rFonts w:eastAsia="Times New Roman"/>
          <w:vanish/>
        </w:rPr>
        <w:t>-300000884614us-gaap:ShortMemberus-gaap:ElectricityMemberus-gaap:CommodityContractMember2019-06-30iso4217:EUR0000884614us-gaap:InterestRateSwapMember2020-06-300000884614us-gaap:InterestRateSwapMember2019-09-300000884614us-gaap:InterestRateSwapMember2019-06</w:t>
      </w:r>
      <w:r>
        <w:rPr>
          <w:rFonts w:eastAsia="Times New Roman"/>
          <w:vanish/>
        </w:rPr>
        <w:t>-300000884614us-gaap:ForeignExchangeContractMember2020-06-300000884614us-gaap:ForeignExchangeContractMember2019-09-300000884614us-gaap:ForeignExchangeContractMember2019-06-300000884614us-gaap:ForeignExchangeContractMemberus-gaap:DesignatedAsHedgingInstrume</w:t>
      </w:r>
      <w:r>
        <w:rPr>
          <w:rFonts w:eastAsia="Times New Roman"/>
          <w:vanish/>
        </w:rPr>
        <w:t>ntMember2020-06-300000884614us-gaap:ForeignExchangeContractMemberus-gaap:DesignatedAsHedgingInstrumentMember2019-09-300000884614us-gaap:ForeignExchangeContractMemberus-gaap:DesignatedAsHedgingInstrumentMember2019-06-300000884614ugi:CommodityContractSubject</w:t>
      </w:r>
      <w:r>
        <w:rPr>
          <w:rFonts w:eastAsia="Times New Roman"/>
          <w:vanish/>
        </w:rPr>
        <w:t>ToPGCandDSMechanismsMember2020-06-300000884614ugi:CommodityContractSubjectToPGCandDSMechanismsMember2019-09-300000884614ugi:CommodityContractSubjectToPGCandDSMechanismsMember2019-06-300000884614us-gaap:NondesignatedMemberus-gaap:CommodityContractMember2020</w:t>
      </w:r>
      <w:r>
        <w:rPr>
          <w:rFonts w:eastAsia="Times New Roman"/>
          <w:vanish/>
        </w:rPr>
        <w:t>-06-300000884614us-gaap:NondesignatedMemberus-gaap:CommodityContractMember2019-09-300000884614us-gaap:NondesignatedMemberus-gaap:CommodityContractMember2019-06-300000884614us-gaap:NondesignatedMemberus-gaap:ForeignExchangeContractMember2020-06-300000884614</w:t>
      </w:r>
      <w:r>
        <w:rPr>
          <w:rFonts w:eastAsia="Times New Roman"/>
          <w:vanish/>
        </w:rPr>
        <w:t>us-gaap:NondesignatedMemberus-gaap:ForeignExchangeContractMember2019-09-300000884614us-gaap:NondesignatedMemberus-gaap:ForeignExchangeContractMember2019-06-300000884614us-gaap:NondesignatedMember2020-06-300000884614us-gaap:NondesignatedMember2019-09-300000</w:t>
      </w:r>
      <w:r>
        <w:rPr>
          <w:rFonts w:eastAsia="Times New Roman"/>
          <w:vanish/>
        </w:rPr>
        <w:t>884614us-gaap:NondesignatedMember2019-06-300000884614us-gaap:DesignatedAsHedgingInstrumentMemberus-gaap:InterestRateContractMember2020-06-300000884614us-gaap:DesignatedAsHedgingInstrumentMemberus-gaap:InterestRateContractMember2019-09-300000884614us-gaap:D</w:t>
      </w:r>
      <w:r>
        <w:rPr>
          <w:rFonts w:eastAsia="Times New Roman"/>
          <w:vanish/>
        </w:rPr>
        <w:t>esignatedAsHedgingInstrumentMemberus-gaap:InterestRateContractMember2019-06-300000884614us-gaap:ForeignExchangeContractMember2020-04-012020-06-300000884614us-gaap:ForeignExchangeContractMemberus-gaap:CashFlowHedgingMember2019-04-012019-06-300000884614us-ga</w:t>
      </w:r>
      <w:r>
        <w:rPr>
          <w:rFonts w:eastAsia="Times New Roman"/>
          <w:vanish/>
        </w:rPr>
        <w:t>ap:ForeignExchangeContractMemberus-gaap:CostOfSalesMember2020-04-012020-06-300000884614us-gaap:ForeignExchangeContractMemberus-gaap:CostOfSalesMemberus-gaap:CashFlowHedgingMember2019-04-012019-06-300000884614us-gaap:InterestRateContractMember2020-04-012020</w:t>
      </w:r>
      <w:r>
        <w:rPr>
          <w:rFonts w:eastAsia="Times New Roman"/>
          <w:vanish/>
        </w:rPr>
        <w:t>-06-300000884614us-gaap:CashFlowHedgingMemberus-gaap:InterestRateContractMember2019-04-012019-06-300000884614us-gaap:InterestExpenseMemberus-gaap:InterestRateContractMember2020-04-012020-06-300000884614us-gaap:InterestExpenseMemberus-gaap:CashFlowHedgingMe</w:t>
      </w:r>
      <w:r>
        <w:rPr>
          <w:rFonts w:eastAsia="Times New Roman"/>
          <w:vanish/>
        </w:rPr>
        <w:t>mberus-gaap:InterestRateContractMember2019-04-012019-06-300000884614us-gaap:CashFlowHedgingMember2019-04-012019-06-300000884614us-gaap:ForeignExchangeContractMemberus-gaap:NetInvestmentHedgingMember2019-04-012019-06-300000884614us-gaap:NondesignatedMemberu</w:t>
      </w:r>
      <w:r>
        <w:rPr>
          <w:rFonts w:eastAsia="Times New Roman"/>
          <w:vanish/>
        </w:rPr>
        <w:t>s-gaap:CostOfSalesMemberus-gaap:CommodityContractMember2020-04-012020-06-300000884614us-gaap:NondesignatedMemberus-gaap:CostOfSalesMemberus-gaap:CommodityContractMember2019-04-012019-06-300000884614us-gaap:NondesignatedMemberus-gaap:CommodityContractMember</w:t>
      </w:r>
      <w:r>
        <w:rPr>
          <w:rFonts w:eastAsia="Times New Roman"/>
          <w:vanish/>
        </w:rPr>
        <w:t>us-gaap:SalesRevenueNetMember2020-04-012020-06-300000884614us-gaap:NondesignatedMemberus-gaap:CommodityContractMemberus-gaap:SalesRevenueNetMember2019-04-012019-06-300000884614us-gaap:NondesignatedMemberugi:OperatingExpensesAndOtherIncomeMemberus-gaap:Comm</w:t>
      </w:r>
      <w:r>
        <w:rPr>
          <w:rFonts w:eastAsia="Times New Roman"/>
          <w:vanish/>
        </w:rPr>
        <w:t>odityContractMember2020-04-012020-06-300000884614us-gaap:NondesignatedMemberugi:OperatingExpensesAndOtherIncomeMemberus-gaap:CommodityContractMember2019-04-012019-06-300000884614us-gaap:NondesignatedMemberus-gaap:ForeignExchangeContractMemberus-gaap:OtherI</w:t>
      </w:r>
      <w:r>
        <w:rPr>
          <w:rFonts w:eastAsia="Times New Roman"/>
          <w:vanish/>
        </w:rPr>
        <w:t>ncomeMember2020-04-012020-06-300000884614us-gaap:NondesignatedMemberus-gaap:ForeignExchangeContractMemberus-gaap:OtherIncomeMember2019-04-012019-06-300000884614us-gaap:NondesignatedMember2020-04-012020-06-300000884614us-gaap:NondesignatedMember2019-04-0120</w:t>
      </w:r>
      <w:r>
        <w:rPr>
          <w:rFonts w:eastAsia="Times New Roman"/>
          <w:vanish/>
        </w:rPr>
        <w:t>19-06-300000884614us-gaap:ForeignExchangeContractMember2019-10-012020-06-300000884614us-gaap:ForeignExchangeContractMemberus-gaap:CashFlowHedgingMember2018-10-012019-06-300000884614us-gaap:ForeignExchangeContractMemberus-gaap:CostOfSalesMember2019-10-01202</w:t>
      </w:r>
      <w:r>
        <w:rPr>
          <w:rFonts w:eastAsia="Times New Roman"/>
          <w:vanish/>
        </w:rPr>
        <w:t>0-06-300000884614us-gaap:ForeignExchangeContractMemberus-gaap:CostOfSalesMemberus-gaap:CashFlowHedgingMember2018-10-012019-06-300000884614us-gaap:CrossCurrencyInterestRateContractMember2019-10-012020-06-300000884614us-gaap:CrossCurrencyInterestRateContract</w:t>
      </w:r>
      <w:r>
        <w:rPr>
          <w:rFonts w:eastAsia="Times New Roman"/>
          <w:vanish/>
        </w:rPr>
        <w:t>Memberus-gaap:CashFlowHedgingMember2018-10-012019-06-300000884614us-gaap:CrossCurrencyInterestRateContractMemberugi:InterestExpenseOtherIncomeMember2019-10-012020-06-300000884614us-gaap:CrossCurrencyInterestRateContractMemberus-gaap:CashFlowHedgingMemberug</w:t>
      </w:r>
      <w:r>
        <w:rPr>
          <w:rFonts w:eastAsia="Times New Roman"/>
          <w:vanish/>
        </w:rPr>
        <w:t>i:InterestExpenseOtherIncomeMember2018-10-012019-06-300000884614us-gaap:InterestRateContractMember2019-10-012020-06-300000884614us-gaap:CashFlowHedgingMemberus-gaap:InterestRateContractMember2018-10-012019-06-300000884614us-gaap:InterestExpenseMemberus-gaa</w:t>
      </w:r>
      <w:r>
        <w:rPr>
          <w:rFonts w:eastAsia="Times New Roman"/>
          <w:vanish/>
        </w:rPr>
        <w:t>p:InterestRateContractMember2019-10-012020-06-300000884614us-gaap:InterestExpenseMemberus-gaap:CashFlowHedgingMemberus-gaap:InterestRateContractMember2018-10-012019-06-300000884614us-gaap:CashFlowHedgingMember2018-10-012019-06-300000884614us-gaap:ForeignEx</w:t>
      </w:r>
      <w:r>
        <w:rPr>
          <w:rFonts w:eastAsia="Times New Roman"/>
          <w:vanish/>
        </w:rPr>
        <w:t>changeContractMemberus-gaap:NetInvestmentHedgingMember2018-10-012019-06-300000884614us-gaap:NondesignatedMemberus-gaap:CostOfSalesMemberus-gaap:CommodityContractMember2019-10-012020-06-300000884614us-gaap:NondesignatedMemberus-gaap:CostOfSalesMemberus-gaap</w:t>
      </w:r>
      <w:r>
        <w:rPr>
          <w:rFonts w:eastAsia="Times New Roman"/>
          <w:vanish/>
        </w:rPr>
        <w:t>:CommodityContractMember2018-10-012019-06-300000884614us-gaap:NondesignatedMemberus-gaap:CommodityContractMemberus-gaap:SalesRevenueNetMember2019-10-012020-06-300000884614us-gaap:NondesignatedMemberus-gaap:CommodityContractMemberus-gaap:SalesRevenueNetMemb</w:t>
      </w:r>
      <w:r>
        <w:rPr>
          <w:rFonts w:eastAsia="Times New Roman"/>
          <w:vanish/>
        </w:rPr>
        <w:t>er2018-10-012019-06-300000884614us-gaap:NondesignatedMemberugi:OperatingExpensesAndOtherIncomeMemberus-gaap:CommodityContractMember2019-10-012020-06-300000884614us-gaap:NondesignatedMemberugi:OperatingExpensesAndOtherIncomeMemberus-gaap:CommodityContractMe</w:t>
      </w:r>
      <w:r>
        <w:rPr>
          <w:rFonts w:eastAsia="Times New Roman"/>
          <w:vanish/>
        </w:rPr>
        <w:t>mber2018-10-012019-06-300000884614us-gaap:NondesignatedMemberus-gaap:ForeignExchangeContractMemberus-gaap:OtherIncomeMember2019-10-012020-06-300000884614us-gaap:NondesignatedMemberus-gaap:ForeignExchangeContractMemberus-gaap:OtherIncomeMember2018-10-012019</w:t>
      </w:r>
      <w:r>
        <w:rPr>
          <w:rFonts w:eastAsia="Times New Roman"/>
          <w:vanish/>
        </w:rPr>
        <w:t>-06-300000884614us-gaap:NondesignatedMember2019-10-012020-06-300000884614us-gaap:NondesignatedMember2018-10-012019-06-300000884614us-gaap:AccumulatedDefinedBenefitPlansAdjustmentMember2020-03-310000884614us-gaap:AccumulatedGainLossNetCashFlowHedgeParentMem</w:t>
      </w:r>
      <w:r>
        <w:rPr>
          <w:rFonts w:eastAsia="Times New Roman"/>
          <w:vanish/>
        </w:rPr>
        <w:t>ber2020-03-310000884614us-gaap:AccumulatedTranslationAdjustmentMember2020-03-310000884614us-gaap:AccumulatedOtherComprehensiveIncomeMember2020-03-310000884614us-gaap:AccumulatedDefinedBenefitPlansAdjustmentMember2020-04-012020-06-300000884614us-gaap:Accumu</w:t>
      </w:r>
      <w:r>
        <w:rPr>
          <w:rFonts w:eastAsia="Times New Roman"/>
          <w:vanish/>
        </w:rPr>
        <w:t>latedGainLossNetCashFlowHedgeParentMember2020-04-012020-06-300000884614us-gaap:AccumulatedTranslationAdjustmentMember2020-04-012020-06-300000884614us-gaap:AccumulatedDefinedBenefitPlansAdjustmentMember2020-06-300000884614us-gaap:AccumulatedGainLossNetCashF</w:t>
      </w:r>
      <w:r>
        <w:rPr>
          <w:rFonts w:eastAsia="Times New Roman"/>
          <w:vanish/>
        </w:rPr>
        <w:t>lowHedgeParentMember2020-06-300000884614us-gaap:AccumulatedTranslationAdjustmentMember2020-06-300000884614us-gaap:AccumulatedOtherComprehensiveIncomeMember2020-06-300000884614us-gaap:AccumulatedDefinedBenefitPlansAdjustmentMember2019-03-310000884614us-gaap</w:t>
      </w:r>
      <w:r>
        <w:rPr>
          <w:rFonts w:eastAsia="Times New Roman"/>
          <w:vanish/>
        </w:rPr>
        <w:t>:AccumulatedNetGainLossFromDesignatedOrQualifyingCashFlowHedgesMember2019-03-310000884614us-gaap:AccumulatedTranslationAdjustmentMember2019-03-310000884614us-gaap:AccumulatedOtherComprehensiveIncomeMember2019-03-310000884614us-gaap:AccumulatedDefinedBenefi</w:t>
      </w:r>
      <w:r>
        <w:rPr>
          <w:rFonts w:eastAsia="Times New Roman"/>
          <w:vanish/>
        </w:rPr>
        <w:t>tPlansAdjustmentMember2019-04-012019-06-300000884614us-gaap:AccumulatedNetGainLossFromDesignatedOrQualifyingCashFlowHedgesMember2019-04-012019-06-300000884614us-gaap:AccumulatedTranslationAdjustmentMember2019-04-012019-06-300000884614us-gaap:AccumulatedDef</w:t>
      </w:r>
      <w:r>
        <w:rPr>
          <w:rFonts w:eastAsia="Times New Roman"/>
          <w:vanish/>
        </w:rPr>
        <w:t>inedBenefitPlansAdjustmentMember2019-06-300000884614us-gaap:AccumulatedNetGainLossFromDesignatedOrQualifyingCashFlowHedgesMember2019-06-300000884614us-gaap:AccumulatedTranslationAdjustmentMember2019-06-300000884614us-gaap:AccumulatedOtherComprehensiveIncom</w:t>
      </w:r>
      <w:r>
        <w:rPr>
          <w:rFonts w:eastAsia="Times New Roman"/>
          <w:vanish/>
        </w:rPr>
        <w:t>eMember2019-06-300000884614us-gaap:AccumulatedDefinedBenefitPlansAdjustmentMember2019-09-300000884614us-gaap:AccumulatedGainLossNetCashFlowHedgeParentMember2019-09-300000884614us-gaap:AccumulatedTranslationAdjustmentMember2019-09-300000884614us-gaap:Accumu</w:t>
      </w:r>
      <w:r>
        <w:rPr>
          <w:rFonts w:eastAsia="Times New Roman"/>
          <w:vanish/>
        </w:rPr>
        <w:t>latedOtherComprehensiveIncomeMember2019-09-300000884614us-gaap:AccumulatedDefinedBenefitPlansAdjustmentMember2019-10-012020-06-300000884614us-gaap:AccumulatedGainLossNetCashFlowHedgeParentMember2019-10-012020-06-300000884614us-gaap:AccumulatedTranslationAd</w:t>
      </w:r>
      <w:r>
        <w:rPr>
          <w:rFonts w:eastAsia="Times New Roman"/>
          <w:vanish/>
        </w:rPr>
        <w:t>justmentMember2019-10-012020-06-300000884614us-gaap:AccumulatedDefinedBenefitPlansAdjustmentMember2018-09-300000884614us-gaap:AccumulatedNetGainLossFromDesignatedOrQualifyingCashFlowHedgesMember2018-09-300000884614us-gaap:AccumulatedTranslationAdjustmentMe</w:t>
      </w:r>
      <w:r>
        <w:rPr>
          <w:rFonts w:eastAsia="Times New Roman"/>
          <w:vanish/>
        </w:rPr>
        <w:t>mber2018-09-300000884614us-gaap:AccumulatedOtherComprehensiveIncomeMember2018-09-300000884614us-gaap:AccumulatedDefinedBenefitPlansAdjustmentMember2018-10-012019-06-300000884614us-gaap:AccumulatedNetGainLossFromDesignatedOrQualifyingCashFlowHedgesMember201</w:t>
      </w:r>
      <w:r>
        <w:rPr>
          <w:rFonts w:eastAsia="Times New Roman"/>
          <w:vanish/>
        </w:rPr>
        <w:t>8-10-012019-06-300000884614us-gaap:AccumulatedTranslationAdjustmentMember2018-10-012019-06-300000884614us-gaap:AccumulatedOtherComprehensiveIncomeMember2018-10-012019-06-30ugi:segment0000884614ugi:CorporateAndReconcilingItemsMember2020-04-012020-06-3000008</w:t>
      </w:r>
      <w:r>
        <w:rPr>
          <w:rFonts w:eastAsia="Times New Roman"/>
          <w:vanish/>
        </w:rPr>
        <w:t>84614us-gaap:IntersegmentEliminationMemberugi:AmerigasPropaneMember2020-04-012020-06-300000884614us-gaap:IntersegmentEliminationMemberugi:UGIInternationalMember2020-04-012020-06-300000884614us-gaap:IntersegmentEliminationMemberugi:MidstreamAndMarketingMemb</w:t>
      </w:r>
      <w:r>
        <w:rPr>
          <w:rFonts w:eastAsia="Times New Roman"/>
          <w:vanish/>
        </w:rPr>
        <w:t>er2020-04-012020-06-300000884614us-gaap:IntersegmentEliminationMemberugi:UgiUtilitiesMember2020-04-012020-06-300000884614ugi:CorporateReconcilingItemsAndEliminationsMember2020-04-012020-06-300000884614ugi:CorporateAndReconcilingItemsMember2019-04-012019-06</w:t>
      </w:r>
      <w:r>
        <w:rPr>
          <w:rFonts w:eastAsia="Times New Roman"/>
          <w:vanish/>
        </w:rPr>
        <w:t>-300000884614us-gaap:IntersegmentEliminationMemberugi:AmerigasPropaneMember2019-04-012019-06-300000884614us-gaap:IntersegmentEliminationMemberugi:UGIInternationalMember2019-04-012019-06-300000884614us-gaap:IntersegmentEliminationMemberugi:MidstreamAndMarke</w:t>
      </w:r>
      <w:r>
        <w:rPr>
          <w:rFonts w:eastAsia="Times New Roman"/>
          <w:vanish/>
        </w:rPr>
        <w:t>tingMember2019-04-012019-06-300000884614us-gaap:IntersegmentEliminationMemberugi:UgiUtilitiesMember2019-04-012019-06-300000884614ugi:CorporateReconcilingItemsAndEliminationsMember2019-04-012019-06-300000884614ugi:CorporateAndReconcilingItemsMember2019-10-0</w:t>
      </w:r>
      <w:r>
        <w:rPr>
          <w:rFonts w:eastAsia="Times New Roman"/>
          <w:vanish/>
        </w:rPr>
        <w:t>12020-06-300000884614us-gaap:IntersegmentEliminationMemberugi:AmerigasPropaneMember2019-10-012020-06-300000884614us-gaap:IntersegmentEliminationMemberugi:UGIInternationalMember2019-10-012020-06-300000884614us-gaap:IntersegmentEliminationMemberugi:Midstream</w:t>
      </w:r>
      <w:r>
        <w:rPr>
          <w:rFonts w:eastAsia="Times New Roman"/>
          <w:vanish/>
        </w:rPr>
        <w:t>AndMarketingMember2019-10-012020-06-300000884614us-gaap:IntersegmentEliminationMemberugi:UgiUtilitiesMember2019-10-012020-06-300000884614ugi:CorporateReconcilingItemsAndEliminationsMember2019-10-012020-06-300000884614us-gaap:IntersegmentEliminationMember20</w:t>
      </w:r>
      <w:r>
        <w:rPr>
          <w:rFonts w:eastAsia="Times New Roman"/>
          <w:vanish/>
        </w:rPr>
        <w:t>20-06-300000884614us-gaap:OperatingSegmentsMemberugi:AmerigasPropaneMember2020-06-300000884614us-gaap:OperatingSegmentsMemberugi:UGIInternationalMember2020-06-300000884614us-gaap:OperatingSegmentsMemberugi:MidstreamAndMarketingMember2020-06-300000884614us-</w:t>
      </w:r>
      <w:r>
        <w:rPr>
          <w:rFonts w:eastAsia="Times New Roman"/>
          <w:vanish/>
        </w:rPr>
        <w:t>gaap:OperatingSegmentsMemberugi:UgiUtilitiesMember2020-06-300000884614ugi:CorporateAndReconcilingItemsMember2020-06-300000884614ugi:CorporateAndReconcilingItemsMember2018-10-012019-06-300000884614us-gaap:IntersegmentEliminationMemberugi:AmerigasPropaneMemb</w:t>
      </w:r>
      <w:r>
        <w:rPr>
          <w:rFonts w:eastAsia="Times New Roman"/>
          <w:vanish/>
        </w:rPr>
        <w:t>er2018-10-012019-06-300000884614us-gaap:IntersegmentEliminationMemberugi:UGIInternationalMember2018-10-012019-06-300000884614us-gaap:IntersegmentEliminationMemberugi:MidstreamAndMarketingMember2018-10-012019-06-300000884614us-gaap:IntersegmentEliminationMe</w:t>
      </w:r>
      <w:r>
        <w:rPr>
          <w:rFonts w:eastAsia="Times New Roman"/>
          <w:vanish/>
        </w:rPr>
        <w:t>mberugi:UgiUtilitiesMember2018-10-012019-06-300000884614ugi:CorporateReconcilingItemsAndEliminationsMember2018-10-012019-06-300000884614us-gaap:IntersegmentEliminationMember2019-06-300000884614us-gaap:OperatingSegmentsMemberugi:AmerigasPropaneMember2019-06</w:t>
      </w:r>
      <w:r>
        <w:rPr>
          <w:rFonts w:eastAsia="Times New Roman"/>
          <w:vanish/>
        </w:rPr>
        <w:t>-300000884614us-gaap:OperatingSegmentsMemberugi:UGIInternationalMember2019-06-300000884614us-gaap:OperatingSegmentsMemberugi:MidstreamAndMarketingMember2019-06-300000884614us-gaap:OperatingSegmentsMemberugi:UgiUtilitiesMember2019-06-300000884614ugi:Corpora</w:t>
      </w:r>
      <w:r>
        <w:rPr>
          <w:rFonts w:eastAsia="Times New Roman"/>
          <w:vanish/>
        </w:rPr>
        <w:t>teAndReconcilingItemsMember2019-06-300000884614ugi:AmerigasPropaneMemberugi:CorporateAndReconcilingItemsMemberus-gaap:CommodityContractMember2020-04-012020-06-300000884614ugi:CorporateAndReconcilingItemsMemberugi:UGIInternationalMemberus-gaap:CommodityCont</w:t>
      </w:r>
      <w:r>
        <w:rPr>
          <w:rFonts w:eastAsia="Times New Roman"/>
          <w:vanish/>
        </w:rPr>
        <w:t>ractMember2020-04-012020-06-300000884614ugi:CorporateAndReconcilingItemsMemberugi:MidstreamAndMarketingMemberus-gaap:CommodityContractMember2020-04-012020-06-300000884614ugi:AmerigasPropaneMemberus-gaap:ForeignExchangeContractMemberugi:CorporateAndReconcil</w:t>
      </w:r>
      <w:r>
        <w:rPr>
          <w:rFonts w:eastAsia="Times New Roman"/>
          <w:vanish/>
        </w:rPr>
        <w:t>ingItemsMember2020-04-012020-06-300000884614us-gaap:ForeignExchangeContractMemberugi:CorporateAndReconcilingItemsMemberugi:UGIInternationalMember2020-04-012020-06-300000884614us-gaap:ForeignExchangeContractMemberugi:CorporateAndReconcilingItemsMemberugi:Mi</w:t>
      </w:r>
      <w:r>
        <w:rPr>
          <w:rFonts w:eastAsia="Times New Roman"/>
          <w:vanish/>
        </w:rPr>
        <w:t>dstreamAndMarketingMember2020-04-012020-06-300000884614ugi:PennantMemberugi:AmerigasPropaneMembersrt:AffiliatedEntityMemberugi:CorporateAndReconcilingItemsMemberugi:CMGMember2020-04-012020-06-300000884614ugi:PennantMembersrt:AffiliatedEntityMemberugi:Corpo</w:t>
      </w:r>
      <w:r>
        <w:rPr>
          <w:rFonts w:eastAsia="Times New Roman"/>
          <w:vanish/>
        </w:rPr>
        <w:t>rateAndReconcilingItemsMemberugi:CMGMemberugi:UGIInternationalMember2020-04-012020-06-300000884614ugi:PennantMembersrt:AffiliatedEntityMemberugi:CorporateAndReconcilingItemsMemberugi:MidstreamAndMarketingMemberugi:CMGMember2020-04-012020-06-300000884614ugi</w:t>
      </w:r>
      <w:r>
        <w:rPr>
          <w:rFonts w:eastAsia="Times New Roman"/>
          <w:vanish/>
        </w:rPr>
        <w:t>:AmerigasPropaneMemberugi:CorporateAndReconcilingItemsMember2020-04-012020-06-300000884614ugi:CorporateAndReconcilingItemsMemberugi:UGIInternationalMember2020-04-012020-06-300000884614ugi:CorporateAndReconcilingItemsMemberugi:MidstreamAndMarketingMember202</w:t>
      </w:r>
      <w:r>
        <w:rPr>
          <w:rFonts w:eastAsia="Times New Roman"/>
          <w:vanish/>
        </w:rPr>
        <w:t>0-04-012020-06-300000884614ugi:AmerigasPropaneMemberugi:CorporateAndReconcilingItemsMemberus-gaap:CommodityContractMember2019-04-012019-06-300000884614ugi:CorporateAndReconcilingItemsMemberugi:UGIInternationalMemberus-gaap:CommodityContractMember2019-04-01</w:t>
      </w:r>
      <w:r>
        <w:rPr>
          <w:rFonts w:eastAsia="Times New Roman"/>
          <w:vanish/>
        </w:rPr>
        <w:t>2019-06-300000884614ugi:CorporateAndReconcilingItemsMemberugi:MidstreamAndMarketingMemberus-gaap:CommodityContractMember2019-04-012019-06-300000884614ugi:AmerigasPropaneMemberus-gaap:ForeignExchangeContractMemberugi:CorporateAndReconcilingItemsMember2019-0</w:t>
      </w:r>
      <w:r>
        <w:rPr>
          <w:rFonts w:eastAsia="Times New Roman"/>
          <w:vanish/>
        </w:rPr>
        <w:t>4-012019-06-300000884614us-gaap:ForeignExchangeContractMemberugi:CorporateAndReconcilingItemsMemberugi:UGIInternationalMember2019-04-012019-06-300000884614us-gaap:ForeignExchangeContractMemberugi:CorporateAndReconcilingItemsMemberugi:MidstreamAndMarketingM</w:t>
      </w:r>
      <w:r>
        <w:rPr>
          <w:rFonts w:eastAsia="Times New Roman"/>
          <w:vanish/>
        </w:rPr>
        <w:t>ember2019-04-012019-06-300000884614ugi:AmerigasPropaneMemberugi:CorporateAndReconcilingItemsMember2019-04-012019-06-300000884614ugi:CorporateAndReconcilingItemsMemberugi:UGIInternationalMember2019-04-012019-06-300000884614ugi:CorporateAndReconcilingItemsMe</w:t>
      </w:r>
      <w:r>
        <w:rPr>
          <w:rFonts w:eastAsia="Times New Roman"/>
          <w:vanish/>
        </w:rPr>
        <w:t>mberugi:MidstreamAndMarketingMember2019-04-012019-06-300000884614ugi:AmerigasPropaneMemberugi:CorporateAndReconcilingItemsMemberus-gaap:CommodityContractMember2019-10-012020-06-300000884614ugi:CorporateAndReconcilingItemsMemberugi:UGIInternationalMemberus-</w:t>
      </w:r>
      <w:r>
        <w:rPr>
          <w:rFonts w:eastAsia="Times New Roman"/>
          <w:vanish/>
        </w:rPr>
        <w:t>gaap:CommodityContractMember2019-10-012020-06-300000884614ugi:CorporateAndReconcilingItemsMemberugi:MidstreamAndMarketingMemberus-gaap:CommodityContractMember2019-10-012020-06-300000884614ugi:AmerigasPropaneMemberus-gaap:ForeignExchangeContractMemberugi:Co</w:t>
      </w:r>
      <w:r>
        <w:rPr>
          <w:rFonts w:eastAsia="Times New Roman"/>
          <w:vanish/>
        </w:rPr>
        <w:t>rporateAndReconcilingItemsMember2019-10-012020-06-300000884614us-gaap:ForeignExchangeContractMemberugi:CorporateAndReconcilingItemsMemberugi:UGIInternationalMember2019-10-012020-06-300000884614us-gaap:ForeignExchangeContractMemberugi:CorporateAndReconcilin</w:t>
      </w:r>
      <w:r>
        <w:rPr>
          <w:rFonts w:eastAsia="Times New Roman"/>
          <w:vanish/>
        </w:rPr>
        <w:t>gItemsMemberugi:MidstreamAndMarketingMember2019-10-012020-06-300000884614ugi:PennantMemberugi:AmerigasPropaneMembersrt:AffiliatedEntityMemberugi:CorporateAndReconcilingItemsMemberugi:CMGMember2019-10-012020-06-300000884614ugi:PennantMembersrt:AffiliatedEnt</w:t>
      </w:r>
      <w:r>
        <w:rPr>
          <w:rFonts w:eastAsia="Times New Roman"/>
          <w:vanish/>
        </w:rPr>
        <w:t>ityMemberugi:CorporateAndReconcilingItemsMemberugi:CMGMemberugi:UGIInternationalMember2019-10-012020-06-300000884614ugi:PennantMembersrt:AffiliatedEntityMemberugi:CorporateAndReconcilingItemsMemberugi:MidstreamAndMarketingMemberugi:CMGMember2019-10-012020-</w:t>
      </w:r>
      <w:r>
        <w:rPr>
          <w:rFonts w:eastAsia="Times New Roman"/>
          <w:vanish/>
        </w:rPr>
        <w:t>06-300000884614ugi:AmerigasPropaneMemberugi:CorporateAndReconcilingItemsMember2019-10-012020-06-300000884614ugi:CorporateAndReconcilingItemsMemberugi:UGIInternationalMember2019-10-012020-06-300000884614ugi:CorporateAndReconcilingItemsMemberugi:MidstreamAnd</w:t>
      </w:r>
      <w:r>
        <w:rPr>
          <w:rFonts w:eastAsia="Times New Roman"/>
          <w:vanish/>
        </w:rPr>
        <w:t>MarketingMember2019-10-012020-06-300000884614ugi:AmerigasPropaneMemberugi:CorporateAndReconcilingItemsMemberus-gaap:CommodityContractMember2018-10-012019-06-300000884614ugi:CorporateAndReconcilingItemsMemberugi:UGIInternationalMemberus-gaap:CommodityContra</w:t>
      </w:r>
      <w:r>
        <w:rPr>
          <w:rFonts w:eastAsia="Times New Roman"/>
          <w:vanish/>
        </w:rPr>
        <w:t>ctMember2018-10-012019-06-300000884614ugi:CorporateAndReconcilingItemsMemberugi:MidstreamAndMarketingMemberus-gaap:CommodityContractMember2018-10-012019-06-300000884614ugi:AmerigasPropaneMemberus-gaap:ForeignExchangeContractMemberugi:CorporateAndReconcilin</w:t>
      </w:r>
      <w:r>
        <w:rPr>
          <w:rFonts w:eastAsia="Times New Roman"/>
          <w:vanish/>
        </w:rPr>
        <w:t>gItemsMember2018-10-012019-06-300000884614us-gaap:ForeignExchangeContractMemberugi:CorporateAndReconcilingItemsMemberugi:UGIInternationalMember2018-10-012019-06-300000884614us-gaap:ForeignExchangeContractMemberugi:CorporateAndReconcilingItemsMemberugi:Mids</w:t>
      </w:r>
      <w:r>
        <w:rPr>
          <w:rFonts w:eastAsia="Times New Roman"/>
          <w:vanish/>
        </w:rPr>
        <w:t>treamAndMarketingMember2018-10-012019-06-300000884614ugi:AmerigasPropaneMemberugi:CorporateAndReconcilingItemsMember2018-10-012019-06-300000884614ugi:CorporateAndReconcilingItemsMemberugi:UGIInternationalMember2018-10-012019-06-300000884614ugi:CorporateAnd</w:t>
      </w:r>
      <w:r>
        <w:rPr>
          <w:rFonts w:eastAsia="Times New Roman"/>
          <w:vanish/>
        </w:rPr>
        <w:t>ReconcilingItemsMemberugi:MidstreamAndMarketingMember2018-10-012019-06-30</w:t>
      </w:r>
    </w:p>
    <w:p w:rsidR="00000000" w:rsidRDefault="00A270CC">
      <w:pPr>
        <w:divId w:val="186412921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24480191"/>
        <w:rPr>
          <w:rFonts w:eastAsia="Times New Roman"/>
        </w:rPr>
      </w:pPr>
    </w:p>
    <w:p w:rsidR="00000000" w:rsidRDefault="00A270CC">
      <w:pPr>
        <w:divId w:val="112021902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668"/>
        <w:gridCol w:w="82"/>
        <w:gridCol w:w="82"/>
        <w:gridCol w:w="1449"/>
        <w:gridCol w:w="82"/>
        <w:gridCol w:w="83"/>
        <w:gridCol w:w="1450"/>
        <w:gridCol w:w="83"/>
        <w:gridCol w:w="83"/>
        <w:gridCol w:w="1450"/>
        <w:gridCol w:w="83"/>
        <w:gridCol w:w="83"/>
        <w:gridCol w:w="1450"/>
        <w:gridCol w:w="83"/>
      </w:tblGrid>
      <w:tr w:rsidR="00000000">
        <w:trPr>
          <w:divId w:val="640500929"/>
          <w:jc w:val="center"/>
        </w:trPr>
        <w:tc>
          <w:tcPr>
            <w:tcW w:w="50" w:type="pct"/>
            <w:vAlign w:val="center"/>
            <w:hideMark/>
          </w:tcPr>
          <w:p w:rsidR="00000000" w:rsidRDefault="00A270CC">
            <w:pPr>
              <w:rPr>
                <w:rFonts w:eastAsia="Times New Roman"/>
              </w:rPr>
            </w:pPr>
          </w:p>
        </w:tc>
        <w:tc>
          <w:tcPr>
            <w:tcW w:w="100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40500929"/>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jc w:val="center"/>
        <w:divId w:val="926619615"/>
        <w:rPr>
          <w:rFonts w:eastAsia="Times New Roman"/>
        </w:rPr>
      </w:pPr>
      <w:r>
        <w:rPr>
          <w:rFonts w:eastAsia="Times New Roman"/>
          <w:b/>
          <w:bCs/>
          <w:color w:val="000000"/>
          <w:sz w:val="36"/>
          <w:szCs w:val="36"/>
        </w:rPr>
        <w:t>UNITED STATE</w:t>
      </w:r>
      <w:r>
        <w:rPr>
          <w:rFonts w:eastAsia="Times New Roman"/>
          <w:b/>
          <w:bCs/>
          <w:color w:val="000000"/>
          <w:sz w:val="36"/>
          <w:szCs w:val="36"/>
        </w:rPr>
        <w:t>S</w:t>
      </w:r>
    </w:p>
    <w:p w:rsidR="00000000" w:rsidRDefault="00A270CC">
      <w:pPr>
        <w:jc w:val="center"/>
        <w:rPr>
          <w:rFonts w:eastAsia="Times New Roman"/>
        </w:rPr>
      </w:pPr>
      <w:r>
        <w:rPr>
          <w:rFonts w:eastAsia="Times New Roman"/>
          <w:b/>
          <w:bCs/>
          <w:color w:val="000000"/>
          <w:sz w:val="36"/>
          <w:szCs w:val="36"/>
        </w:rPr>
        <w:t>SECURITIES AND EXCHANGE COMMISSIO</w:t>
      </w:r>
      <w:r>
        <w:rPr>
          <w:rFonts w:eastAsia="Times New Roman"/>
          <w:b/>
          <w:bCs/>
          <w:color w:val="000000"/>
          <w:sz w:val="36"/>
          <w:szCs w:val="36"/>
        </w:rPr>
        <w:t>N</w:t>
      </w:r>
    </w:p>
    <w:p w:rsidR="00000000" w:rsidRDefault="00A270CC">
      <w:pPr>
        <w:jc w:val="center"/>
        <w:divId w:val="1207377217"/>
        <w:rPr>
          <w:rFonts w:eastAsia="Times New Roman"/>
        </w:rPr>
      </w:pPr>
      <w:r>
        <w:rPr>
          <w:rFonts w:eastAsia="Times New Roman"/>
          <w:b/>
          <w:bCs/>
          <w:color w:val="000000"/>
        </w:rPr>
        <w:t>Washington, D.C. 2054</w:t>
      </w:r>
      <w:r>
        <w:rPr>
          <w:rFonts w:eastAsia="Times New Roman"/>
          <w:b/>
          <w:bCs/>
          <w:color w:val="000000"/>
        </w:rPr>
        <w:t>9</w:t>
      </w:r>
    </w:p>
    <w:p w:rsidR="00000000" w:rsidRDefault="00A270CC">
      <w:pPr>
        <w:jc w:val="center"/>
        <w:divId w:val="1198935437"/>
        <w:rPr>
          <w:rFonts w:eastAsia="Times New Roman"/>
        </w:rPr>
      </w:pPr>
      <w:r>
        <w:rPr>
          <w:rFonts w:eastAsia="Times New Roman"/>
          <w:b/>
          <w:bCs/>
          <w:color w:val="000000"/>
          <w:sz w:val="36"/>
          <w:szCs w:val="36"/>
        </w:rPr>
        <w:t>FORM 10-Q</w:t>
      </w:r>
      <w:r>
        <w:rPr>
          <w:rFonts w:eastAsia="Times New Roman"/>
          <w:b/>
          <w:bCs/>
          <w:color w:val="000000"/>
          <w:sz w:val="36"/>
          <w:szCs w:val="36"/>
        </w:rPr>
        <w:t xml:space="preserve"> </w:t>
      </w:r>
    </w:p>
    <w:p w:rsidR="00000000" w:rsidRDefault="00A270CC">
      <w:pPr>
        <w:jc w:val="center"/>
        <w:divId w:val="1081364622"/>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63"/>
        <w:gridCol w:w="7877"/>
        <w:gridCol w:w="63"/>
      </w:tblGrid>
      <w:tr w:rsidR="00000000">
        <w:trPr>
          <w:divId w:val="179515220"/>
        </w:trPr>
        <w:tc>
          <w:tcPr>
            <w:tcW w:w="5" w:type="pct"/>
            <w:vAlign w:val="center"/>
            <w:hideMark/>
          </w:tcPr>
          <w:p w:rsidR="00000000" w:rsidRDefault="00A270CC">
            <w:pPr>
              <w:jc w:val="center"/>
              <w:rPr>
                <w:rFonts w:eastAsia="Times New Roman"/>
              </w:rPr>
            </w:pPr>
          </w:p>
        </w:tc>
        <w:tc>
          <w:tcPr>
            <w:tcW w:w="13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7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79515220"/>
        </w:trPr>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A270CC">
            <w:pPr>
              <w:jc w:val="both"/>
              <w:rPr>
                <w:rFonts w:eastAsia="Times New Roman"/>
              </w:rPr>
            </w:pPr>
            <w:r>
              <w:rPr>
                <w:rFonts w:eastAsia="Times New Roman"/>
                <w:b/>
                <w:bCs/>
                <w:color w:val="000000"/>
              </w:rPr>
              <w:t>QUARTERLY REPORT PURSUANT TO SECTION 13 OR 15(d) OF THE SECURITIES EXCHANGE ACT OF 193</w:t>
            </w:r>
            <w:r>
              <w:rPr>
                <w:rFonts w:eastAsia="Times New Roman"/>
                <w:b/>
                <w:bCs/>
                <w:color w:val="000000"/>
              </w:rPr>
              <w:t>4</w:t>
            </w:r>
          </w:p>
        </w:tc>
      </w:tr>
    </w:tbl>
    <w:p w:rsidR="00000000" w:rsidRDefault="00A270CC">
      <w:pPr>
        <w:jc w:val="center"/>
        <w:divId w:val="1192107361"/>
        <w:rPr>
          <w:rFonts w:eastAsia="Times New Roman"/>
        </w:rPr>
      </w:pPr>
      <w:r>
        <w:rPr>
          <w:rFonts w:eastAsia="Times New Roman"/>
          <w:b/>
          <w:bCs/>
          <w:color w:val="000000"/>
          <w:sz w:val="20"/>
          <w:szCs w:val="20"/>
        </w:rPr>
        <w:t>For the quarterly period ended June 30, 2020</w:t>
      </w:r>
      <w:r>
        <w:rPr>
          <w:rFonts w:eastAsia="Times New Roman"/>
          <w:b/>
          <w:bCs/>
          <w:color w:val="000000"/>
          <w:sz w:val="20"/>
          <w:szCs w:val="20"/>
        </w:rPr>
        <w:t xml:space="preserve"> </w:t>
      </w:r>
    </w:p>
    <w:p w:rsidR="00000000" w:rsidRDefault="00A270CC">
      <w:pPr>
        <w:jc w:val="center"/>
        <w:divId w:val="546333614"/>
        <w:rPr>
          <w:rFonts w:eastAsia="Times New Roman"/>
        </w:rPr>
      </w:pPr>
      <w:r>
        <w:rPr>
          <w:rFonts w:eastAsia="Times New Roman"/>
          <w:b/>
          <w:bCs/>
          <w:color w:val="000000"/>
          <w:sz w:val="20"/>
          <w:szCs w:val="20"/>
        </w:rPr>
        <w:t>O</w:t>
      </w:r>
      <w:r>
        <w:rPr>
          <w:rFonts w:eastAsia="Times New Roman"/>
          <w:b/>
          <w:bCs/>
          <w:color w:val="000000"/>
          <w:sz w:val="20"/>
          <w:szCs w:val="20"/>
        </w:rPr>
        <w:t>R</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63"/>
        <w:gridCol w:w="7877"/>
        <w:gridCol w:w="63"/>
      </w:tblGrid>
      <w:tr w:rsidR="00000000">
        <w:trPr>
          <w:divId w:val="1328050616"/>
        </w:trPr>
        <w:tc>
          <w:tcPr>
            <w:tcW w:w="5" w:type="pct"/>
            <w:vAlign w:val="center"/>
            <w:hideMark/>
          </w:tcPr>
          <w:p w:rsidR="00000000" w:rsidRDefault="00A270CC">
            <w:pPr>
              <w:jc w:val="center"/>
              <w:rPr>
                <w:rFonts w:eastAsia="Times New Roman"/>
              </w:rPr>
            </w:pPr>
          </w:p>
        </w:tc>
        <w:tc>
          <w:tcPr>
            <w:tcW w:w="13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7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328050616"/>
        </w:trPr>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A270CC">
            <w:pPr>
              <w:jc w:val="both"/>
              <w:rPr>
                <w:rFonts w:eastAsia="Times New Roman"/>
              </w:rPr>
            </w:pPr>
            <w:r>
              <w:rPr>
                <w:rFonts w:eastAsia="Times New Roman"/>
                <w:b/>
                <w:bCs/>
                <w:color w:val="000000"/>
              </w:rPr>
              <w:t>TRANSITION REPORT PURSUANT TO SECTION 13 OR 15(d) OF THE SECURITIES EXCHANGE ACT OF 193</w:t>
            </w:r>
            <w:r>
              <w:rPr>
                <w:rFonts w:eastAsia="Times New Roman"/>
                <w:b/>
                <w:bCs/>
                <w:color w:val="000000"/>
              </w:rPr>
              <w:t>4</w:t>
            </w:r>
          </w:p>
        </w:tc>
      </w:tr>
    </w:tbl>
    <w:p w:rsidR="00000000" w:rsidRDefault="00A270CC">
      <w:pPr>
        <w:jc w:val="center"/>
        <w:divId w:val="1376855867"/>
        <w:rPr>
          <w:rFonts w:eastAsia="Times New Roman"/>
        </w:rPr>
      </w:pPr>
      <w:r>
        <w:rPr>
          <w:rFonts w:eastAsia="Times New Roman"/>
          <w:b/>
          <w:bCs/>
          <w:color w:val="000000"/>
          <w:sz w:val="20"/>
          <w:szCs w:val="20"/>
        </w:rPr>
        <w:t>For the transition period from  ________ to ________           </w:t>
      </w:r>
      <w:r>
        <w:rPr>
          <w:rFonts w:eastAsia="Times New Roman"/>
          <w:b/>
          <w:bCs/>
          <w:color w:val="000000"/>
          <w:sz w:val="20"/>
          <w:szCs w:val="20"/>
        </w:rPr>
        <w:t> </w:t>
      </w:r>
    </w:p>
    <w:p w:rsidR="00000000" w:rsidRDefault="00A270CC">
      <w:pPr>
        <w:jc w:val="center"/>
        <w:divId w:val="223881371"/>
        <w:rPr>
          <w:rFonts w:eastAsia="Times New Roman"/>
        </w:rPr>
      </w:pPr>
      <w:r>
        <w:rPr>
          <w:rFonts w:eastAsia="Times New Roman"/>
          <w:b/>
          <w:bCs/>
          <w:color w:val="000000"/>
          <w:sz w:val="20"/>
          <w:szCs w:val="20"/>
        </w:rPr>
        <w:t>Commission file number 1-11071</w:t>
      </w:r>
      <w:r>
        <w:rPr>
          <w:rFonts w:eastAsia="Times New Roman"/>
          <w:b/>
          <w:bCs/>
          <w:color w:val="000000"/>
          <w:sz w:val="20"/>
          <w:szCs w:val="20"/>
        </w:rPr>
        <w:t xml:space="preserve"> </w:t>
      </w:r>
    </w:p>
    <w:p w:rsidR="00000000" w:rsidRDefault="00A270CC">
      <w:pPr>
        <w:jc w:val="center"/>
        <w:divId w:val="1504782939"/>
        <w:rPr>
          <w:rFonts w:eastAsia="Times New Roman"/>
        </w:rPr>
      </w:pPr>
      <w:r>
        <w:rPr>
          <w:rFonts w:eastAsia="Times New Roman"/>
          <w:b/>
          <w:bCs/>
          <w:color w:val="000000"/>
          <w:sz w:val="48"/>
          <w:szCs w:val="48"/>
        </w:rPr>
        <w:t>UGI CORPORATION</w:t>
      </w:r>
      <w:r>
        <w:rPr>
          <w:rFonts w:eastAsia="Times New Roman"/>
          <w:b/>
          <w:bCs/>
          <w:color w:val="000000"/>
          <w:sz w:val="48"/>
          <w:szCs w:val="48"/>
        </w:rPr>
        <w:t xml:space="preserve"> </w:t>
      </w:r>
    </w:p>
    <w:p w:rsidR="00000000" w:rsidRDefault="00A270CC">
      <w:pPr>
        <w:jc w:val="center"/>
        <w:rPr>
          <w:rFonts w:eastAsia="Times New Roman"/>
        </w:rPr>
      </w:pPr>
      <w:r>
        <w:rPr>
          <w:rFonts w:eastAsia="Times New Roman"/>
          <w:b/>
          <w:bCs/>
          <w:color w:val="000000"/>
          <w:sz w:val="20"/>
          <w:szCs w:val="20"/>
        </w:rPr>
        <w:t>(Exact name of registrant as specified in its charter</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3817"/>
        <w:gridCol w:w="83"/>
        <w:gridCol w:w="83"/>
        <w:gridCol w:w="161"/>
        <w:gridCol w:w="83"/>
        <w:gridCol w:w="83"/>
        <w:gridCol w:w="3829"/>
        <w:gridCol w:w="83"/>
      </w:tblGrid>
      <w:tr w:rsidR="00000000">
        <w:trPr>
          <w:divId w:val="1768386995"/>
          <w:jc w:val="center"/>
        </w:trPr>
        <w:tc>
          <w:tcPr>
            <w:tcW w:w="50" w:type="pct"/>
            <w:vAlign w:val="center"/>
            <w:hideMark/>
          </w:tcPr>
          <w:p w:rsidR="00000000" w:rsidRDefault="00A270CC">
            <w:pPr>
              <w:jc w:val="center"/>
              <w:rPr>
                <w:rFonts w:eastAsia="Times New Roman"/>
              </w:rPr>
            </w:pPr>
          </w:p>
        </w:tc>
        <w:tc>
          <w:tcPr>
            <w:tcW w:w="229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9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30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768386995"/>
          <w:jc w:val="center"/>
        </w:trPr>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20"/>
                <w:szCs w:val="20"/>
              </w:rPr>
              <w:t>Pennsylvani</w:t>
            </w:r>
            <w:r>
              <w:rPr>
                <w:rFonts w:eastAsia="Times New Roman"/>
                <w:b/>
                <w:bCs/>
                <w:color w:val="000000"/>
                <w:sz w:val="20"/>
                <w:szCs w:val="20"/>
              </w:rPr>
              <w:t>a</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20"/>
                <w:szCs w:val="20"/>
              </w:rPr>
              <w:t>23-266835</w:t>
            </w:r>
            <w:r>
              <w:rPr>
                <w:rFonts w:eastAsia="Times New Roman"/>
                <w:b/>
                <w:bCs/>
                <w:color w:val="000000"/>
                <w:sz w:val="20"/>
                <w:szCs w:val="20"/>
              </w:rPr>
              <w:t>6</w:t>
            </w:r>
          </w:p>
        </w:tc>
      </w:tr>
      <w:tr w:rsidR="00000000">
        <w:trPr>
          <w:divId w:val="1768386995"/>
          <w:jc w:val="center"/>
        </w:trPr>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r>
              <w:rPr>
                <w:rFonts w:eastAsia="Times New Roman"/>
                <w:b/>
                <w:bCs/>
                <w:color w:val="000000"/>
                <w:sz w:val="16"/>
                <w:szCs w:val="16"/>
              </w:rPr>
              <w:t>)</w:t>
            </w:r>
          </w:p>
        </w:tc>
      </w:tr>
    </w:tbl>
    <w:p w:rsidR="00000000" w:rsidRDefault="00A270CC">
      <w:pPr>
        <w:jc w:val="center"/>
        <w:divId w:val="1999770615"/>
        <w:rPr>
          <w:rFonts w:eastAsia="Times New Roman"/>
        </w:rPr>
      </w:pPr>
      <w:r>
        <w:rPr>
          <w:rFonts w:eastAsia="Times New Roman"/>
          <w:b/>
          <w:bCs/>
          <w:color w:val="000000"/>
          <w:sz w:val="20"/>
          <w:szCs w:val="20"/>
        </w:rPr>
        <w:t xml:space="preserve">460 North Gulph Road, </w:t>
      </w:r>
      <w:r>
        <w:rPr>
          <w:rFonts w:eastAsia="Times New Roman"/>
          <w:b/>
          <w:bCs/>
          <w:color w:val="000000"/>
          <w:sz w:val="20"/>
          <w:szCs w:val="20"/>
        </w:rPr>
        <w:t>King of Prussia, PA 19406</w:t>
      </w:r>
      <w:r>
        <w:rPr>
          <w:rFonts w:eastAsia="Times New Roman"/>
          <w:b/>
          <w:bCs/>
          <w:color w:val="000000"/>
          <w:sz w:val="20"/>
          <w:szCs w:val="20"/>
        </w:rPr>
        <w:t xml:space="preserve"> </w:t>
      </w:r>
    </w:p>
    <w:p w:rsidR="00000000" w:rsidRDefault="00A270CC">
      <w:pPr>
        <w:jc w:val="center"/>
        <w:rPr>
          <w:rFonts w:eastAsia="Times New Roman"/>
        </w:rPr>
      </w:pPr>
      <w:r>
        <w:rPr>
          <w:rFonts w:eastAsia="Times New Roman"/>
          <w:b/>
          <w:bCs/>
          <w:color w:val="000000"/>
          <w:sz w:val="16"/>
          <w:szCs w:val="16"/>
        </w:rPr>
        <w:t>(Address of Principal Executive Offices) (Zip Code</w:t>
      </w:r>
      <w:r>
        <w:rPr>
          <w:rFonts w:eastAsia="Times New Roman"/>
          <w:b/>
          <w:bCs/>
          <w:color w:val="000000"/>
          <w:sz w:val="16"/>
          <w:szCs w:val="16"/>
        </w:rPr>
        <w:t>)</w:t>
      </w:r>
    </w:p>
    <w:p w:rsidR="00000000" w:rsidRDefault="00A270CC">
      <w:pPr>
        <w:jc w:val="center"/>
        <w:rPr>
          <w:rFonts w:eastAsia="Times New Roman"/>
        </w:rPr>
      </w:pPr>
    </w:p>
    <w:p w:rsidR="00000000" w:rsidRDefault="00A270CC">
      <w:pPr>
        <w:jc w:val="center"/>
        <w:rPr>
          <w:rFonts w:eastAsia="Times New Roman"/>
        </w:rPr>
      </w:pPr>
      <w:r>
        <w:rPr>
          <w:rFonts w:eastAsia="Times New Roman"/>
          <w:b/>
          <w:bCs/>
          <w:color w:val="000000"/>
          <w:sz w:val="20"/>
          <w:szCs w:val="20"/>
        </w:rPr>
        <w:t>(610) 337-1000</w:t>
      </w:r>
      <w:r>
        <w:rPr>
          <w:rFonts w:eastAsia="Times New Roman"/>
          <w:b/>
          <w:bCs/>
          <w:color w:val="000000"/>
          <w:sz w:val="20"/>
          <w:szCs w:val="20"/>
        </w:rPr>
        <w:t xml:space="preserve"> </w:t>
      </w:r>
    </w:p>
    <w:p w:rsidR="00000000" w:rsidRDefault="00A270CC">
      <w:pPr>
        <w:jc w:val="center"/>
        <w:rPr>
          <w:rFonts w:eastAsia="Times New Roman"/>
        </w:rPr>
      </w:pPr>
      <w:r>
        <w:rPr>
          <w:rFonts w:eastAsia="Times New Roman"/>
          <w:b/>
          <w:bCs/>
          <w:color w:val="000000"/>
          <w:sz w:val="16"/>
          <w:szCs w:val="16"/>
        </w:rPr>
        <w:t>(Registrant’s telephone number, including area code</w:t>
      </w:r>
      <w:r>
        <w:rPr>
          <w:rFonts w:eastAsia="Times New Roman"/>
          <w:b/>
          <w:bCs/>
          <w:color w:val="000000"/>
          <w:sz w:val="16"/>
          <w:szCs w:val="16"/>
        </w:rPr>
        <w:t>)</w:t>
      </w:r>
    </w:p>
    <w:p w:rsidR="00000000" w:rsidRDefault="00A270CC">
      <w:pPr>
        <w:jc w:val="center"/>
        <w:rPr>
          <w:rFonts w:eastAsia="Times New Roman"/>
        </w:rPr>
      </w:pPr>
      <w:r>
        <w:rPr>
          <w:rFonts w:eastAsia="Times New Roman"/>
          <w:b/>
          <w:bCs/>
          <w:color w:val="000000"/>
          <w:sz w:val="20"/>
          <w:szCs w:val="20"/>
        </w:rPr>
        <w:t>Securities registered pursuant to Section 12(b) of the Act</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84"/>
        <w:gridCol w:w="3186"/>
        <w:gridCol w:w="83"/>
        <w:gridCol w:w="83"/>
        <w:gridCol w:w="2018"/>
        <w:gridCol w:w="83"/>
        <w:gridCol w:w="83"/>
        <w:gridCol w:w="2603"/>
        <w:gridCol w:w="83"/>
      </w:tblGrid>
      <w:tr w:rsidR="00000000">
        <w:trPr>
          <w:divId w:val="601651698"/>
          <w:jc w:val="center"/>
        </w:trPr>
        <w:tc>
          <w:tcPr>
            <w:tcW w:w="50" w:type="pct"/>
            <w:vAlign w:val="center"/>
            <w:hideMark/>
          </w:tcPr>
          <w:p w:rsidR="00000000" w:rsidRDefault="00A270CC">
            <w:pPr>
              <w:jc w:val="center"/>
              <w:rPr>
                <w:rFonts w:eastAsia="Times New Roman"/>
              </w:rPr>
            </w:pPr>
          </w:p>
        </w:tc>
        <w:tc>
          <w:tcPr>
            <w:tcW w:w="191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21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56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01651698"/>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270CC">
            <w:pPr>
              <w:jc w:val="center"/>
              <w:divId w:val="2009095925"/>
              <w:rPr>
                <w:rFonts w:eastAsia="Times New Roman"/>
              </w:rPr>
            </w:pPr>
            <w:r>
              <w:rPr>
                <w:rFonts w:eastAsia="Times New Roman"/>
                <w:color w:val="000000"/>
                <w:sz w:val="18"/>
                <w:szCs w:val="18"/>
              </w:rPr>
              <w:t>Title of each class</w:t>
            </w:r>
            <w:r>
              <w:rPr>
                <w:rFonts w:eastAsia="Times New Roman"/>
                <w:color w:val="000000"/>
                <w:sz w:val="18"/>
                <w:szCs w:val="18"/>
              </w:rPr>
              <w:t>:</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270CC">
            <w:pPr>
              <w:jc w:val="center"/>
              <w:divId w:val="263467549"/>
              <w:rPr>
                <w:rFonts w:eastAsia="Times New Roman"/>
              </w:rPr>
            </w:pPr>
            <w:r>
              <w:rPr>
                <w:rFonts w:eastAsia="Times New Roman"/>
                <w:color w:val="000000"/>
                <w:sz w:val="18"/>
                <w:szCs w:val="18"/>
              </w:rPr>
              <w:t>Trading Symbol(s)</w:t>
            </w:r>
            <w:r>
              <w:rPr>
                <w:rFonts w:eastAsia="Times New Roman"/>
                <w:color w:val="000000"/>
                <w:sz w:val="18"/>
                <w:szCs w:val="18"/>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A270CC">
            <w:pPr>
              <w:jc w:val="center"/>
              <w:divId w:val="185826913"/>
              <w:rPr>
                <w:rFonts w:eastAsia="Times New Roman"/>
              </w:rPr>
            </w:pPr>
            <w:r>
              <w:rPr>
                <w:rFonts w:eastAsia="Times New Roman"/>
                <w:color w:val="000000"/>
                <w:sz w:val="18"/>
                <w:szCs w:val="18"/>
              </w:rPr>
              <w:t>Name of each exchange on which registered</w:t>
            </w:r>
            <w:r>
              <w:rPr>
                <w:rFonts w:eastAsia="Times New Roman"/>
                <w:color w:val="000000"/>
                <w:sz w:val="18"/>
                <w:szCs w:val="18"/>
              </w:rPr>
              <w:t>:</w:t>
            </w:r>
          </w:p>
        </w:tc>
      </w:tr>
      <w:tr w:rsidR="00000000">
        <w:trPr>
          <w:divId w:val="601651698"/>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270CC">
            <w:pPr>
              <w:jc w:val="center"/>
              <w:divId w:val="2002351073"/>
              <w:rPr>
                <w:rFonts w:eastAsia="Times New Roman"/>
              </w:rPr>
            </w:pPr>
            <w:r>
              <w:rPr>
                <w:rFonts w:eastAsia="Times New Roman"/>
                <w:color w:val="000000"/>
                <w:sz w:val="18"/>
                <w:szCs w:val="18"/>
              </w:rPr>
              <w:t>Common Stock, without par valu</w:t>
            </w:r>
            <w:r>
              <w:rPr>
                <w:rFonts w:eastAsia="Times New Roman"/>
                <w:color w:val="000000"/>
                <w:sz w:val="18"/>
                <w:szCs w:val="18"/>
              </w:rPr>
              <w:t>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270CC">
            <w:pPr>
              <w:jc w:val="center"/>
              <w:divId w:val="1008024030"/>
              <w:rPr>
                <w:rFonts w:eastAsia="Times New Roman"/>
              </w:rPr>
            </w:pPr>
            <w:r>
              <w:rPr>
                <w:rFonts w:eastAsia="Times New Roman"/>
                <w:color w:val="000000"/>
                <w:sz w:val="18"/>
                <w:szCs w:val="18"/>
              </w:rPr>
              <w:t>UG</w:t>
            </w:r>
            <w:r>
              <w:rPr>
                <w:rFonts w:eastAsia="Times New Roman"/>
                <w:color w:val="000000"/>
                <w:sz w:val="18"/>
                <w:szCs w:val="18"/>
              </w:rPr>
              <w:t>I</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A270CC">
            <w:pPr>
              <w:jc w:val="center"/>
              <w:divId w:val="68843072"/>
              <w:rPr>
                <w:rFonts w:eastAsia="Times New Roman"/>
              </w:rPr>
            </w:pPr>
            <w:r>
              <w:rPr>
                <w:rFonts w:eastAsia="Times New Roman"/>
                <w:color w:val="000000"/>
                <w:sz w:val="18"/>
                <w:szCs w:val="18"/>
              </w:rPr>
              <w:t>New York Stock Exchang</w:t>
            </w:r>
            <w:r>
              <w:rPr>
                <w:rFonts w:eastAsia="Times New Roman"/>
                <w:color w:val="000000"/>
                <w:sz w:val="18"/>
                <w:szCs w:val="18"/>
              </w:rPr>
              <w:t>e</w:t>
            </w:r>
          </w:p>
        </w:tc>
      </w:tr>
    </w:tbl>
    <w:p w:rsidR="00000000" w:rsidRDefault="00A270CC">
      <w:pPr>
        <w:jc w:val="both"/>
        <w:divId w:val="1520504500"/>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eastAsia="Times New Roman"/>
          <w:color w:val="000000"/>
          <w:sz w:val="20"/>
          <w:szCs w:val="20"/>
        </w:rPr>
        <w:t> </w:t>
      </w:r>
      <w:r>
        <w:rPr>
          <w:rFonts w:ascii="Wingdings" w:eastAsia="Times New Roman" w:hAnsi="Wingdings"/>
          <w:color w:val="000000"/>
          <w:sz w:val="20"/>
          <w:szCs w:val="20"/>
        </w:rPr>
        <w:t>ý</w:t>
      </w:r>
      <w:r>
        <w:rPr>
          <w:rFonts w:eastAsia="Times New Roman"/>
          <w:color w:val="000000"/>
          <w:sz w:val="20"/>
          <w:szCs w:val="20"/>
        </w:rPr>
        <w:t>    No </w:t>
      </w:r>
      <w:r>
        <w:rPr>
          <w:rFonts w:eastAsia="Times New Roman"/>
          <w:color w:val="000000"/>
          <w:sz w:val="20"/>
          <w:szCs w:val="20"/>
        </w:rPr>
        <w:t> </w:t>
      </w:r>
      <w:r>
        <w:rPr>
          <w:rFonts w:ascii="Wingdings" w:eastAsia="Times New Roman" w:hAnsi="Wingdings"/>
          <w:color w:val="000000"/>
          <w:sz w:val="20"/>
          <w:szCs w:val="20"/>
        </w:rPr>
        <w:t>¨</w:t>
      </w:r>
    </w:p>
    <w:p w:rsidR="00000000" w:rsidRDefault="00A270CC">
      <w:pPr>
        <w:jc w:val="both"/>
        <w:divId w:val="517962925"/>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w:t>
      </w:r>
      <w:r>
        <w:rPr>
          <w:rFonts w:eastAsia="Times New Roman"/>
          <w:color w:val="000000"/>
          <w:sz w:val="20"/>
          <w:szCs w:val="20"/>
        </w:rPr>
        <w:t xml:space="preserve"> of Regulation S-T (§232.405 of this chapter) during the preceding 12 months (or for such shorter period that the registrant was required to submit and post such files). Yes</w:t>
      </w:r>
      <w:r>
        <w:rPr>
          <w:rFonts w:eastAsia="Times New Roman"/>
          <w:color w:val="000000"/>
          <w:sz w:val="20"/>
          <w:szCs w:val="20"/>
        </w:rPr>
        <w:t xml:space="preserve"> </w:t>
      </w:r>
      <w:r>
        <w:rPr>
          <w:rFonts w:ascii="Wingdings" w:eastAsia="Times New Roman" w:hAnsi="Wingdings"/>
          <w:color w:val="000000"/>
          <w:sz w:val="20"/>
          <w:szCs w:val="20"/>
        </w:rPr>
        <w:t>ý</w:t>
      </w:r>
      <w:r>
        <w:rPr>
          <w:rFonts w:eastAsia="Times New Roman"/>
          <w:color w:val="000000"/>
          <w:sz w:val="20"/>
          <w:szCs w:val="20"/>
        </w:rPr>
        <w:t>    No </w:t>
      </w:r>
      <w:r>
        <w:rPr>
          <w:rFonts w:eastAsia="Times New Roman"/>
          <w:color w:val="000000"/>
          <w:sz w:val="20"/>
          <w:szCs w:val="20"/>
        </w:rPr>
        <w:t> </w:t>
      </w:r>
      <w:r>
        <w:rPr>
          <w:rFonts w:ascii="Wingdings" w:eastAsia="Times New Roman" w:hAnsi="Wingdings"/>
          <w:color w:val="000000"/>
          <w:sz w:val="20"/>
          <w:szCs w:val="20"/>
        </w:rPr>
        <w:t>¨</w:t>
      </w:r>
    </w:p>
    <w:p w:rsidR="00000000" w:rsidRDefault="00A270CC">
      <w:pPr>
        <w:jc w:val="both"/>
        <w:divId w:val="905609167"/>
        <w:rPr>
          <w:rFonts w:eastAsia="Times New Roman"/>
        </w:rPr>
      </w:pPr>
      <w:r>
        <w:rPr>
          <w:rFonts w:eastAsia="Times New Roman"/>
          <w:color w:val="000000"/>
          <w:sz w:val="20"/>
          <w:szCs w:val="20"/>
        </w:rPr>
        <w:t>Indicate by check mark whether the registrant is a large accelerated fi</w:t>
      </w:r>
      <w:r>
        <w:rPr>
          <w:rFonts w:eastAsia="Times New Roman"/>
          <w:color w:val="000000"/>
          <w:sz w:val="20"/>
          <w:szCs w:val="20"/>
        </w:rPr>
        <w:t>ler, an accelerated filer, a non-accelerated filer, smaller reporting company, or an emerging growth company. See the definitions of “large accelerated filer,” “accelerated filer,” “smaller reporting company,” and “emerging growth company” in Rule 12b-2 of</w:t>
      </w:r>
      <w:r>
        <w:rPr>
          <w:rFonts w:eastAsia="Times New Roman"/>
          <w:color w:val="000000"/>
          <w:sz w:val="20"/>
          <w:szCs w:val="20"/>
        </w:rPr>
        <w:t xml:space="preserve"> the Exchange Act</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4"/>
        <w:gridCol w:w="1863"/>
        <w:gridCol w:w="84"/>
        <w:gridCol w:w="84"/>
        <w:gridCol w:w="89"/>
        <w:gridCol w:w="84"/>
        <w:gridCol w:w="83"/>
        <w:gridCol w:w="561"/>
        <w:gridCol w:w="83"/>
        <w:gridCol w:w="83"/>
        <w:gridCol w:w="1862"/>
        <w:gridCol w:w="83"/>
        <w:gridCol w:w="83"/>
        <w:gridCol w:w="88"/>
        <w:gridCol w:w="83"/>
        <w:gridCol w:w="83"/>
        <w:gridCol w:w="561"/>
        <w:gridCol w:w="83"/>
        <w:gridCol w:w="83"/>
        <w:gridCol w:w="1862"/>
        <w:gridCol w:w="83"/>
        <w:gridCol w:w="83"/>
        <w:gridCol w:w="88"/>
        <w:gridCol w:w="83"/>
      </w:tblGrid>
      <w:tr w:rsidR="00000000">
        <w:trPr>
          <w:divId w:val="170678563"/>
        </w:trPr>
        <w:tc>
          <w:tcPr>
            <w:tcW w:w="50" w:type="pct"/>
            <w:vAlign w:val="center"/>
            <w:hideMark/>
          </w:tcPr>
          <w:p w:rsidR="00000000" w:rsidRDefault="00A270CC">
            <w:pPr>
              <w:jc w:val="both"/>
              <w:rPr>
                <w:rFonts w:eastAsia="Times New Roman"/>
              </w:rPr>
            </w:pPr>
          </w:p>
        </w:tc>
        <w:tc>
          <w:tcPr>
            <w:tcW w:w="112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12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12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70678563"/>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lastRenderedPageBreak/>
              <w:t>Large 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ascii="Wingdings" w:eastAsia="Times New Roman" w:hAnsi="Wingdings"/>
                <w:color w:val="000000"/>
                <w:sz w:val="20"/>
                <w:szCs w:val="20"/>
              </w:rPr>
              <w:t>ý</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ascii="Segoe UI Symbol" w:eastAsia="Times New Roman" w:hAnsi="Segoe UI Symbol" w:cs="Segoe UI Symbol"/>
                <w:color w:val="000000"/>
                <w:sz w:val="20"/>
                <w:szCs w:val="20"/>
              </w:rPr>
              <w:t>☐</w:t>
            </w:r>
          </w:p>
        </w:tc>
      </w:tr>
      <w:tr w:rsidR="00000000">
        <w:trPr>
          <w:divId w:val="170678563"/>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jc w:val="both"/>
        <w:divId w:val="896671048"/>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eastAsia="Times New Roman"/>
          <w:color w:val="000000"/>
          <w:sz w:val="20"/>
          <w:szCs w:val="20"/>
        </w:rPr>
        <w:t> </w:t>
      </w:r>
      <w:r>
        <w:rPr>
          <w:rFonts w:ascii="Wingdings" w:eastAsia="Times New Roman" w:hAnsi="Wingdings"/>
          <w:color w:val="000000"/>
          <w:sz w:val="20"/>
          <w:szCs w:val="20"/>
        </w:rPr>
        <w:t>¨</w:t>
      </w:r>
    </w:p>
    <w:p w:rsidR="00000000" w:rsidRDefault="00A270CC">
      <w:pPr>
        <w:jc w:val="both"/>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Wingdings" w:eastAsia="Times New Roman" w:hAnsi="Wingdings"/>
          <w:color w:val="000000"/>
          <w:sz w:val="20"/>
          <w:szCs w:val="20"/>
        </w:rPr>
        <w:t>ý</w:t>
      </w:r>
    </w:p>
    <w:p w:rsidR="00000000" w:rsidRDefault="00A270CC">
      <w:pPr>
        <w:divId w:val="1488279513"/>
        <w:rPr>
          <w:rFonts w:eastAsia="Times New Roman"/>
        </w:rPr>
      </w:pPr>
      <w:r>
        <w:rPr>
          <w:rFonts w:eastAsia="Times New Roman"/>
          <w:color w:val="000000"/>
          <w:sz w:val="20"/>
          <w:szCs w:val="20"/>
        </w:rPr>
        <w:t>At July 31, 2020, there were 208,320,881 shares of UGI Corporation Common Stock, without par value, outstanding</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668"/>
        <w:gridCol w:w="82"/>
        <w:gridCol w:w="82"/>
        <w:gridCol w:w="1449"/>
        <w:gridCol w:w="82"/>
        <w:gridCol w:w="83"/>
        <w:gridCol w:w="1450"/>
        <w:gridCol w:w="83"/>
        <w:gridCol w:w="83"/>
        <w:gridCol w:w="1450"/>
        <w:gridCol w:w="83"/>
        <w:gridCol w:w="83"/>
        <w:gridCol w:w="1450"/>
        <w:gridCol w:w="83"/>
      </w:tblGrid>
      <w:tr w:rsidR="00000000">
        <w:trPr>
          <w:divId w:val="300157497"/>
          <w:jc w:val="center"/>
        </w:trPr>
        <w:tc>
          <w:tcPr>
            <w:tcW w:w="50" w:type="pct"/>
            <w:vAlign w:val="center"/>
            <w:hideMark/>
          </w:tcPr>
          <w:p w:rsidR="00000000" w:rsidRDefault="00A270CC">
            <w:pPr>
              <w:rPr>
                <w:rFonts w:eastAsia="Times New Roman"/>
              </w:rPr>
            </w:pPr>
          </w:p>
        </w:tc>
        <w:tc>
          <w:tcPr>
            <w:tcW w:w="100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300157497"/>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divId w:val="785848801"/>
        <w:rPr>
          <w:rFonts w:eastAsia="Times New Roman"/>
        </w:rPr>
      </w:pPr>
    </w:p>
    <w:p w:rsidR="00000000" w:rsidRDefault="00A270CC">
      <w:pPr>
        <w:rPr>
          <w:rFonts w:eastAsia="Times New Roman"/>
        </w:rPr>
      </w:pPr>
      <w:r>
        <w:rPr>
          <w:rFonts w:eastAsia="Times New Roman"/>
        </w:rPr>
        <w:pict>
          <v:rect id="_x0000_i1025" style="width:0;height:1.5pt" o:hralign="center" o:hrstd="t" o:hr="t" fillcolor="#a0a0a0" stroked="f"/>
        </w:pict>
      </w:r>
    </w:p>
    <w:p w:rsidR="00000000" w:rsidRDefault="00A270CC">
      <w:pPr>
        <w:divId w:val="92631013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956327567"/>
        <w:rPr>
          <w:rFonts w:eastAsia="Times New Roman"/>
        </w:rPr>
      </w:pPr>
    </w:p>
    <w:p w:rsidR="00000000" w:rsidRDefault="00A270CC">
      <w:pPr>
        <w:divId w:val="2141263126"/>
        <w:rPr>
          <w:rFonts w:eastAsia="Times New Roman"/>
        </w:rPr>
      </w:pPr>
    </w:p>
    <w:p w:rsidR="00000000" w:rsidRDefault="00A270CC">
      <w:pPr>
        <w:jc w:val="center"/>
        <w:rPr>
          <w:rFonts w:eastAsia="Times New Roman"/>
        </w:rPr>
      </w:pPr>
      <w:r>
        <w:rPr>
          <w:rFonts w:eastAsia="Times New Roman"/>
          <w:b/>
          <w:bCs/>
          <w:color w:val="000000"/>
        </w:rPr>
        <w:t>UGI CORPORATION AND SUBSIDIARIE</w:t>
      </w:r>
      <w:r>
        <w:rPr>
          <w:rFonts w:eastAsia="Times New Roman"/>
          <w:b/>
          <w:bCs/>
          <w:color w:val="000000"/>
        </w:rPr>
        <w:t>S</w:t>
      </w:r>
    </w:p>
    <w:p w:rsidR="00000000" w:rsidRDefault="00A270CC">
      <w:pPr>
        <w:jc w:val="center"/>
        <w:divId w:val="1986277741"/>
        <w:rPr>
          <w:rFonts w:eastAsia="Times New Roman"/>
        </w:rPr>
      </w:pPr>
      <w:r>
        <w:rPr>
          <w:rFonts w:eastAsia="Times New Roman"/>
          <w:b/>
          <w:bCs/>
          <w:color w:val="000000"/>
          <w:sz w:val="20"/>
          <w:szCs w:val="20"/>
        </w:rPr>
        <w:t>TABLE OF CONTENT</w:t>
      </w:r>
      <w:r>
        <w:rPr>
          <w:rFonts w:eastAsia="Times New Roman"/>
          <w:b/>
          <w:bCs/>
          <w:color w:val="000000"/>
          <w:sz w:val="20"/>
          <w:szCs w:val="20"/>
        </w:rPr>
        <w:t>S</w:t>
      </w:r>
    </w:p>
    <w:p w:rsidR="00000000" w:rsidRDefault="00A270CC">
      <w:pPr>
        <w:divId w:val="954629107"/>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3"/>
        <w:gridCol w:w="7508"/>
        <w:gridCol w:w="83"/>
        <w:gridCol w:w="83"/>
        <w:gridCol w:w="453"/>
        <w:gridCol w:w="83"/>
      </w:tblGrid>
      <w:tr w:rsidR="00000000">
        <w:trPr>
          <w:divId w:val="1431506498"/>
        </w:trPr>
        <w:tc>
          <w:tcPr>
            <w:tcW w:w="50" w:type="pct"/>
            <w:vAlign w:val="center"/>
            <w:hideMark/>
          </w:tcPr>
          <w:p w:rsidR="00000000" w:rsidRDefault="00A270CC">
            <w:pPr>
              <w:rPr>
                <w:rFonts w:eastAsia="Times New Roman"/>
              </w:rPr>
            </w:pPr>
          </w:p>
        </w:tc>
        <w:tc>
          <w:tcPr>
            <w:tcW w:w="452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Pag</w:t>
            </w:r>
            <w:r>
              <w:rPr>
                <w:rFonts w:eastAsia="Times New Roman"/>
                <w:color w:val="000000"/>
                <w:sz w:val="18"/>
                <w:szCs w:val="18"/>
              </w:rPr>
              <w:t>e</w:t>
            </w:r>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969824260"/>
              <w:rPr>
                <w:rFonts w:eastAsia="Times New Roman"/>
              </w:rPr>
            </w:pPr>
            <w:hyperlink w:anchor="ie970dc11ee4142a48682b4ecf773997e_10" w:history="1">
              <w:r>
                <w:rPr>
                  <w:rStyle w:val="a3"/>
                  <w:rFonts w:eastAsia="Times New Roman"/>
                  <w:sz w:val="20"/>
                  <w:szCs w:val="20"/>
                </w:rPr>
                <w:t>Glossary of Terms and Abbreviations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0" w:history="1">
              <w:r>
                <w:rPr>
                  <w:rStyle w:val="a3"/>
                  <w:rFonts w:eastAsia="Times New Roman"/>
                  <w:sz w:val="20"/>
                  <w:szCs w:val="20"/>
                </w:rPr>
                <w:t>1</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854271347"/>
              <w:rPr>
                <w:rFonts w:eastAsia="Times New Roman"/>
              </w:rPr>
            </w:pPr>
            <w:hyperlink w:anchor="ie970dc11ee4142a48682b4ecf773997e_13" w:history="1">
              <w:r>
                <w:rPr>
                  <w:rStyle w:val="a3"/>
                  <w:rFonts w:eastAsia="Times New Roman"/>
                  <w:b/>
                  <w:bCs/>
                  <w:sz w:val="20"/>
                  <w:szCs w:val="20"/>
                </w:rPr>
                <w:t>Part I Financial Information</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1242177182"/>
              <w:rPr>
                <w:rFonts w:eastAsia="Times New Roman"/>
              </w:rPr>
            </w:pPr>
            <w:hyperlink w:anchor="ie970dc11ee4142a48682b4ecf773997e_13" w:history="1">
              <w:r>
                <w:rPr>
                  <w:rStyle w:val="a3"/>
                  <w:rFonts w:eastAsia="Times New Roman"/>
                  <w:sz w:val="20"/>
                  <w:szCs w:val="20"/>
                </w:rPr>
                <w:t>Item 1. Financial Statements (unaudited)</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327440270"/>
              <w:rPr>
                <w:rFonts w:eastAsia="Times New Roman"/>
              </w:rPr>
            </w:pPr>
            <w:hyperlink w:anchor="ie970dc11ee4142a48682b4ecf773997e_16" w:history="1">
              <w:r>
                <w:rPr>
                  <w:rStyle w:val="a3"/>
                  <w:rFonts w:eastAsia="Times New Roman"/>
                  <w:sz w:val="20"/>
                  <w:szCs w:val="20"/>
                </w:rPr>
                <w:t>Condensed Consolidated Balance Sheets as of June 30, 2020, September 30, 2019 and June 30, 2019</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6" w:history="1">
              <w:r>
                <w:rPr>
                  <w:rStyle w:val="a3"/>
                  <w:rFonts w:eastAsia="Times New Roman"/>
                  <w:sz w:val="20"/>
                  <w:szCs w:val="20"/>
                </w:rPr>
                <w:t>6</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356665641"/>
              <w:rPr>
                <w:rFonts w:eastAsia="Times New Roman"/>
              </w:rPr>
            </w:pPr>
            <w:hyperlink w:anchor="ie970dc11ee4142a48682b4ecf773997e_22" w:history="1">
              <w:r>
                <w:rPr>
                  <w:rStyle w:val="a3"/>
                  <w:rFonts w:eastAsia="Times New Roman"/>
                  <w:sz w:val="20"/>
                  <w:szCs w:val="20"/>
                </w:rPr>
                <w:t>Condensed Consolidated Statements of Income for the three and nine months ended June 30, 2020 and 2019</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22" w:history="1">
              <w:r>
                <w:rPr>
                  <w:rStyle w:val="a3"/>
                  <w:rFonts w:eastAsia="Times New Roman"/>
                  <w:sz w:val="20"/>
                  <w:szCs w:val="20"/>
                </w:rPr>
                <w:t>7</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1345593631"/>
              <w:rPr>
                <w:rFonts w:eastAsia="Times New Roman"/>
              </w:rPr>
            </w:pPr>
            <w:hyperlink w:anchor="ie970dc11ee4142a48682b4ecf773997e_25" w:history="1">
              <w:r>
                <w:rPr>
                  <w:rStyle w:val="a3"/>
                  <w:rFonts w:eastAsia="Times New Roman"/>
                  <w:sz w:val="20"/>
                  <w:szCs w:val="20"/>
                </w:rPr>
                <w:t>Condensed Consolidated Statements of Comprehensive Income for the three and nine months ended June 30, 2020 and 2019</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25" w:history="1">
              <w:r>
                <w:rPr>
                  <w:rStyle w:val="a3"/>
                  <w:rFonts w:eastAsia="Times New Roman"/>
                  <w:sz w:val="20"/>
                  <w:szCs w:val="20"/>
                </w:rPr>
                <w:t>8</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852761255"/>
              <w:rPr>
                <w:rFonts w:eastAsia="Times New Roman"/>
              </w:rPr>
            </w:pPr>
            <w:hyperlink w:anchor="ie970dc11ee4142a48682b4ecf773997e_31" w:history="1">
              <w:r>
                <w:rPr>
                  <w:rStyle w:val="a3"/>
                  <w:rFonts w:eastAsia="Times New Roman"/>
                  <w:sz w:val="20"/>
                  <w:szCs w:val="20"/>
                </w:rPr>
                <w:t>Condensed Consolidated Statements of Cash Flows for the nine months ended June 30, 2020 and 2019</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31" w:history="1">
              <w:r>
                <w:rPr>
                  <w:rStyle w:val="a3"/>
                  <w:rFonts w:eastAsia="Times New Roman"/>
                  <w:sz w:val="20"/>
                  <w:szCs w:val="20"/>
                </w:rPr>
                <w:t>9</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49689595"/>
              <w:rPr>
                <w:rFonts w:eastAsia="Times New Roman"/>
              </w:rPr>
            </w:pPr>
            <w:hyperlink w:anchor="ie970dc11ee4142a48682b4ecf773997e_34" w:history="1">
              <w:r>
                <w:rPr>
                  <w:rStyle w:val="a3"/>
                  <w:rFonts w:eastAsia="Times New Roman"/>
                  <w:sz w:val="20"/>
                  <w:szCs w:val="20"/>
                </w:rPr>
                <w:t>Condensed Consolidated Statements of Changes in Equity for the three and nine months ended June 30, 2020 and 2019</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34" w:history="1">
              <w:r>
                <w:rPr>
                  <w:rStyle w:val="a3"/>
                  <w:rFonts w:eastAsia="Times New Roman"/>
                  <w:sz w:val="20"/>
                  <w:szCs w:val="20"/>
                </w:rPr>
                <w:t>10</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1020593452"/>
              <w:rPr>
                <w:rFonts w:eastAsia="Times New Roman"/>
              </w:rPr>
            </w:pPr>
            <w:hyperlink w:anchor="ie970dc11ee4142a48682b4ecf773997e_40"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40" w:history="1">
              <w:r>
                <w:rPr>
                  <w:rStyle w:val="a3"/>
                  <w:rFonts w:eastAsia="Times New Roman"/>
                  <w:sz w:val="20"/>
                  <w:szCs w:val="20"/>
                </w:rPr>
                <w:t>11</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1913925414"/>
              <w:rPr>
                <w:rFonts w:eastAsia="Times New Roman"/>
              </w:rPr>
            </w:pPr>
            <w:hyperlink w:anchor="ie970dc11ee4142a48682b4ecf773997e_109"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09" w:history="1">
              <w:r>
                <w:rPr>
                  <w:rStyle w:val="a3"/>
                  <w:rFonts w:eastAsia="Times New Roman"/>
                  <w:sz w:val="20"/>
                  <w:szCs w:val="20"/>
                </w:rPr>
                <w:t>42</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1341928615"/>
              <w:rPr>
                <w:rFonts w:eastAsia="Times New Roman"/>
              </w:rPr>
            </w:pPr>
            <w:hyperlink w:anchor="ie970dc11ee4142a48682b4ecf773997e_118"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18" w:history="1">
              <w:r>
                <w:rPr>
                  <w:rStyle w:val="a3"/>
                  <w:rFonts w:eastAsia="Times New Roman"/>
                  <w:sz w:val="20"/>
                  <w:szCs w:val="20"/>
                </w:rPr>
                <w:t>61</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2085491705"/>
              <w:rPr>
                <w:rFonts w:eastAsia="Times New Roman"/>
              </w:rPr>
            </w:pPr>
            <w:hyperlink w:anchor="ie970dc11ee4142a48682b4ecf773997e_121"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21" w:history="1">
              <w:r>
                <w:rPr>
                  <w:rStyle w:val="a3"/>
                  <w:rFonts w:eastAsia="Times New Roman"/>
                  <w:sz w:val="20"/>
                  <w:szCs w:val="20"/>
                </w:rPr>
                <w:t>63</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924610522"/>
              <w:rPr>
                <w:rFonts w:eastAsia="Times New Roman"/>
              </w:rPr>
            </w:pPr>
            <w:hyperlink w:anchor="ie970dc11ee4142a48682b4ecf773997e_124" w:history="1">
              <w:r>
                <w:rPr>
                  <w:rStyle w:val="a3"/>
                  <w:rFonts w:eastAsia="Times New Roman"/>
                  <w:b/>
                  <w:bCs/>
                  <w:sz w:val="20"/>
                  <w:szCs w:val="20"/>
                </w:rPr>
                <w:t>Part II Other Information</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43150649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720249631"/>
              <w:rPr>
                <w:rFonts w:eastAsia="Times New Roman"/>
              </w:rPr>
            </w:pPr>
            <w:hyperlink w:anchor="ie970dc11ee4142a48682b4ecf773997e_127"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27" w:history="1">
              <w:r>
                <w:rPr>
                  <w:rStyle w:val="a3"/>
                  <w:rFonts w:eastAsia="Times New Roman"/>
                  <w:sz w:val="20"/>
                  <w:szCs w:val="20"/>
                </w:rPr>
                <w:t>64</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2027553542"/>
              <w:rPr>
                <w:rFonts w:eastAsia="Times New Roman"/>
              </w:rPr>
            </w:pPr>
            <w:hyperlink w:anchor="ie970dc11ee4142a48682b4ecf773997e_133" w:history="1">
              <w:r>
                <w:rPr>
                  <w:rStyle w:val="a3"/>
                  <w:rFonts w:eastAsia="Times New Roman"/>
                  <w:sz w:val="20"/>
                  <w:szCs w:val="20"/>
                </w:rPr>
                <w:t>Item 6. Exhibits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27" w:history="1">
              <w:r>
                <w:rPr>
                  <w:rStyle w:val="a3"/>
                  <w:rFonts w:eastAsia="Times New Roman"/>
                  <w:sz w:val="20"/>
                  <w:szCs w:val="20"/>
                </w:rPr>
                <w:t>64</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431506498"/>
        </w:trPr>
        <w:tc>
          <w:tcPr>
            <w:tcW w:w="0" w:type="auto"/>
            <w:gridSpan w:val="3"/>
            <w:tcMar>
              <w:top w:w="30" w:type="dxa"/>
              <w:left w:w="20" w:type="dxa"/>
              <w:bottom w:w="30" w:type="dxa"/>
              <w:right w:w="20" w:type="dxa"/>
            </w:tcMar>
            <w:hideMark/>
          </w:tcPr>
          <w:p w:rsidR="00000000" w:rsidRDefault="00A270CC">
            <w:pPr>
              <w:divId w:val="2097743658"/>
              <w:rPr>
                <w:rFonts w:eastAsia="Times New Roman"/>
              </w:rPr>
            </w:pPr>
            <w:hyperlink w:anchor="ie970dc11ee4142a48682b4ecf773997e_139"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A270CC">
            <w:pPr>
              <w:jc w:val="right"/>
              <w:rPr>
                <w:rFonts w:eastAsia="Times New Roman"/>
              </w:rPr>
            </w:pPr>
            <w:hyperlink w:anchor="ie970dc11ee4142a48682b4ecf773997e_139" w:history="1">
              <w:r>
                <w:rPr>
                  <w:rStyle w:val="a3"/>
                  <w:rFonts w:eastAsia="Times New Roman"/>
                  <w:sz w:val="20"/>
                  <w:szCs w:val="20"/>
                </w:rPr>
                <w:t>66</w:t>
              </w:r>
            </w:hyperlink>
          </w:p>
        </w:tc>
      </w:tr>
      <w:tr w:rsidR="00000000">
        <w:trPr>
          <w:divId w:val="1431506498"/>
          <w:trHeight w:val="6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divId w:val="361367163"/>
        <w:rPr>
          <w:rFonts w:eastAsia="Times New Roman"/>
        </w:rPr>
      </w:pPr>
      <w:r>
        <w:rPr>
          <w:rFonts w:eastAsia="Times New Roman"/>
          <w:color w:val="000000"/>
          <w:sz w:val="16"/>
          <w:szCs w:val="16"/>
        </w:rPr>
        <w:t> </w:t>
      </w:r>
    </w:p>
    <w:p w:rsidR="00000000" w:rsidRDefault="00A270CC">
      <w:pPr>
        <w:jc w:val="center"/>
        <w:divId w:val="764113463"/>
        <w:rPr>
          <w:rFonts w:eastAsia="Times New Roman"/>
        </w:rPr>
      </w:pPr>
      <w:r>
        <w:rPr>
          <w:rFonts w:eastAsia="Times New Roman"/>
          <w:color w:val="000000"/>
          <w:sz w:val="20"/>
          <w:szCs w:val="20"/>
        </w:rPr>
        <w:lastRenderedPageBreak/>
        <w:t>i</w:t>
      </w:r>
    </w:p>
    <w:p w:rsidR="00000000" w:rsidRDefault="00A270CC">
      <w:pPr>
        <w:rPr>
          <w:rFonts w:eastAsia="Times New Roman"/>
        </w:rPr>
      </w:pPr>
      <w:r>
        <w:rPr>
          <w:rFonts w:eastAsia="Times New Roman"/>
        </w:rPr>
        <w:pict>
          <v:rect id="_x0000_i1026" style="width:0;height:1.5pt" o:hralign="center" o:hrstd="t" o:hr="t" fillcolor="#a0a0a0" stroked="f"/>
        </w:pict>
      </w:r>
    </w:p>
    <w:p w:rsidR="00000000" w:rsidRDefault="00A270CC">
      <w:pPr>
        <w:divId w:val="46682241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75827966"/>
        <w:rPr>
          <w:rFonts w:eastAsia="Times New Roman"/>
        </w:rPr>
      </w:pPr>
    </w:p>
    <w:p w:rsidR="00000000" w:rsidRDefault="00A270CC">
      <w:pPr>
        <w:divId w:val="319189041"/>
        <w:rPr>
          <w:rFonts w:eastAsia="Times New Roman"/>
        </w:rPr>
      </w:pPr>
    </w:p>
    <w:p w:rsidR="00000000" w:rsidRDefault="00A270CC">
      <w:pPr>
        <w:jc w:val="center"/>
        <w:rPr>
          <w:rFonts w:eastAsia="Times New Roman"/>
        </w:rPr>
      </w:pPr>
      <w:r>
        <w:rPr>
          <w:rFonts w:eastAsia="Times New Roman"/>
          <w:b/>
          <w:bCs/>
          <w:color w:val="000000"/>
          <w:sz w:val="20"/>
          <w:szCs w:val="20"/>
        </w:rPr>
        <w:t>GLOSSARY OF TERMS AND ABBREVIATION</w:t>
      </w:r>
      <w:r>
        <w:rPr>
          <w:rFonts w:eastAsia="Times New Roman"/>
          <w:b/>
          <w:bCs/>
          <w:color w:val="000000"/>
          <w:sz w:val="20"/>
          <w:szCs w:val="20"/>
        </w:rPr>
        <w:t>S</w:t>
      </w:r>
    </w:p>
    <w:p w:rsidR="00000000" w:rsidRDefault="00A270CC">
      <w:pPr>
        <w:divId w:val="2044094242"/>
        <w:rPr>
          <w:rFonts w:eastAsia="Times New Roman"/>
        </w:rPr>
      </w:pPr>
    </w:p>
    <w:p w:rsidR="00000000" w:rsidRDefault="00A270CC">
      <w:pPr>
        <w:divId w:val="450831200"/>
        <w:rPr>
          <w:rFonts w:eastAsia="Times New Roman"/>
        </w:rPr>
      </w:pPr>
      <w:r>
        <w:rPr>
          <w:rFonts w:eastAsia="Times New Roman"/>
          <w:color w:val="000000"/>
          <w:sz w:val="20"/>
          <w:szCs w:val="20"/>
        </w:rPr>
        <w:t>Terms and abbreviations used in this Form 10-Q are defined below</w:t>
      </w:r>
      <w:r>
        <w:rPr>
          <w:rFonts w:eastAsia="Times New Roman"/>
          <w:color w:val="000000"/>
          <w:sz w:val="20"/>
          <w:szCs w:val="20"/>
        </w:rPr>
        <w:t>:</w:t>
      </w:r>
    </w:p>
    <w:p w:rsidR="00000000" w:rsidRDefault="00A270CC">
      <w:pPr>
        <w:divId w:val="864749657"/>
        <w:rPr>
          <w:rFonts w:eastAsia="Times New Roman"/>
        </w:rPr>
      </w:pPr>
    </w:p>
    <w:p w:rsidR="00000000" w:rsidRDefault="00A270CC">
      <w:pPr>
        <w:jc w:val="center"/>
        <w:rPr>
          <w:rFonts w:eastAsia="Times New Roman"/>
        </w:rPr>
      </w:pPr>
      <w:r>
        <w:rPr>
          <w:rFonts w:eastAsia="Times New Roman"/>
          <w:b/>
          <w:bCs/>
          <w:i/>
          <w:iCs/>
          <w:color w:val="000000"/>
          <w:sz w:val="20"/>
          <w:szCs w:val="20"/>
          <w:u w:val="single"/>
        </w:rPr>
        <w:t>UGI Corporation and Related Entitie</w:t>
      </w:r>
      <w:r>
        <w:rPr>
          <w:rFonts w:eastAsia="Times New Roman"/>
          <w:b/>
          <w:bCs/>
          <w:i/>
          <w:iCs/>
          <w:color w:val="000000"/>
          <w:sz w:val="20"/>
          <w:szCs w:val="20"/>
          <w:u w:val="single"/>
        </w:rPr>
        <w:t>s</w:t>
      </w:r>
    </w:p>
    <w:p w:rsidR="00000000" w:rsidRDefault="00A270CC">
      <w:pPr>
        <w:jc w:val="center"/>
        <w:rPr>
          <w:rFonts w:eastAsia="Times New Roman"/>
        </w:rPr>
      </w:pPr>
    </w:p>
    <w:p w:rsidR="00000000" w:rsidRDefault="00A270CC">
      <w:pPr>
        <w:jc w:val="both"/>
        <w:divId w:val="1219172372"/>
        <w:rPr>
          <w:rFonts w:eastAsia="Times New Roman"/>
        </w:rPr>
      </w:pPr>
      <w:r>
        <w:rPr>
          <w:rFonts w:eastAsia="Times New Roman"/>
          <w:b/>
          <w:bCs/>
          <w:i/>
          <w:iCs/>
          <w:color w:val="000000"/>
          <w:sz w:val="20"/>
          <w:szCs w:val="20"/>
        </w:rPr>
        <w:t>AmeriGas OLP -</w:t>
      </w:r>
      <w:r>
        <w:rPr>
          <w:rFonts w:eastAsia="Times New Roman"/>
          <w:b/>
          <w:bCs/>
          <w:i/>
          <w:iCs/>
          <w:color w:val="000000"/>
          <w:sz w:val="20"/>
          <w:szCs w:val="20"/>
        </w:rPr>
        <w:t xml:space="preserve"> </w:t>
      </w:r>
      <w:r>
        <w:rPr>
          <w:rFonts w:eastAsia="Times New Roman"/>
          <w:color w:val="000000"/>
          <w:sz w:val="20"/>
          <w:szCs w:val="20"/>
        </w:rPr>
        <w:t>AmeriGas Propane, L.P., the principal operating subsidiary of AmeriGas Partner</w:t>
      </w:r>
      <w:r>
        <w:rPr>
          <w:rFonts w:eastAsia="Times New Roman"/>
          <w:color w:val="000000"/>
          <w:sz w:val="20"/>
          <w:szCs w:val="20"/>
        </w:rPr>
        <w:t>s</w:t>
      </w:r>
    </w:p>
    <w:p w:rsidR="00000000" w:rsidRDefault="00A270CC">
      <w:pPr>
        <w:jc w:val="both"/>
        <w:divId w:val="909002968"/>
        <w:rPr>
          <w:rFonts w:eastAsia="Times New Roman"/>
        </w:rPr>
      </w:pPr>
      <w:r>
        <w:rPr>
          <w:rFonts w:eastAsia="Times New Roman"/>
          <w:b/>
          <w:bCs/>
          <w:i/>
          <w:iCs/>
          <w:color w:val="000000"/>
          <w:sz w:val="20"/>
          <w:szCs w:val="20"/>
        </w:rPr>
        <w:t xml:space="preserve">AmeriGas Partners </w:t>
      </w:r>
      <w:r>
        <w:rPr>
          <w:rFonts w:eastAsia="Times New Roman"/>
          <w:b/>
          <w:bCs/>
          <w:i/>
          <w:iCs/>
          <w:color w:val="000000"/>
          <w:sz w:val="20"/>
          <w:szCs w:val="20"/>
        </w:rPr>
        <w:t>-</w:t>
      </w:r>
      <w:r>
        <w:rPr>
          <w:rFonts w:eastAsia="Times New Roman"/>
          <w:color w:val="000000"/>
          <w:sz w:val="20"/>
          <w:szCs w:val="20"/>
        </w:rPr>
        <w:t xml:space="preserve"> AmeriGas Partners, L.P., a Delaware limited partnership and an indirect wholly-owned subsidiary of UGI</w:t>
      </w:r>
      <w:r>
        <w:rPr>
          <w:rFonts w:eastAsia="Times New Roman"/>
          <w:color w:val="000000"/>
          <w:sz w:val="20"/>
          <w:szCs w:val="20"/>
        </w:rPr>
        <w:t>; also referred to as the “Partnership</w:t>
      </w:r>
      <w:r>
        <w:rPr>
          <w:rFonts w:eastAsia="Times New Roman"/>
          <w:color w:val="000000"/>
          <w:sz w:val="20"/>
          <w:szCs w:val="20"/>
        </w:rPr>
        <w:t>”</w:t>
      </w:r>
    </w:p>
    <w:p w:rsidR="00000000" w:rsidRDefault="00A270CC">
      <w:pPr>
        <w:jc w:val="both"/>
        <w:divId w:val="735323714"/>
        <w:rPr>
          <w:rFonts w:eastAsia="Times New Roman"/>
        </w:rPr>
      </w:pPr>
      <w:r>
        <w:rPr>
          <w:rFonts w:eastAsia="Times New Roman"/>
          <w:b/>
          <w:bCs/>
          <w:i/>
          <w:iCs/>
          <w:color w:val="000000"/>
          <w:sz w:val="20"/>
          <w:szCs w:val="20"/>
        </w:rPr>
        <w:t xml:space="preserve">AmeriGas Propane </w:t>
      </w:r>
      <w:r>
        <w:rPr>
          <w:rFonts w:eastAsia="Times New Roman"/>
          <w:b/>
          <w:bCs/>
          <w:i/>
          <w:iCs/>
          <w:color w:val="000000"/>
          <w:sz w:val="20"/>
          <w:szCs w:val="20"/>
        </w:rPr>
        <w:t>-</w:t>
      </w:r>
      <w:r>
        <w:rPr>
          <w:rFonts w:eastAsia="Times New Roman"/>
          <w:color w:val="000000"/>
          <w:sz w:val="20"/>
          <w:szCs w:val="20"/>
        </w:rPr>
        <w:t xml:space="preserve"> Reportable segment comprising AmeriGas Propane, Inc. and its subsidiaries, including AmeriGas Partners and AmeriGas OL</w:t>
      </w:r>
      <w:r>
        <w:rPr>
          <w:rFonts w:eastAsia="Times New Roman"/>
          <w:color w:val="000000"/>
          <w:sz w:val="20"/>
          <w:szCs w:val="20"/>
        </w:rPr>
        <w:t>P</w:t>
      </w:r>
    </w:p>
    <w:p w:rsidR="00000000" w:rsidRDefault="00A270CC">
      <w:pPr>
        <w:jc w:val="both"/>
        <w:divId w:val="1258757361"/>
        <w:rPr>
          <w:rFonts w:eastAsia="Times New Roman"/>
        </w:rPr>
      </w:pPr>
      <w:r>
        <w:rPr>
          <w:rFonts w:eastAsia="Times New Roman"/>
          <w:b/>
          <w:bCs/>
          <w:i/>
          <w:iCs/>
          <w:color w:val="000000"/>
          <w:sz w:val="20"/>
          <w:szCs w:val="20"/>
        </w:rPr>
        <w:t xml:space="preserve">AmeriGas Propane, Inc. </w:t>
      </w:r>
      <w:r>
        <w:rPr>
          <w:rFonts w:eastAsia="Times New Roman"/>
          <w:b/>
          <w:bCs/>
          <w:i/>
          <w:iCs/>
          <w:color w:val="000000"/>
          <w:sz w:val="20"/>
          <w:szCs w:val="20"/>
        </w:rPr>
        <w:t>-</w:t>
      </w:r>
      <w:r>
        <w:rPr>
          <w:rFonts w:eastAsia="Times New Roman"/>
          <w:color w:val="000000"/>
          <w:sz w:val="20"/>
          <w:szCs w:val="20"/>
        </w:rPr>
        <w:t xml:space="preserve"> A wholly owned second-tier subsidiary of UGI and the</w:t>
      </w:r>
      <w:r>
        <w:rPr>
          <w:rFonts w:eastAsia="Times New Roman"/>
          <w:color w:val="000000"/>
          <w:sz w:val="20"/>
          <w:szCs w:val="20"/>
        </w:rPr>
        <w:t xml:space="preserve"> general partner of AmeriGas Partners; also referred to as the “General Partner</w:t>
      </w:r>
      <w:r>
        <w:rPr>
          <w:rFonts w:eastAsia="Times New Roman"/>
          <w:color w:val="000000"/>
          <w:sz w:val="20"/>
          <w:szCs w:val="20"/>
        </w:rPr>
        <w:t>”</w:t>
      </w:r>
    </w:p>
    <w:p w:rsidR="00000000" w:rsidRDefault="00A270CC">
      <w:pPr>
        <w:jc w:val="both"/>
        <w:divId w:val="1447963215"/>
        <w:rPr>
          <w:rFonts w:eastAsia="Times New Roman"/>
        </w:rPr>
      </w:pPr>
      <w:r>
        <w:rPr>
          <w:rFonts w:eastAsia="Times New Roman"/>
          <w:b/>
          <w:bCs/>
          <w:i/>
          <w:iCs/>
          <w:color w:val="000000"/>
          <w:sz w:val="20"/>
          <w:szCs w:val="20"/>
        </w:rPr>
        <w:t xml:space="preserve">AvantiGas </w:t>
      </w:r>
      <w:r>
        <w:rPr>
          <w:rFonts w:eastAsia="Times New Roman"/>
          <w:b/>
          <w:bCs/>
          <w:i/>
          <w:iCs/>
          <w:color w:val="000000"/>
          <w:sz w:val="20"/>
          <w:szCs w:val="20"/>
        </w:rPr>
        <w:t>-</w:t>
      </w:r>
      <w:r>
        <w:rPr>
          <w:rFonts w:eastAsia="Times New Roman"/>
          <w:color w:val="000000"/>
          <w:sz w:val="20"/>
          <w:szCs w:val="20"/>
        </w:rPr>
        <w:t xml:space="preserve"> AvantiGas Limited, an indirect wholly owned subsidiary of UGI International, LL</w:t>
      </w:r>
      <w:r>
        <w:rPr>
          <w:rFonts w:eastAsia="Times New Roman"/>
          <w:color w:val="000000"/>
          <w:sz w:val="20"/>
          <w:szCs w:val="20"/>
        </w:rPr>
        <w:t>C</w:t>
      </w:r>
    </w:p>
    <w:p w:rsidR="00000000" w:rsidRDefault="00A270CC">
      <w:pPr>
        <w:jc w:val="both"/>
        <w:divId w:val="723136593"/>
        <w:rPr>
          <w:rFonts w:eastAsia="Times New Roman"/>
        </w:rPr>
      </w:pPr>
      <w:r>
        <w:rPr>
          <w:rFonts w:eastAsia="Times New Roman"/>
          <w:b/>
          <w:bCs/>
          <w:i/>
          <w:iCs/>
          <w:color w:val="000000"/>
          <w:sz w:val="20"/>
          <w:szCs w:val="20"/>
        </w:rPr>
        <w:t xml:space="preserve">Company </w:t>
      </w:r>
      <w:r>
        <w:rPr>
          <w:rFonts w:eastAsia="Times New Roman"/>
          <w:b/>
          <w:bCs/>
          <w:i/>
          <w:iCs/>
          <w:color w:val="000000"/>
          <w:sz w:val="20"/>
          <w:szCs w:val="20"/>
        </w:rPr>
        <w:t>-</w:t>
      </w:r>
      <w:r>
        <w:rPr>
          <w:rFonts w:eastAsia="Times New Roman"/>
          <w:color w:val="000000"/>
          <w:sz w:val="20"/>
          <w:szCs w:val="20"/>
        </w:rPr>
        <w:t xml:space="preserve"> UGI and its consolidated subsidiaries collectivel</w:t>
      </w:r>
      <w:r>
        <w:rPr>
          <w:rFonts w:eastAsia="Times New Roman"/>
          <w:color w:val="000000"/>
          <w:sz w:val="20"/>
          <w:szCs w:val="20"/>
        </w:rPr>
        <w:t>y</w:t>
      </w:r>
    </w:p>
    <w:p w:rsidR="00000000" w:rsidRDefault="00A270CC">
      <w:pPr>
        <w:jc w:val="both"/>
        <w:divId w:val="432088851"/>
        <w:rPr>
          <w:rFonts w:eastAsia="Times New Roman"/>
        </w:rPr>
      </w:pPr>
      <w:r>
        <w:rPr>
          <w:rFonts w:eastAsia="Times New Roman"/>
          <w:b/>
          <w:bCs/>
          <w:i/>
          <w:iCs/>
          <w:color w:val="000000"/>
          <w:sz w:val="20"/>
          <w:szCs w:val="20"/>
        </w:rPr>
        <w:t>CM</w:t>
      </w:r>
      <w:r>
        <w:rPr>
          <w:rFonts w:eastAsia="Times New Roman"/>
          <w:b/>
          <w:bCs/>
          <w:i/>
          <w:iCs/>
          <w:color w:val="000000"/>
          <w:sz w:val="20"/>
          <w:szCs w:val="20"/>
        </w:rPr>
        <w:t>G</w:t>
      </w:r>
      <w:r>
        <w:rPr>
          <w:rFonts w:eastAsia="Times New Roman"/>
          <w:b/>
          <w:bCs/>
          <w:color w:val="000000"/>
          <w:sz w:val="20"/>
          <w:szCs w:val="20"/>
        </w:rPr>
        <w:t xml:space="preserve"> </w:t>
      </w:r>
      <w:r>
        <w:rPr>
          <w:rFonts w:eastAsia="Times New Roman"/>
          <w:b/>
          <w:bCs/>
          <w:color w:val="000000"/>
          <w:sz w:val="20"/>
          <w:szCs w:val="20"/>
        </w:rPr>
        <w:t>-</w:t>
      </w:r>
      <w:r>
        <w:rPr>
          <w:rFonts w:eastAsia="Times New Roman"/>
          <w:color w:val="000000"/>
          <w:sz w:val="20"/>
          <w:szCs w:val="20"/>
        </w:rPr>
        <w:t xml:space="preserve"> Columbia Midstr</w:t>
      </w:r>
      <w:r>
        <w:rPr>
          <w:rFonts w:eastAsia="Times New Roman"/>
          <w:color w:val="000000"/>
          <w:sz w:val="20"/>
          <w:szCs w:val="20"/>
        </w:rPr>
        <w:t>eam Group, LL</w:t>
      </w:r>
      <w:r>
        <w:rPr>
          <w:rFonts w:eastAsia="Times New Roman"/>
          <w:color w:val="000000"/>
          <w:sz w:val="20"/>
          <w:szCs w:val="20"/>
        </w:rPr>
        <w:t>C</w:t>
      </w:r>
    </w:p>
    <w:p w:rsidR="00000000" w:rsidRDefault="00A270CC">
      <w:pPr>
        <w:jc w:val="both"/>
        <w:divId w:val="215045724"/>
        <w:rPr>
          <w:rFonts w:eastAsia="Times New Roman"/>
        </w:rPr>
      </w:pPr>
      <w:r>
        <w:rPr>
          <w:rFonts w:eastAsia="Times New Roman"/>
          <w:b/>
          <w:bCs/>
          <w:i/>
          <w:iCs/>
          <w:color w:val="000000"/>
          <w:sz w:val="20"/>
          <w:szCs w:val="20"/>
        </w:rPr>
        <w:t xml:space="preserve">CPG </w:t>
      </w:r>
      <w:r>
        <w:rPr>
          <w:rFonts w:eastAsia="Times New Roman"/>
          <w:b/>
          <w:bCs/>
          <w:i/>
          <w:iCs/>
          <w:color w:val="000000"/>
          <w:sz w:val="20"/>
          <w:szCs w:val="20"/>
        </w:rPr>
        <w:t>-</w:t>
      </w:r>
      <w:r>
        <w:rPr>
          <w:rFonts w:eastAsia="Times New Roman"/>
          <w:color w:val="000000"/>
          <w:sz w:val="20"/>
          <w:szCs w:val="20"/>
        </w:rPr>
        <w:t xml:space="preserve"> UGI Central Penn Gas, Inc., a wholly owned subsidiary of UGI Utilities prior to the Utility Merge</w:t>
      </w:r>
      <w:r>
        <w:rPr>
          <w:rFonts w:eastAsia="Times New Roman"/>
          <w:color w:val="000000"/>
          <w:sz w:val="20"/>
          <w:szCs w:val="20"/>
        </w:rPr>
        <w:t>r</w:t>
      </w:r>
    </w:p>
    <w:p w:rsidR="00000000" w:rsidRDefault="00A270CC">
      <w:pPr>
        <w:jc w:val="both"/>
        <w:divId w:val="936789300"/>
        <w:rPr>
          <w:rFonts w:eastAsia="Times New Roman"/>
        </w:rPr>
      </w:pPr>
      <w:r>
        <w:rPr>
          <w:rFonts w:eastAsia="Times New Roman"/>
          <w:b/>
          <w:bCs/>
          <w:i/>
          <w:iCs/>
          <w:color w:val="000000"/>
          <w:sz w:val="20"/>
          <w:szCs w:val="20"/>
        </w:rPr>
        <w:t xml:space="preserve">DVEP </w:t>
      </w:r>
      <w:r>
        <w:rPr>
          <w:rFonts w:eastAsia="Times New Roman"/>
          <w:b/>
          <w:bCs/>
          <w:i/>
          <w:iCs/>
          <w:color w:val="000000"/>
          <w:sz w:val="20"/>
          <w:szCs w:val="20"/>
        </w:rPr>
        <w:t>-</w:t>
      </w:r>
      <w:r>
        <w:rPr>
          <w:rFonts w:eastAsia="Times New Roman"/>
          <w:color w:val="000000"/>
          <w:sz w:val="20"/>
          <w:szCs w:val="20"/>
        </w:rPr>
        <w:t xml:space="preserve"> DVEP Investeringen B.V., an indirect wholly owned subsidiary of UGI International, LL</w:t>
      </w:r>
      <w:r>
        <w:rPr>
          <w:rFonts w:eastAsia="Times New Roman"/>
          <w:color w:val="000000"/>
          <w:sz w:val="20"/>
          <w:szCs w:val="20"/>
        </w:rPr>
        <w:t>C</w:t>
      </w:r>
    </w:p>
    <w:p w:rsidR="00000000" w:rsidRDefault="00A270CC">
      <w:pPr>
        <w:jc w:val="both"/>
        <w:divId w:val="54814994"/>
        <w:rPr>
          <w:rFonts w:eastAsia="Times New Roman"/>
        </w:rPr>
      </w:pPr>
      <w:r>
        <w:rPr>
          <w:rFonts w:eastAsia="Times New Roman"/>
          <w:b/>
          <w:bCs/>
          <w:i/>
          <w:iCs/>
          <w:color w:val="000000"/>
          <w:sz w:val="20"/>
          <w:szCs w:val="20"/>
        </w:rPr>
        <w:t xml:space="preserve">Electric Utility </w:t>
      </w:r>
      <w:r>
        <w:rPr>
          <w:rFonts w:eastAsia="Times New Roman"/>
          <w:b/>
          <w:bCs/>
          <w:i/>
          <w:iCs/>
          <w:color w:val="000000"/>
          <w:sz w:val="20"/>
          <w:szCs w:val="20"/>
        </w:rPr>
        <w:t>-</w:t>
      </w:r>
      <w:r>
        <w:rPr>
          <w:rFonts w:eastAsia="Times New Roman"/>
          <w:color w:val="000000"/>
          <w:sz w:val="20"/>
          <w:szCs w:val="20"/>
        </w:rPr>
        <w:t xml:space="preserve"> UGI Utilities’ regulate</w:t>
      </w:r>
      <w:r>
        <w:rPr>
          <w:rFonts w:eastAsia="Times New Roman"/>
          <w:color w:val="000000"/>
          <w:sz w:val="20"/>
          <w:szCs w:val="20"/>
        </w:rPr>
        <w:t>d electric distribution utilit</w:t>
      </w:r>
      <w:r>
        <w:rPr>
          <w:rFonts w:eastAsia="Times New Roman"/>
          <w:color w:val="000000"/>
          <w:sz w:val="20"/>
          <w:szCs w:val="20"/>
        </w:rPr>
        <w:t>y</w:t>
      </w:r>
    </w:p>
    <w:p w:rsidR="00000000" w:rsidRDefault="00A270CC">
      <w:pPr>
        <w:jc w:val="both"/>
        <w:divId w:val="1963266883"/>
        <w:rPr>
          <w:rFonts w:eastAsia="Times New Roman"/>
        </w:rPr>
      </w:pPr>
      <w:r>
        <w:rPr>
          <w:rFonts w:eastAsia="Times New Roman"/>
          <w:b/>
          <w:bCs/>
          <w:i/>
          <w:iCs/>
          <w:color w:val="000000"/>
          <w:sz w:val="20"/>
          <w:szCs w:val="20"/>
        </w:rPr>
        <w:t xml:space="preserve">Energy Services </w:t>
      </w:r>
      <w:r>
        <w:rPr>
          <w:rFonts w:eastAsia="Times New Roman"/>
          <w:b/>
          <w:bCs/>
          <w:i/>
          <w:iCs/>
          <w:color w:val="000000"/>
          <w:sz w:val="20"/>
          <w:szCs w:val="20"/>
        </w:rPr>
        <w:t>-</w:t>
      </w:r>
      <w:r>
        <w:rPr>
          <w:rFonts w:eastAsia="Times New Roman"/>
          <w:color w:val="000000"/>
          <w:sz w:val="20"/>
          <w:szCs w:val="20"/>
        </w:rPr>
        <w:t xml:space="preserve"> UGI Energy Services, LLC, a wholly owned second-tier subsidiary of UG</w:t>
      </w:r>
      <w:r>
        <w:rPr>
          <w:rFonts w:eastAsia="Times New Roman"/>
          <w:color w:val="000000"/>
          <w:sz w:val="20"/>
          <w:szCs w:val="20"/>
        </w:rPr>
        <w:t>I</w:t>
      </w:r>
    </w:p>
    <w:p w:rsidR="00000000" w:rsidRDefault="00A270CC">
      <w:pPr>
        <w:jc w:val="both"/>
        <w:divId w:val="2124567482"/>
        <w:rPr>
          <w:rFonts w:eastAsia="Times New Roman"/>
        </w:rPr>
      </w:pPr>
      <w:r>
        <w:rPr>
          <w:rFonts w:eastAsia="Times New Roman"/>
          <w:b/>
          <w:bCs/>
          <w:i/>
          <w:iCs/>
          <w:color w:val="000000"/>
          <w:sz w:val="20"/>
          <w:szCs w:val="20"/>
        </w:rPr>
        <w:t xml:space="preserve">ESFC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Energy Services Funding Corporation, a wholly owned subsidiary of Energy Service</w:t>
      </w:r>
      <w:r>
        <w:rPr>
          <w:rFonts w:eastAsia="Times New Roman"/>
          <w:color w:val="000000"/>
          <w:sz w:val="20"/>
          <w:szCs w:val="20"/>
        </w:rPr>
        <w:t>s</w:t>
      </w:r>
    </w:p>
    <w:p w:rsidR="00000000" w:rsidRDefault="00A270CC">
      <w:pPr>
        <w:jc w:val="both"/>
        <w:divId w:val="787159453"/>
        <w:rPr>
          <w:rFonts w:eastAsia="Times New Roman"/>
        </w:rPr>
      </w:pPr>
      <w:r>
        <w:rPr>
          <w:rFonts w:eastAsia="Times New Roman"/>
          <w:b/>
          <w:bCs/>
          <w:i/>
          <w:iCs/>
          <w:color w:val="000000"/>
          <w:sz w:val="20"/>
          <w:szCs w:val="20"/>
        </w:rPr>
        <w:t>Flaga -</w:t>
      </w:r>
      <w:r>
        <w:rPr>
          <w:rFonts w:eastAsia="Times New Roman"/>
          <w:b/>
          <w:bCs/>
          <w:i/>
          <w:iCs/>
          <w:color w:val="000000"/>
          <w:sz w:val="20"/>
          <w:szCs w:val="20"/>
        </w:rPr>
        <w:t xml:space="preserve"> </w:t>
      </w:r>
      <w:r>
        <w:rPr>
          <w:rFonts w:eastAsia="Times New Roman"/>
          <w:color w:val="000000"/>
          <w:sz w:val="20"/>
          <w:szCs w:val="20"/>
        </w:rPr>
        <w:t>Flaga GmbH, an indirect wholly owned subsidiary of UGI International, LL</w:t>
      </w:r>
      <w:r>
        <w:rPr>
          <w:rFonts w:eastAsia="Times New Roman"/>
          <w:color w:val="000000"/>
          <w:sz w:val="20"/>
          <w:szCs w:val="20"/>
        </w:rPr>
        <w:t>C</w:t>
      </w:r>
    </w:p>
    <w:p w:rsidR="00000000" w:rsidRDefault="00A270CC">
      <w:pPr>
        <w:jc w:val="both"/>
        <w:divId w:val="957251072"/>
        <w:rPr>
          <w:rFonts w:eastAsia="Times New Roman"/>
        </w:rPr>
      </w:pPr>
      <w:r>
        <w:rPr>
          <w:rFonts w:eastAsia="Times New Roman"/>
          <w:b/>
          <w:bCs/>
          <w:i/>
          <w:iCs/>
          <w:color w:val="000000"/>
          <w:sz w:val="20"/>
          <w:szCs w:val="20"/>
        </w:rPr>
        <w:t xml:space="preserve">Gas Utility </w:t>
      </w:r>
      <w:r>
        <w:rPr>
          <w:rFonts w:eastAsia="Times New Roman"/>
          <w:b/>
          <w:bCs/>
          <w:i/>
          <w:iCs/>
          <w:color w:val="000000"/>
          <w:sz w:val="20"/>
          <w:szCs w:val="20"/>
        </w:rPr>
        <w:t>-</w:t>
      </w:r>
      <w:r>
        <w:rPr>
          <w:rFonts w:eastAsia="Times New Roman"/>
          <w:color w:val="000000"/>
          <w:sz w:val="20"/>
          <w:szCs w:val="20"/>
        </w:rPr>
        <w:t xml:space="preserve"> UGI Utilities’ regulated natural gas distribution business, comprising the nat</w:t>
      </w:r>
      <w:r>
        <w:rPr>
          <w:rFonts w:eastAsia="Times New Roman"/>
          <w:color w:val="000000"/>
          <w:sz w:val="20"/>
          <w:szCs w:val="20"/>
        </w:rPr>
        <w:t>ural gas utility businesses owned and operated by UGI Utilities and, prior to the Utility Merger, PNG and CP</w:t>
      </w:r>
      <w:r>
        <w:rPr>
          <w:rFonts w:eastAsia="Times New Roman"/>
          <w:color w:val="000000"/>
          <w:sz w:val="20"/>
          <w:szCs w:val="20"/>
        </w:rPr>
        <w:t>G</w:t>
      </w:r>
    </w:p>
    <w:p w:rsidR="00000000" w:rsidRDefault="00A270CC">
      <w:pPr>
        <w:jc w:val="both"/>
        <w:divId w:val="1642728420"/>
        <w:rPr>
          <w:rFonts w:eastAsia="Times New Roman"/>
        </w:rPr>
      </w:pPr>
      <w:r>
        <w:rPr>
          <w:rFonts w:eastAsia="Times New Roman"/>
          <w:b/>
          <w:bCs/>
          <w:i/>
          <w:iCs/>
          <w:color w:val="000000"/>
          <w:sz w:val="20"/>
          <w:szCs w:val="20"/>
        </w:rPr>
        <w:t>General Partne</w:t>
      </w:r>
      <w:r>
        <w:rPr>
          <w:rFonts w:eastAsia="Times New Roman"/>
          <w:b/>
          <w:bCs/>
          <w:i/>
          <w:iCs/>
          <w:color w:val="000000"/>
          <w:sz w:val="20"/>
          <w:szCs w:val="20"/>
        </w:rPr>
        <w:t>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AmeriGas Propane, Inc., the general partner of AmeriGas Partner</w:t>
      </w:r>
      <w:r>
        <w:rPr>
          <w:rFonts w:eastAsia="Times New Roman"/>
          <w:color w:val="000000"/>
          <w:sz w:val="20"/>
          <w:szCs w:val="20"/>
        </w:rPr>
        <w:t>s</w:t>
      </w:r>
    </w:p>
    <w:p w:rsidR="00000000" w:rsidRDefault="00A270CC">
      <w:pPr>
        <w:jc w:val="both"/>
        <w:divId w:val="898829746"/>
        <w:rPr>
          <w:rFonts w:eastAsia="Times New Roman"/>
        </w:rPr>
      </w:pPr>
      <w:r>
        <w:rPr>
          <w:rFonts w:eastAsia="Times New Roman"/>
          <w:b/>
          <w:bCs/>
          <w:i/>
          <w:iCs/>
          <w:color w:val="000000"/>
          <w:sz w:val="20"/>
          <w:szCs w:val="20"/>
        </w:rPr>
        <w:t>GHI Energy, LL</w:t>
      </w:r>
      <w:r>
        <w:rPr>
          <w:rFonts w:eastAsia="Times New Roman"/>
          <w:b/>
          <w:bCs/>
          <w:i/>
          <w:iCs/>
          <w:color w:val="000000"/>
          <w:sz w:val="20"/>
          <w:szCs w:val="20"/>
        </w:rPr>
        <w:t>C</w:t>
      </w:r>
      <w:r>
        <w:rPr>
          <w:rFonts w:eastAsia="Times New Roman"/>
          <w:color w:val="000000"/>
          <w:sz w:val="20"/>
          <w:szCs w:val="20"/>
        </w:rPr>
        <w:t xml:space="preserve"> - a Houston based renewable natural gas company</w:t>
      </w:r>
      <w:r>
        <w:rPr>
          <w:rFonts w:eastAsia="Times New Roman"/>
          <w:color w:val="000000"/>
          <w:sz w:val="20"/>
          <w:szCs w:val="20"/>
        </w:rPr>
        <w:t xml:space="preserve"> acquired by Energy Service</w:t>
      </w:r>
      <w:r>
        <w:rPr>
          <w:rFonts w:eastAsia="Times New Roman"/>
          <w:color w:val="000000"/>
          <w:sz w:val="20"/>
          <w:szCs w:val="20"/>
        </w:rPr>
        <w:t>s</w:t>
      </w:r>
    </w:p>
    <w:p w:rsidR="00000000" w:rsidRDefault="00A270CC">
      <w:pPr>
        <w:jc w:val="both"/>
        <w:divId w:val="1700620570"/>
        <w:rPr>
          <w:rFonts w:eastAsia="Times New Roman"/>
        </w:rPr>
      </w:pPr>
      <w:r>
        <w:rPr>
          <w:rFonts w:eastAsia="Times New Roman"/>
          <w:b/>
          <w:bCs/>
          <w:i/>
          <w:iCs/>
          <w:color w:val="000000"/>
          <w:sz w:val="20"/>
          <w:szCs w:val="20"/>
        </w:rPr>
        <w:t xml:space="preserve">Midstream &amp; Marketing </w:t>
      </w:r>
      <w:r>
        <w:rPr>
          <w:rFonts w:eastAsia="Times New Roman"/>
          <w:b/>
          <w:bCs/>
          <w:i/>
          <w:iCs/>
          <w:color w:val="000000"/>
          <w:sz w:val="20"/>
          <w:szCs w:val="20"/>
        </w:rPr>
        <w:t>-</w:t>
      </w:r>
      <w:r>
        <w:rPr>
          <w:rFonts w:eastAsia="Times New Roman"/>
          <w:color w:val="000000"/>
          <w:sz w:val="20"/>
          <w:szCs w:val="20"/>
        </w:rPr>
        <w:t xml:space="preserve"> Reportable segment principally comprising Energy Services and its subsidiaries, including UGI</w:t>
      </w:r>
      <w:r>
        <w:rPr>
          <w:rFonts w:eastAsia="Times New Roman"/>
          <w:color w:val="000000"/>
          <w:sz w:val="20"/>
          <w:szCs w:val="20"/>
        </w:rPr>
        <w:t>D</w:t>
      </w:r>
    </w:p>
    <w:p w:rsidR="00000000" w:rsidRDefault="00A270CC">
      <w:pPr>
        <w:jc w:val="both"/>
        <w:divId w:val="545725582"/>
        <w:rPr>
          <w:rFonts w:eastAsia="Times New Roman"/>
        </w:rPr>
      </w:pPr>
      <w:r>
        <w:rPr>
          <w:rFonts w:eastAsia="Times New Roman"/>
          <w:b/>
          <w:bCs/>
          <w:i/>
          <w:iCs/>
          <w:color w:val="000000"/>
          <w:sz w:val="20"/>
          <w:szCs w:val="20"/>
        </w:rPr>
        <w:t xml:space="preserve">Partnership </w:t>
      </w:r>
      <w:r>
        <w:rPr>
          <w:rFonts w:eastAsia="Times New Roman"/>
          <w:b/>
          <w:bCs/>
          <w:i/>
          <w:iCs/>
          <w:color w:val="000000"/>
          <w:sz w:val="20"/>
          <w:szCs w:val="20"/>
        </w:rPr>
        <w:t>-</w:t>
      </w:r>
      <w:r>
        <w:rPr>
          <w:rFonts w:eastAsia="Times New Roman"/>
          <w:color w:val="000000"/>
          <w:sz w:val="20"/>
          <w:szCs w:val="20"/>
        </w:rPr>
        <w:t xml:space="preserve"> AmeriGas Partners and its consolidated subsidiaries, including AmeriGas OL</w:t>
      </w:r>
      <w:r>
        <w:rPr>
          <w:rFonts w:eastAsia="Times New Roman"/>
          <w:color w:val="000000"/>
          <w:sz w:val="20"/>
          <w:szCs w:val="20"/>
        </w:rPr>
        <w:t>P</w:t>
      </w:r>
    </w:p>
    <w:p w:rsidR="00000000" w:rsidRDefault="00A270CC">
      <w:pPr>
        <w:jc w:val="both"/>
        <w:divId w:val="228536764"/>
        <w:rPr>
          <w:rFonts w:eastAsia="Times New Roman"/>
        </w:rPr>
      </w:pPr>
      <w:r>
        <w:rPr>
          <w:rFonts w:eastAsia="Times New Roman"/>
          <w:b/>
          <w:bCs/>
          <w:i/>
          <w:iCs/>
          <w:color w:val="000000"/>
          <w:sz w:val="20"/>
          <w:szCs w:val="20"/>
        </w:rPr>
        <w:t xml:space="preserve">Pennant </w:t>
      </w:r>
      <w:r>
        <w:rPr>
          <w:rFonts w:eastAsia="Times New Roman"/>
          <w:b/>
          <w:bCs/>
          <w:i/>
          <w:iCs/>
          <w:color w:val="000000"/>
          <w:sz w:val="20"/>
          <w:szCs w:val="20"/>
        </w:rPr>
        <w:t>-</w:t>
      </w:r>
      <w:r>
        <w:rPr>
          <w:rFonts w:eastAsia="Times New Roman"/>
          <w:color w:val="000000"/>
          <w:sz w:val="20"/>
          <w:szCs w:val="20"/>
        </w:rPr>
        <w:t xml:space="preserve"> Pennant </w:t>
      </w:r>
      <w:r>
        <w:rPr>
          <w:rFonts w:eastAsia="Times New Roman"/>
          <w:color w:val="000000"/>
          <w:sz w:val="20"/>
          <w:szCs w:val="20"/>
        </w:rPr>
        <w:t>Midstream, LL</w:t>
      </w:r>
      <w:r>
        <w:rPr>
          <w:rFonts w:eastAsia="Times New Roman"/>
          <w:color w:val="000000"/>
          <w:sz w:val="20"/>
          <w:szCs w:val="20"/>
        </w:rPr>
        <w:t>C</w:t>
      </w:r>
    </w:p>
    <w:p w:rsidR="00000000" w:rsidRDefault="00A270CC">
      <w:pPr>
        <w:jc w:val="both"/>
        <w:divId w:val="534581779"/>
        <w:rPr>
          <w:rFonts w:eastAsia="Times New Roman"/>
        </w:rPr>
      </w:pPr>
      <w:r>
        <w:rPr>
          <w:rFonts w:eastAsia="Times New Roman"/>
          <w:b/>
          <w:bCs/>
          <w:i/>
          <w:iCs/>
          <w:color w:val="000000"/>
          <w:sz w:val="20"/>
          <w:szCs w:val="20"/>
        </w:rPr>
        <w:t xml:space="preserve">PennEast </w:t>
      </w:r>
      <w:r>
        <w:rPr>
          <w:rFonts w:eastAsia="Times New Roman"/>
          <w:b/>
          <w:bCs/>
          <w:i/>
          <w:iCs/>
          <w:color w:val="000000"/>
          <w:sz w:val="20"/>
          <w:szCs w:val="20"/>
        </w:rPr>
        <w:t>-</w:t>
      </w:r>
      <w:r>
        <w:rPr>
          <w:rFonts w:eastAsia="Times New Roman"/>
          <w:color w:val="000000"/>
          <w:sz w:val="20"/>
          <w:szCs w:val="20"/>
        </w:rPr>
        <w:t xml:space="preserve"> PennEast Pipeline Company, LL</w:t>
      </w:r>
      <w:r>
        <w:rPr>
          <w:rFonts w:eastAsia="Times New Roman"/>
          <w:color w:val="000000"/>
          <w:sz w:val="20"/>
          <w:szCs w:val="20"/>
        </w:rPr>
        <w:t>C</w:t>
      </w:r>
    </w:p>
    <w:p w:rsidR="00000000" w:rsidRDefault="00A270CC">
      <w:pPr>
        <w:jc w:val="both"/>
        <w:divId w:val="1807818850"/>
        <w:rPr>
          <w:rFonts w:eastAsia="Times New Roman"/>
        </w:rPr>
      </w:pPr>
      <w:r>
        <w:rPr>
          <w:rFonts w:eastAsia="Times New Roman"/>
          <w:b/>
          <w:bCs/>
          <w:i/>
          <w:iCs/>
          <w:color w:val="000000"/>
          <w:sz w:val="20"/>
          <w:szCs w:val="20"/>
        </w:rPr>
        <w:t xml:space="preserve">PNG </w:t>
      </w:r>
      <w:r>
        <w:rPr>
          <w:rFonts w:eastAsia="Times New Roman"/>
          <w:b/>
          <w:bCs/>
          <w:i/>
          <w:iCs/>
          <w:color w:val="000000"/>
          <w:sz w:val="20"/>
          <w:szCs w:val="20"/>
        </w:rPr>
        <w:t>-</w:t>
      </w:r>
      <w:r>
        <w:rPr>
          <w:rFonts w:eastAsia="Times New Roman"/>
          <w:color w:val="000000"/>
          <w:sz w:val="20"/>
          <w:szCs w:val="20"/>
        </w:rPr>
        <w:t xml:space="preserve"> UGI Penn Natural Gas, Inc., a wholly owned subsidiary of UGI Utilities prior to the Utility Merge</w:t>
      </w:r>
      <w:r>
        <w:rPr>
          <w:rFonts w:eastAsia="Times New Roman"/>
          <w:color w:val="000000"/>
          <w:sz w:val="20"/>
          <w:szCs w:val="20"/>
        </w:rPr>
        <w:t>r</w:t>
      </w:r>
    </w:p>
    <w:p w:rsidR="00000000" w:rsidRDefault="00A270CC">
      <w:pPr>
        <w:jc w:val="both"/>
        <w:divId w:val="1326468008"/>
        <w:rPr>
          <w:rFonts w:eastAsia="Times New Roman"/>
        </w:rPr>
      </w:pPr>
      <w:r>
        <w:rPr>
          <w:rFonts w:eastAsia="Times New Roman"/>
          <w:b/>
          <w:bCs/>
          <w:i/>
          <w:iCs/>
          <w:color w:val="000000"/>
          <w:sz w:val="20"/>
          <w:szCs w:val="20"/>
        </w:rPr>
        <w:t>UG</w:t>
      </w:r>
      <w:r>
        <w:rPr>
          <w:rFonts w:eastAsia="Times New Roman"/>
          <w:b/>
          <w:bCs/>
          <w:i/>
          <w:iCs/>
          <w:color w:val="000000"/>
          <w:sz w:val="20"/>
          <w:szCs w:val="20"/>
        </w:rPr>
        <w:t>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w:t>
      </w:r>
      <w:r>
        <w:rPr>
          <w:rFonts w:eastAsia="Times New Roman"/>
          <w:color w:val="000000"/>
          <w:sz w:val="20"/>
          <w:szCs w:val="20"/>
        </w:rPr>
        <w:t>n</w:t>
      </w:r>
    </w:p>
    <w:p w:rsidR="00000000" w:rsidRDefault="00A270CC">
      <w:pPr>
        <w:jc w:val="both"/>
        <w:divId w:val="2103641501"/>
        <w:rPr>
          <w:rFonts w:eastAsia="Times New Roman"/>
        </w:rPr>
      </w:pPr>
      <w:r>
        <w:rPr>
          <w:rFonts w:eastAsia="Times New Roman"/>
          <w:b/>
          <w:bCs/>
          <w:i/>
          <w:iCs/>
          <w:color w:val="000000"/>
          <w:sz w:val="20"/>
          <w:szCs w:val="20"/>
        </w:rPr>
        <w:t xml:space="preserve">UGI Appalachia </w:t>
      </w:r>
      <w:r>
        <w:rPr>
          <w:rFonts w:eastAsia="Times New Roman"/>
          <w:b/>
          <w:bCs/>
          <w:i/>
          <w:iCs/>
          <w:color w:val="000000"/>
          <w:sz w:val="20"/>
          <w:szCs w:val="20"/>
        </w:rPr>
        <w:t>-</w:t>
      </w:r>
      <w:r>
        <w:rPr>
          <w:rFonts w:eastAsia="Times New Roman"/>
          <w:color w:val="000000"/>
          <w:sz w:val="20"/>
          <w:szCs w:val="20"/>
        </w:rPr>
        <w:t xml:space="preserve"> UGI Appalachia, LLC, a wholly owned subsidiary of Energ</w:t>
      </w:r>
      <w:r>
        <w:rPr>
          <w:rFonts w:eastAsia="Times New Roman"/>
          <w:color w:val="000000"/>
          <w:sz w:val="20"/>
          <w:szCs w:val="20"/>
        </w:rPr>
        <w:t>y Services, comprising the natural gas gathering and processing business of CMG and its equity interest in Pennan</w:t>
      </w:r>
      <w:r>
        <w:rPr>
          <w:rFonts w:eastAsia="Times New Roman"/>
          <w:color w:val="000000"/>
          <w:sz w:val="20"/>
          <w:szCs w:val="20"/>
        </w:rPr>
        <w:t>t</w:t>
      </w:r>
    </w:p>
    <w:p w:rsidR="00000000" w:rsidRDefault="00A270CC">
      <w:pPr>
        <w:jc w:val="both"/>
        <w:divId w:val="1816095957"/>
        <w:rPr>
          <w:rFonts w:eastAsia="Times New Roman"/>
        </w:rPr>
      </w:pPr>
      <w:r>
        <w:rPr>
          <w:rFonts w:eastAsia="Times New Roman"/>
          <w:b/>
          <w:bCs/>
          <w:i/>
          <w:iCs/>
          <w:color w:val="000000"/>
          <w:sz w:val="20"/>
          <w:szCs w:val="20"/>
        </w:rPr>
        <w:lastRenderedPageBreak/>
        <w:t>UGI Centra</w:t>
      </w:r>
      <w:r>
        <w:rPr>
          <w:rFonts w:eastAsia="Times New Roman"/>
          <w:b/>
          <w:bCs/>
          <w:i/>
          <w:iCs/>
          <w:color w:val="000000"/>
          <w:sz w:val="20"/>
          <w:szCs w:val="20"/>
        </w:rPr>
        <w:t>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natural gas rate district of CPG subsequent to the Utility Merge</w:t>
      </w:r>
      <w:r>
        <w:rPr>
          <w:rFonts w:eastAsia="Times New Roman"/>
          <w:color w:val="000000"/>
          <w:sz w:val="20"/>
          <w:szCs w:val="20"/>
        </w:rPr>
        <w:t>r</w:t>
      </w:r>
    </w:p>
    <w:p w:rsidR="00000000" w:rsidRDefault="00A270CC">
      <w:pPr>
        <w:jc w:val="both"/>
        <w:divId w:val="1224367383"/>
        <w:rPr>
          <w:rFonts w:eastAsia="Times New Roman"/>
        </w:rPr>
      </w:pPr>
      <w:r>
        <w:rPr>
          <w:rFonts w:eastAsia="Times New Roman"/>
          <w:b/>
          <w:bCs/>
          <w:i/>
          <w:iCs/>
          <w:color w:val="000000"/>
          <w:sz w:val="20"/>
          <w:szCs w:val="20"/>
        </w:rPr>
        <w:t>UGI France -</w:t>
      </w:r>
      <w:r>
        <w:rPr>
          <w:rFonts w:eastAsia="Times New Roman"/>
          <w:b/>
          <w:bCs/>
          <w:i/>
          <w:iCs/>
          <w:color w:val="000000"/>
          <w:sz w:val="20"/>
          <w:szCs w:val="20"/>
        </w:rPr>
        <w:t xml:space="preserve"> </w:t>
      </w:r>
      <w:r>
        <w:rPr>
          <w:rFonts w:eastAsia="Times New Roman"/>
          <w:color w:val="000000"/>
          <w:sz w:val="20"/>
          <w:szCs w:val="20"/>
        </w:rPr>
        <w:t xml:space="preserve">UGI France SAS </w:t>
      </w:r>
      <w:r>
        <w:rPr>
          <w:rFonts w:eastAsia="Times New Roman"/>
          <w:color w:val="000000"/>
          <w:sz w:val="20"/>
          <w:szCs w:val="20"/>
        </w:rPr>
        <w:t>(</w:t>
      </w:r>
      <w:r>
        <w:rPr>
          <w:rFonts w:eastAsia="Times New Roman"/>
          <w:i/>
          <w:iCs/>
          <w:color w:val="000000"/>
          <w:sz w:val="20"/>
          <w:szCs w:val="20"/>
        </w:rPr>
        <w:t>a Société par actions simpli</w:t>
      </w:r>
      <w:r>
        <w:rPr>
          <w:rFonts w:eastAsia="Times New Roman"/>
          <w:i/>
          <w:iCs/>
          <w:color w:val="000000"/>
          <w:sz w:val="20"/>
          <w:szCs w:val="20"/>
        </w:rPr>
        <w:t>fié</w:t>
      </w:r>
      <w:r>
        <w:rPr>
          <w:rFonts w:eastAsia="Times New Roman"/>
          <w:i/>
          <w:iCs/>
          <w:color w:val="000000"/>
          <w:sz w:val="20"/>
          <w:szCs w:val="20"/>
        </w:rPr>
        <w:t>e</w:t>
      </w:r>
      <w:r>
        <w:rPr>
          <w:rFonts w:eastAsia="Times New Roman"/>
          <w:color w:val="000000"/>
          <w:sz w:val="20"/>
          <w:szCs w:val="20"/>
        </w:rPr>
        <w:t>), an indirect wholly owned subsidiary of UGI International, LL</w:t>
      </w:r>
      <w:r>
        <w:rPr>
          <w:rFonts w:eastAsia="Times New Roman"/>
          <w:color w:val="000000"/>
          <w:sz w:val="20"/>
          <w:szCs w:val="20"/>
        </w:rPr>
        <w:t>C</w:t>
      </w:r>
    </w:p>
    <w:p w:rsidR="00000000" w:rsidRDefault="00A270CC">
      <w:pPr>
        <w:jc w:val="both"/>
        <w:divId w:val="1295452608"/>
        <w:rPr>
          <w:rFonts w:eastAsia="Times New Roman"/>
        </w:rPr>
      </w:pPr>
      <w:r>
        <w:rPr>
          <w:rFonts w:eastAsia="Times New Roman"/>
          <w:b/>
          <w:bCs/>
          <w:i/>
          <w:iCs/>
          <w:color w:val="000000"/>
          <w:sz w:val="20"/>
          <w:szCs w:val="20"/>
        </w:rPr>
        <w:t>UGI Internationa</w:t>
      </w:r>
      <w:r>
        <w:rPr>
          <w:rFonts w:eastAsia="Times New Roman"/>
          <w:b/>
          <w:bCs/>
          <w:i/>
          <w:iCs/>
          <w:color w:val="000000"/>
          <w:sz w:val="20"/>
          <w:szCs w:val="20"/>
        </w:rPr>
        <w:t>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w:t>
      </w:r>
      <w:r>
        <w:rPr>
          <w:rFonts w:eastAsia="Times New Roman"/>
          <w:color w:val="000000"/>
          <w:sz w:val="20"/>
          <w:szCs w:val="20"/>
        </w:rPr>
        <w:t>s</w:t>
      </w:r>
    </w:p>
    <w:p w:rsidR="00000000" w:rsidRDefault="00A270CC">
      <w:pPr>
        <w:jc w:val="center"/>
        <w:divId w:val="632906435"/>
        <w:rPr>
          <w:rFonts w:eastAsia="Times New Roman"/>
        </w:rPr>
      </w:pPr>
      <w:r>
        <w:rPr>
          <w:rFonts w:eastAsia="Times New Roman"/>
          <w:color w:val="000000"/>
          <w:sz w:val="20"/>
          <w:szCs w:val="20"/>
        </w:rPr>
        <w:t>1</w:t>
      </w:r>
    </w:p>
    <w:p w:rsidR="00000000" w:rsidRDefault="00A270CC">
      <w:pPr>
        <w:rPr>
          <w:rFonts w:eastAsia="Times New Roman"/>
        </w:rPr>
      </w:pPr>
      <w:r>
        <w:rPr>
          <w:rFonts w:eastAsia="Times New Roman"/>
        </w:rPr>
        <w:pict>
          <v:rect id="_x0000_i1027" style="width:0;height:1.5pt" o:hralign="center" o:hrstd="t" o:hr="t" fillcolor="#a0a0a0" stroked="f"/>
        </w:pict>
      </w:r>
    </w:p>
    <w:p w:rsidR="00000000" w:rsidRDefault="00A270CC">
      <w:pPr>
        <w:divId w:val="86344510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694376115"/>
        <w:rPr>
          <w:rFonts w:eastAsia="Times New Roman"/>
        </w:rPr>
      </w:pPr>
    </w:p>
    <w:p w:rsidR="00000000" w:rsidRDefault="00A270CC">
      <w:pPr>
        <w:divId w:val="1866946489"/>
        <w:rPr>
          <w:rFonts w:eastAsia="Times New Roman"/>
        </w:rPr>
      </w:pPr>
    </w:p>
    <w:p w:rsidR="00000000" w:rsidRDefault="00A270CC">
      <w:pPr>
        <w:jc w:val="both"/>
        <w:divId w:val="253587867"/>
        <w:rPr>
          <w:rFonts w:eastAsia="Times New Roman"/>
        </w:rPr>
      </w:pPr>
      <w:r>
        <w:rPr>
          <w:rFonts w:eastAsia="Times New Roman"/>
          <w:b/>
          <w:bCs/>
          <w:i/>
          <w:iCs/>
          <w:color w:val="000000"/>
          <w:sz w:val="20"/>
          <w:szCs w:val="20"/>
        </w:rPr>
        <w:t>UGI International, LL</w:t>
      </w:r>
      <w:r>
        <w:rPr>
          <w:rFonts w:eastAsia="Times New Roman"/>
          <w:b/>
          <w:bCs/>
          <w:i/>
          <w:iCs/>
          <w:color w:val="000000"/>
          <w:sz w:val="20"/>
          <w:szCs w:val="20"/>
        </w:rPr>
        <w:t>C</w:t>
      </w:r>
      <w:r>
        <w:rPr>
          <w:rFonts w:eastAsia="Times New Roman"/>
          <w:color w:val="000000"/>
          <w:sz w:val="20"/>
          <w:szCs w:val="20"/>
        </w:rPr>
        <w:t xml:space="preserve"> </w:t>
      </w:r>
      <w:r>
        <w:rPr>
          <w:rFonts w:eastAsia="Times New Roman"/>
          <w:b/>
          <w:bCs/>
          <w:i/>
          <w:iCs/>
          <w:color w:val="000000"/>
          <w:sz w:val="20"/>
          <w:szCs w:val="20"/>
        </w:rPr>
        <w:t>-</w:t>
      </w:r>
      <w:r>
        <w:rPr>
          <w:rFonts w:eastAsia="Times New Roman"/>
          <w:b/>
          <w:bCs/>
          <w:i/>
          <w:iCs/>
          <w:color w:val="000000"/>
          <w:sz w:val="20"/>
          <w:szCs w:val="20"/>
        </w:rPr>
        <w:t xml:space="preserve"> </w:t>
      </w:r>
      <w:r>
        <w:rPr>
          <w:rFonts w:eastAsia="Times New Roman"/>
          <w:color w:val="000000"/>
          <w:sz w:val="20"/>
          <w:szCs w:val="20"/>
        </w:rPr>
        <w:t>UGI International, LLC, a wholly owned second-tier subsidiary of UG</w:t>
      </w:r>
      <w:r>
        <w:rPr>
          <w:rFonts w:eastAsia="Times New Roman"/>
          <w:color w:val="000000"/>
          <w:sz w:val="20"/>
          <w:szCs w:val="20"/>
        </w:rPr>
        <w:t>I</w:t>
      </w:r>
    </w:p>
    <w:p w:rsidR="00000000" w:rsidRDefault="00A270CC">
      <w:pPr>
        <w:jc w:val="both"/>
        <w:divId w:val="1957979079"/>
        <w:rPr>
          <w:rFonts w:eastAsia="Times New Roman"/>
        </w:rPr>
      </w:pPr>
      <w:r>
        <w:rPr>
          <w:rFonts w:eastAsia="Times New Roman"/>
          <w:b/>
          <w:bCs/>
          <w:i/>
          <w:iCs/>
          <w:color w:val="000000"/>
          <w:sz w:val="20"/>
          <w:szCs w:val="20"/>
        </w:rPr>
        <w:t xml:space="preserve">UGI PennEast, LLC </w:t>
      </w:r>
      <w:r>
        <w:rPr>
          <w:rFonts w:eastAsia="Times New Roman"/>
          <w:b/>
          <w:bCs/>
          <w:i/>
          <w:iCs/>
          <w:color w:val="000000"/>
          <w:sz w:val="20"/>
          <w:szCs w:val="20"/>
        </w:rPr>
        <w:t>-</w:t>
      </w:r>
      <w:r>
        <w:rPr>
          <w:rFonts w:eastAsia="Times New Roman"/>
          <w:color w:val="000000"/>
          <w:sz w:val="20"/>
          <w:szCs w:val="20"/>
        </w:rPr>
        <w:t xml:space="preserve"> A wholly owned subsidiary of Energy Services that holds a 20% membership interest in PennEas</w:t>
      </w:r>
      <w:r>
        <w:rPr>
          <w:rFonts w:eastAsia="Times New Roman"/>
          <w:color w:val="000000"/>
          <w:sz w:val="20"/>
          <w:szCs w:val="20"/>
        </w:rPr>
        <w:t>t</w:t>
      </w:r>
    </w:p>
    <w:p w:rsidR="00000000" w:rsidRDefault="00A270CC">
      <w:pPr>
        <w:jc w:val="both"/>
        <w:divId w:val="1612281848"/>
        <w:rPr>
          <w:rFonts w:eastAsia="Times New Roman"/>
        </w:rPr>
      </w:pPr>
      <w:r>
        <w:rPr>
          <w:rFonts w:eastAsia="Times New Roman"/>
          <w:b/>
          <w:bCs/>
          <w:i/>
          <w:iCs/>
          <w:color w:val="000000"/>
          <w:sz w:val="20"/>
          <w:szCs w:val="20"/>
        </w:rPr>
        <w:t xml:space="preserve">UGI Utilities </w:t>
      </w:r>
      <w:r>
        <w:rPr>
          <w:rFonts w:eastAsia="Times New Roman"/>
          <w:b/>
          <w:bCs/>
          <w:i/>
          <w:iCs/>
          <w:color w:val="000000"/>
          <w:sz w:val="20"/>
          <w:szCs w:val="20"/>
        </w:rPr>
        <w:t>-</w:t>
      </w:r>
      <w:r>
        <w:rPr>
          <w:rFonts w:eastAsia="Times New Roman"/>
          <w:color w:val="000000"/>
          <w:sz w:val="20"/>
          <w:szCs w:val="20"/>
        </w:rPr>
        <w:t xml:space="preserve"> UGI Utilities, Inc., a wholly owned subsidiary of UGI. Al</w:t>
      </w:r>
      <w:r>
        <w:rPr>
          <w:rFonts w:eastAsia="Times New Roman"/>
          <w:color w:val="000000"/>
          <w:sz w:val="20"/>
          <w:szCs w:val="20"/>
        </w:rPr>
        <w:t>so a reportable segment of UGI comprising UGI Utilities, Inc. and its subsidiarie</w:t>
      </w:r>
      <w:r>
        <w:rPr>
          <w:rFonts w:eastAsia="Times New Roman"/>
          <w:color w:val="000000"/>
          <w:sz w:val="20"/>
          <w:szCs w:val="20"/>
        </w:rPr>
        <w:t>s</w:t>
      </w:r>
    </w:p>
    <w:p w:rsidR="00000000" w:rsidRDefault="00A270CC">
      <w:pPr>
        <w:jc w:val="both"/>
        <w:divId w:val="316301112"/>
        <w:rPr>
          <w:rFonts w:eastAsia="Times New Roman"/>
        </w:rPr>
      </w:pPr>
      <w:r>
        <w:rPr>
          <w:rFonts w:eastAsia="Times New Roman"/>
          <w:b/>
          <w:bCs/>
          <w:i/>
          <w:iCs/>
          <w:color w:val="000000"/>
          <w:sz w:val="20"/>
          <w:szCs w:val="20"/>
        </w:rPr>
        <w:t xml:space="preserve">UGID </w:t>
      </w:r>
      <w:r>
        <w:rPr>
          <w:rFonts w:eastAsia="Times New Roman"/>
          <w:b/>
          <w:bCs/>
          <w:i/>
          <w:iCs/>
          <w:color w:val="000000"/>
          <w:sz w:val="20"/>
          <w:szCs w:val="20"/>
        </w:rPr>
        <w:t>-</w:t>
      </w:r>
      <w:r>
        <w:rPr>
          <w:rFonts w:eastAsia="Times New Roman"/>
          <w:color w:val="000000"/>
          <w:sz w:val="20"/>
          <w:szCs w:val="20"/>
        </w:rPr>
        <w:t xml:space="preserve"> UGI Development Company, a wholly owned subsidiary of Energy Service</w:t>
      </w:r>
      <w:r>
        <w:rPr>
          <w:rFonts w:eastAsia="Times New Roman"/>
          <w:color w:val="000000"/>
          <w:sz w:val="20"/>
          <w:szCs w:val="20"/>
        </w:rPr>
        <w:t>s</w:t>
      </w:r>
    </w:p>
    <w:p w:rsidR="00000000" w:rsidRDefault="00A270CC">
      <w:pPr>
        <w:jc w:val="both"/>
        <w:divId w:val="296229118"/>
        <w:rPr>
          <w:rFonts w:eastAsia="Times New Roman"/>
        </w:rPr>
      </w:pPr>
      <w:r>
        <w:rPr>
          <w:rFonts w:eastAsia="Times New Roman"/>
          <w:b/>
          <w:bCs/>
          <w:i/>
          <w:iCs/>
          <w:color w:val="000000"/>
          <w:sz w:val="20"/>
          <w:szCs w:val="20"/>
        </w:rPr>
        <w:t xml:space="preserve">UniverGas </w:t>
      </w:r>
      <w:r>
        <w:rPr>
          <w:rFonts w:eastAsia="Times New Roman"/>
          <w:b/>
          <w:bCs/>
          <w:i/>
          <w:iCs/>
          <w:color w:val="000000"/>
          <w:sz w:val="20"/>
          <w:szCs w:val="20"/>
        </w:rPr>
        <w:t>-</w:t>
      </w:r>
      <w:r>
        <w:rPr>
          <w:rFonts w:eastAsia="Times New Roman"/>
          <w:color w:val="000000"/>
          <w:sz w:val="20"/>
          <w:szCs w:val="20"/>
        </w:rPr>
        <w:t xml:space="preserve"> UniverGas Italia S.r.l, an indirect wholly owned subsidiary of UGI International, LL</w:t>
      </w:r>
      <w:r>
        <w:rPr>
          <w:rFonts w:eastAsia="Times New Roman"/>
          <w:color w:val="000000"/>
          <w:sz w:val="20"/>
          <w:szCs w:val="20"/>
        </w:rPr>
        <w:t>C</w:t>
      </w:r>
    </w:p>
    <w:p w:rsidR="00000000" w:rsidRDefault="00A270CC">
      <w:pPr>
        <w:jc w:val="center"/>
        <w:divId w:val="1607497596"/>
        <w:rPr>
          <w:rFonts w:eastAsia="Times New Roman"/>
        </w:rPr>
      </w:pPr>
      <w:r>
        <w:rPr>
          <w:rFonts w:eastAsia="Times New Roman"/>
          <w:b/>
          <w:bCs/>
          <w:i/>
          <w:iCs/>
          <w:color w:val="000000"/>
          <w:sz w:val="20"/>
          <w:szCs w:val="20"/>
          <w:u w:val="single"/>
        </w:rPr>
        <w:t>Other Terms and Abbreviation</w:t>
      </w:r>
      <w:r>
        <w:rPr>
          <w:rFonts w:eastAsia="Times New Roman"/>
          <w:b/>
          <w:bCs/>
          <w:i/>
          <w:iCs/>
          <w:color w:val="000000"/>
          <w:sz w:val="20"/>
          <w:szCs w:val="20"/>
          <w:u w:val="single"/>
        </w:rPr>
        <w:t>s</w:t>
      </w:r>
    </w:p>
    <w:p w:rsidR="00000000" w:rsidRDefault="00A270CC">
      <w:pPr>
        <w:jc w:val="both"/>
        <w:divId w:val="2018002520"/>
        <w:rPr>
          <w:rFonts w:eastAsia="Times New Roman"/>
        </w:rPr>
      </w:pPr>
      <w:r>
        <w:rPr>
          <w:rFonts w:eastAsia="Times New Roman"/>
          <w:b/>
          <w:bCs/>
          <w:i/>
          <w:iCs/>
          <w:color w:val="000000"/>
          <w:sz w:val="20"/>
          <w:szCs w:val="20"/>
        </w:rPr>
        <w:t xml:space="preserve">2018 UGI International Credit Facilities Agreement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A five-year unsecured Senior Facilities Agreement entered into in October 2018, by UGI International, LLC comprising a €300 million term loan facility and a €300 million r</w:t>
      </w:r>
      <w:r>
        <w:rPr>
          <w:rFonts w:eastAsia="Times New Roman"/>
          <w:color w:val="000000"/>
          <w:sz w:val="20"/>
          <w:szCs w:val="20"/>
        </w:rPr>
        <w:t>evolving credit facility maturing October 202</w:t>
      </w:r>
      <w:r>
        <w:rPr>
          <w:rFonts w:eastAsia="Times New Roman"/>
          <w:color w:val="000000"/>
          <w:sz w:val="20"/>
          <w:szCs w:val="20"/>
        </w:rPr>
        <w:t>3</w:t>
      </w:r>
    </w:p>
    <w:p w:rsidR="00000000" w:rsidRDefault="00A270CC">
      <w:pPr>
        <w:jc w:val="both"/>
        <w:divId w:val="932934040"/>
        <w:rPr>
          <w:rFonts w:eastAsia="Times New Roman"/>
        </w:rPr>
      </w:pPr>
      <w:r>
        <w:rPr>
          <w:rFonts w:eastAsia="Times New Roman"/>
          <w:b/>
          <w:bCs/>
          <w:i/>
          <w:iCs/>
          <w:color w:val="000000"/>
          <w:sz w:val="20"/>
          <w:szCs w:val="20"/>
        </w:rPr>
        <w:t xml:space="preserve">2019 Annual Report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UGI Annual Report on Form 10-K for the fiscal year ended September 30, 201</w:t>
      </w:r>
      <w:r>
        <w:rPr>
          <w:rFonts w:eastAsia="Times New Roman"/>
          <w:color w:val="000000"/>
          <w:sz w:val="20"/>
          <w:szCs w:val="20"/>
        </w:rPr>
        <w:t>9</w:t>
      </w:r>
    </w:p>
    <w:p w:rsidR="00000000" w:rsidRDefault="00A270CC">
      <w:pPr>
        <w:jc w:val="both"/>
        <w:divId w:val="2142109823"/>
        <w:rPr>
          <w:rFonts w:eastAsia="Times New Roman"/>
        </w:rPr>
      </w:pPr>
      <w:r>
        <w:rPr>
          <w:rFonts w:eastAsia="Times New Roman"/>
          <w:b/>
          <w:bCs/>
          <w:i/>
          <w:iCs/>
          <w:color w:val="000000"/>
          <w:sz w:val="20"/>
          <w:szCs w:val="20"/>
        </w:rPr>
        <w:t xml:space="preserve">2019 nine-month period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Nine months ended June 30, 201</w:t>
      </w:r>
      <w:r>
        <w:rPr>
          <w:rFonts w:eastAsia="Times New Roman"/>
          <w:color w:val="000000"/>
          <w:sz w:val="20"/>
          <w:szCs w:val="20"/>
        </w:rPr>
        <w:t>9</w:t>
      </w:r>
    </w:p>
    <w:p w:rsidR="00000000" w:rsidRDefault="00A270CC">
      <w:pPr>
        <w:jc w:val="both"/>
        <w:divId w:val="482046005"/>
        <w:rPr>
          <w:rFonts w:eastAsia="Times New Roman"/>
        </w:rPr>
      </w:pPr>
      <w:r>
        <w:rPr>
          <w:rFonts w:eastAsia="Times New Roman"/>
          <w:b/>
          <w:bCs/>
          <w:i/>
          <w:iCs/>
          <w:color w:val="000000"/>
          <w:sz w:val="20"/>
          <w:szCs w:val="20"/>
        </w:rPr>
        <w:t xml:space="preserve">2019 three-month period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Three months ended June 30, 2</w:t>
      </w:r>
      <w:r>
        <w:rPr>
          <w:rFonts w:eastAsia="Times New Roman"/>
          <w:color w:val="000000"/>
          <w:sz w:val="20"/>
          <w:szCs w:val="20"/>
        </w:rPr>
        <w:t>01</w:t>
      </w:r>
      <w:r>
        <w:rPr>
          <w:rFonts w:eastAsia="Times New Roman"/>
          <w:color w:val="000000"/>
          <w:sz w:val="20"/>
          <w:szCs w:val="20"/>
        </w:rPr>
        <w:t>9</w:t>
      </w:r>
    </w:p>
    <w:p w:rsidR="00000000" w:rsidRDefault="00A270CC">
      <w:pPr>
        <w:jc w:val="both"/>
        <w:divId w:val="1235966056"/>
        <w:rPr>
          <w:rFonts w:eastAsia="Times New Roman"/>
        </w:rPr>
      </w:pPr>
      <w:r>
        <w:rPr>
          <w:rFonts w:eastAsia="Times New Roman"/>
          <w:b/>
          <w:bCs/>
          <w:i/>
          <w:iCs/>
          <w:color w:val="000000"/>
          <w:sz w:val="20"/>
          <w:szCs w:val="20"/>
        </w:rPr>
        <w:t xml:space="preserve">2020 nine-month period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Nine months ended June 30, 202</w:t>
      </w:r>
      <w:r>
        <w:rPr>
          <w:rFonts w:eastAsia="Times New Roman"/>
          <w:color w:val="000000"/>
          <w:sz w:val="20"/>
          <w:szCs w:val="20"/>
        </w:rPr>
        <w:t>0</w:t>
      </w:r>
    </w:p>
    <w:p w:rsidR="00000000" w:rsidRDefault="00A270CC">
      <w:pPr>
        <w:jc w:val="both"/>
        <w:divId w:val="817266319"/>
        <w:rPr>
          <w:rFonts w:eastAsia="Times New Roman"/>
        </w:rPr>
      </w:pPr>
      <w:r>
        <w:rPr>
          <w:rFonts w:eastAsia="Times New Roman"/>
          <w:b/>
          <w:bCs/>
          <w:i/>
          <w:iCs/>
          <w:color w:val="000000"/>
          <w:sz w:val="20"/>
          <w:szCs w:val="20"/>
        </w:rPr>
        <w:t xml:space="preserve">2020 three-month period </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Three months ended June 30, 202</w:t>
      </w:r>
      <w:r>
        <w:rPr>
          <w:rFonts w:eastAsia="Times New Roman"/>
          <w:color w:val="000000"/>
          <w:sz w:val="20"/>
          <w:szCs w:val="20"/>
        </w:rPr>
        <w:t>0</w:t>
      </w:r>
    </w:p>
    <w:p w:rsidR="00000000" w:rsidRDefault="00A270CC">
      <w:pPr>
        <w:jc w:val="both"/>
        <w:rPr>
          <w:rFonts w:eastAsia="Times New Roman"/>
        </w:rPr>
      </w:pPr>
      <w:r>
        <w:rPr>
          <w:rFonts w:eastAsia="Times New Roman"/>
          <w:b/>
          <w:bCs/>
          <w:i/>
          <w:iCs/>
          <w:color w:val="000000"/>
          <w:sz w:val="20"/>
          <w:szCs w:val="20"/>
        </w:rPr>
        <w:t>Adjusted LIBO</w:t>
      </w:r>
      <w:r>
        <w:rPr>
          <w:rFonts w:eastAsia="Times New Roman"/>
          <w:b/>
          <w:bCs/>
          <w:i/>
          <w:iCs/>
          <w:color w:val="000000"/>
          <w:sz w:val="20"/>
          <w:szCs w:val="20"/>
        </w:rPr>
        <w:t>R</w:t>
      </w:r>
      <w:r>
        <w:rPr>
          <w:rFonts w:eastAsia="Times New Roman"/>
          <w:color w:val="000000"/>
          <w:sz w:val="20"/>
          <w:szCs w:val="20"/>
        </w:rPr>
        <w:t xml:space="preserve"> - A rate derived from LIBO</w:t>
      </w:r>
      <w:r>
        <w:rPr>
          <w:rFonts w:eastAsia="Times New Roman"/>
          <w:color w:val="000000"/>
          <w:sz w:val="20"/>
          <w:szCs w:val="20"/>
        </w:rPr>
        <w:t>R</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AFUDC </w:t>
      </w:r>
      <w:r>
        <w:rPr>
          <w:rFonts w:eastAsia="Times New Roman"/>
          <w:b/>
          <w:bCs/>
          <w:i/>
          <w:iCs/>
          <w:color w:val="000000"/>
          <w:sz w:val="20"/>
          <w:szCs w:val="20"/>
        </w:rPr>
        <w:t>-</w:t>
      </w:r>
      <w:r>
        <w:rPr>
          <w:rFonts w:eastAsia="Times New Roman"/>
          <w:color w:val="000000"/>
          <w:sz w:val="20"/>
          <w:szCs w:val="20"/>
        </w:rPr>
        <w:t xml:space="preserve"> Allowance for Funds Used During Constructio</w:t>
      </w:r>
      <w:r>
        <w:rPr>
          <w:rFonts w:eastAsia="Times New Roman"/>
          <w:color w:val="000000"/>
          <w:sz w:val="20"/>
          <w:szCs w:val="20"/>
        </w:rPr>
        <w:t>n</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AmeriGas Merge</w:t>
      </w:r>
      <w:r>
        <w:rPr>
          <w:rFonts w:eastAsia="Times New Roman"/>
          <w:b/>
          <w:bCs/>
          <w:i/>
          <w:iCs/>
          <w:color w:val="000000"/>
          <w:sz w:val="20"/>
          <w:szCs w:val="20"/>
        </w:rPr>
        <w:t>r</w:t>
      </w:r>
      <w:r>
        <w:rPr>
          <w:rFonts w:eastAsia="Times New Roman"/>
          <w:color w:val="000000"/>
          <w:sz w:val="20"/>
          <w:szCs w:val="20"/>
        </w:rPr>
        <w:t xml:space="preserve"> - The transaction co</w:t>
      </w:r>
      <w:r>
        <w:rPr>
          <w:rFonts w:eastAsia="Times New Roman"/>
          <w:color w:val="000000"/>
          <w:sz w:val="20"/>
          <w:szCs w:val="20"/>
        </w:rPr>
        <w:t>ntemplated by the Merger Agreement pursuant to which AmeriGas Propane Holdings, LLC merged with and into the Partnership on August 21, 2019, with the Partnership surviving as an indirect wholly owned subsidiary of UG</w:t>
      </w:r>
      <w:r>
        <w:rPr>
          <w:rFonts w:eastAsia="Times New Roman"/>
          <w:color w:val="000000"/>
          <w:sz w:val="20"/>
          <w:szCs w:val="20"/>
        </w:rPr>
        <w:t>I</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AOCI -</w:t>
      </w:r>
      <w:r>
        <w:rPr>
          <w:rFonts w:eastAsia="Times New Roman"/>
          <w:b/>
          <w:bCs/>
          <w:i/>
          <w:iCs/>
          <w:color w:val="000000"/>
          <w:sz w:val="20"/>
          <w:szCs w:val="20"/>
        </w:rPr>
        <w:t xml:space="preserve"> </w:t>
      </w:r>
      <w:r>
        <w:rPr>
          <w:rFonts w:eastAsia="Times New Roman"/>
          <w:color w:val="000000"/>
          <w:sz w:val="20"/>
          <w:szCs w:val="20"/>
        </w:rPr>
        <w:t>Accumulated Other Comprehensi</w:t>
      </w:r>
      <w:r>
        <w:rPr>
          <w:rFonts w:eastAsia="Times New Roman"/>
          <w:color w:val="000000"/>
          <w:sz w:val="20"/>
          <w:szCs w:val="20"/>
        </w:rPr>
        <w:t>ve Income (Loss</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1880782296"/>
        <w:rPr>
          <w:rFonts w:eastAsia="Times New Roman"/>
        </w:rPr>
      </w:pPr>
      <w:r>
        <w:rPr>
          <w:rFonts w:eastAsia="Times New Roman"/>
          <w:b/>
          <w:bCs/>
          <w:i/>
          <w:iCs/>
          <w:color w:val="000000"/>
          <w:sz w:val="20"/>
          <w:szCs w:val="20"/>
        </w:rPr>
        <w:t xml:space="preserve">ASC </w:t>
      </w:r>
      <w:r>
        <w:rPr>
          <w:rFonts w:eastAsia="Times New Roman"/>
          <w:b/>
          <w:bCs/>
          <w:i/>
          <w:iCs/>
          <w:color w:val="000000"/>
          <w:sz w:val="20"/>
          <w:szCs w:val="20"/>
        </w:rPr>
        <w:t>-</w:t>
      </w:r>
      <w:r>
        <w:rPr>
          <w:rFonts w:eastAsia="Times New Roman"/>
          <w:color w:val="000000"/>
          <w:sz w:val="20"/>
          <w:szCs w:val="20"/>
        </w:rPr>
        <w:t xml:space="preserve"> Accounting Standards Codificatio</w:t>
      </w:r>
      <w:r>
        <w:rPr>
          <w:rFonts w:eastAsia="Times New Roman"/>
          <w:color w:val="000000"/>
          <w:sz w:val="20"/>
          <w:szCs w:val="20"/>
        </w:rPr>
        <w:t>n</w:t>
      </w:r>
    </w:p>
    <w:p w:rsidR="00000000" w:rsidRDefault="00A270CC">
      <w:pPr>
        <w:jc w:val="both"/>
        <w:divId w:val="412246227"/>
        <w:rPr>
          <w:rFonts w:eastAsia="Times New Roman"/>
        </w:rPr>
      </w:pPr>
      <w:r>
        <w:rPr>
          <w:rFonts w:eastAsia="Times New Roman"/>
          <w:b/>
          <w:bCs/>
          <w:i/>
          <w:iCs/>
          <w:color w:val="000000"/>
          <w:sz w:val="20"/>
          <w:szCs w:val="20"/>
        </w:rPr>
        <w:t>ASC 60</w:t>
      </w:r>
      <w:r>
        <w:rPr>
          <w:rFonts w:eastAsia="Times New Roman"/>
          <w:b/>
          <w:bCs/>
          <w:i/>
          <w:iCs/>
          <w:color w:val="000000"/>
          <w:sz w:val="20"/>
          <w:szCs w:val="20"/>
        </w:rPr>
        <w:t>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r>
        <w:rPr>
          <w:rFonts w:eastAsia="Times New Roman"/>
          <w:color w:val="000000"/>
          <w:sz w:val="20"/>
          <w:szCs w:val="20"/>
        </w:rPr>
        <w:t>”</w:t>
      </w:r>
    </w:p>
    <w:p w:rsidR="00000000" w:rsidRDefault="00A270CC">
      <w:pPr>
        <w:jc w:val="both"/>
        <w:divId w:val="764887004"/>
        <w:rPr>
          <w:rFonts w:eastAsia="Times New Roman"/>
        </w:rPr>
      </w:pPr>
      <w:r>
        <w:rPr>
          <w:rFonts w:eastAsia="Times New Roman"/>
          <w:b/>
          <w:bCs/>
          <w:i/>
          <w:iCs/>
          <w:color w:val="000000"/>
          <w:sz w:val="20"/>
          <w:szCs w:val="20"/>
        </w:rPr>
        <w:t>ASC 80</w:t>
      </w:r>
      <w:r>
        <w:rPr>
          <w:rFonts w:eastAsia="Times New Roman"/>
          <w:b/>
          <w:bCs/>
          <w:i/>
          <w:iCs/>
          <w:color w:val="000000"/>
          <w:sz w:val="20"/>
          <w:szCs w:val="20"/>
        </w:rPr>
        <w:t>5</w:t>
      </w:r>
      <w:r>
        <w:rPr>
          <w:rFonts w:eastAsia="Times New Roman"/>
          <w:color w:val="000000"/>
          <w:sz w:val="20"/>
          <w:szCs w:val="20"/>
        </w:rPr>
        <w:t xml:space="preserve"> - ASC 805, “Business Combinations</w:t>
      </w:r>
      <w:r>
        <w:rPr>
          <w:rFonts w:eastAsia="Times New Roman"/>
          <w:color w:val="000000"/>
          <w:sz w:val="20"/>
          <w:szCs w:val="20"/>
        </w:rPr>
        <w:t>”</w:t>
      </w:r>
    </w:p>
    <w:p w:rsidR="00000000" w:rsidRDefault="00A270CC">
      <w:pPr>
        <w:jc w:val="both"/>
        <w:divId w:val="1826818710"/>
        <w:rPr>
          <w:rFonts w:eastAsia="Times New Roman"/>
        </w:rPr>
      </w:pPr>
      <w:r>
        <w:rPr>
          <w:rFonts w:eastAsia="Times New Roman"/>
          <w:b/>
          <w:bCs/>
          <w:i/>
          <w:iCs/>
          <w:color w:val="000000"/>
          <w:sz w:val="20"/>
          <w:szCs w:val="20"/>
        </w:rPr>
        <w:t>ASC 84</w:t>
      </w:r>
      <w:r>
        <w:rPr>
          <w:rFonts w:eastAsia="Times New Roman"/>
          <w:b/>
          <w:bCs/>
          <w:i/>
          <w:iCs/>
          <w:color w:val="000000"/>
          <w:sz w:val="20"/>
          <w:szCs w:val="20"/>
        </w:rPr>
        <w:t>0</w:t>
      </w:r>
      <w:r>
        <w:rPr>
          <w:rFonts w:eastAsia="Times New Roman"/>
          <w:color w:val="000000"/>
          <w:sz w:val="20"/>
          <w:szCs w:val="20"/>
        </w:rPr>
        <w:t xml:space="preserve"> - ASC 840, “Leases</w:t>
      </w:r>
      <w:r>
        <w:rPr>
          <w:rFonts w:eastAsia="Times New Roman"/>
          <w:color w:val="000000"/>
          <w:sz w:val="20"/>
          <w:szCs w:val="20"/>
        </w:rPr>
        <w:t>”</w:t>
      </w:r>
    </w:p>
    <w:p w:rsidR="00000000" w:rsidRDefault="00A270CC">
      <w:pPr>
        <w:jc w:val="both"/>
        <w:divId w:val="954486806"/>
        <w:rPr>
          <w:rFonts w:eastAsia="Times New Roman"/>
        </w:rPr>
      </w:pPr>
      <w:r>
        <w:rPr>
          <w:rFonts w:eastAsia="Times New Roman"/>
          <w:b/>
          <w:bCs/>
          <w:i/>
          <w:iCs/>
          <w:color w:val="000000"/>
          <w:sz w:val="20"/>
          <w:szCs w:val="20"/>
        </w:rPr>
        <w:t>ASC 84</w:t>
      </w:r>
      <w:r>
        <w:rPr>
          <w:rFonts w:eastAsia="Times New Roman"/>
          <w:b/>
          <w:bCs/>
          <w:i/>
          <w:iCs/>
          <w:color w:val="000000"/>
          <w:sz w:val="20"/>
          <w:szCs w:val="20"/>
        </w:rPr>
        <w:t>2</w:t>
      </w:r>
      <w:r>
        <w:rPr>
          <w:rFonts w:eastAsia="Times New Roman"/>
          <w:color w:val="000000"/>
          <w:sz w:val="20"/>
          <w:szCs w:val="20"/>
        </w:rPr>
        <w:t xml:space="preserve"> - ASC 842, “Leases” </w:t>
      </w:r>
      <w:r>
        <w:rPr>
          <w:rFonts w:eastAsia="Times New Roman"/>
          <w:color w:val="000000"/>
          <w:sz w:val="20"/>
          <w:szCs w:val="20"/>
        </w:rPr>
        <w:t>(effective October 1, 2019</w:t>
      </w:r>
      <w:r>
        <w:rPr>
          <w:rFonts w:eastAsia="Times New Roman"/>
          <w:color w:val="000000"/>
          <w:sz w:val="20"/>
          <w:szCs w:val="20"/>
        </w:rPr>
        <w:t>)</w:t>
      </w:r>
    </w:p>
    <w:p w:rsidR="00000000" w:rsidRDefault="00A270CC">
      <w:pPr>
        <w:jc w:val="both"/>
        <w:divId w:val="97876022"/>
        <w:rPr>
          <w:rFonts w:eastAsia="Times New Roman"/>
        </w:rPr>
      </w:pPr>
      <w:r>
        <w:rPr>
          <w:rFonts w:eastAsia="Times New Roman"/>
          <w:b/>
          <w:bCs/>
          <w:i/>
          <w:iCs/>
          <w:color w:val="000000"/>
          <w:sz w:val="20"/>
          <w:szCs w:val="20"/>
        </w:rPr>
        <w:t xml:space="preserve">ASU </w:t>
      </w:r>
      <w:r>
        <w:rPr>
          <w:rFonts w:eastAsia="Times New Roman"/>
          <w:b/>
          <w:bCs/>
          <w:i/>
          <w:iCs/>
          <w:color w:val="000000"/>
          <w:sz w:val="20"/>
          <w:szCs w:val="20"/>
        </w:rPr>
        <w:t>-</w:t>
      </w:r>
      <w:r>
        <w:rPr>
          <w:rFonts w:eastAsia="Times New Roman"/>
          <w:color w:val="000000"/>
          <w:sz w:val="20"/>
          <w:szCs w:val="20"/>
        </w:rPr>
        <w:t xml:space="preserve"> Accounting Standards Updat</w:t>
      </w:r>
      <w:r>
        <w:rPr>
          <w:rFonts w:eastAsia="Times New Roman"/>
          <w:color w:val="000000"/>
          <w:sz w:val="20"/>
          <w:szCs w:val="20"/>
        </w:rPr>
        <w:t>e</w:t>
      </w:r>
    </w:p>
    <w:p w:rsidR="00000000" w:rsidRDefault="00A270CC">
      <w:pPr>
        <w:jc w:val="both"/>
        <w:divId w:val="1747997217"/>
        <w:rPr>
          <w:rFonts w:eastAsia="Times New Roman"/>
        </w:rPr>
      </w:pPr>
      <w:r>
        <w:rPr>
          <w:rFonts w:eastAsia="Times New Roman"/>
          <w:b/>
          <w:bCs/>
          <w:i/>
          <w:iCs/>
          <w:color w:val="000000"/>
          <w:sz w:val="20"/>
          <w:szCs w:val="20"/>
        </w:rPr>
        <w:lastRenderedPageBreak/>
        <w:t xml:space="preserve">Bcf </w:t>
      </w:r>
      <w:r>
        <w:rPr>
          <w:rFonts w:eastAsia="Times New Roman"/>
          <w:b/>
          <w:bCs/>
          <w:i/>
          <w:iCs/>
          <w:color w:val="000000"/>
          <w:sz w:val="20"/>
          <w:szCs w:val="20"/>
        </w:rPr>
        <w:t>-</w:t>
      </w:r>
      <w:r>
        <w:rPr>
          <w:rFonts w:eastAsia="Times New Roman"/>
          <w:color w:val="000000"/>
          <w:sz w:val="20"/>
          <w:szCs w:val="20"/>
        </w:rPr>
        <w:t xml:space="preserve"> Billions of cubic fee</w:t>
      </w:r>
      <w:r>
        <w:rPr>
          <w:rFonts w:eastAsia="Times New Roman"/>
          <w:color w:val="000000"/>
          <w:sz w:val="20"/>
          <w:szCs w:val="20"/>
        </w:rPr>
        <w:t>t</w:t>
      </w:r>
    </w:p>
    <w:p w:rsidR="00000000" w:rsidRDefault="00A270CC">
      <w:pPr>
        <w:jc w:val="both"/>
        <w:divId w:val="1777672076"/>
        <w:rPr>
          <w:rFonts w:eastAsia="Times New Roman"/>
        </w:rPr>
      </w:pPr>
      <w:r>
        <w:rPr>
          <w:rFonts w:eastAsia="Times New Roman"/>
          <w:b/>
          <w:bCs/>
          <w:i/>
          <w:iCs/>
          <w:color w:val="000000"/>
          <w:sz w:val="20"/>
          <w:szCs w:val="20"/>
        </w:rPr>
        <w:t>BI</w:t>
      </w:r>
      <w:r>
        <w:rPr>
          <w:rFonts w:eastAsia="Times New Roman"/>
          <w:b/>
          <w:bCs/>
          <w:i/>
          <w:iCs/>
          <w:color w:val="000000"/>
          <w:sz w:val="20"/>
          <w:szCs w:val="20"/>
        </w:rPr>
        <w:t>E</w:t>
      </w:r>
      <w:r>
        <w:rPr>
          <w:rFonts w:eastAsia="Times New Roman"/>
          <w:color w:val="000000"/>
          <w:sz w:val="20"/>
          <w:szCs w:val="20"/>
        </w:rPr>
        <w:t xml:space="preserve"> - Pennsylvania Public Utility Commission Bureau of Investigation and Enforcemen</w:t>
      </w:r>
      <w:r>
        <w:rPr>
          <w:rFonts w:eastAsia="Times New Roman"/>
          <w:color w:val="000000"/>
          <w:sz w:val="20"/>
          <w:szCs w:val="20"/>
        </w:rPr>
        <w:t>t</w:t>
      </w:r>
    </w:p>
    <w:p w:rsidR="00000000" w:rsidRDefault="00A270CC">
      <w:pPr>
        <w:jc w:val="both"/>
        <w:divId w:val="1440641997"/>
        <w:rPr>
          <w:rFonts w:eastAsia="Times New Roman"/>
        </w:rPr>
      </w:pPr>
      <w:r>
        <w:rPr>
          <w:rFonts w:eastAsia="Times New Roman"/>
          <w:b/>
          <w:bCs/>
          <w:i/>
          <w:iCs/>
          <w:color w:val="000000"/>
          <w:sz w:val="20"/>
          <w:szCs w:val="20"/>
        </w:rPr>
        <w:t>CARES Act -</w:t>
      </w:r>
      <w:r>
        <w:rPr>
          <w:rFonts w:eastAsia="Times New Roman"/>
          <w:b/>
          <w:bCs/>
          <w:i/>
          <w:iCs/>
          <w:color w:val="000000"/>
          <w:sz w:val="20"/>
          <w:szCs w:val="20"/>
        </w:rPr>
        <w:t xml:space="preserve"> </w:t>
      </w:r>
      <w:r>
        <w:rPr>
          <w:rFonts w:eastAsia="Times New Roman"/>
          <w:color w:val="000000"/>
          <w:sz w:val="20"/>
          <w:szCs w:val="20"/>
        </w:rPr>
        <w:t>Coronavirus Aid, Relief, and Economic Security Ac</w:t>
      </w:r>
      <w:r>
        <w:rPr>
          <w:rFonts w:eastAsia="Times New Roman"/>
          <w:color w:val="000000"/>
          <w:sz w:val="20"/>
          <w:szCs w:val="20"/>
        </w:rPr>
        <w:t>t</w:t>
      </w:r>
    </w:p>
    <w:p w:rsidR="00000000" w:rsidRDefault="00A270CC">
      <w:pPr>
        <w:jc w:val="both"/>
        <w:divId w:val="920601935"/>
        <w:rPr>
          <w:rFonts w:eastAsia="Times New Roman"/>
        </w:rPr>
      </w:pPr>
      <w:r>
        <w:rPr>
          <w:rFonts w:eastAsia="Times New Roman"/>
          <w:b/>
          <w:bCs/>
          <w:i/>
          <w:iCs/>
          <w:color w:val="000000"/>
          <w:sz w:val="20"/>
          <w:szCs w:val="20"/>
        </w:rPr>
        <w:t>CD</w:t>
      </w:r>
      <w:r>
        <w:rPr>
          <w:rFonts w:eastAsia="Times New Roman"/>
          <w:b/>
          <w:bCs/>
          <w:i/>
          <w:iCs/>
          <w:color w:val="000000"/>
          <w:sz w:val="20"/>
          <w:szCs w:val="20"/>
        </w:rPr>
        <w:t>C</w:t>
      </w:r>
      <w:r>
        <w:rPr>
          <w:rFonts w:eastAsia="Times New Roman"/>
          <w:color w:val="000000"/>
          <w:sz w:val="20"/>
          <w:szCs w:val="20"/>
        </w:rPr>
        <w:t xml:space="preserve"> - Centers for Disease Control and Preventio</w:t>
      </w:r>
      <w:r>
        <w:rPr>
          <w:rFonts w:eastAsia="Times New Roman"/>
          <w:color w:val="000000"/>
          <w:sz w:val="20"/>
          <w:szCs w:val="20"/>
        </w:rPr>
        <w:t>n</w:t>
      </w:r>
    </w:p>
    <w:p w:rsidR="00000000" w:rsidRDefault="00A270CC">
      <w:pPr>
        <w:jc w:val="both"/>
        <w:rPr>
          <w:rFonts w:eastAsia="Times New Roman"/>
        </w:rPr>
      </w:pPr>
      <w:r>
        <w:rPr>
          <w:rFonts w:eastAsia="Times New Roman"/>
          <w:b/>
          <w:bCs/>
          <w:i/>
          <w:iCs/>
          <w:color w:val="000000"/>
          <w:sz w:val="20"/>
          <w:szCs w:val="20"/>
        </w:rPr>
        <w:t>CMG Acquisitio</w:t>
      </w:r>
      <w:r>
        <w:rPr>
          <w:rFonts w:eastAsia="Times New Roman"/>
          <w:b/>
          <w:bCs/>
          <w:i/>
          <w:iCs/>
          <w:color w:val="000000"/>
          <w:sz w:val="20"/>
          <w:szCs w:val="20"/>
        </w:rPr>
        <w:t>n</w:t>
      </w:r>
      <w:r>
        <w:rPr>
          <w:rFonts w:eastAsia="Times New Roman"/>
          <w:b/>
          <w:bCs/>
          <w:color w:val="000000"/>
          <w:sz w:val="20"/>
          <w:szCs w:val="20"/>
        </w:rPr>
        <w:t xml:space="preserve"> </w:t>
      </w:r>
      <w:r>
        <w:rPr>
          <w:rFonts w:eastAsia="Times New Roman"/>
          <w:b/>
          <w:bCs/>
          <w:color w:val="000000"/>
          <w:sz w:val="20"/>
          <w:szCs w:val="20"/>
        </w:rPr>
        <w:t>-</w:t>
      </w:r>
      <w:r>
        <w:rPr>
          <w:rFonts w:eastAsia="Times New Roman"/>
          <w:color w:val="000000"/>
          <w:sz w:val="20"/>
          <w:szCs w:val="20"/>
        </w:rPr>
        <w:t xml:space="preserve"> Acquisition of CMG and Columbia Pennant, LLC on August 1, 2019 pursuant to the CMG Acquisition Agreement</w:t>
      </w:r>
      <w:r>
        <w:rPr>
          <w:rFonts w:eastAsia="Times New Roman"/>
          <w:color w:val="000000"/>
          <w:sz w:val="20"/>
          <w:szCs w:val="20"/>
        </w:rPr>
        <w:t>s</w:t>
      </w:r>
    </w:p>
    <w:p w:rsidR="00000000" w:rsidRDefault="00A270CC">
      <w:pPr>
        <w:divId w:val="171383527"/>
        <w:rPr>
          <w:rFonts w:eastAsia="Times New Roman"/>
        </w:rPr>
      </w:pPr>
    </w:p>
    <w:p w:rsidR="00000000" w:rsidRDefault="00A270CC">
      <w:pPr>
        <w:jc w:val="both"/>
        <w:rPr>
          <w:rFonts w:eastAsia="Times New Roman"/>
        </w:rPr>
      </w:pPr>
      <w:r>
        <w:rPr>
          <w:rFonts w:eastAsia="Times New Roman"/>
          <w:b/>
          <w:bCs/>
          <w:i/>
          <w:iCs/>
          <w:color w:val="000000"/>
          <w:sz w:val="20"/>
          <w:szCs w:val="20"/>
        </w:rPr>
        <w:t>CMG Acquisition Agreement</w:t>
      </w:r>
      <w:r>
        <w:rPr>
          <w:rFonts w:eastAsia="Times New Roman"/>
          <w:b/>
          <w:bCs/>
          <w:i/>
          <w:iCs/>
          <w:color w:val="000000"/>
          <w:sz w:val="20"/>
          <w:szCs w:val="20"/>
        </w:rPr>
        <w:t>s</w:t>
      </w:r>
      <w:r>
        <w:rPr>
          <w:rFonts w:eastAsia="Times New Roman"/>
          <w:color w:val="000000"/>
          <w:sz w:val="20"/>
          <w:szCs w:val="20"/>
        </w:rPr>
        <w:t xml:space="preserve"> - A</w:t>
      </w:r>
      <w:r>
        <w:rPr>
          <w:rFonts w:eastAsia="Times New Roman"/>
          <w:color w:val="000000"/>
          <w:sz w:val="20"/>
          <w:szCs w:val="20"/>
        </w:rPr>
        <w:t>greements related to the CMG Acquisition comprising (1) a purchase and sale agreement related to the CMG acquisition, dated July 2, 2019, by and among Columbia Midstream &amp; Minerals Group, LLC, Energy</w:t>
      </w:r>
      <w:r>
        <w:rPr>
          <w:rFonts w:eastAsia="Times New Roman"/>
          <w:color w:val="000000"/>
          <w:sz w:val="20"/>
          <w:szCs w:val="20"/>
        </w:rPr>
        <w:t xml:space="preserve"> </w:t>
      </w:r>
    </w:p>
    <w:p w:rsidR="00000000" w:rsidRDefault="00A270CC">
      <w:pPr>
        <w:jc w:val="center"/>
        <w:divId w:val="673842449"/>
        <w:rPr>
          <w:rFonts w:eastAsia="Times New Roman"/>
        </w:rPr>
      </w:pPr>
      <w:r>
        <w:rPr>
          <w:rFonts w:eastAsia="Times New Roman"/>
          <w:color w:val="000000"/>
          <w:sz w:val="20"/>
          <w:szCs w:val="20"/>
        </w:rPr>
        <w:t>2</w:t>
      </w:r>
    </w:p>
    <w:p w:rsidR="00000000" w:rsidRDefault="00A270CC">
      <w:pPr>
        <w:rPr>
          <w:rFonts w:eastAsia="Times New Roman"/>
        </w:rPr>
      </w:pPr>
      <w:r>
        <w:rPr>
          <w:rFonts w:eastAsia="Times New Roman"/>
        </w:rPr>
        <w:pict>
          <v:rect id="_x0000_i1028" style="width:0;height:1.5pt" o:hralign="center" o:hrstd="t" o:hr="t" fillcolor="#a0a0a0" stroked="f"/>
        </w:pict>
      </w:r>
    </w:p>
    <w:p w:rsidR="00000000" w:rsidRDefault="00A270CC">
      <w:pPr>
        <w:divId w:val="157774590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398729"/>
        <w:rPr>
          <w:rFonts w:eastAsia="Times New Roman"/>
        </w:rPr>
      </w:pPr>
    </w:p>
    <w:p w:rsidR="00000000" w:rsidRDefault="00A270CC">
      <w:pPr>
        <w:divId w:val="872109656"/>
        <w:rPr>
          <w:rFonts w:eastAsia="Times New Roman"/>
        </w:rPr>
      </w:pPr>
    </w:p>
    <w:p w:rsidR="00000000" w:rsidRDefault="00A270CC">
      <w:pPr>
        <w:jc w:val="both"/>
        <w:rPr>
          <w:rFonts w:eastAsia="Times New Roman"/>
        </w:rPr>
      </w:pPr>
      <w:r>
        <w:rPr>
          <w:rFonts w:eastAsia="Times New Roman"/>
          <w:color w:val="000000"/>
          <w:sz w:val="20"/>
          <w:szCs w:val="20"/>
        </w:rPr>
        <w:t>Services, UGI and TransCanada PipeLine USA Ltd., and (2) a purchase and sale agreement related to the Columbia Pennant, LLC acquisition, dated July 2, 2019, by and among Columbia Midstream &amp; M</w:t>
      </w:r>
      <w:r>
        <w:rPr>
          <w:rFonts w:eastAsia="Times New Roman"/>
          <w:color w:val="000000"/>
          <w:sz w:val="20"/>
          <w:szCs w:val="20"/>
        </w:rPr>
        <w:t>inerals Group, LLC, Energy Services, and TransCanada PipeLine USA Ltd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COA </w:t>
      </w:r>
      <w:r>
        <w:rPr>
          <w:rFonts w:eastAsia="Times New Roman"/>
          <w:b/>
          <w:bCs/>
          <w:i/>
          <w:iCs/>
          <w:color w:val="000000"/>
          <w:sz w:val="20"/>
          <w:szCs w:val="20"/>
        </w:rPr>
        <w:t>-</w:t>
      </w:r>
      <w:r>
        <w:rPr>
          <w:rFonts w:eastAsia="Times New Roman"/>
          <w:color w:val="000000"/>
          <w:sz w:val="20"/>
          <w:szCs w:val="20"/>
        </w:rPr>
        <w:t xml:space="preserve"> Consent Order and Agreemen</w:t>
      </w:r>
      <w:r>
        <w:rPr>
          <w:rFonts w:eastAsia="Times New Roman"/>
          <w:color w:val="000000"/>
          <w:sz w:val="20"/>
          <w:szCs w:val="20"/>
        </w:rPr>
        <w:t>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CODM </w:t>
      </w:r>
      <w:r>
        <w:rPr>
          <w:rFonts w:eastAsia="Times New Roman"/>
          <w:b/>
          <w:bCs/>
          <w:i/>
          <w:iCs/>
          <w:color w:val="000000"/>
          <w:sz w:val="20"/>
          <w:szCs w:val="20"/>
        </w:rPr>
        <w:t>-</w:t>
      </w:r>
      <w:r>
        <w:rPr>
          <w:rFonts w:eastAsia="Times New Roman"/>
          <w:color w:val="000000"/>
          <w:sz w:val="20"/>
          <w:szCs w:val="20"/>
        </w:rPr>
        <w:t xml:space="preserve"> Chief Operating Decision Maker as defined in ASC 280, “Segment Reporting</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Common Stock -</w:t>
      </w:r>
      <w:r>
        <w:rPr>
          <w:rFonts w:eastAsia="Times New Roman"/>
          <w:b/>
          <w:bCs/>
          <w:i/>
          <w:iCs/>
          <w:color w:val="000000"/>
          <w:sz w:val="20"/>
          <w:szCs w:val="20"/>
        </w:rPr>
        <w:t xml:space="preserve"> </w:t>
      </w:r>
      <w:r>
        <w:rPr>
          <w:rFonts w:eastAsia="Times New Roman"/>
          <w:color w:val="000000"/>
          <w:sz w:val="20"/>
          <w:szCs w:val="20"/>
        </w:rPr>
        <w:t>shares of UGI common stoc</w:t>
      </w:r>
      <w:r>
        <w:rPr>
          <w:rFonts w:eastAsia="Times New Roman"/>
          <w:color w:val="000000"/>
          <w:sz w:val="20"/>
          <w:szCs w:val="20"/>
        </w:rPr>
        <w:t>k</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Common Units -</w:t>
      </w:r>
      <w:r>
        <w:rPr>
          <w:rFonts w:eastAsia="Times New Roman"/>
          <w:b/>
          <w:bCs/>
          <w:i/>
          <w:iCs/>
          <w:color w:val="000000"/>
          <w:sz w:val="20"/>
          <w:szCs w:val="20"/>
        </w:rPr>
        <w:t xml:space="preserve"> </w:t>
      </w:r>
      <w:r>
        <w:rPr>
          <w:rFonts w:eastAsia="Times New Roman"/>
          <w:color w:val="000000"/>
          <w:sz w:val="20"/>
          <w:szCs w:val="20"/>
        </w:rPr>
        <w:t>Limit</w:t>
      </w:r>
      <w:r>
        <w:rPr>
          <w:rFonts w:eastAsia="Times New Roman"/>
          <w:color w:val="000000"/>
          <w:sz w:val="20"/>
          <w:szCs w:val="20"/>
        </w:rPr>
        <w:t>ed partnership ownership interests in AmeriGas Partner</w:t>
      </w:r>
      <w:r>
        <w:rPr>
          <w:rFonts w:eastAsia="Times New Roman"/>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Core market -</w:t>
      </w:r>
      <w:r>
        <w:rPr>
          <w:rFonts w:eastAsia="Times New Roman"/>
          <w:b/>
          <w:bCs/>
          <w:i/>
          <w:iCs/>
          <w:color w:val="000000"/>
          <w:sz w:val="20"/>
          <w:szCs w:val="20"/>
        </w:rPr>
        <w:t xml:space="preserve"> </w:t>
      </w:r>
      <w:r>
        <w:rPr>
          <w:rFonts w:eastAsia="Times New Roman"/>
          <w:color w:val="000000"/>
          <w:sz w:val="20"/>
          <w:szCs w:val="20"/>
        </w:rPr>
        <w:t>Comprises (1) firm residential, commercial and industrial customers to whom UGI Utilities has a statutory obligation to provide service who purchase their natural gas or electricity fr</w:t>
      </w:r>
      <w:r>
        <w:rPr>
          <w:rFonts w:eastAsia="Times New Roman"/>
          <w:color w:val="000000"/>
          <w:sz w:val="20"/>
          <w:szCs w:val="20"/>
        </w:rPr>
        <w:t>om UGI Utilities; and (2) residential, commercial and industrial customers to whom UGI Utilities has a statutory obligation to provide service who purchase their natural gas or electricity from other</w:t>
      </w:r>
      <w:r>
        <w:rPr>
          <w:rFonts w:eastAsia="Times New Roman"/>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COVID-19 </w:t>
      </w:r>
      <w:r>
        <w:rPr>
          <w:rFonts w:eastAsia="Times New Roman"/>
          <w:b/>
          <w:bCs/>
          <w:i/>
          <w:iCs/>
          <w:color w:val="000000"/>
          <w:sz w:val="20"/>
          <w:szCs w:val="20"/>
        </w:rPr>
        <w:t>-</w:t>
      </w:r>
      <w:r>
        <w:rPr>
          <w:rFonts w:eastAsia="Times New Roman"/>
          <w:color w:val="000000"/>
          <w:sz w:val="20"/>
          <w:szCs w:val="20"/>
        </w:rPr>
        <w:t xml:space="preserve"> A novel strain of coronavirus disease disc</w:t>
      </w:r>
      <w:r>
        <w:rPr>
          <w:rFonts w:eastAsia="Times New Roman"/>
          <w:color w:val="000000"/>
          <w:sz w:val="20"/>
          <w:szCs w:val="20"/>
        </w:rPr>
        <w:t>overed in 201</w:t>
      </w:r>
      <w:r>
        <w:rPr>
          <w:rFonts w:eastAsia="Times New Roman"/>
          <w:color w:val="000000"/>
          <w:sz w:val="20"/>
          <w:szCs w:val="20"/>
        </w:rPr>
        <w:t>9</w:t>
      </w:r>
    </w:p>
    <w:p w:rsidR="00000000" w:rsidRDefault="00A270CC">
      <w:pPr>
        <w:jc w:val="both"/>
        <w:rPr>
          <w:rFonts w:eastAsia="Times New Roman"/>
        </w:rPr>
      </w:pPr>
    </w:p>
    <w:p w:rsidR="00000000" w:rsidRDefault="00A270CC">
      <w:pPr>
        <w:jc w:val="both"/>
        <w:divId w:val="1003699160"/>
        <w:rPr>
          <w:rFonts w:eastAsia="Times New Roman"/>
        </w:rPr>
      </w:pPr>
      <w:r>
        <w:rPr>
          <w:rFonts w:eastAsia="Times New Roman"/>
          <w:b/>
          <w:bCs/>
          <w:i/>
          <w:iCs/>
          <w:color w:val="000000"/>
          <w:sz w:val="20"/>
          <w:szCs w:val="20"/>
        </w:rPr>
        <w:t xml:space="preserve">DS </w:t>
      </w:r>
      <w:r>
        <w:rPr>
          <w:rFonts w:eastAsia="Times New Roman"/>
          <w:b/>
          <w:bCs/>
          <w:i/>
          <w:iCs/>
          <w:color w:val="000000"/>
          <w:sz w:val="20"/>
          <w:szCs w:val="20"/>
        </w:rPr>
        <w:t>-</w:t>
      </w:r>
      <w:r>
        <w:rPr>
          <w:rFonts w:eastAsia="Times New Roman"/>
          <w:color w:val="000000"/>
          <w:sz w:val="20"/>
          <w:szCs w:val="20"/>
        </w:rPr>
        <w:t xml:space="preserve"> Default servic</w:t>
      </w:r>
      <w:r>
        <w:rPr>
          <w:rFonts w:eastAsia="Times New Roman"/>
          <w:color w:val="000000"/>
          <w:sz w:val="20"/>
          <w:szCs w:val="20"/>
        </w:rPr>
        <w:t>e</w:t>
      </w:r>
    </w:p>
    <w:p w:rsidR="00000000" w:rsidRDefault="00A270CC">
      <w:pPr>
        <w:jc w:val="both"/>
        <w:divId w:val="1619951253"/>
        <w:rPr>
          <w:rFonts w:eastAsia="Times New Roman"/>
        </w:rPr>
      </w:pPr>
      <w:r>
        <w:rPr>
          <w:rFonts w:eastAsia="Times New Roman"/>
          <w:b/>
          <w:bCs/>
          <w:i/>
          <w:iCs/>
          <w:color w:val="000000"/>
          <w:sz w:val="20"/>
          <w:szCs w:val="20"/>
        </w:rPr>
        <w:t>DSI</w:t>
      </w:r>
      <w:r>
        <w:rPr>
          <w:rFonts w:eastAsia="Times New Roman"/>
          <w:b/>
          <w:bCs/>
          <w:i/>
          <w:iCs/>
          <w:color w:val="000000"/>
          <w:sz w:val="20"/>
          <w:szCs w:val="20"/>
        </w:rPr>
        <w:t>C</w:t>
      </w:r>
      <w:r>
        <w:rPr>
          <w:rFonts w:eastAsia="Times New Roman"/>
          <w:color w:val="000000"/>
          <w:sz w:val="20"/>
          <w:szCs w:val="20"/>
        </w:rPr>
        <w:t xml:space="preserve"> - Distribution system improvement charg</w:t>
      </w:r>
      <w:r>
        <w:rPr>
          <w:rFonts w:eastAsia="Times New Roman"/>
          <w:color w:val="000000"/>
          <w:sz w:val="20"/>
          <w:szCs w:val="20"/>
        </w:rPr>
        <w:t>e</w:t>
      </w:r>
    </w:p>
    <w:p w:rsidR="00000000" w:rsidRDefault="00A270CC">
      <w:pPr>
        <w:jc w:val="both"/>
        <w:rPr>
          <w:rFonts w:eastAsia="Times New Roman"/>
        </w:rPr>
      </w:pPr>
      <w:r>
        <w:rPr>
          <w:rFonts w:eastAsia="Times New Roman"/>
          <w:b/>
          <w:bCs/>
          <w:i/>
          <w:iCs/>
          <w:color w:val="000000"/>
          <w:sz w:val="20"/>
          <w:szCs w:val="20"/>
        </w:rPr>
        <w:t>EBITD</w:t>
      </w:r>
      <w:r>
        <w:rPr>
          <w:rFonts w:eastAsia="Times New Roman"/>
          <w:b/>
          <w:bCs/>
          <w:i/>
          <w:iCs/>
          <w:color w:val="000000"/>
          <w:sz w:val="20"/>
          <w:szCs w:val="20"/>
        </w:rPr>
        <w:t>A</w:t>
      </w:r>
      <w:r>
        <w:rPr>
          <w:rFonts w:eastAsia="Times New Roman"/>
          <w:color w:val="000000"/>
          <w:sz w:val="20"/>
          <w:szCs w:val="20"/>
        </w:rPr>
        <w:t xml:space="preserve"> - Earnings before interest expense, income taxes, depreciation, and amortizatio</w:t>
      </w:r>
      <w:r>
        <w:rPr>
          <w:rFonts w:eastAsia="Times New Roman"/>
          <w:color w:val="000000"/>
          <w:sz w:val="20"/>
          <w:szCs w:val="20"/>
        </w:rPr>
        <w:t>n</w:t>
      </w:r>
    </w:p>
    <w:p w:rsidR="00000000" w:rsidRDefault="00A270CC">
      <w:pPr>
        <w:jc w:val="both"/>
        <w:rPr>
          <w:rFonts w:eastAsia="Times New Roman"/>
        </w:rPr>
      </w:pPr>
    </w:p>
    <w:p w:rsidR="00000000" w:rsidRDefault="00A270CC">
      <w:pPr>
        <w:jc w:val="both"/>
        <w:divId w:val="1033961646"/>
        <w:rPr>
          <w:rFonts w:eastAsia="Times New Roman"/>
        </w:rPr>
      </w:pPr>
      <w:r>
        <w:rPr>
          <w:rFonts w:eastAsia="Times New Roman"/>
          <w:b/>
          <w:bCs/>
          <w:i/>
          <w:iCs/>
          <w:color w:val="000000"/>
          <w:sz w:val="20"/>
          <w:szCs w:val="20"/>
        </w:rPr>
        <w:t>Eighth Circuit -</w:t>
      </w:r>
      <w:r>
        <w:rPr>
          <w:rFonts w:eastAsia="Times New Roman"/>
          <w:b/>
          <w:bCs/>
          <w:i/>
          <w:iCs/>
          <w:color w:val="000000"/>
          <w:sz w:val="20"/>
          <w:szCs w:val="20"/>
        </w:rPr>
        <w:t xml:space="preserve"> </w:t>
      </w:r>
      <w:r>
        <w:rPr>
          <w:rFonts w:eastAsia="Times New Roman"/>
          <w:color w:val="000000"/>
          <w:sz w:val="20"/>
          <w:szCs w:val="20"/>
        </w:rPr>
        <w:t>United States Court of Appeal</w:t>
      </w:r>
      <w:r>
        <w:rPr>
          <w:rFonts w:eastAsia="Times New Roman"/>
          <w:color w:val="000000"/>
          <w:sz w:val="20"/>
          <w:szCs w:val="20"/>
        </w:rPr>
        <w:t>s for the Eighth Circui</w:t>
      </w:r>
      <w:r>
        <w:rPr>
          <w:rFonts w:eastAsia="Times New Roman"/>
          <w:color w:val="000000"/>
          <w:sz w:val="20"/>
          <w:szCs w:val="20"/>
        </w:rPr>
        <w:t>t</w:t>
      </w:r>
    </w:p>
    <w:p w:rsidR="00000000" w:rsidRDefault="00A270CC">
      <w:pPr>
        <w:jc w:val="both"/>
        <w:rPr>
          <w:rFonts w:eastAsia="Times New Roman"/>
        </w:rPr>
      </w:pPr>
      <w:r>
        <w:rPr>
          <w:rFonts w:eastAsia="Times New Roman"/>
          <w:b/>
          <w:bCs/>
          <w:i/>
          <w:iCs/>
          <w:color w:val="000000"/>
          <w:sz w:val="20"/>
          <w:szCs w:val="20"/>
        </w:rPr>
        <w:t>Energy Services Term Loan -</w:t>
      </w:r>
      <w:r>
        <w:rPr>
          <w:rFonts w:eastAsia="Times New Roman"/>
          <w:b/>
          <w:bCs/>
          <w:i/>
          <w:iCs/>
          <w:color w:val="000000"/>
          <w:sz w:val="20"/>
          <w:szCs w:val="20"/>
        </w:rPr>
        <w:t xml:space="preserve"> </w:t>
      </w:r>
      <w:r>
        <w:rPr>
          <w:rFonts w:eastAsia="Times New Roman"/>
          <w:color w:val="000000"/>
          <w:sz w:val="20"/>
          <w:szCs w:val="20"/>
        </w:rPr>
        <w:t>A seven-year $700 million senior secured term loan agreement entered into on August 13, 2019, with a group of lender</w:t>
      </w:r>
      <w:r>
        <w:rPr>
          <w:rFonts w:eastAsia="Times New Roman"/>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Energy Services 2020 Credit Agreemen</w:t>
      </w:r>
      <w:r>
        <w:rPr>
          <w:rFonts w:eastAsia="Times New Roman"/>
          <w:b/>
          <w:bCs/>
          <w:i/>
          <w:iCs/>
          <w:color w:val="000000"/>
          <w:sz w:val="20"/>
          <w:szCs w:val="20"/>
        </w:rPr>
        <w:t>t</w:t>
      </w:r>
      <w:r>
        <w:rPr>
          <w:rFonts w:eastAsia="Times New Roman"/>
          <w:color w:val="000000"/>
          <w:sz w:val="20"/>
          <w:szCs w:val="20"/>
        </w:rPr>
        <w:t xml:space="preserve"> </w:t>
      </w:r>
      <w:r>
        <w:rPr>
          <w:rFonts w:eastAsia="Times New Roman"/>
          <w:color w:val="000000"/>
          <w:sz w:val="20"/>
          <w:szCs w:val="20"/>
        </w:rPr>
        <w:t>- Third Amended and Restated Credit Agreement entered into on March 6, 2020 by Energy Services, as borrower, providing for borrowings up to $260 million, including a letter of credit subfacility of up to $50 million, scheduled to expire in March 202</w:t>
      </w:r>
      <w:r>
        <w:rPr>
          <w:rFonts w:eastAsia="Times New Roman"/>
          <w:color w:val="000000"/>
          <w:sz w:val="20"/>
          <w:szCs w:val="20"/>
        </w:rPr>
        <w:t>5</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Ene</w:t>
      </w:r>
      <w:r>
        <w:rPr>
          <w:rFonts w:eastAsia="Times New Roman"/>
          <w:b/>
          <w:bCs/>
          <w:i/>
          <w:iCs/>
          <w:color w:val="000000"/>
          <w:sz w:val="20"/>
          <w:szCs w:val="20"/>
        </w:rPr>
        <w:t>rgy Services Credit Agreemen</w:t>
      </w:r>
      <w:r>
        <w:rPr>
          <w:rFonts w:eastAsia="Times New Roman"/>
          <w:b/>
          <w:bCs/>
          <w:i/>
          <w:iCs/>
          <w:color w:val="000000"/>
          <w:sz w:val="20"/>
          <w:szCs w:val="20"/>
        </w:rPr>
        <w:t>t</w:t>
      </w:r>
      <w:r>
        <w:rPr>
          <w:rFonts w:eastAsia="Times New Roman"/>
          <w:color w:val="000000"/>
          <w:sz w:val="20"/>
          <w:szCs w:val="20"/>
        </w:rPr>
        <w:t xml:space="preserve"> - Second Amended and Restated Credit Agreement entered into by Energy Services, as borrower, providing for borrowings up to $200 million, including a letter of credit subfacility of up to $50 million prior to its replacement b</w:t>
      </w:r>
      <w:r>
        <w:rPr>
          <w:rFonts w:eastAsia="Times New Roman"/>
          <w:color w:val="000000"/>
          <w:sz w:val="20"/>
          <w:szCs w:val="20"/>
        </w:rPr>
        <w:t>y the Energy Services 2020 Credit Agreemen</w:t>
      </w:r>
      <w:r>
        <w:rPr>
          <w:rFonts w:eastAsia="Times New Roman"/>
          <w:color w:val="000000"/>
          <w:sz w:val="20"/>
          <w:szCs w:val="20"/>
        </w:rPr>
        <w:t>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Exchange Act </w:t>
      </w:r>
      <w:r>
        <w:rPr>
          <w:rFonts w:eastAsia="Times New Roman"/>
          <w:b/>
          <w:bCs/>
          <w:i/>
          <w:iCs/>
          <w:color w:val="000000"/>
          <w:sz w:val="20"/>
          <w:szCs w:val="20"/>
        </w:rPr>
        <w:t>-</w:t>
      </w:r>
      <w:r>
        <w:rPr>
          <w:rFonts w:eastAsia="Times New Roman"/>
          <w:color w:val="000000"/>
          <w:sz w:val="20"/>
          <w:szCs w:val="20"/>
        </w:rPr>
        <w:t xml:space="preserve"> Securities Exchange Act of 1934, as amende</w:t>
      </w:r>
      <w:r>
        <w:rPr>
          <w:rFonts w:eastAsia="Times New Roman"/>
          <w:color w:val="000000"/>
          <w:sz w:val="20"/>
          <w:szCs w:val="20"/>
        </w:rPr>
        <w:t>d</w:t>
      </w:r>
    </w:p>
    <w:p w:rsidR="00000000" w:rsidRDefault="00A270CC">
      <w:pPr>
        <w:jc w:val="both"/>
        <w:rPr>
          <w:rFonts w:eastAsia="Times New Roman"/>
        </w:rPr>
      </w:pPr>
    </w:p>
    <w:p w:rsidR="00000000" w:rsidRDefault="00A270CC">
      <w:pPr>
        <w:jc w:val="both"/>
        <w:divId w:val="627593092"/>
        <w:rPr>
          <w:rFonts w:eastAsia="Times New Roman"/>
        </w:rPr>
      </w:pPr>
      <w:r>
        <w:rPr>
          <w:rFonts w:eastAsia="Times New Roman"/>
          <w:b/>
          <w:bCs/>
          <w:i/>
          <w:iCs/>
          <w:color w:val="000000"/>
          <w:sz w:val="20"/>
          <w:szCs w:val="20"/>
        </w:rPr>
        <w:t xml:space="preserve">FASB </w:t>
      </w:r>
      <w:r>
        <w:rPr>
          <w:rFonts w:eastAsia="Times New Roman"/>
          <w:b/>
          <w:bCs/>
          <w:i/>
          <w:iCs/>
          <w:color w:val="000000"/>
          <w:sz w:val="20"/>
          <w:szCs w:val="20"/>
        </w:rPr>
        <w:t>-</w:t>
      </w:r>
      <w:r>
        <w:rPr>
          <w:rFonts w:eastAsia="Times New Roman"/>
          <w:color w:val="000000"/>
          <w:sz w:val="20"/>
          <w:szCs w:val="20"/>
        </w:rPr>
        <w:t xml:space="preserve"> Financial Accounting Standards Boar</w:t>
      </w:r>
      <w:r>
        <w:rPr>
          <w:rFonts w:eastAsia="Times New Roman"/>
          <w:color w:val="000000"/>
          <w:sz w:val="20"/>
          <w:szCs w:val="20"/>
        </w:rPr>
        <w:t>d</w:t>
      </w:r>
    </w:p>
    <w:p w:rsidR="00000000" w:rsidRDefault="00A270CC">
      <w:pPr>
        <w:jc w:val="both"/>
        <w:divId w:val="538976522"/>
        <w:rPr>
          <w:rFonts w:eastAsia="Times New Roman"/>
        </w:rPr>
      </w:pPr>
      <w:r>
        <w:rPr>
          <w:rFonts w:eastAsia="Times New Roman"/>
          <w:b/>
          <w:bCs/>
          <w:i/>
          <w:iCs/>
          <w:color w:val="000000"/>
          <w:sz w:val="20"/>
          <w:szCs w:val="20"/>
        </w:rPr>
        <w:t xml:space="preserve">FDIC </w:t>
      </w:r>
      <w:r>
        <w:rPr>
          <w:rFonts w:eastAsia="Times New Roman"/>
          <w:b/>
          <w:bCs/>
          <w:i/>
          <w:iCs/>
          <w:color w:val="000000"/>
          <w:sz w:val="20"/>
          <w:szCs w:val="20"/>
        </w:rPr>
        <w:t>-</w:t>
      </w:r>
      <w:r>
        <w:rPr>
          <w:rFonts w:eastAsia="Times New Roman"/>
          <w:color w:val="000000"/>
          <w:sz w:val="20"/>
          <w:szCs w:val="20"/>
        </w:rPr>
        <w:t xml:space="preserve"> Federal Deposit Insurance Corporatio</w:t>
      </w:r>
      <w:r>
        <w:rPr>
          <w:rFonts w:eastAsia="Times New Roman"/>
          <w:color w:val="000000"/>
          <w:sz w:val="20"/>
          <w:szCs w:val="20"/>
        </w:rPr>
        <w:t>n</w:t>
      </w:r>
    </w:p>
    <w:p w:rsidR="00000000" w:rsidRDefault="00A270CC">
      <w:pPr>
        <w:jc w:val="both"/>
        <w:divId w:val="2100905430"/>
        <w:rPr>
          <w:rFonts w:eastAsia="Times New Roman"/>
        </w:rPr>
      </w:pPr>
      <w:r>
        <w:rPr>
          <w:rFonts w:eastAsia="Times New Roman"/>
          <w:b/>
          <w:bCs/>
          <w:i/>
          <w:iCs/>
          <w:color w:val="000000"/>
          <w:sz w:val="20"/>
          <w:szCs w:val="20"/>
        </w:rPr>
        <w:t xml:space="preserve">FERC </w:t>
      </w:r>
      <w:r>
        <w:rPr>
          <w:rFonts w:eastAsia="Times New Roman"/>
          <w:b/>
          <w:bCs/>
          <w:i/>
          <w:iCs/>
          <w:color w:val="000000"/>
          <w:sz w:val="20"/>
          <w:szCs w:val="20"/>
        </w:rPr>
        <w:t>-</w:t>
      </w:r>
      <w:r>
        <w:rPr>
          <w:rFonts w:eastAsia="Times New Roman"/>
          <w:color w:val="000000"/>
          <w:sz w:val="20"/>
          <w:szCs w:val="20"/>
        </w:rPr>
        <w:t xml:space="preserve"> Federal Energy Regulatory Commissio</w:t>
      </w:r>
      <w:r>
        <w:rPr>
          <w:rFonts w:eastAsia="Times New Roman"/>
          <w:color w:val="000000"/>
          <w:sz w:val="20"/>
          <w:szCs w:val="20"/>
        </w:rPr>
        <w:t>n</w:t>
      </w:r>
    </w:p>
    <w:p w:rsidR="00000000" w:rsidRDefault="00A270CC">
      <w:pPr>
        <w:jc w:val="both"/>
        <w:divId w:val="1375888243"/>
        <w:rPr>
          <w:rFonts w:eastAsia="Times New Roman"/>
        </w:rPr>
      </w:pPr>
      <w:r>
        <w:rPr>
          <w:rFonts w:eastAsia="Times New Roman"/>
          <w:b/>
          <w:bCs/>
          <w:i/>
          <w:iCs/>
          <w:color w:val="000000"/>
          <w:sz w:val="20"/>
          <w:szCs w:val="20"/>
        </w:rPr>
        <w:t>Fiscal 201</w:t>
      </w:r>
      <w:r>
        <w:rPr>
          <w:rFonts w:eastAsia="Times New Roman"/>
          <w:b/>
          <w:bCs/>
          <w:i/>
          <w:iCs/>
          <w:color w:val="000000"/>
          <w:sz w:val="20"/>
          <w:szCs w:val="20"/>
        </w:rPr>
        <w:t>9</w:t>
      </w:r>
      <w:r>
        <w:rPr>
          <w:rFonts w:eastAsia="Times New Roman"/>
          <w:color w:val="000000"/>
          <w:sz w:val="20"/>
          <w:szCs w:val="20"/>
        </w:rPr>
        <w:t xml:space="preserve"> - Th</w:t>
      </w:r>
      <w:r>
        <w:rPr>
          <w:rFonts w:eastAsia="Times New Roman"/>
          <w:color w:val="000000"/>
          <w:sz w:val="20"/>
          <w:szCs w:val="20"/>
        </w:rPr>
        <w:t>e fiscal year ended September 30, 201</w:t>
      </w:r>
      <w:r>
        <w:rPr>
          <w:rFonts w:eastAsia="Times New Roman"/>
          <w:color w:val="000000"/>
          <w:sz w:val="20"/>
          <w:szCs w:val="20"/>
        </w:rPr>
        <w:t>9</w:t>
      </w:r>
    </w:p>
    <w:p w:rsidR="00000000" w:rsidRDefault="00A270CC">
      <w:pPr>
        <w:jc w:val="both"/>
        <w:divId w:val="1532450089"/>
        <w:rPr>
          <w:rFonts w:eastAsia="Times New Roman"/>
        </w:rPr>
      </w:pPr>
      <w:r>
        <w:rPr>
          <w:rFonts w:eastAsia="Times New Roman"/>
          <w:b/>
          <w:bCs/>
          <w:i/>
          <w:iCs/>
          <w:color w:val="000000"/>
          <w:sz w:val="20"/>
          <w:szCs w:val="20"/>
        </w:rPr>
        <w:t>Fiscal 202</w:t>
      </w:r>
      <w:r>
        <w:rPr>
          <w:rFonts w:eastAsia="Times New Roman"/>
          <w:b/>
          <w:bCs/>
          <w:i/>
          <w:iCs/>
          <w:color w:val="000000"/>
          <w:sz w:val="20"/>
          <w:szCs w:val="20"/>
        </w:rPr>
        <w:t>0</w:t>
      </w:r>
      <w:r>
        <w:rPr>
          <w:rFonts w:eastAsia="Times New Roman"/>
          <w:color w:val="000000"/>
          <w:sz w:val="20"/>
          <w:szCs w:val="20"/>
        </w:rPr>
        <w:t xml:space="preserve"> - The fiscal year ending September 30, 202</w:t>
      </w:r>
      <w:r>
        <w:rPr>
          <w:rFonts w:eastAsia="Times New Roman"/>
          <w:color w:val="000000"/>
          <w:sz w:val="20"/>
          <w:szCs w:val="20"/>
        </w:rPr>
        <w:t>0</w:t>
      </w:r>
    </w:p>
    <w:p w:rsidR="00000000" w:rsidRDefault="00A270CC">
      <w:pPr>
        <w:jc w:val="both"/>
        <w:divId w:val="963077840"/>
        <w:rPr>
          <w:rFonts w:eastAsia="Times New Roman"/>
        </w:rPr>
      </w:pPr>
      <w:r>
        <w:rPr>
          <w:rFonts w:eastAsia="Times New Roman"/>
          <w:b/>
          <w:bCs/>
          <w:i/>
          <w:iCs/>
          <w:color w:val="000000"/>
          <w:sz w:val="20"/>
          <w:szCs w:val="20"/>
        </w:rPr>
        <w:t>Fiscal 202</w:t>
      </w:r>
      <w:r>
        <w:rPr>
          <w:rFonts w:eastAsia="Times New Roman"/>
          <w:b/>
          <w:bCs/>
          <w:i/>
          <w:iCs/>
          <w:color w:val="000000"/>
          <w:sz w:val="20"/>
          <w:szCs w:val="20"/>
        </w:rPr>
        <w:t>1</w:t>
      </w:r>
      <w:r>
        <w:rPr>
          <w:rFonts w:eastAsia="Times New Roman"/>
          <w:color w:val="000000"/>
          <w:sz w:val="20"/>
          <w:szCs w:val="20"/>
        </w:rPr>
        <w:t xml:space="preserve"> - The fiscal year ending September 30, 202</w:t>
      </w:r>
      <w:r>
        <w:rPr>
          <w:rFonts w:eastAsia="Times New Roman"/>
          <w:color w:val="000000"/>
          <w:sz w:val="20"/>
          <w:szCs w:val="20"/>
        </w:rPr>
        <w:t>1</w:t>
      </w:r>
    </w:p>
    <w:p w:rsidR="00000000" w:rsidRDefault="00A270CC">
      <w:pPr>
        <w:jc w:val="both"/>
        <w:divId w:val="1346244812"/>
        <w:rPr>
          <w:rFonts w:eastAsia="Times New Roman"/>
        </w:rPr>
      </w:pPr>
      <w:r>
        <w:rPr>
          <w:rFonts w:eastAsia="Times New Roman"/>
          <w:b/>
          <w:bCs/>
          <w:i/>
          <w:iCs/>
          <w:color w:val="000000"/>
          <w:sz w:val="20"/>
          <w:szCs w:val="20"/>
        </w:rPr>
        <w:t>Fiscal 202</w:t>
      </w:r>
      <w:r>
        <w:rPr>
          <w:rFonts w:eastAsia="Times New Roman"/>
          <w:b/>
          <w:bCs/>
          <w:i/>
          <w:iCs/>
          <w:color w:val="000000"/>
          <w:sz w:val="20"/>
          <w:szCs w:val="20"/>
        </w:rPr>
        <w:t>2</w:t>
      </w:r>
      <w:r>
        <w:rPr>
          <w:rFonts w:eastAsia="Times New Roman"/>
          <w:color w:val="000000"/>
          <w:sz w:val="20"/>
          <w:szCs w:val="20"/>
        </w:rPr>
        <w:t xml:space="preserve"> - The fiscal year ending September 30, 202</w:t>
      </w:r>
      <w:r>
        <w:rPr>
          <w:rFonts w:eastAsia="Times New Roman"/>
          <w:color w:val="000000"/>
          <w:sz w:val="20"/>
          <w:szCs w:val="20"/>
        </w:rPr>
        <w:t>2</w:t>
      </w:r>
    </w:p>
    <w:p w:rsidR="00000000" w:rsidRDefault="00A270CC">
      <w:pPr>
        <w:jc w:val="both"/>
        <w:divId w:val="2117023767"/>
        <w:rPr>
          <w:rFonts w:eastAsia="Times New Roman"/>
        </w:rPr>
      </w:pPr>
      <w:r>
        <w:rPr>
          <w:rFonts w:eastAsia="Times New Roman"/>
          <w:b/>
          <w:bCs/>
          <w:i/>
          <w:iCs/>
          <w:color w:val="000000"/>
          <w:sz w:val="20"/>
          <w:szCs w:val="20"/>
        </w:rPr>
        <w:t>Fiscal 202</w:t>
      </w:r>
      <w:r>
        <w:rPr>
          <w:rFonts w:eastAsia="Times New Roman"/>
          <w:b/>
          <w:bCs/>
          <w:i/>
          <w:iCs/>
          <w:color w:val="000000"/>
          <w:sz w:val="20"/>
          <w:szCs w:val="20"/>
        </w:rPr>
        <w:t>3</w:t>
      </w:r>
      <w:r>
        <w:rPr>
          <w:rFonts w:eastAsia="Times New Roman"/>
          <w:color w:val="000000"/>
          <w:sz w:val="20"/>
          <w:szCs w:val="20"/>
        </w:rPr>
        <w:t xml:space="preserve"> - The fiscal year ending September 30</w:t>
      </w:r>
      <w:r>
        <w:rPr>
          <w:rFonts w:eastAsia="Times New Roman"/>
          <w:color w:val="000000"/>
          <w:sz w:val="20"/>
          <w:szCs w:val="20"/>
        </w:rPr>
        <w:t>, 202</w:t>
      </w:r>
      <w:r>
        <w:rPr>
          <w:rFonts w:eastAsia="Times New Roman"/>
          <w:color w:val="000000"/>
          <w:sz w:val="20"/>
          <w:szCs w:val="20"/>
        </w:rPr>
        <w:t>3</w:t>
      </w:r>
    </w:p>
    <w:p w:rsidR="00000000" w:rsidRDefault="00A270CC">
      <w:pPr>
        <w:jc w:val="both"/>
        <w:divId w:val="1691250150"/>
        <w:rPr>
          <w:rFonts w:eastAsia="Times New Roman"/>
        </w:rPr>
      </w:pPr>
      <w:r>
        <w:rPr>
          <w:rFonts w:eastAsia="Times New Roman"/>
          <w:b/>
          <w:bCs/>
          <w:i/>
          <w:iCs/>
          <w:color w:val="000000"/>
          <w:sz w:val="20"/>
          <w:szCs w:val="20"/>
        </w:rPr>
        <w:t>Fiscal 202</w:t>
      </w:r>
      <w:r>
        <w:rPr>
          <w:rFonts w:eastAsia="Times New Roman"/>
          <w:b/>
          <w:bCs/>
          <w:i/>
          <w:iCs/>
          <w:color w:val="000000"/>
          <w:sz w:val="20"/>
          <w:szCs w:val="20"/>
        </w:rPr>
        <w:t>4</w:t>
      </w:r>
      <w:r>
        <w:rPr>
          <w:rFonts w:eastAsia="Times New Roman"/>
          <w:color w:val="000000"/>
          <w:sz w:val="20"/>
          <w:szCs w:val="20"/>
        </w:rPr>
        <w:t xml:space="preserve"> - The fiscal year ending September 30, 202</w:t>
      </w:r>
      <w:r>
        <w:rPr>
          <w:rFonts w:eastAsia="Times New Roman"/>
          <w:color w:val="000000"/>
          <w:sz w:val="20"/>
          <w:szCs w:val="20"/>
        </w:rPr>
        <w:t>4</w:t>
      </w:r>
    </w:p>
    <w:p w:rsidR="00000000" w:rsidRDefault="00A270CC">
      <w:pPr>
        <w:jc w:val="both"/>
        <w:divId w:val="1037781694"/>
        <w:rPr>
          <w:rFonts w:eastAsia="Times New Roman"/>
        </w:rPr>
      </w:pPr>
      <w:r>
        <w:rPr>
          <w:rFonts w:eastAsia="Times New Roman"/>
          <w:b/>
          <w:bCs/>
          <w:i/>
          <w:iCs/>
          <w:color w:val="000000"/>
          <w:sz w:val="20"/>
          <w:szCs w:val="20"/>
        </w:rPr>
        <w:t xml:space="preserve">GAAP </w:t>
      </w:r>
      <w:r>
        <w:rPr>
          <w:rFonts w:eastAsia="Times New Roman"/>
          <w:b/>
          <w:bCs/>
          <w:i/>
          <w:iCs/>
          <w:color w:val="000000"/>
          <w:sz w:val="20"/>
          <w:szCs w:val="20"/>
        </w:rPr>
        <w:t>-</w:t>
      </w:r>
      <w:r>
        <w:rPr>
          <w:rFonts w:eastAsia="Times New Roman"/>
          <w:color w:val="000000"/>
          <w:sz w:val="20"/>
          <w:szCs w:val="20"/>
        </w:rPr>
        <w:t xml:space="preserve"> U.S. generally accepted accounting principle</w:t>
      </w:r>
      <w:r>
        <w:rPr>
          <w:rFonts w:eastAsia="Times New Roman"/>
          <w:color w:val="000000"/>
          <w:sz w:val="20"/>
          <w:szCs w:val="20"/>
        </w:rPr>
        <w:t>s</w:t>
      </w:r>
    </w:p>
    <w:p w:rsidR="00000000" w:rsidRDefault="00A270CC">
      <w:pPr>
        <w:jc w:val="both"/>
        <w:divId w:val="1738044576"/>
        <w:rPr>
          <w:rFonts w:eastAsia="Times New Roman"/>
        </w:rPr>
      </w:pPr>
      <w:r>
        <w:rPr>
          <w:rFonts w:eastAsia="Times New Roman"/>
          <w:b/>
          <w:bCs/>
          <w:i/>
          <w:iCs/>
          <w:color w:val="000000"/>
          <w:sz w:val="20"/>
          <w:szCs w:val="20"/>
        </w:rPr>
        <w:t xml:space="preserve">Gwh </w:t>
      </w:r>
      <w:r>
        <w:rPr>
          <w:rFonts w:eastAsia="Times New Roman"/>
          <w:b/>
          <w:bCs/>
          <w:i/>
          <w:iCs/>
          <w:color w:val="000000"/>
          <w:sz w:val="20"/>
          <w:szCs w:val="20"/>
        </w:rPr>
        <w:t>-</w:t>
      </w:r>
      <w:r>
        <w:rPr>
          <w:rFonts w:eastAsia="Times New Roman"/>
          <w:color w:val="000000"/>
          <w:sz w:val="20"/>
          <w:szCs w:val="20"/>
        </w:rPr>
        <w:t xml:space="preserve"> Millions of kilowatt hour</w:t>
      </w:r>
      <w:r>
        <w:rPr>
          <w:rFonts w:eastAsia="Times New Roman"/>
          <w:color w:val="000000"/>
          <w:sz w:val="20"/>
          <w:szCs w:val="20"/>
        </w:rPr>
        <w:t>s</w:t>
      </w:r>
    </w:p>
    <w:p w:rsidR="00000000" w:rsidRDefault="00A270CC">
      <w:pPr>
        <w:jc w:val="center"/>
        <w:divId w:val="1269311689"/>
        <w:rPr>
          <w:rFonts w:eastAsia="Times New Roman"/>
        </w:rPr>
      </w:pPr>
      <w:r>
        <w:rPr>
          <w:rFonts w:eastAsia="Times New Roman"/>
          <w:color w:val="000000"/>
          <w:sz w:val="20"/>
          <w:szCs w:val="20"/>
        </w:rPr>
        <w:t>3</w:t>
      </w:r>
    </w:p>
    <w:p w:rsidR="00000000" w:rsidRDefault="00A270CC">
      <w:pPr>
        <w:rPr>
          <w:rFonts w:eastAsia="Times New Roman"/>
        </w:rPr>
      </w:pPr>
      <w:r>
        <w:rPr>
          <w:rFonts w:eastAsia="Times New Roman"/>
        </w:rPr>
        <w:pict>
          <v:rect id="_x0000_i1029" style="width:0;height:1.5pt" o:hralign="center" o:hrstd="t" o:hr="t" fillcolor="#a0a0a0" stroked="f"/>
        </w:pict>
      </w:r>
    </w:p>
    <w:p w:rsidR="00000000" w:rsidRDefault="00A270CC">
      <w:pPr>
        <w:divId w:val="294213360"/>
        <w:rPr>
          <w:rFonts w:eastAsia="Times New Roman"/>
        </w:rPr>
      </w:pPr>
      <w:hyperlink w:anchor="ie970dc11ee4142a48682b4ecf773997e_7" w:history="1">
        <w:r>
          <w:rPr>
            <w:rStyle w:val="a3"/>
            <w:rFonts w:eastAsia="Times New Roman"/>
            <w:sz w:val="20"/>
            <w:szCs w:val="20"/>
          </w:rPr>
          <w:t>Table of C</w:t>
        </w:r>
        <w:r>
          <w:rPr>
            <w:rStyle w:val="a3"/>
            <w:rFonts w:eastAsia="Times New Roman"/>
            <w:sz w:val="20"/>
            <w:szCs w:val="20"/>
          </w:rPr>
          <w:t>ontents</w:t>
        </w:r>
      </w:hyperlink>
    </w:p>
    <w:p w:rsidR="00000000" w:rsidRDefault="00A270CC">
      <w:pPr>
        <w:jc w:val="center"/>
        <w:divId w:val="810488179"/>
        <w:rPr>
          <w:rFonts w:eastAsia="Times New Roman"/>
        </w:rPr>
      </w:pPr>
    </w:p>
    <w:p w:rsidR="00000000" w:rsidRDefault="00A270CC">
      <w:pPr>
        <w:divId w:val="1713963580"/>
        <w:rPr>
          <w:rFonts w:eastAsia="Times New Roman"/>
        </w:rPr>
      </w:pPr>
    </w:p>
    <w:p w:rsidR="00000000" w:rsidRDefault="00A270CC">
      <w:pPr>
        <w:jc w:val="both"/>
        <w:divId w:val="1949386714"/>
        <w:rPr>
          <w:rFonts w:eastAsia="Times New Roman"/>
        </w:rPr>
      </w:pPr>
      <w:r>
        <w:rPr>
          <w:rFonts w:eastAsia="Times New Roman"/>
          <w:b/>
          <w:bCs/>
          <w:i/>
          <w:iCs/>
          <w:color w:val="000000"/>
          <w:sz w:val="20"/>
          <w:szCs w:val="20"/>
        </w:rPr>
        <w:t xml:space="preserve">Hunlock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Hunlock Station, a 130-megawatt natural gas-fueled electricity generating station located near Wilkes-Barre, Pennsylvani</w:t>
      </w:r>
      <w:r>
        <w:rPr>
          <w:rFonts w:eastAsia="Times New Roman"/>
          <w:color w:val="000000"/>
          <w:sz w:val="20"/>
          <w:szCs w:val="20"/>
        </w:rPr>
        <w:t>a</w:t>
      </w:r>
    </w:p>
    <w:p w:rsidR="00000000" w:rsidRDefault="00A270CC">
      <w:pPr>
        <w:jc w:val="both"/>
        <w:divId w:val="171921698"/>
        <w:rPr>
          <w:rFonts w:eastAsia="Times New Roman"/>
        </w:rPr>
      </w:pPr>
      <w:r>
        <w:rPr>
          <w:rFonts w:eastAsia="Times New Roman"/>
          <w:b/>
          <w:bCs/>
          <w:i/>
          <w:iCs/>
          <w:color w:val="000000"/>
          <w:sz w:val="20"/>
          <w:szCs w:val="20"/>
        </w:rPr>
        <w:t xml:space="preserve">ICE </w:t>
      </w:r>
      <w:r>
        <w:rPr>
          <w:rFonts w:eastAsia="Times New Roman"/>
          <w:b/>
          <w:bCs/>
          <w:i/>
          <w:iCs/>
          <w:color w:val="000000"/>
          <w:sz w:val="20"/>
          <w:szCs w:val="20"/>
        </w:rPr>
        <w:t>-</w:t>
      </w:r>
      <w:r>
        <w:rPr>
          <w:rFonts w:eastAsia="Times New Roman"/>
          <w:color w:val="000000"/>
          <w:sz w:val="20"/>
          <w:szCs w:val="20"/>
        </w:rPr>
        <w:t xml:space="preserve"> Intercontinental Exchang</w:t>
      </w:r>
      <w:r>
        <w:rPr>
          <w:rFonts w:eastAsia="Times New Roman"/>
          <w:color w:val="000000"/>
          <w:sz w:val="20"/>
          <w:szCs w:val="20"/>
        </w:rPr>
        <w:t>e</w:t>
      </w:r>
    </w:p>
    <w:p w:rsidR="00000000" w:rsidRDefault="00A270CC">
      <w:pPr>
        <w:divId w:val="551966944"/>
        <w:rPr>
          <w:rFonts w:eastAsia="Times New Roman"/>
        </w:rPr>
      </w:pPr>
      <w:r>
        <w:rPr>
          <w:rFonts w:eastAsia="Times New Roman"/>
          <w:b/>
          <w:bCs/>
          <w:i/>
          <w:iCs/>
          <w:color w:val="000000"/>
          <w:sz w:val="20"/>
          <w:szCs w:val="20"/>
        </w:rPr>
        <w:t>ID</w:t>
      </w:r>
      <w:r>
        <w:rPr>
          <w:rFonts w:eastAsia="Times New Roman"/>
          <w:b/>
          <w:bCs/>
          <w:i/>
          <w:iCs/>
          <w:color w:val="000000"/>
          <w:sz w:val="20"/>
          <w:szCs w:val="20"/>
        </w:rPr>
        <w:t>R</w:t>
      </w:r>
      <w:r>
        <w:rPr>
          <w:rFonts w:eastAsia="Times New Roman"/>
          <w:color w:val="000000"/>
          <w:sz w:val="20"/>
          <w:szCs w:val="20"/>
        </w:rPr>
        <w:t xml:space="preserve"> - Incentive distribution righ</w:t>
      </w:r>
      <w:r>
        <w:rPr>
          <w:rFonts w:eastAsia="Times New Roman"/>
          <w:color w:val="000000"/>
          <w:sz w:val="20"/>
          <w:szCs w:val="20"/>
        </w:rPr>
        <w:t>t</w:t>
      </w:r>
    </w:p>
    <w:p w:rsidR="00000000" w:rsidRDefault="00A270CC">
      <w:pPr>
        <w:divId w:val="894045180"/>
        <w:rPr>
          <w:rFonts w:eastAsia="Times New Roman"/>
        </w:rPr>
      </w:pPr>
      <w:r>
        <w:rPr>
          <w:rFonts w:eastAsia="Times New Roman"/>
          <w:b/>
          <w:bCs/>
          <w:i/>
          <w:iCs/>
          <w:color w:val="000000"/>
          <w:sz w:val="20"/>
          <w:szCs w:val="20"/>
        </w:rPr>
        <w:t>IR</w:t>
      </w:r>
      <w:r>
        <w:rPr>
          <w:rFonts w:eastAsia="Times New Roman"/>
          <w:b/>
          <w:bCs/>
          <w:i/>
          <w:iCs/>
          <w:color w:val="000000"/>
          <w:sz w:val="20"/>
          <w:szCs w:val="20"/>
        </w:rPr>
        <w:t>C</w:t>
      </w:r>
      <w:r>
        <w:rPr>
          <w:rFonts w:eastAsia="Times New Roman"/>
          <w:color w:val="000000"/>
          <w:sz w:val="20"/>
          <w:szCs w:val="20"/>
        </w:rPr>
        <w:t xml:space="preserve"> - Internal Revenue Cod</w:t>
      </w:r>
      <w:r>
        <w:rPr>
          <w:rFonts w:eastAsia="Times New Roman"/>
          <w:color w:val="000000"/>
          <w:sz w:val="20"/>
          <w:szCs w:val="20"/>
        </w:rPr>
        <w:t>e</w:t>
      </w:r>
    </w:p>
    <w:p w:rsidR="00000000" w:rsidRDefault="00A270CC">
      <w:pPr>
        <w:jc w:val="both"/>
        <w:divId w:val="1482770679"/>
        <w:rPr>
          <w:rFonts w:eastAsia="Times New Roman"/>
        </w:rPr>
      </w:pPr>
      <w:r>
        <w:rPr>
          <w:rFonts w:eastAsia="Times New Roman"/>
          <w:b/>
          <w:bCs/>
          <w:i/>
          <w:iCs/>
          <w:color w:val="000000"/>
          <w:sz w:val="20"/>
          <w:szCs w:val="20"/>
        </w:rPr>
        <w:t xml:space="preserve">IRPA </w:t>
      </w:r>
      <w:r>
        <w:rPr>
          <w:rFonts w:eastAsia="Times New Roman"/>
          <w:b/>
          <w:bCs/>
          <w:i/>
          <w:iCs/>
          <w:color w:val="000000"/>
          <w:sz w:val="20"/>
          <w:szCs w:val="20"/>
        </w:rPr>
        <w:t>-</w:t>
      </w:r>
      <w:r>
        <w:rPr>
          <w:rFonts w:eastAsia="Times New Roman"/>
          <w:color w:val="000000"/>
          <w:sz w:val="20"/>
          <w:szCs w:val="20"/>
        </w:rPr>
        <w:t xml:space="preserve"> Interest rate protection agreeme</w:t>
      </w:r>
      <w:r>
        <w:rPr>
          <w:rFonts w:eastAsia="Times New Roman"/>
          <w:color w:val="000000"/>
          <w:sz w:val="20"/>
          <w:szCs w:val="20"/>
        </w:rPr>
        <w:t>n</w:t>
      </w:r>
      <w:r>
        <w:rPr>
          <w:rFonts w:eastAsia="Times New Roman"/>
          <w:color w:val="000000"/>
          <w:sz w:val="20"/>
          <w:szCs w:val="20"/>
        </w:rPr>
        <w:t>t</w:t>
      </w:r>
    </w:p>
    <w:p w:rsidR="00000000" w:rsidRDefault="00A270CC">
      <w:pPr>
        <w:jc w:val="both"/>
        <w:divId w:val="1047603511"/>
        <w:rPr>
          <w:rFonts w:eastAsia="Times New Roman"/>
        </w:rPr>
      </w:pPr>
      <w:r>
        <w:rPr>
          <w:rFonts w:eastAsia="Times New Roman"/>
          <w:b/>
          <w:bCs/>
          <w:i/>
          <w:iCs/>
          <w:color w:val="000000"/>
          <w:sz w:val="20"/>
          <w:szCs w:val="20"/>
        </w:rPr>
        <w:t>IR</w:t>
      </w:r>
      <w:r>
        <w:rPr>
          <w:rFonts w:eastAsia="Times New Roman"/>
          <w:b/>
          <w:bCs/>
          <w:i/>
          <w:iCs/>
          <w:color w:val="000000"/>
          <w:sz w:val="20"/>
          <w:szCs w:val="20"/>
        </w:rPr>
        <w:t>S</w:t>
      </w:r>
      <w:r>
        <w:rPr>
          <w:rFonts w:eastAsia="Times New Roman"/>
          <w:color w:val="000000"/>
          <w:sz w:val="20"/>
          <w:szCs w:val="20"/>
        </w:rPr>
        <w:t xml:space="preserve"> - Internal Revenue Servic</w:t>
      </w:r>
      <w:r>
        <w:rPr>
          <w:rFonts w:eastAsia="Times New Roman"/>
          <w:color w:val="000000"/>
          <w:sz w:val="20"/>
          <w:szCs w:val="20"/>
        </w:rPr>
        <w:t>e</w:t>
      </w:r>
    </w:p>
    <w:p w:rsidR="00000000" w:rsidRDefault="00A270CC">
      <w:pPr>
        <w:jc w:val="both"/>
        <w:divId w:val="707992747"/>
        <w:rPr>
          <w:rFonts w:eastAsia="Times New Roman"/>
        </w:rPr>
      </w:pPr>
      <w:r>
        <w:rPr>
          <w:rFonts w:eastAsia="Times New Roman"/>
          <w:b/>
          <w:bCs/>
          <w:i/>
          <w:iCs/>
          <w:color w:val="000000"/>
          <w:sz w:val="20"/>
          <w:szCs w:val="20"/>
        </w:rPr>
        <w:t xml:space="preserve">IT </w:t>
      </w:r>
      <w:r>
        <w:rPr>
          <w:rFonts w:eastAsia="Times New Roman"/>
          <w:b/>
          <w:bCs/>
          <w:i/>
          <w:iCs/>
          <w:color w:val="000000"/>
          <w:sz w:val="20"/>
          <w:szCs w:val="20"/>
        </w:rPr>
        <w:t>-</w:t>
      </w:r>
      <w:r>
        <w:rPr>
          <w:rFonts w:eastAsia="Times New Roman"/>
          <w:color w:val="000000"/>
          <w:sz w:val="20"/>
          <w:szCs w:val="20"/>
        </w:rPr>
        <w:t xml:space="preserve"> Information technolog</w:t>
      </w:r>
      <w:r>
        <w:rPr>
          <w:rFonts w:eastAsia="Times New Roman"/>
          <w:color w:val="000000"/>
          <w:sz w:val="20"/>
          <w:szCs w:val="20"/>
        </w:rPr>
        <w:t>y</w:t>
      </w:r>
    </w:p>
    <w:p w:rsidR="00000000" w:rsidRDefault="00A270CC">
      <w:pPr>
        <w:jc w:val="both"/>
        <w:rPr>
          <w:rFonts w:eastAsia="Times New Roman"/>
        </w:rPr>
      </w:pPr>
      <w:r>
        <w:rPr>
          <w:rFonts w:eastAsia="Times New Roman"/>
          <w:b/>
          <w:bCs/>
          <w:i/>
          <w:iCs/>
          <w:color w:val="000000"/>
          <w:sz w:val="20"/>
          <w:szCs w:val="20"/>
        </w:rPr>
        <w:t>LIBO</w:t>
      </w:r>
      <w:r>
        <w:rPr>
          <w:rFonts w:eastAsia="Times New Roman"/>
          <w:b/>
          <w:bCs/>
          <w:i/>
          <w:iCs/>
          <w:color w:val="000000"/>
          <w:sz w:val="20"/>
          <w:szCs w:val="20"/>
        </w:rPr>
        <w:t>R</w:t>
      </w:r>
      <w:r>
        <w:rPr>
          <w:rFonts w:eastAsia="Times New Roman"/>
          <w:color w:val="000000"/>
          <w:sz w:val="20"/>
          <w:szCs w:val="20"/>
        </w:rPr>
        <w:t xml:space="preserve"> - London Inter-bank Offered Rat</w:t>
      </w:r>
      <w:r>
        <w:rPr>
          <w:rFonts w:eastAsia="Times New Roman"/>
          <w:color w:val="000000"/>
          <w:sz w:val="20"/>
          <w:szCs w:val="20"/>
        </w:rPr>
        <w:t>e</w:t>
      </w:r>
    </w:p>
    <w:p w:rsidR="00000000" w:rsidRDefault="00A270CC">
      <w:pPr>
        <w:jc w:val="both"/>
        <w:rPr>
          <w:rFonts w:eastAsia="Times New Roman"/>
        </w:rPr>
      </w:pPr>
    </w:p>
    <w:p w:rsidR="00000000" w:rsidRDefault="00A270CC">
      <w:pPr>
        <w:jc w:val="both"/>
        <w:divId w:val="1745253935"/>
        <w:rPr>
          <w:rFonts w:eastAsia="Times New Roman"/>
        </w:rPr>
      </w:pPr>
      <w:r>
        <w:rPr>
          <w:rFonts w:eastAsia="Times New Roman"/>
          <w:b/>
          <w:bCs/>
          <w:i/>
          <w:iCs/>
          <w:color w:val="000000"/>
          <w:sz w:val="20"/>
          <w:szCs w:val="20"/>
        </w:rPr>
        <w:t xml:space="preserve">LNG </w:t>
      </w:r>
      <w:r>
        <w:rPr>
          <w:rFonts w:eastAsia="Times New Roman"/>
          <w:b/>
          <w:bCs/>
          <w:i/>
          <w:iCs/>
          <w:color w:val="000000"/>
          <w:sz w:val="20"/>
          <w:szCs w:val="20"/>
        </w:rPr>
        <w:t>-</w:t>
      </w:r>
      <w:r>
        <w:rPr>
          <w:rFonts w:eastAsia="Times New Roman"/>
          <w:color w:val="000000"/>
          <w:sz w:val="20"/>
          <w:szCs w:val="20"/>
        </w:rPr>
        <w:t xml:space="preserve"> Liquefied natural ga</w:t>
      </w:r>
      <w:r>
        <w:rPr>
          <w:rFonts w:eastAsia="Times New Roman"/>
          <w:color w:val="000000"/>
          <w:sz w:val="20"/>
          <w:szCs w:val="20"/>
        </w:rPr>
        <w:t>s</w:t>
      </w:r>
    </w:p>
    <w:p w:rsidR="00000000" w:rsidRDefault="00A270CC">
      <w:pPr>
        <w:jc w:val="both"/>
        <w:divId w:val="599066470"/>
        <w:rPr>
          <w:rFonts w:eastAsia="Times New Roman"/>
        </w:rPr>
      </w:pPr>
      <w:r>
        <w:rPr>
          <w:rFonts w:eastAsia="Times New Roman"/>
          <w:b/>
          <w:bCs/>
          <w:i/>
          <w:iCs/>
          <w:color w:val="000000"/>
          <w:sz w:val="20"/>
          <w:szCs w:val="20"/>
        </w:rPr>
        <w:t xml:space="preserve">LPG </w:t>
      </w:r>
      <w:r>
        <w:rPr>
          <w:rFonts w:eastAsia="Times New Roman"/>
          <w:b/>
          <w:bCs/>
          <w:i/>
          <w:iCs/>
          <w:color w:val="000000"/>
          <w:sz w:val="20"/>
          <w:szCs w:val="20"/>
        </w:rPr>
        <w:t>-</w:t>
      </w:r>
      <w:r>
        <w:rPr>
          <w:rFonts w:eastAsia="Times New Roman"/>
          <w:color w:val="000000"/>
          <w:sz w:val="20"/>
          <w:szCs w:val="20"/>
        </w:rPr>
        <w:t xml:space="preserve"> Liquefied petroleum ga</w:t>
      </w:r>
      <w:r>
        <w:rPr>
          <w:rFonts w:eastAsia="Times New Roman"/>
          <w:color w:val="000000"/>
          <w:sz w:val="20"/>
          <w:szCs w:val="20"/>
        </w:rPr>
        <w:t>s</w:t>
      </w:r>
    </w:p>
    <w:p w:rsidR="00000000" w:rsidRDefault="00A270CC">
      <w:pPr>
        <w:jc w:val="both"/>
        <w:divId w:val="1361709392"/>
        <w:rPr>
          <w:rFonts w:eastAsia="Times New Roman"/>
        </w:rPr>
      </w:pPr>
      <w:r>
        <w:rPr>
          <w:rFonts w:eastAsia="Times New Roman"/>
          <w:b/>
          <w:bCs/>
          <w:i/>
          <w:iCs/>
          <w:color w:val="000000"/>
          <w:sz w:val="20"/>
          <w:szCs w:val="20"/>
        </w:rPr>
        <w:t>MDPSC -</w:t>
      </w:r>
      <w:r>
        <w:rPr>
          <w:rFonts w:eastAsia="Times New Roman"/>
          <w:b/>
          <w:bCs/>
          <w:i/>
          <w:iCs/>
          <w:color w:val="000000"/>
          <w:sz w:val="20"/>
          <w:szCs w:val="20"/>
        </w:rPr>
        <w:t xml:space="preserve"> </w:t>
      </w:r>
      <w:r>
        <w:rPr>
          <w:rFonts w:eastAsia="Times New Roman"/>
          <w:color w:val="000000"/>
          <w:sz w:val="20"/>
          <w:szCs w:val="20"/>
        </w:rPr>
        <w:t>Maryland Public Service Commissio</w:t>
      </w:r>
      <w:r>
        <w:rPr>
          <w:rFonts w:eastAsia="Times New Roman"/>
          <w:color w:val="000000"/>
          <w:sz w:val="20"/>
          <w:szCs w:val="20"/>
        </w:rPr>
        <w:t>n</w:t>
      </w:r>
    </w:p>
    <w:p w:rsidR="00000000" w:rsidRDefault="00A270CC">
      <w:pPr>
        <w:jc w:val="both"/>
        <w:rPr>
          <w:rFonts w:eastAsia="Times New Roman"/>
        </w:rPr>
      </w:pPr>
      <w:r>
        <w:rPr>
          <w:rFonts w:eastAsia="Times New Roman"/>
          <w:b/>
          <w:bCs/>
          <w:i/>
          <w:iCs/>
          <w:color w:val="000000"/>
          <w:sz w:val="20"/>
          <w:szCs w:val="20"/>
        </w:rPr>
        <w:t>Merger Agreemen</w:t>
      </w:r>
      <w:r>
        <w:rPr>
          <w:rFonts w:eastAsia="Times New Roman"/>
          <w:b/>
          <w:bCs/>
          <w:i/>
          <w:iCs/>
          <w:color w:val="000000"/>
          <w:sz w:val="20"/>
          <w:szCs w:val="20"/>
        </w:rPr>
        <w:t>t</w:t>
      </w:r>
      <w:r>
        <w:rPr>
          <w:rFonts w:eastAsia="Times New Roman"/>
          <w:color w:val="000000"/>
          <w:sz w:val="20"/>
          <w:szCs w:val="20"/>
        </w:rPr>
        <w:t xml:space="preserve"> </w:t>
      </w:r>
      <w:r>
        <w:rPr>
          <w:rFonts w:eastAsia="Times New Roman"/>
          <w:color w:val="000000"/>
          <w:sz w:val="20"/>
          <w:szCs w:val="20"/>
        </w:rPr>
        <w:t>- Agreement and Plan of Merger, dated as of April 1, 2019, among UGI, AmeriGas Propane Holdings, Inc., AmeriGas Propane Holdings, LLC, AmeriGas Partners and AmeriGas Propan</w:t>
      </w:r>
      <w:r>
        <w:rPr>
          <w:rFonts w:eastAsia="Times New Roman"/>
          <w:color w:val="000000"/>
          <w:sz w:val="20"/>
          <w:szCs w:val="20"/>
        </w:rPr>
        <w:t>e</w:t>
      </w:r>
    </w:p>
    <w:p w:rsidR="00000000" w:rsidRDefault="00A270CC">
      <w:pPr>
        <w:jc w:val="both"/>
        <w:rPr>
          <w:rFonts w:eastAsia="Times New Roman"/>
        </w:rPr>
      </w:pPr>
    </w:p>
    <w:p w:rsidR="00000000" w:rsidRDefault="00A270CC">
      <w:pPr>
        <w:jc w:val="both"/>
        <w:divId w:val="1119572287"/>
        <w:rPr>
          <w:rFonts w:eastAsia="Times New Roman"/>
        </w:rPr>
      </w:pPr>
      <w:r>
        <w:rPr>
          <w:rFonts w:eastAsia="Times New Roman"/>
          <w:b/>
          <w:bCs/>
          <w:i/>
          <w:iCs/>
          <w:color w:val="000000"/>
          <w:sz w:val="20"/>
          <w:szCs w:val="20"/>
        </w:rPr>
        <w:t>MGP -</w:t>
      </w:r>
      <w:r>
        <w:rPr>
          <w:rFonts w:eastAsia="Times New Roman"/>
          <w:b/>
          <w:bCs/>
          <w:i/>
          <w:iCs/>
          <w:color w:val="000000"/>
          <w:sz w:val="20"/>
          <w:szCs w:val="20"/>
        </w:rPr>
        <w:t xml:space="preserve"> </w:t>
      </w:r>
      <w:r>
        <w:rPr>
          <w:rFonts w:eastAsia="Times New Roman"/>
          <w:color w:val="000000"/>
          <w:sz w:val="20"/>
          <w:szCs w:val="20"/>
        </w:rPr>
        <w:t>Manufactured gas plan</w:t>
      </w:r>
      <w:r>
        <w:rPr>
          <w:rFonts w:eastAsia="Times New Roman"/>
          <w:color w:val="000000"/>
          <w:sz w:val="20"/>
          <w:szCs w:val="20"/>
        </w:rPr>
        <w:t>t</w:t>
      </w:r>
    </w:p>
    <w:p w:rsidR="00000000" w:rsidRDefault="00A270CC">
      <w:pPr>
        <w:jc w:val="both"/>
        <w:divId w:val="1815876481"/>
        <w:rPr>
          <w:rFonts w:eastAsia="Times New Roman"/>
        </w:rPr>
      </w:pPr>
      <w:r>
        <w:rPr>
          <w:rFonts w:eastAsia="Times New Roman"/>
          <w:b/>
          <w:bCs/>
          <w:i/>
          <w:iCs/>
          <w:color w:val="000000"/>
          <w:sz w:val="20"/>
          <w:szCs w:val="20"/>
        </w:rPr>
        <w:t xml:space="preserve">NOAA </w:t>
      </w:r>
      <w:r>
        <w:rPr>
          <w:rFonts w:eastAsia="Times New Roman"/>
          <w:b/>
          <w:bCs/>
          <w:i/>
          <w:iCs/>
          <w:color w:val="000000"/>
          <w:sz w:val="20"/>
          <w:szCs w:val="20"/>
        </w:rPr>
        <w:t>-</w:t>
      </w:r>
      <w:r>
        <w:rPr>
          <w:rFonts w:eastAsia="Times New Roman"/>
          <w:color w:val="000000"/>
          <w:sz w:val="20"/>
          <w:szCs w:val="20"/>
        </w:rPr>
        <w:t xml:space="preserve"> National Oceanic and Atmospheric Administrat</w:t>
      </w:r>
      <w:r>
        <w:rPr>
          <w:rFonts w:eastAsia="Times New Roman"/>
          <w:color w:val="000000"/>
          <w:sz w:val="20"/>
          <w:szCs w:val="20"/>
        </w:rPr>
        <w:t>io</w:t>
      </w:r>
      <w:r>
        <w:rPr>
          <w:rFonts w:eastAsia="Times New Roman"/>
          <w:color w:val="000000"/>
          <w:sz w:val="20"/>
          <w:szCs w:val="20"/>
        </w:rPr>
        <w:t>n</w:t>
      </w:r>
    </w:p>
    <w:p w:rsidR="00000000" w:rsidRDefault="00A270CC">
      <w:pPr>
        <w:jc w:val="both"/>
        <w:divId w:val="1204369420"/>
        <w:rPr>
          <w:rFonts w:eastAsia="Times New Roman"/>
        </w:rPr>
      </w:pPr>
      <w:r>
        <w:rPr>
          <w:rFonts w:eastAsia="Times New Roman"/>
          <w:b/>
          <w:bCs/>
          <w:i/>
          <w:iCs/>
          <w:color w:val="000000"/>
          <w:sz w:val="20"/>
          <w:szCs w:val="20"/>
        </w:rPr>
        <w:t>NO</w:t>
      </w:r>
      <w:r>
        <w:rPr>
          <w:rFonts w:eastAsia="Times New Roman"/>
          <w:b/>
          <w:bCs/>
          <w:i/>
          <w:iCs/>
          <w:color w:val="000000"/>
          <w:sz w:val="20"/>
          <w:szCs w:val="20"/>
        </w:rPr>
        <w:t>L</w:t>
      </w:r>
      <w:r>
        <w:rPr>
          <w:rFonts w:eastAsia="Times New Roman"/>
          <w:color w:val="000000"/>
          <w:sz w:val="20"/>
          <w:szCs w:val="20"/>
        </w:rPr>
        <w:t xml:space="preserve"> - Net operating los</w:t>
      </w:r>
      <w:r>
        <w:rPr>
          <w:rFonts w:eastAsia="Times New Roman"/>
          <w:color w:val="000000"/>
          <w:sz w:val="20"/>
          <w:szCs w:val="20"/>
        </w:rPr>
        <w:t>s</w:t>
      </w:r>
    </w:p>
    <w:p w:rsidR="00000000" w:rsidRDefault="00A270CC">
      <w:pPr>
        <w:jc w:val="both"/>
        <w:divId w:val="805900799"/>
        <w:rPr>
          <w:rFonts w:eastAsia="Times New Roman"/>
        </w:rPr>
      </w:pPr>
      <w:r>
        <w:rPr>
          <w:rFonts w:eastAsia="Times New Roman"/>
          <w:b/>
          <w:bCs/>
          <w:i/>
          <w:iCs/>
          <w:color w:val="000000"/>
          <w:sz w:val="20"/>
          <w:szCs w:val="20"/>
        </w:rPr>
        <w:t xml:space="preserve">NPNS </w:t>
      </w:r>
      <w:r>
        <w:rPr>
          <w:rFonts w:eastAsia="Times New Roman"/>
          <w:b/>
          <w:bCs/>
          <w:i/>
          <w:iCs/>
          <w:color w:val="000000"/>
          <w:sz w:val="20"/>
          <w:szCs w:val="20"/>
        </w:rPr>
        <w:t>-</w:t>
      </w:r>
      <w:r>
        <w:rPr>
          <w:rFonts w:eastAsia="Times New Roman"/>
          <w:color w:val="000000"/>
          <w:sz w:val="20"/>
          <w:szCs w:val="20"/>
        </w:rPr>
        <w:t xml:space="preserve"> Normal purchase and normal sal</w:t>
      </w:r>
      <w:r>
        <w:rPr>
          <w:rFonts w:eastAsia="Times New Roman"/>
          <w:color w:val="000000"/>
          <w:sz w:val="20"/>
          <w:szCs w:val="20"/>
        </w:rPr>
        <w:t>e</w:t>
      </w:r>
    </w:p>
    <w:p w:rsidR="00000000" w:rsidRDefault="00A270CC">
      <w:pPr>
        <w:jc w:val="both"/>
        <w:divId w:val="1691300147"/>
        <w:rPr>
          <w:rFonts w:eastAsia="Times New Roman"/>
        </w:rPr>
      </w:pPr>
      <w:r>
        <w:rPr>
          <w:rFonts w:eastAsia="Times New Roman"/>
          <w:b/>
          <w:bCs/>
          <w:i/>
          <w:iCs/>
          <w:color w:val="000000"/>
          <w:sz w:val="20"/>
          <w:szCs w:val="20"/>
        </w:rPr>
        <w:t>NYDEC -</w:t>
      </w:r>
      <w:r>
        <w:rPr>
          <w:rFonts w:eastAsia="Times New Roman"/>
          <w:b/>
          <w:bCs/>
          <w:i/>
          <w:iCs/>
          <w:color w:val="000000"/>
          <w:sz w:val="20"/>
          <w:szCs w:val="20"/>
        </w:rPr>
        <w:t xml:space="preserve"> </w:t>
      </w:r>
      <w:r>
        <w:rPr>
          <w:rFonts w:eastAsia="Times New Roman"/>
          <w:color w:val="000000"/>
          <w:sz w:val="20"/>
          <w:szCs w:val="20"/>
        </w:rPr>
        <w:t>New York State Department of Environmental Conservatio</w:t>
      </w:r>
      <w:r>
        <w:rPr>
          <w:rFonts w:eastAsia="Times New Roman"/>
          <w:color w:val="000000"/>
          <w:sz w:val="20"/>
          <w:szCs w:val="20"/>
        </w:rPr>
        <w:t>n</w:t>
      </w:r>
    </w:p>
    <w:p w:rsidR="00000000" w:rsidRDefault="00A270CC">
      <w:pPr>
        <w:jc w:val="both"/>
        <w:divId w:val="2094426215"/>
        <w:rPr>
          <w:rFonts w:eastAsia="Times New Roman"/>
        </w:rPr>
      </w:pPr>
      <w:r>
        <w:rPr>
          <w:rFonts w:eastAsia="Times New Roman"/>
          <w:b/>
          <w:bCs/>
          <w:i/>
          <w:iCs/>
          <w:color w:val="000000"/>
          <w:sz w:val="20"/>
          <w:szCs w:val="20"/>
        </w:rPr>
        <w:t xml:space="preserve">NYMEX </w:t>
      </w:r>
      <w:r>
        <w:rPr>
          <w:rFonts w:eastAsia="Times New Roman"/>
          <w:b/>
          <w:bCs/>
          <w:i/>
          <w:iCs/>
          <w:color w:val="000000"/>
          <w:sz w:val="20"/>
          <w:szCs w:val="20"/>
        </w:rPr>
        <w:t>-</w:t>
      </w:r>
      <w:r>
        <w:rPr>
          <w:rFonts w:eastAsia="Times New Roman"/>
          <w:color w:val="000000"/>
          <w:sz w:val="20"/>
          <w:szCs w:val="20"/>
        </w:rPr>
        <w:t xml:space="preserve"> New York Mercantile Exchang</w:t>
      </w:r>
      <w:r>
        <w:rPr>
          <w:rFonts w:eastAsia="Times New Roman"/>
          <w:color w:val="000000"/>
          <w:sz w:val="20"/>
          <w:szCs w:val="20"/>
        </w:rPr>
        <w:t>e</w:t>
      </w:r>
    </w:p>
    <w:p w:rsidR="00000000" w:rsidRDefault="00A270CC">
      <w:pPr>
        <w:jc w:val="both"/>
        <w:divId w:val="1371959526"/>
        <w:rPr>
          <w:rFonts w:eastAsia="Times New Roman"/>
        </w:rPr>
      </w:pPr>
      <w:r>
        <w:rPr>
          <w:rFonts w:eastAsia="Times New Roman"/>
          <w:b/>
          <w:bCs/>
          <w:i/>
          <w:iCs/>
          <w:color w:val="000000"/>
          <w:sz w:val="20"/>
          <w:szCs w:val="20"/>
        </w:rPr>
        <w:t xml:space="preserve">PADEP </w:t>
      </w:r>
      <w:r>
        <w:rPr>
          <w:rFonts w:eastAsia="Times New Roman"/>
          <w:b/>
          <w:bCs/>
          <w:i/>
          <w:iCs/>
          <w:color w:val="000000"/>
          <w:sz w:val="20"/>
          <w:szCs w:val="20"/>
        </w:rPr>
        <w:t>-</w:t>
      </w:r>
      <w:r>
        <w:rPr>
          <w:rFonts w:eastAsia="Times New Roman"/>
          <w:color w:val="000000"/>
          <w:sz w:val="20"/>
          <w:szCs w:val="20"/>
        </w:rPr>
        <w:t xml:space="preserve"> Pennsylvania Department of Environmental Protectio</w:t>
      </w:r>
      <w:r>
        <w:rPr>
          <w:rFonts w:eastAsia="Times New Roman"/>
          <w:color w:val="000000"/>
          <w:sz w:val="20"/>
          <w:szCs w:val="20"/>
        </w:rPr>
        <w:t>n</w:t>
      </w:r>
    </w:p>
    <w:p w:rsidR="00000000" w:rsidRDefault="00A270CC">
      <w:pPr>
        <w:jc w:val="both"/>
        <w:divId w:val="1503080411"/>
        <w:rPr>
          <w:rFonts w:eastAsia="Times New Roman"/>
        </w:rPr>
      </w:pPr>
      <w:r>
        <w:rPr>
          <w:rFonts w:eastAsia="Times New Roman"/>
          <w:b/>
          <w:bCs/>
          <w:i/>
          <w:iCs/>
          <w:color w:val="000000"/>
          <w:sz w:val="20"/>
          <w:szCs w:val="20"/>
        </w:rPr>
        <w:t xml:space="preserve">PAPUC </w:t>
      </w:r>
      <w:r>
        <w:rPr>
          <w:rFonts w:eastAsia="Times New Roman"/>
          <w:b/>
          <w:bCs/>
          <w:i/>
          <w:iCs/>
          <w:color w:val="000000"/>
          <w:sz w:val="20"/>
          <w:szCs w:val="20"/>
        </w:rPr>
        <w:t>-</w:t>
      </w:r>
      <w:r>
        <w:rPr>
          <w:rFonts w:eastAsia="Times New Roman"/>
          <w:color w:val="000000"/>
          <w:sz w:val="20"/>
          <w:szCs w:val="20"/>
        </w:rPr>
        <w:t xml:space="preserve"> Pennsylvania Public</w:t>
      </w:r>
      <w:r>
        <w:rPr>
          <w:rFonts w:eastAsia="Times New Roman"/>
          <w:color w:val="000000"/>
          <w:sz w:val="20"/>
          <w:szCs w:val="20"/>
        </w:rPr>
        <w:t xml:space="preserve"> Utility Commissio</w:t>
      </w:r>
      <w:r>
        <w:rPr>
          <w:rFonts w:eastAsia="Times New Roman"/>
          <w:color w:val="000000"/>
          <w:sz w:val="20"/>
          <w:szCs w:val="20"/>
        </w:rPr>
        <w:t>n</w:t>
      </w:r>
    </w:p>
    <w:p w:rsidR="00000000" w:rsidRDefault="00A270CC">
      <w:pPr>
        <w:jc w:val="both"/>
        <w:divId w:val="1956986331"/>
        <w:rPr>
          <w:rFonts w:eastAsia="Times New Roman"/>
        </w:rPr>
      </w:pPr>
      <w:r>
        <w:rPr>
          <w:rFonts w:eastAsia="Times New Roman"/>
          <w:b/>
          <w:bCs/>
          <w:i/>
          <w:iCs/>
          <w:color w:val="000000"/>
          <w:sz w:val="20"/>
          <w:szCs w:val="20"/>
        </w:rPr>
        <w:t xml:space="preserve">PGC </w:t>
      </w:r>
      <w:r>
        <w:rPr>
          <w:rFonts w:eastAsia="Times New Roman"/>
          <w:b/>
          <w:bCs/>
          <w:i/>
          <w:iCs/>
          <w:color w:val="000000"/>
          <w:sz w:val="20"/>
          <w:szCs w:val="20"/>
        </w:rPr>
        <w:t>-</w:t>
      </w:r>
      <w:r>
        <w:rPr>
          <w:rFonts w:eastAsia="Times New Roman"/>
          <w:color w:val="000000"/>
          <w:sz w:val="20"/>
          <w:szCs w:val="20"/>
        </w:rPr>
        <w:t xml:space="preserve"> Purchased gas cost</w:t>
      </w:r>
      <w:r>
        <w:rPr>
          <w:rFonts w:eastAsia="Times New Roman"/>
          <w:color w:val="000000"/>
          <w:sz w:val="20"/>
          <w:szCs w:val="20"/>
        </w:rPr>
        <w:t>s</w:t>
      </w:r>
    </w:p>
    <w:p w:rsidR="00000000" w:rsidRDefault="00A270CC">
      <w:pPr>
        <w:jc w:val="both"/>
        <w:divId w:val="207113162"/>
        <w:rPr>
          <w:rFonts w:eastAsia="Times New Roman"/>
        </w:rPr>
      </w:pPr>
      <w:r>
        <w:rPr>
          <w:rFonts w:eastAsia="Times New Roman"/>
          <w:b/>
          <w:bCs/>
          <w:i/>
          <w:iCs/>
          <w:color w:val="000000"/>
          <w:sz w:val="20"/>
          <w:szCs w:val="20"/>
        </w:rPr>
        <w:t>PRP -</w:t>
      </w:r>
      <w:r>
        <w:rPr>
          <w:rFonts w:eastAsia="Times New Roman"/>
          <w:b/>
          <w:bCs/>
          <w:i/>
          <w:iCs/>
          <w:color w:val="000000"/>
          <w:sz w:val="20"/>
          <w:szCs w:val="20"/>
        </w:rPr>
        <w:t xml:space="preserve"> </w:t>
      </w:r>
      <w:r>
        <w:rPr>
          <w:rFonts w:eastAsia="Times New Roman"/>
          <w:color w:val="000000"/>
          <w:sz w:val="20"/>
          <w:szCs w:val="20"/>
        </w:rPr>
        <w:t>Potentially Responsible Part</w:t>
      </w:r>
      <w:r>
        <w:rPr>
          <w:rFonts w:eastAsia="Times New Roman"/>
          <w:color w:val="000000"/>
          <w:sz w:val="20"/>
          <w:szCs w:val="20"/>
        </w:rPr>
        <w:t>y</w:t>
      </w:r>
    </w:p>
    <w:p w:rsidR="00000000" w:rsidRDefault="00A270CC">
      <w:pPr>
        <w:jc w:val="both"/>
        <w:divId w:val="539897729"/>
        <w:rPr>
          <w:rFonts w:eastAsia="Times New Roman"/>
        </w:rPr>
      </w:pPr>
      <w:r>
        <w:rPr>
          <w:rFonts w:eastAsia="Times New Roman"/>
          <w:b/>
          <w:bCs/>
          <w:i/>
          <w:iCs/>
          <w:color w:val="000000"/>
          <w:sz w:val="20"/>
          <w:szCs w:val="20"/>
        </w:rPr>
        <w:t xml:space="preserve">Receivables Facility </w:t>
      </w:r>
      <w:r>
        <w:rPr>
          <w:rFonts w:eastAsia="Times New Roman"/>
          <w:b/>
          <w:bCs/>
          <w:i/>
          <w:iCs/>
          <w:color w:val="000000"/>
          <w:sz w:val="20"/>
          <w:szCs w:val="20"/>
        </w:rPr>
        <w:t>-</w:t>
      </w:r>
      <w:r>
        <w:rPr>
          <w:rFonts w:eastAsia="Times New Roman"/>
          <w:color w:val="000000"/>
          <w:sz w:val="20"/>
          <w:szCs w:val="20"/>
        </w:rPr>
        <w:t xml:space="preserve"> A receivables purchase facility of Energy Services with an issuer of receivables-backed commercial pape</w:t>
      </w:r>
      <w:r>
        <w:rPr>
          <w:rFonts w:eastAsia="Times New Roman"/>
          <w:color w:val="000000"/>
          <w:sz w:val="20"/>
          <w:szCs w:val="20"/>
        </w:rPr>
        <w:t>r</w:t>
      </w:r>
    </w:p>
    <w:p w:rsidR="00000000" w:rsidRDefault="00A270CC">
      <w:pPr>
        <w:jc w:val="both"/>
        <w:divId w:val="42139657"/>
        <w:rPr>
          <w:rFonts w:eastAsia="Times New Roman"/>
        </w:rPr>
      </w:pPr>
      <w:r>
        <w:rPr>
          <w:rFonts w:eastAsia="Times New Roman"/>
          <w:b/>
          <w:bCs/>
          <w:i/>
          <w:iCs/>
          <w:color w:val="000000"/>
          <w:sz w:val="20"/>
          <w:szCs w:val="20"/>
        </w:rPr>
        <w:t xml:space="preserve">Retail core-market </w:t>
      </w:r>
      <w:r>
        <w:rPr>
          <w:rFonts w:eastAsia="Times New Roman"/>
          <w:b/>
          <w:bCs/>
          <w:i/>
          <w:iCs/>
          <w:color w:val="000000"/>
          <w:sz w:val="20"/>
          <w:szCs w:val="20"/>
        </w:rPr>
        <w:t>-</w:t>
      </w:r>
      <w:r>
        <w:rPr>
          <w:rFonts w:eastAsia="Times New Roman"/>
          <w:color w:val="000000"/>
          <w:sz w:val="20"/>
          <w:szCs w:val="20"/>
        </w:rPr>
        <w:t xml:space="preserve"> Comprises firm residentia</w:t>
      </w:r>
      <w:r>
        <w:rPr>
          <w:rFonts w:eastAsia="Times New Roman"/>
          <w:color w:val="000000"/>
          <w:sz w:val="20"/>
          <w:szCs w:val="20"/>
        </w:rPr>
        <w:t>l, commercial and industrial customers to whom UGI Utilities has a statutory obligation to provide service that purchase their natural gas from Gas Utilit</w:t>
      </w:r>
      <w:r>
        <w:rPr>
          <w:rFonts w:eastAsia="Times New Roman"/>
          <w:color w:val="000000"/>
          <w:sz w:val="20"/>
          <w:szCs w:val="20"/>
        </w:rPr>
        <w:t>y</w:t>
      </w:r>
    </w:p>
    <w:p w:rsidR="00000000" w:rsidRDefault="00A270CC">
      <w:pPr>
        <w:jc w:val="both"/>
        <w:divId w:val="1608930414"/>
        <w:rPr>
          <w:rFonts w:eastAsia="Times New Roman"/>
        </w:rPr>
      </w:pPr>
      <w:r>
        <w:rPr>
          <w:rFonts w:eastAsia="Times New Roman"/>
          <w:b/>
          <w:bCs/>
          <w:i/>
          <w:iCs/>
          <w:color w:val="000000"/>
          <w:sz w:val="20"/>
          <w:szCs w:val="20"/>
        </w:rPr>
        <w:t>RO</w:t>
      </w:r>
      <w:r>
        <w:rPr>
          <w:rFonts w:eastAsia="Times New Roman"/>
          <w:b/>
          <w:bCs/>
          <w:i/>
          <w:iCs/>
          <w:color w:val="000000"/>
          <w:sz w:val="20"/>
          <w:szCs w:val="20"/>
        </w:rPr>
        <w:t>U</w:t>
      </w:r>
      <w:r>
        <w:rPr>
          <w:rFonts w:eastAsia="Times New Roman"/>
          <w:color w:val="000000"/>
          <w:sz w:val="20"/>
          <w:szCs w:val="20"/>
        </w:rPr>
        <w:t xml:space="preserve"> - Right-of-use</w:t>
      </w:r>
      <w:r>
        <w:rPr>
          <w:rFonts w:eastAsia="Times New Roman"/>
          <w:color w:val="000000"/>
          <w:sz w:val="20"/>
          <w:szCs w:val="20"/>
        </w:rPr>
        <w:t xml:space="preserve"> </w:t>
      </w:r>
    </w:p>
    <w:p w:rsidR="00000000" w:rsidRDefault="00A270CC">
      <w:pPr>
        <w:jc w:val="both"/>
        <w:divId w:val="858391906"/>
        <w:rPr>
          <w:rFonts w:eastAsia="Times New Roman"/>
        </w:rPr>
      </w:pPr>
      <w:r>
        <w:rPr>
          <w:rFonts w:eastAsia="Times New Roman"/>
          <w:b/>
          <w:bCs/>
          <w:i/>
          <w:iCs/>
          <w:color w:val="000000"/>
          <w:sz w:val="20"/>
          <w:szCs w:val="20"/>
        </w:rPr>
        <w:t>ROD -</w:t>
      </w:r>
      <w:r>
        <w:rPr>
          <w:rFonts w:eastAsia="Times New Roman"/>
          <w:b/>
          <w:bCs/>
          <w:i/>
          <w:iCs/>
          <w:color w:val="000000"/>
          <w:sz w:val="20"/>
          <w:szCs w:val="20"/>
        </w:rPr>
        <w:t xml:space="preserve"> </w:t>
      </w:r>
      <w:r>
        <w:rPr>
          <w:rFonts w:eastAsia="Times New Roman"/>
          <w:color w:val="000000"/>
          <w:sz w:val="20"/>
          <w:szCs w:val="20"/>
        </w:rPr>
        <w:t>Record of Decisio</w:t>
      </w:r>
      <w:r>
        <w:rPr>
          <w:rFonts w:eastAsia="Times New Roman"/>
          <w:color w:val="000000"/>
          <w:sz w:val="20"/>
          <w:szCs w:val="20"/>
        </w:rPr>
        <w:t>n</w:t>
      </w:r>
    </w:p>
    <w:p w:rsidR="00000000" w:rsidRDefault="00A270CC">
      <w:pPr>
        <w:jc w:val="both"/>
        <w:divId w:val="2016569056"/>
        <w:rPr>
          <w:rFonts w:eastAsia="Times New Roman"/>
        </w:rPr>
      </w:pPr>
      <w:r>
        <w:rPr>
          <w:rFonts w:eastAsia="Times New Roman"/>
          <w:b/>
          <w:bCs/>
          <w:i/>
          <w:iCs/>
          <w:color w:val="000000"/>
          <w:sz w:val="20"/>
          <w:szCs w:val="20"/>
        </w:rPr>
        <w:t xml:space="preserve">SCAA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Storage Contract Administrative Agreement</w:t>
      </w:r>
      <w:r>
        <w:rPr>
          <w:rFonts w:eastAsia="Times New Roman"/>
          <w:color w:val="000000"/>
          <w:sz w:val="20"/>
          <w:szCs w:val="20"/>
        </w:rPr>
        <w:t>s</w:t>
      </w:r>
    </w:p>
    <w:p w:rsidR="00000000" w:rsidRDefault="00A270CC">
      <w:pPr>
        <w:jc w:val="both"/>
        <w:divId w:val="1098057961"/>
        <w:rPr>
          <w:rFonts w:eastAsia="Times New Roman"/>
        </w:rPr>
      </w:pPr>
      <w:r>
        <w:rPr>
          <w:rFonts w:eastAsia="Times New Roman"/>
          <w:b/>
          <w:bCs/>
          <w:i/>
          <w:iCs/>
          <w:color w:val="000000"/>
          <w:sz w:val="20"/>
          <w:szCs w:val="20"/>
        </w:rPr>
        <w:t xml:space="preserve">SEC </w:t>
      </w:r>
      <w:r>
        <w:rPr>
          <w:rFonts w:eastAsia="Times New Roman"/>
          <w:b/>
          <w:bCs/>
          <w:i/>
          <w:iCs/>
          <w:color w:val="000000"/>
          <w:sz w:val="20"/>
          <w:szCs w:val="20"/>
        </w:rPr>
        <w:t>-</w:t>
      </w:r>
      <w:r>
        <w:rPr>
          <w:rFonts w:eastAsia="Times New Roman"/>
          <w:color w:val="000000"/>
          <w:sz w:val="20"/>
          <w:szCs w:val="20"/>
        </w:rPr>
        <w:t xml:space="preserve"> U.S. Securities and Exchange Commissio</w:t>
      </w:r>
      <w:r>
        <w:rPr>
          <w:rFonts w:eastAsia="Times New Roman"/>
          <w:color w:val="000000"/>
          <w:sz w:val="20"/>
          <w:szCs w:val="20"/>
        </w:rPr>
        <w:t>n</w:t>
      </w:r>
    </w:p>
    <w:p w:rsidR="00000000" w:rsidRDefault="00A270CC">
      <w:pPr>
        <w:jc w:val="both"/>
        <w:rPr>
          <w:rFonts w:eastAsia="Times New Roman"/>
        </w:rPr>
      </w:pPr>
      <w:r>
        <w:rPr>
          <w:rFonts w:eastAsia="Times New Roman"/>
          <w:b/>
          <w:bCs/>
          <w:i/>
          <w:iCs/>
          <w:color w:val="000000"/>
          <w:sz w:val="20"/>
          <w:szCs w:val="20"/>
        </w:rPr>
        <w:t xml:space="preserve">TCJA </w:t>
      </w:r>
      <w:r>
        <w:rPr>
          <w:rFonts w:eastAsia="Times New Roman"/>
          <w:b/>
          <w:bCs/>
          <w:i/>
          <w:iCs/>
          <w:color w:val="000000"/>
          <w:sz w:val="20"/>
          <w:szCs w:val="20"/>
        </w:rPr>
        <w:t>-</w:t>
      </w:r>
      <w:r>
        <w:rPr>
          <w:rFonts w:eastAsia="Times New Roman"/>
          <w:color w:val="000000"/>
          <w:sz w:val="20"/>
          <w:szCs w:val="20"/>
        </w:rPr>
        <w:t xml:space="preserve"> Tax Cuts and Jobs Ac</w:t>
      </w:r>
      <w:r>
        <w:rPr>
          <w:rFonts w:eastAsia="Times New Roman"/>
          <w:color w:val="000000"/>
          <w:sz w:val="20"/>
          <w:szCs w:val="20"/>
        </w:rPr>
        <w:t>t</w:t>
      </w:r>
    </w:p>
    <w:p w:rsidR="00000000" w:rsidRDefault="00A270CC">
      <w:pPr>
        <w:jc w:val="both"/>
        <w:rPr>
          <w:rFonts w:eastAsia="Times New Roman"/>
        </w:rPr>
      </w:pPr>
    </w:p>
    <w:p w:rsidR="00000000" w:rsidRDefault="00A270CC">
      <w:pPr>
        <w:jc w:val="center"/>
        <w:divId w:val="1244953902"/>
        <w:rPr>
          <w:rFonts w:eastAsia="Times New Roman"/>
        </w:rPr>
      </w:pPr>
      <w:r>
        <w:rPr>
          <w:rFonts w:eastAsia="Times New Roman"/>
          <w:color w:val="000000"/>
          <w:sz w:val="20"/>
          <w:szCs w:val="20"/>
        </w:rPr>
        <w:t>4</w:t>
      </w:r>
    </w:p>
    <w:p w:rsidR="00000000" w:rsidRDefault="00A270CC">
      <w:pPr>
        <w:rPr>
          <w:rFonts w:eastAsia="Times New Roman"/>
        </w:rPr>
      </w:pPr>
      <w:r>
        <w:rPr>
          <w:rFonts w:eastAsia="Times New Roman"/>
        </w:rPr>
        <w:pict>
          <v:rect id="_x0000_i1030" style="width:0;height:1.5pt" o:hralign="center" o:hrstd="t" o:hr="t" fillcolor="#a0a0a0" stroked="f"/>
        </w:pict>
      </w:r>
    </w:p>
    <w:p w:rsidR="00000000" w:rsidRDefault="00A270CC">
      <w:pPr>
        <w:divId w:val="58504351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806779739"/>
        <w:rPr>
          <w:rFonts w:eastAsia="Times New Roman"/>
        </w:rPr>
      </w:pPr>
    </w:p>
    <w:p w:rsidR="00000000" w:rsidRDefault="00A270CC">
      <w:pPr>
        <w:divId w:val="1518959567"/>
        <w:rPr>
          <w:rFonts w:eastAsia="Times New Roman"/>
        </w:rPr>
      </w:pPr>
    </w:p>
    <w:p w:rsidR="00000000" w:rsidRDefault="00A270CC">
      <w:pPr>
        <w:divId w:val="1511682616"/>
        <w:rPr>
          <w:rFonts w:eastAsia="Times New Roman"/>
        </w:rPr>
      </w:pPr>
      <w:r>
        <w:rPr>
          <w:rFonts w:eastAsia="Times New Roman"/>
          <w:b/>
          <w:bCs/>
          <w:i/>
          <w:iCs/>
          <w:color w:val="000000"/>
          <w:sz w:val="20"/>
          <w:szCs w:val="20"/>
        </w:rPr>
        <w:t xml:space="preserve">Temporary Rates Order </w:t>
      </w:r>
      <w:r>
        <w:rPr>
          <w:rFonts w:eastAsia="Times New Roman"/>
          <w:b/>
          <w:bCs/>
          <w:i/>
          <w:iCs/>
          <w:color w:val="000000"/>
          <w:sz w:val="20"/>
          <w:szCs w:val="20"/>
        </w:rPr>
        <w:t>-</w:t>
      </w:r>
      <w:r>
        <w:rPr>
          <w:rFonts w:eastAsia="Times New Roman"/>
          <w:color w:val="000000"/>
          <w:sz w:val="20"/>
          <w:szCs w:val="20"/>
        </w:rPr>
        <w:t xml:space="preserve"> Order issued by the PAPUC on March 15, 2018, that converted PAPUC approved rates of a defined group of large Pennsylvania public utilities into temporary rates for a period of not more than 12 months while the PAPUC reviewed effects</w:t>
      </w:r>
      <w:r>
        <w:rPr>
          <w:rFonts w:eastAsia="Times New Roman"/>
          <w:color w:val="000000"/>
          <w:sz w:val="20"/>
          <w:szCs w:val="20"/>
        </w:rPr>
        <w:t xml:space="preserve"> of the TCJ</w:t>
      </w:r>
      <w:r>
        <w:rPr>
          <w:rFonts w:eastAsia="Times New Roman"/>
          <w:color w:val="000000"/>
          <w:sz w:val="20"/>
          <w:szCs w:val="20"/>
        </w:rPr>
        <w:t>A</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Corporation Senior Credit Facilit</w:t>
      </w:r>
      <w:r>
        <w:rPr>
          <w:rFonts w:eastAsia="Times New Roman"/>
          <w:b/>
          <w:bCs/>
          <w:i/>
          <w:iCs/>
          <w:color w:val="000000"/>
          <w:sz w:val="20"/>
          <w:szCs w:val="20"/>
        </w:rPr>
        <w:t>y</w:t>
      </w:r>
      <w:r>
        <w:rPr>
          <w:rFonts w:eastAsia="Times New Roman"/>
          <w:color w:val="000000"/>
          <w:sz w:val="20"/>
          <w:szCs w:val="20"/>
        </w:rPr>
        <w:t xml:space="preserve"> - An unsecured senior facilities agreement entered into on August 1, 2019, by UGI comprising (1) a five-year $250 million term loan facility; (2) a three-year $300 million term loan facility; and (3) a </w:t>
      </w:r>
      <w:r>
        <w:rPr>
          <w:rFonts w:eastAsia="Times New Roman"/>
          <w:color w:val="000000"/>
          <w:sz w:val="20"/>
          <w:szCs w:val="20"/>
        </w:rPr>
        <w:t>five-year $300 million revolving credit facility (including a $10 million sublimit for letters of credit</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UGI International 3.25% Senior Notes </w:t>
      </w:r>
      <w:r>
        <w:rPr>
          <w:rFonts w:eastAsia="Times New Roman"/>
          <w:b/>
          <w:bCs/>
          <w:i/>
          <w:iCs/>
          <w:color w:val="000000"/>
          <w:sz w:val="20"/>
          <w:szCs w:val="20"/>
        </w:rPr>
        <w:t>-</w:t>
      </w:r>
      <w:r>
        <w:rPr>
          <w:rFonts w:eastAsia="Times New Roman"/>
          <w:color w:val="000000"/>
          <w:sz w:val="20"/>
          <w:szCs w:val="20"/>
        </w:rPr>
        <w:t xml:space="preserve"> An underwritten private placement of €350 million principal amount of senior unsecured notes due November 1, </w:t>
      </w:r>
      <w:r>
        <w:rPr>
          <w:rFonts w:eastAsia="Times New Roman"/>
          <w:color w:val="000000"/>
          <w:sz w:val="20"/>
          <w:szCs w:val="20"/>
        </w:rPr>
        <w:t>2025, issued by UGI International, LL</w:t>
      </w:r>
      <w:r>
        <w:rPr>
          <w:rFonts w:eastAsia="Times New Roman"/>
          <w:color w:val="000000"/>
          <w:sz w:val="20"/>
          <w:szCs w:val="20"/>
        </w:rPr>
        <w:t>C</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Utilities 3.12% Senior Notes</w:t>
      </w:r>
      <w:r>
        <w:rPr>
          <w:rFonts w:eastAsia="Times New Roman"/>
          <w:b/>
          <w:bCs/>
          <w:i/>
          <w:iCs/>
          <w:color w:val="000000"/>
          <w:sz w:val="20"/>
          <w:szCs w:val="20"/>
        </w:rPr>
        <w:t xml:space="preserve"> </w:t>
      </w:r>
      <w:r>
        <w:rPr>
          <w:rFonts w:eastAsia="Times New Roman"/>
          <w:color w:val="000000"/>
          <w:sz w:val="20"/>
          <w:szCs w:val="20"/>
        </w:rPr>
        <w:t>- A private placement of $150 million principal amount of senior unsecured notes due April 2050, issued by UGI Utilitie</w:t>
      </w:r>
      <w:r>
        <w:rPr>
          <w:rFonts w:eastAsia="Times New Roman"/>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USD</w:t>
      </w:r>
      <w:r>
        <w:rPr>
          <w:rFonts w:eastAsia="Times New Roman"/>
          <w:b/>
          <w:bCs/>
          <w:i/>
          <w:iCs/>
          <w:color w:val="000000"/>
          <w:sz w:val="20"/>
          <w:szCs w:val="20"/>
        </w:rPr>
        <w:t xml:space="preserve"> </w:t>
      </w:r>
      <w:r>
        <w:rPr>
          <w:rFonts w:eastAsia="Times New Roman"/>
          <w:color w:val="000000"/>
          <w:sz w:val="20"/>
          <w:szCs w:val="20"/>
        </w:rPr>
        <w:t>- U.S. dolla</w:t>
      </w:r>
      <w:r>
        <w:rPr>
          <w:rFonts w:eastAsia="Times New Roman"/>
          <w:color w:val="000000"/>
          <w:sz w:val="20"/>
          <w:szCs w:val="20"/>
        </w:rPr>
        <w:t>r</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U.S. Pension Plan </w:t>
      </w:r>
      <w:r>
        <w:rPr>
          <w:rFonts w:eastAsia="Times New Roman"/>
          <w:b/>
          <w:bCs/>
          <w:i/>
          <w:iCs/>
          <w:color w:val="000000"/>
          <w:sz w:val="20"/>
          <w:szCs w:val="20"/>
        </w:rPr>
        <w:t>-</w:t>
      </w:r>
      <w:r>
        <w:rPr>
          <w:rFonts w:eastAsia="Times New Roman"/>
          <w:color w:val="000000"/>
          <w:sz w:val="20"/>
          <w:szCs w:val="20"/>
        </w:rPr>
        <w:t xml:space="preserve"> Defined benefit pen</w:t>
      </w:r>
      <w:r>
        <w:rPr>
          <w:rFonts w:eastAsia="Times New Roman"/>
          <w:color w:val="000000"/>
          <w:sz w:val="20"/>
          <w:szCs w:val="20"/>
        </w:rPr>
        <w:t>sion plan for employees hired prior to January 1, 2009 of UGI, UGI Utilities and certain of UGI’s other domestic wholly owned subsidiarie</w:t>
      </w:r>
      <w:r>
        <w:rPr>
          <w:rFonts w:eastAsia="Times New Roman"/>
          <w:color w:val="000000"/>
          <w:sz w:val="20"/>
          <w:szCs w:val="20"/>
        </w:rPr>
        <w:t>s</w:t>
      </w:r>
    </w:p>
    <w:p w:rsidR="00000000" w:rsidRDefault="00A270CC">
      <w:pPr>
        <w:jc w:val="both"/>
        <w:rPr>
          <w:rFonts w:eastAsia="Times New Roman"/>
        </w:rPr>
      </w:pPr>
    </w:p>
    <w:p w:rsidR="00000000" w:rsidRDefault="00A270CC">
      <w:pPr>
        <w:jc w:val="both"/>
        <w:divId w:val="2118913279"/>
        <w:rPr>
          <w:rFonts w:eastAsia="Times New Roman"/>
        </w:rPr>
      </w:pPr>
      <w:r>
        <w:rPr>
          <w:rFonts w:eastAsia="Times New Roman"/>
          <w:b/>
          <w:bCs/>
          <w:i/>
          <w:iCs/>
          <w:color w:val="000000"/>
          <w:sz w:val="20"/>
          <w:szCs w:val="20"/>
        </w:rPr>
        <w:t>Utility Merge</w:t>
      </w:r>
      <w:r>
        <w:rPr>
          <w:rFonts w:eastAsia="Times New Roman"/>
          <w:b/>
          <w:bCs/>
          <w:i/>
          <w:iCs/>
          <w:color w:val="000000"/>
          <w:sz w:val="20"/>
          <w:szCs w:val="20"/>
        </w:rPr>
        <w:t>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merger, effective October 1, 2018, of CPG and PNG with and into UGI Utilitie</w:t>
      </w:r>
      <w:r>
        <w:rPr>
          <w:rFonts w:eastAsia="Times New Roman"/>
          <w:color w:val="000000"/>
          <w:sz w:val="20"/>
          <w:szCs w:val="20"/>
        </w:rPr>
        <w:t>s</w:t>
      </w:r>
    </w:p>
    <w:p w:rsidR="00000000" w:rsidRDefault="00A270CC">
      <w:pPr>
        <w:jc w:val="both"/>
        <w:divId w:val="803692642"/>
        <w:rPr>
          <w:rFonts w:eastAsia="Times New Roman"/>
        </w:rPr>
      </w:pPr>
      <w:r>
        <w:rPr>
          <w:rFonts w:eastAsia="Times New Roman"/>
          <w:b/>
          <w:bCs/>
          <w:i/>
          <w:iCs/>
          <w:color w:val="000000"/>
          <w:sz w:val="20"/>
          <w:szCs w:val="20"/>
        </w:rPr>
        <w:t xml:space="preserve">VEBA </w:t>
      </w:r>
      <w:r>
        <w:rPr>
          <w:rFonts w:eastAsia="Times New Roman"/>
          <w:b/>
          <w:bCs/>
          <w:i/>
          <w:iCs/>
          <w:color w:val="000000"/>
          <w:sz w:val="20"/>
          <w:szCs w:val="20"/>
        </w:rPr>
        <w:t>-</w:t>
      </w:r>
      <w:r>
        <w:rPr>
          <w:rFonts w:eastAsia="Times New Roman"/>
          <w:color w:val="000000"/>
          <w:sz w:val="20"/>
          <w:szCs w:val="20"/>
        </w:rPr>
        <w:t xml:space="preserve"> Voluntary</w:t>
      </w:r>
      <w:r>
        <w:rPr>
          <w:rFonts w:eastAsia="Times New Roman"/>
          <w:color w:val="000000"/>
          <w:sz w:val="20"/>
          <w:szCs w:val="20"/>
        </w:rPr>
        <w:t xml:space="preserve"> Employees’ Beneficiary Associatio</w:t>
      </w:r>
      <w:r>
        <w:rPr>
          <w:rFonts w:eastAsia="Times New Roman"/>
          <w:color w:val="000000"/>
          <w:sz w:val="20"/>
          <w:szCs w:val="20"/>
        </w:rPr>
        <w:t>n</w:t>
      </w:r>
    </w:p>
    <w:p w:rsidR="00000000" w:rsidRDefault="00A270CC">
      <w:pPr>
        <w:jc w:val="both"/>
        <w:divId w:val="1072773004"/>
        <w:rPr>
          <w:rFonts w:eastAsia="Times New Roman"/>
        </w:rPr>
      </w:pPr>
      <w:r>
        <w:rPr>
          <w:rFonts w:eastAsia="Times New Roman"/>
          <w:b/>
          <w:bCs/>
          <w:i/>
          <w:iCs/>
          <w:color w:val="000000"/>
          <w:sz w:val="20"/>
          <w:szCs w:val="20"/>
        </w:rPr>
        <w:t>Western Missouri District Court -</w:t>
      </w:r>
      <w:r>
        <w:rPr>
          <w:rFonts w:eastAsia="Times New Roman"/>
          <w:b/>
          <w:bCs/>
          <w:i/>
          <w:iCs/>
          <w:color w:val="000000"/>
          <w:sz w:val="20"/>
          <w:szCs w:val="20"/>
        </w:rPr>
        <w:t xml:space="preserve"> </w:t>
      </w:r>
      <w:r>
        <w:rPr>
          <w:rFonts w:eastAsia="Times New Roman"/>
          <w:color w:val="000000"/>
          <w:sz w:val="20"/>
          <w:szCs w:val="20"/>
        </w:rPr>
        <w:t>The United States District Court for the Western District of Missour</w:t>
      </w:r>
      <w:r>
        <w:rPr>
          <w:rFonts w:eastAsia="Times New Roman"/>
          <w:color w:val="000000"/>
          <w:sz w:val="20"/>
          <w:szCs w:val="20"/>
        </w:rPr>
        <w:t>i</w:t>
      </w:r>
    </w:p>
    <w:p w:rsidR="00000000" w:rsidRDefault="00A270CC">
      <w:pPr>
        <w:jc w:val="both"/>
        <w:divId w:val="239337942"/>
        <w:rPr>
          <w:rFonts w:eastAsia="Times New Roman"/>
        </w:rPr>
      </w:pPr>
      <w:r>
        <w:rPr>
          <w:rFonts w:eastAsia="Times New Roman"/>
          <w:b/>
          <w:bCs/>
          <w:i/>
          <w:iCs/>
          <w:color w:val="000000"/>
          <w:sz w:val="20"/>
          <w:szCs w:val="20"/>
        </w:rPr>
        <w:t>WH</w:t>
      </w:r>
      <w:r>
        <w:rPr>
          <w:rFonts w:eastAsia="Times New Roman"/>
          <w:b/>
          <w:bCs/>
          <w:i/>
          <w:iCs/>
          <w:color w:val="000000"/>
          <w:sz w:val="20"/>
          <w:szCs w:val="20"/>
        </w:rPr>
        <w:t>O</w:t>
      </w:r>
      <w:r>
        <w:rPr>
          <w:rFonts w:eastAsia="Times New Roman"/>
          <w:color w:val="000000"/>
          <w:sz w:val="20"/>
          <w:szCs w:val="20"/>
        </w:rPr>
        <w:t xml:space="preserve"> - World Health Organizatio</w:t>
      </w:r>
      <w:r>
        <w:rPr>
          <w:rFonts w:eastAsia="Times New Roman"/>
          <w:color w:val="000000"/>
          <w:sz w:val="20"/>
          <w:szCs w:val="20"/>
        </w:rPr>
        <w:t>n</w:t>
      </w:r>
    </w:p>
    <w:p w:rsidR="00000000" w:rsidRDefault="00A270CC">
      <w:pPr>
        <w:jc w:val="center"/>
        <w:divId w:val="2098282157"/>
        <w:rPr>
          <w:rFonts w:eastAsia="Times New Roman"/>
        </w:rPr>
      </w:pPr>
      <w:r>
        <w:rPr>
          <w:rFonts w:eastAsia="Times New Roman"/>
          <w:color w:val="000000"/>
          <w:sz w:val="20"/>
          <w:szCs w:val="20"/>
        </w:rPr>
        <w:t>5</w:t>
      </w:r>
    </w:p>
    <w:p w:rsidR="00000000" w:rsidRDefault="00A270CC">
      <w:pPr>
        <w:rPr>
          <w:rFonts w:eastAsia="Times New Roman"/>
        </w:rPr>
      </w:pPr>
      <w:r>
        <w:rPr>
          <w:rFonts w:eastAsia="Times New Roman"/>
        </w:rPr>
        <w:pict>
          <v:rect id="_x0000_i1031" style="width:0;height:1.5pt" o:hralign="center" o:hrstd="t" o:hr="t" fillcolor="#a0a0a0" stroked="f"/>
        </w:pict>
      </w:r>
    </w:p>
    <w:p w:rsidR="00000000" w:rsidRDefault="00A270CC">
      <w:pPr>
        <w:divId w:val="701054966"/>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7852084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79462028"/>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A270CC">
      <w:pPr>
        <w:jc w:val="center"/>
        <w:divId w:val="5181365"/>
        <w:rPr>
          <w:rFonts w:eastAsia="Times New Roman"/>
        </w:rPr>
      </w:pPr>
      <w:r>
        <w:rPr>
          <w:rFonts w:eastAsia="Times New Roman"/>
          <w:b/>
          <w:bCs/>
          <w:color w:val="000000"/>
          <w:sz w:val="20"/>
          <w:szCs w:val="20"/>
        </w:rPr>
        <w:t>ITEM 1. FINANCIAL STATEMENT</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S</w:t>
      </w:r>
    </w:p>
    <w:p w:rsidR="00000000" w:rsidRDefault="00A270CC">
      <w:pPr>
        <w:jc w:val="center"/>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rPr>
          <w:rFonts w:eastAsia="Times New Roman"/>
        </w:rPr>
      </w:pPr>
      <w:r>
        <w:rPr>
          <w:rFonts w:eastAsia="Times New Roman"/>
          <w:color w:val="000000"/>
          <w:sz w:val="20"/>
          <w:szCs w:val="20"/>
        </w:rPr>
        <w:t>(Mi</w:t>
      </w:r>
      <w:r>
        <w:rPr>
          <w:rFonts w:eastAsia="Times New Roman"/>
          <w:color w:val="000000"/>
          <w:sz w:val="20"/>
          <w:szCs w:val="20"/>
        </w:rPr>
        <w:t>llions of dollars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4"/>
        <w:gridCol w:w="5004"/>
        <w:gridCol w:w="55"/>
        <w:gridCol w:w="36"/>
        <w:gridCol w:w="36"/>
        <w:gridCol w:w="36"/>
        <w:gridCol w:w="125"/>
        <w:gridCol w:w="749"/>
        <w:gridCol w:w="80"/>
        <w:gridCol w:w="36"/>
        <w:gridCol w:w="36"/>
        <w:gridCol w:w="36"/>
        <w:gridCol w:w="125"/>
        <w:gridCol w:w="740"/>
        <w:gridCol w:w="80"/>
        <w:gridCol w:w="36"/>
        <w:gridCol w:w="36"/>
        <w:gridCol w:w="36"/>
        <w:gridCol w:w="125"/>
        <w:gridCol w:w="740"/>
        <w:gridCol w:w="80"/>
      </w:tblGrid>
      <w:tr w:rsidR="00000000">
        <w:trPr>
          <w:divId w:val="1291091873"/>
          <w:jc w:val="center"/>
        </w:trPr>
        <w:tc>
          <w:tcPr>
            <w:tcW w:w="50" w:type="pct"/>
            <w:vAlign w:val="center"/>
            <w:hideMark/>
          </w:tcPr>
          <w:p w:rsidR="00000000" w:rsidRDefault="00A270CC">
            <w:pPr>
              <w:jc w:val="center"/>
              <w:rPr>
                <w:rFonts w:eastAsia="Times New Roman"/>
              </w:rPr>
            </w:pPr>
          </w:p>
        </w:tc>
        <w:tc>
          <w:tcPr>
            <w:tcW w:w="30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7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291091873"/>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202</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September 30,</w:t>
            </w:r>
            <w:r>
              <w:rPr>
                <w:rFonts w:eastAsia="Times New Roman"/>
                <w:color w:val="000000"/>
                <w:sz w:val="18"/>
                <w:szCs w:val="18"/>
              </w:rPr>
              <w:b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201</w:t>
            </w:r>
            <w:r>
              <w:rPr>
                <w:rFonts w:eastAsia="Times New Roman"/>
                <w:color w:val="000000"/>
                <w:sz w:val="18"/>
                <w:szCs w:val="18"/>
              </w:rPr>
              <w:t>9</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Current assets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487.3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447.1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533.7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Restricted cas</w:t>
            </w:r>
            <w:r>
              <w:rPr>
                <w:rFonts w:eastAsia="Times New Roman"/>
                <w:color w:val="000000"/>
                <w:sz w:val="18"/>
                <w:szCs w:val="18"/>
              </w:rPr>
              <w:t>h</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divId w:val="809982154"/>
              <w:rPr>
                <w:rFonts w:eastAsia="Times New Roman"/>
              </w:rPr>
            </w:pPr>
            <w:r>
              <w:rPr>
                <w:rFonts w:eastAsia="Times New Roman"/>
                <w:color w:val="000000"/>
                <w:sz w:val="18"/>
                <w:szCs w:val="18"/>
              </w:rPr>
              <w:t>Accounts receivable (less allowances for doubtful accounts of $41.7, $31.6 and $42.8, respectively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674.6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640.7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779.8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Accrued utility revenue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200.8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229.9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215.1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Utility regulatory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Prepaid expenses and other current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100.1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1,599.9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1,566.2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1,717.6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20" w:type="dxa"/>
              <w:bottom w:w="30" w:type="dxa"/>
              <w:right w:w="20" w:type="dxa"/>
            </w:tcMar>
            <w:hideMark/>
          </w:tcPr>
          <w:p w:rsidR="00000000" w:rsidRDefault="00A270CC">
            <w:pPr>
              <w:divId w:val="1549144044"/>
              <w:rPr>
                <w:rFonts w:eastAsia="Times New Roman"/>
              </w:rPr>
            </w:pPr>
            <w:r>
              <w:rPr>
                <w:rFonts w:eastAsia="Times New Roman"/>
                <w:color w:val="000000"/>
                <w:sz w:val="18"/>
                <w:szCs w:val="18"/>
              </w:rPr>
              <w:t>Property, plant and equipment, at cost (less accumulated depreciation of $3,599.7, $3,385.2 and $3,353.0, respectively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6,805.7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6,687.8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6,009.8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Goodwil</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3,482.7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3,456.4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3,159.1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Intangible assets,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669.5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708.6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480.0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Utility regulatory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394.6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37.5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853.5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497.9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325.4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13,843.4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13,346.6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12,018.9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LIABILITIES AND EQUIT</w:t>
            </w:r>
            <w:r>
              <w:rPr>
                <w:rFonts w:eastAsia="Times New Roman"/>
                <w:b/>
                <w:bCs/>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Current 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Current maturities of long-term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17.4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Short-term borrowing</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423.1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796.3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438.8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444.4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108.7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84.9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current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739.7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682.8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682.4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1,679.0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2,026.9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1,594.7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5,961.4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5,779.9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4,291.7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Deferred income taxe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612.6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541.4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956.0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noncurrent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1,388.9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1,122.8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980.7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9,708.0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9,519.4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7,845.2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Commitments and contingencies (Note 11</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Equity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UGI Corporation stockholders’ equity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29109187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divId w:val="1261715313"/>
              <w:rPr>
                <w:rFonts w:eastAsia="Times New Roman"/>
              </w:rPr>
            </w:pPr>
            <w:r>
              <w:rPr>
                <w:rFonts w:eastAsia="Times New Roman"/>
                <w:color w:val="000000"/>
                <w:sz w:val="18"/>
                <w:szCs w:val="18"/>
              </w:rPr>
              <w:t>UGI Common Stock, without par value (authorized — 450,000,000 shares; issued — 209,504,994, 209,304,129 and 174,678,299 shares, respectively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1,412.8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1,396.9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1,223.9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Retained earning</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2,969.7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2,653.1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2,761.2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Accumulated other comprehensive los</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(204.6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(216.6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(145.4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Treasury stock, at cos</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(51.2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(15.9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(18.8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UGI Corporation stockholders’ equit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4,126.7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3,817.5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3,820.9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36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Noncontrolling interest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352.8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CCEE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equit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4,135.4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3,827.2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4,173.7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r w:rsidR="00000000">
        <w:trPr>
          <w:divId w:val="1291091873"/>
          <w:jc w:val="center"/>
        </w:trPr>
        <w:tc>
          <w:tcPr>
            <w:tcW w:w="0" w:type="auto"/>
            <w:gridSpan w:val="3"/>
            <w:shd w:val="clear" w:color="auto" w:fill="FFFFFF"/>
            <w:tcMar>
              <w:top w:w="30" w:type="dxa"/>
              <w:left w:w="7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Total liabilities and equit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13,843.4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13,346.6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12,018.9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r>
    </w:tbl>
    <w:p w:rsidR="00000000" w:rsidRDefault="00A270CC">
      <w:pPr>
        <w:divId w:val="1975716898"/>
        <w:rPr>
          <w:rFonts w:eastAsia="Times New Roman"/>
        </w:rPr>
      </w:pPr>
      <w:r>
        <w:rPr>
          <w:rFonts w:eastAsia="Times New Roman"/>
          <w:color w:val="000000"/>
          <w:sz w:val="20"/>
          <w:szCs w:val="20"/>
        </w:rPr>
        <w:t>See accompanying notes to condensed consolidated financial statements</w:t>
      </w:r>
      <w:r>
        <w:rPr>
          <w:rFonts w:eastAsia="Times New Roman"/>
          <w:color w:val="000000"/>
          <w:sz w:val="20"/>
          <w:szCs w:val="20"/>
        </w:rPr>
        <w:t>.</w:t>
      </w:r>
    </w:p>
    <w:p w:rsidR="00000000" w:rsidRDefault="00A270CC">
      <w:pPr>
        <w:jc w:val="center"/>
        <w:divId w:val="1978295804"/>
        <w:rPr>
          <w:rFonts w:eastAsia="Times New Roman"/>
        </w:rPr>
      </w:pPr>
      <w:r>
        <w:rPr>
          <w:rFonts w:eastAsia="Times New Roman"/>
          <w:color w:val="000000"/>
          <w:sz w:val="20"/>
          <w:szCs w:val="20"/>
        </w:rPr>
        <w:t>6</w:t>
      </w:r>
    </w:p>
    <w:p w:rsidR="00000000" w:rsidRDefault="00A270CC">
      <w:pPr>
        <w:rPr>
          <w:rFonts w:eastAsia="Times New Roman"/>
        </w:rPr>
      </w:pPr>
      <w:r>
        <w:rPr>
          <w:rFonts w:eastAsia="Times New Roman"/>
        </w:rPr>
        <w:pict>
          <v:rect id="_x0000_i1032" style="width:0;height:1.5pt" o:hralign="center" o:hrstd="t" o:hr="t" fillcolor="#a0a0a0" stroked="f"/>
        </w:pict>
      </w:r>
    </w:p>
    <w:p w:rsidR="00000000" w:rsidRDefault="00A270CC">
      <w:pPr>
        <w:divId w:val="213968851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7833743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CONDENSED CONSOLIDATED STATEMENTS OF INCOM</w:t>
      </w:r>
      <w:r>
        <w:rPr>
          <w:rFonts w:eastAsia="Times New Roman"/>
          <w:b/>
          <w:bCs/>
          <w:color w:val="000000"/>
          <w:sz w:val="20"/>
          <w:szCs w:val="20"/>
        </w:rPr>
        <w:t>E</w:t>
      </w:r>
    </w:p>
    <w:p w:rsidR="00000000" w:rsidRDefault="00A270CC">
      <w:pPr>
        <w:jc w:val="center"/>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rPr>
          <w:rFonts w:eastAsia="Times New Roman"/>
        </w:rPr>
      </w:pPr>
      <w:r>
        <w:rPr>
          <w:rFonts w:eastAsia="Times New Roman"/>
          <w:color w:val="000000"/>
          <w:sz w:val="20"/>
          <w:szCs w:val="20"/>
        </w:rPr>
        <w:t>(Millions of dollars, except per share amounts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3628"/>
        <w:gridCol w:w="39"/>
        <w:gridCol w:w="36"/>
        <w:gridCol w:w="36"/>
        <w:gridCol w:w="36"/>
        <w:gridCol w:w="135"/>
        <w:gridCol w:w="677"/>
        <w:gridCol w:w="85"/>
        <w:gridCol w:w="36"/>
        <w:gridCol w:w="36"/>
        <w:gridCol w:w="36"/>
        <w:gridCol w:w="135"/>
        <w:gridCol w:w="683"/>
        <w:gridCol w:w="85"/>
        <w:gridCol w:w="36"/>
        <w:gridCol w:w="36"/>
        <w:gridCol w:w="36"/>
        <w:gridCol w:w="135"/>
        <w:gridCol w:w="729"/>
        <w:gridCol w:w="85"/>
        <w:gridCol w:w="36"/>
        <w:gridCol w:w="36"/>
        <w:gridCol w:w="36"/>
        <w:gridCol w:w="135"/>
        <w:gridCol w:w="729"/>
        <w:gridCol w:w="85"/>
        <w:gridCol w:w="36"/>
        <w:gridCol w:w="36"/>
        <w:gridCol w:w="36"/>
        <w:gridCol w:w="36"/>
        <w:gridCol w:w="36"/>
        <w:gridCol w:w="36"/>
        <w:gridCol w:w="36"/>
        <w:gridCol w:w="36"/>
        <w:gridCol w:w="36"/>
        <w:gridCol w:w="36"/>
        <w:gridCol w:w="36"/>
        <w:gridCol w:w="36"/>
      </w:tblGrid>
      <w:tr w:rsidR="00000000">
        <w:trPr>
          <w:gridAfter w:val="12"/>
          <w:divId w:val="1606378217"/>
        </w:trPr>
        <w:tc>
          <w:tcPr>
            <w:tcW w:w="50" w:type="pct"/>
            <w:vAlign w:val="center"/>
            <w:hideMark/>
          </w:tcPr>
          <w:p w:rsidR="00000000" w:rsidRDefault="00A270CC">
            <w:pPr>
              <w:jc w:val="center"/>
              <w:rPr>
                <w:rFonts w:eastAsia="Times New Roman"/>
              </w:rPr>
            </w:pPr>
          </w:p>
        </w:tc>
        <w:tc>
          <w:tcPr>
            <w:tcW w:w="234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606378217"/>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60637821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1,199.3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1,363.7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5,434.8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6,170.0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Costs and 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Cost of sales (excluding depreciation and amortization shown below</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781.4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2,672.8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1,516.8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Impairment of assets held-for-sal</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Other operating income,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1,025.4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1,354.1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4,521.8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5,453.9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913.0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Income from equity investee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Loss on extinguishments of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Other non-operating (expense) income,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Income (loss) before income taxe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(48.7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684.0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income (loss) including noncontrolling interest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Add net loss (deduct net income) attributable to noncontrolling interests, principally in AmeriGas Partners prior to the AmeriGas Merge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income (loss) attributable to UGI Corporatio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Earnings (loss) per common share attributable to UGI Corporation stockholders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2.49</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Weighted-average common shares outstanding (thousands)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208,598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174,759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208,989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174,541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208,975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174,759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210,009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177,389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0637821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divId w:val="1020471887"/>
        <w:rPr>
          <w:rFonts w:eastAsia="Times New Roman"/>
        </w:rPr>
      </w:pPr>
      <w:r>
        <w:rPr>
          <w:rFonts w:eastAsia="Times New Roman"/>
          <w:color w:val="000000"/>
          <w:sz w:val="20"/>
          <w:szCs w:val="20"/>
        </w:rPr>
        <w:t>See accompanying notes to condensed consolidated financial statements</w:t>
      </w:r>
      <w:r>
        <w:rPr>
          <w:rFonts w:eastAsia="Times New Roman"/>
          <w:color w:val="000000"/>
          <w:sz w:val="20"/>
          <w:szCs w:val="20"/>
        </w:rPr>
        <w:t>.</w:t>
      </w:r>
    </w:p>
    <w:p w:rsidR="00000000" w:rsidRDefault="00A270CC">
      <w:pPr>
        <w:jc w:val="center"/>
        <w:rPr>
          <w:rFonts w:eastAsia="Times New Roman"/>
        </w:rPr>
      </w:pPr>
    </w:p>
    <w:p w:rsidR="00000000" w:rsidRDefault="00A270CC">
      <w:pPr>
        <w:jc w:val="center"/>
        <w:divId w:val="526412598"/>
        <w:rPr>
          <w:rFonts w:eastAsia="Times New Roman"/>
        </w:rPr>
      </w:pPr>
      <w:r>
        <w:rPr>
          <w:rFonts w:eastAsia="Times New Roman"/>
          <w:color w:val="000000"/>
          <w:sz w:val="20"/>
          <w:szCs w:val="20"/>
        </w:rPr>
        <w:t>7</w:t>
      </w:r>
    </w:p>
    <w:p w:rsidR="00000000" w:rsidRDefault="00A270CC">
      <w:pPr>
        <w:rPr>
          <w:rFonts w:eastAsia="Times New Roman"/>
        </w:rPr>
      </w:pPr>
      <w:r>
        <w:rPr>
          <w:rFonts w:eastAsia="Times New Roman"/>
        </w:rPr>
        <w:pict>
          <v:rect id="_x0000_i1033" style="width:0;height:1.5pt" o:hralign="center" o:hrstd="t" o:hr="t" fillcolor="#a0a0a0" stroked="f"/>
        </w:pict>
      </w:r>
    </w:p>
    <w:p w:rsidR="00000000" w:rsidRDefault="00A270CC">
      <w:pPr>
        <w:divId w:val="59494089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089305839"/>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CONDENSED CONSOLIDATED STATEMENTS OF COMPREHENSIVE INCOM</w:t>
      </w:r>
      <w:r>
        <w:rPr>
          <w:rFonts w:eastAsia="Times New Roman"/>
          <w:b/>
          <w:bCs/>
          <w:color w:val="000000"/>
          <w:sz w:val="20"/>
          <w:szCs w:val="20"/>
        </w:rPr>
        <w:t>E</w:t>
      </w:r>
    </w:p>
    <w:p w:rsidR="00000000" w:rsidRDefault="00A270CC">
      <w:pPr>
        <w:jc w:val="center"/>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rPr>
          <w:rFonts w:eastAsia="Times New Roman"/>
        </w:rPr>
      </w:pPr>
      <w:r>
        <w:rPr>
          <w:rFonts w:eastAsia="Times New Roman"/>
          <w:color w:val="000000"/>
          <w:sz w:val="20"/>
          <w:szCs w:val="20"/>
        </w:rPr>
        <w:t>(Millions of dollars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0"/>
        <w:gridCol w:w="4174"/>
        <w:gridCol w:w="39"/>
        <w:gridCol w:w="135"/>
        <w:gridCol w:w="616"/>
        <w:gridCol w:w="85"/>
        <w:gridCol w:w="36"/>
        <w:gridCol w:w="36"/>
        <w:gridCol w:w="36"/>
        <w:gridCol w:w="135"/>
        <w:gridCol w:w="592"/>
        <w:gridCol w:w="85"/>
        <w:gridCol w:w="36"/>
        <w:gridCol w:w="36"/>
        <w:gridCol w:w="36"/>
        <w:gridCol w:w="135"/>
        <w:gridCol w:w="592"/>
        <w:gridCol w:w="85"/>
        <w:gridCol w:w="36"/>
        <w:gridCol w:w="36"/>
        <w:gridCol w:w="36"/>
        <w:gridCol w:w="135"/>
        <w:gridCol w:w="592"/>
        <w:gridCol w:w="85"/>
        <w:gridCol w:w="36"/>
        <w:gridCol w:w="36"/>
        <w:gridCol w:w="36"/>
        <w:gridCol w:w="36"/>
        <w:gridCol w:w="36"/>
        <w:gridCol w:w="36"/>
        <w:gridCol w:w="36"/>
        <w:gridCol w:w="36"/>
        <w:gridCol w:w="36"/>
        <w:gridCol w:w="36"/>
        <w:gridCol w:w="36"/>
        <w:gridCol w:w="36"/>
      </w:tblGrid>
      <w:tr w:rsidR="00000000">
        <w:trPr>
          <w:gridAfter w:val="12"/>
          <w:divId w:val="1402632026"/>
        </w:trPr>
        <w:tc>
          <w:tcPr>
            <w:tcW w:w="50" w:type="pct"/>
            <w:vAlign w:val="center"/>
            <w:hideMark/>
          </w:tcPr>
          <w:p w:rsidR="00000000" w:rsidRDefault="00A270CC">
            <w:pPr>
              <w:jc w:val="center"/>
              <w:rPr>
                <w:rFonts w:eastAsia="Times New Roman"/>
              </w:rPr>
            </w:pPr>
          </w:p>
        </w:tc>
        <w:tc>
          <w:tcPr>
            <w:tcW w:w="268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402632026"/>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402632026"/>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income (loss) including noncontrolling interest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CCEEFF"/>
            <w:tcMar>
              <w:top w:w="30" w:type="dxa"/>
              <w:left w:w="20" w:type="dxa"/>
              <w:bottom w:w="30" w:type="dxa"/>
              <w:right w:w="20" w:type="dxa"/>
            </w:tcMar>
            <w:hideMark/>
          </w:tcPr>
          <w:p w:rsidR="00000000" w:rsidRDefault="00A270CC">
            <w:pPr>
              <w:divId w:val="1553469029"/>
              <w:rPr>
                <w:rFonts w:eastAsia="Times New Roman"/>
              </w:rPr>
            </w:pPr>
            <w:r>
              <w:rPr>
                <w:rFonts w:eastAsia="Times New Roman"/>
                <w:color w:val="000000"/>
                <w:sz w:val="20"/>
                <w:szCs w:val="20"/>
              </w:rPr>
              <w:t>Net losses on derivative instruments (net of tax of $3.1, $0.6, $15.0, and $2.0, respectively</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FFFFFF"/>
            <w:tcMar>
              <w:top w:w="30" w:type="dxa"/>
              <w:left w:w="20" w:type="dxa"/>
              <w:bottom w:w="30" w:type="dxa"/>
              <w:right w:w="20" w:type="dxa"/>
            </w:tcMar>
            <w:hideMark/>
          </w:tcPr>
          <w:p w:rsidR="00000000" w:rsidRDefault="00A270CC">
            <w:pPr>
              <w:divId w:val="1202283352"/>
              <w:rPr>
                <w:rFonts w:eastAsia="Times New Roman"/>
              </w:rPr>
            </w:pPr>
            <w:r>
              <w:rPr>
                <w:rFonts w:eastAsia="Times New Roman"/>
                <w:color w:val="000000"/>
                <w:sz w:val="20"/>
                <w:szCs w:val="20"/>
              </w:rPr>
              <w:t>Reclassifications of net losses on derivative instruments (net of tax of $(1.9), $(0.2), $(2.4), and $(0.5), respectively</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CCEEFF"/>
            <w:tcMar>
              <w:top w:w="30" w:type="dxa"/>
              <w:left w:w="20" w:type="dxa"/>
              <w:bottom w:w="30" w:type="dxa"/>
              <w:right w:w="20" w:type="dxa"/>
            </w:tcMar>
            <w:hideMark/>
          </w:tcPr>
          <w:p w:rsidR="00000000" w:rsidRDefault="00A270CC">
            <w:pPr>
              <w:divId w:val="1256474384"/>
              <w:rPr>
                <w:rFonts w:eastAsia="Times New Roman"/>
              </w:rPr>
            </w:pPr>
            <w:r>
              <w:rPr>
                <w:rFonts w:eastAsia="Times New Roman"/>
                <w:color w:val="000000"/>
                <w:sz w:val="20"/>
                <w:szCs w:val="20"/>
              </w:rPr>
              <w:t>Foreign currency adjustments (net of tax of $4.0, $2.7, $4.1, and $(2.2), respectively</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FFFFFF"/>
            <w:tcMar>
              <w:top w:w="30" w:type="dxa"/>
              <w:left w:w="20" w:type="dxa"/>
              <w:bottom w:w="30" w:type="dxa"/>
              <w:right w:w="20" w:type="dxa"/>
            </w:tcMar>
            <w:hideMark/>
          </w:tcPr>
          <w:p w:rsidR="00000000" w:rsidRDefault="00A270CC">
            <w:pPr>
              <w:divId w:val="1417242264"/>
              <w:rPr>
                <w:rFonts w:eastAsia="Times New Roman"/>
              </w:rPr>
            </w:pPr>
            <w:r>
              <w:rPr>
                <w:rFonts w:eastAsia="Times New Roman"/>
                <w:color w:val="000000"/>
                <w:sz w:val="20"/>
                <w:szCs w:val="20"/>
              </w:rPr>
              <w:t>Benefit plans (net of tax of $(0.1), $(0.1), $(0.6), and $(0.3), respectively</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Comprehensive income (loss) including noncontrolling interest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410.3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Add comprehensive loss (deduct comprehensive income) attributable to noncontrolling interests, principally in AmeriGas Partners prior to the AmeriGas Merge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40263202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Comprehensive income attributable to UGI Corporatio</w:t>
            </w:r>
            <w:r>
              <w:rPr>
                <w:rFonts w:eastAsia="Times New Roman"/>
                <w:color w:val="000000"/>
                <w:sz w:val="20"/>
                <w:szCs w:val="20"/>
              </w:rPr>
              <w:t>n</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divId w:val="1539509116"/>
        <w:rPr>
          <w:rFonts w:eastAsia="Times New Roman"/>
        </w:rPr>
      </w:pPr>
      <w:r>
        <w:rPr>
          <w:rFonts w:eastAsia="Times New Roman"/>
          <w:color w:val="000000"/>
          <w:sz w:val="20"/>
          <w:szCs w:val="20"/>
        </w:rPr>
        <w:t>See accompanying notes to condensed consolidated financial statements</w:t>
      </w:r>
      <w:r>
        <w:rPr>
          <w:rFonts w:eastAsia="Times New Roman"/>
          <w:color w:val="000000"/>
          <w:sz w:val="20"/>
          <w:szCs w:val="20"/>
        </w:rPr>
        <w:t>.</w:t>
      </w:r>
    </w:p>
    <w:p w:rsidR="00000000" w:rsidRDefault="00A270CC">
      <w:pPr>
        <w:jc w:val="center"/>
        <w:rPr>
          <w:rFonts w:eastAsia="Times New Roman"/>
        </w:rPr>
      </w:pPr>
    </w:p>
    <w:p w:rsidR="00000000" w:rsidRDefault="00A270CC">
      <w:pPr>
        <w:jc w:val="center"/>
        <w:divId w:val="429548076"/>
        <w:rPr>
          <w:rFonts w:eastAsia="Times New Roman"/>
        </w:rPr>
      </w:pPr>
      <w:r>
        <w:rPr>
          <w:rFonts w:eastAsia="Times New Roman"/>
          <w:color w:val="000000"/>
          <w:sz w:val="20"/>
          <w:szCs w:val="20"/>
        </w:rPr>
        <w:t>8</w:t>
      </w:r>
    </w:p>
    <w:p w:rsidR="00000000" w:rsidRDefault="00A270CC">
      <w:pPr>
        <w:rPr>
          <w:rFonts w:eastAsia="Times New Roman"/>
        </w:rPr>
      </w:pPr>
      <w:r>
        <w:rPr>
          <w:rFonts w:eastAsia="Times New Roman"/>
        </w:rPr>
        <w:pict>
          <v:rect id="_x0000_i1034" style="width:0;height:1.5pt" o:hralign="center" o:hrstd="t" o:hr="t" fillcolor="#a0a0a0" stroked="f"/>
        </w:pict>
      </w:r>
    </w:p>
    <w:p w:rsidR="00000000" w:rsidRDefault="00A270CC">
      <w:pPr>
        <w:divId w:val="860511603"/>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98732039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rsidR="00000000" w:rsidRDefault="00A270CC">
      <w:pPr>
        <w:jc w:val="center"/>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rPr>
          <w:rFonts w:eastAsia="Times New Roman"/>
        </w:rPr>
      </w:pPr>
      <w:r>
        <w:rPr>
          <w:rFonts w:eastAsia="Times New Roman"/>
          <w:color w:val="000000"/>
          <w:sz w:val="20"/>
          <w:szCs w:val="20"/>
        </w:rPr>
        <w:t>(Millions of dollars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6159"/>
        <w:gridCol w:w="48"/>
        <w:gridCol w:w="36"/>
        <w:gridCol w:w="36"/>
        <w:gridCol w:w="36"/>
        <w:gridCol w:w="135"/>
        <w:gridCol w:w="546"/>
        <w:gridCol w:w="85"/>
        <w:gridCol w:w="36"/>
        <w:gridCol w:w="36"/>
        <w:gridCol w:w="36"/>
        <w:gridCol w:w="135"/>
        <w:gridCol w:w="596"/>
        <w:gridCol w:w="85"/>
        <w:gridCol w:w="36"/>
        <w:gridCol w:w="36"/>
        <w:gridCol w:w="36"/>
        <w:gridCol w:w="36"/>
        <w:gridCol w:w="36"/>
        <w:gridCol w:w="36"/>
      </w:tblGrid>
      <w:tr w:rsidR="00000000">
        <w:trPr>
          <w:gridAfter w:val="6"/>
          <w:divId w:val="1691104097"/>
        </w:trPr>
        <w:tc>
          <w:tcPr>
            <w:tcW w:w="50" w:type="pct"/>
            <w:vAlign w:val="center"/>
            <w:hideMark/>
          </w:tcPr>
          <w:p w:rsidR="00000000" w:rsidRDefault="00A270CC">
            <w:pPr>
              <w:jc w:val="center"/>
              <w:rPr>
                <w:rFonts w:eastAsia="Times New Roman"/>
              </w:rPr>
            </w:pPr>
          </w:p>
        </w:tc>
        <w:tc>
          <w:tcPr>
            <w:tcW w:w="38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0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691104097"/>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69110409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CASH FLOWS FROM OPERATING ACTIVITIE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Net income including noncontrolling interest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Adjustments to reconcile net income including noncontrolling interests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Deferred income tax benefit,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Provision for uncollectible account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Changes in unrealized gains and losses on derivative instrument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Impairment of assets held-for-sal</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Loss on extinguishments of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Income from equity investee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Net change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Accounts receivable and accrued utility 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Utility deferred fuel and power costs, net of changes in unsettled derivative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Derivative instruments collateral deposits received (paid</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1215" w:type="dxa"/>
              <w:bottom w:w="30" w:type="dxa"/>
              <w:right w:w="20" w:type="dxa"/>
            </w:tcMar>
            <w:hideMark/>
          </w:tcPr>
          <w:p w:rsidR="00000000" w:rsidRDefault="00A270CC">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962.8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924.6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CASH FLOWS FROM INVESTING ACTIVITIE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Expenditures for property, plant and equipmen</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Acquisitions of businesses and assets, net of cash and restricted cash acquire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Net cash used by investing activitie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(450.0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(563.5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CASH FLOWS FROM FINANCING ACTIVITIE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Dividends on UGI Common Stoc</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Distributions on AmeriGas Partners publicly held Common Unit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Issuances of long-term debt, net of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878.1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Repayments of long-term debt and 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Decrease in short-term borrowing</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Receivables Facility net (repayments)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Issuances of UGI Common Stoc</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Repurchases of UGI Common Stoc</w:t>
            </w:r>
            <w:r>
              <w:rPr>
                <w:rFonts w:eastAsia="Times New Roman"/>
                <w:color w:val="000000"/>
                <w:sz w:val="20"/>
                <w:szCs w:val="20"/>
              </w:rPr>
              <w:t>k</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Net cash used by financing activitie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(501.3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Effect of exchange rate changes on cash, cash equivalents and restricted cas</w:t>
            </w:r>
            <w:r>
              <w:rPr>
                <w:rFonts w:eastAsia="Times New Roman"/>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Cash, cash equivalents and restricted cash increas</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CASH, CASH EQUIVALENTS AND RESTRICTED CAS</w:t>
            </w:r>
            <w:r>
              <w:rPr>
                <w:rFonts w:eastAsia="Times New Roman"/>
                <w:b/>
                <w:bCs/>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Cash, cash equivalents and restricted cash at end of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Cash, cash equivalents and restricted cash at beginning of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1104097"/>
        </w:trPr>
        <w:tc>
          <w:tcPr>
            <w:tcW w:w="0" w:type="auto"/>
            <w:gridSpan w:val="3"/>
            <w:shd w:val="clear" w:color="auto" w:fill="FFFFFF"/>
            <w:tcMar>
              <w:top w:w="30" w:type="dxa"/>
              <w:left w:w="720" w:type="dxa"/>
              <w:bottom w:w="30" w:type="dxa"/>
              <w:right w:w="20" w:type="dxa"/>
            </w:tcMar>
            <w:hideMark/>
          </w:tcPr>
          <w:p w:rsidR="00000000" w:rsidRDefault="00A270CC">
            <w:pPr>
              <w:rPr>
                <w:rFonts w:eastAsia="Times New Roman"/>
              </w:rPr>
            </w:pPr>
            <w:r>
              <w:rPr>
                <w:rFonts w:eastAsia="Times New Roman"/>
                <w:color w:val="000000"/>
                <w:sz w:val="20"/>
                <w:szCs w:val="20"/>
              </w:rPr>
              <w:t>Cash, cash equivalents and restricted cash increas</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divId w:val="743458259"/>
        <w:rPr>
          <w:rFonts w:eastAsia="Times New Roman"/>
        </w:rPr>
      </w:pPr>
      <w:r>
        <w:rPr>
          <w:rFonts w:eastAsia="Times New Roman"/>
          <w:color w:val="000000"/>
          <w:sz w:val="20"/>
          <w:szCs w:val="20"/>
        </w:rPr>
        <w:t>See accompanying notes to condensed consolidated financial statements</w:t>
      </w:r>
      <w:r>
        <w:rPr>
          <w:rFonts w:eastAsia="Times New Roman"/>
          <w:color w:val="000000"/>
          <w:sz w:val="20"/>
          <w:szCs w:val="20"/>
        </w:rPr>
        <w:t>.</w:t>
      </w:r>
    </w:p>
    <w:p w:rsidR="00000000" w:rsidRDefault="00A270CC">
      <w:pPr>
        <w:jc w:val="center"/>
        <w:divId w:val="1520729489"/>
        <w:rPr>
          <w:rFonts w:eastAsia="Times New Roman"/>
        </w:rPr>
      </w:pPr>
      <w:r>
        <w:rPr>
          <w:rFonts w:eastAsia="Times New Roman"/>
          <w:color w:val="000000"/>
          <w:sz w:val="20"/>
          <w:szCs w:val="20"/>
        </w:rPr>
        <w:t>9</w:t>
      </w:r>
    </w:p>
    <w:p w:rsidR="00000000" w:rsidRDefault="00A270CC">
      <w:pPr>
        <w:rPr>
          <w:rFonts w:eastAsia="Times New Roman"/>
        </w:rPr>
      </w:pPr>
      <w:r>
        <w:rPr>
          <w:rFonts w:eastAsia="Times New Roman"/>
        </w:rPr>
        <w:pict>
          <v:rect id="_x0000_i1035" style="width:0;height:1.5pt" o:hralign="center" o:hrstd="t" o:hr="t" fillcolor="#a0a0a0" stroked="f"/>
        </w:pict>
      </w:r>
    </w:p>
    <w:p w:rsidR="00000000" w:rsidRDefault="00A270CC">
      <w:pPr>
        <w:divId w:val="40352726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0250147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CONDENSED CONSOLIDATED STATEMENTS OF CHANGES IN EQUIT</w:t>
      </w:r>
      <w:r>
        <w:rPr>
          <w:rFonts w:eastAsia="Times New Roman"/>
          <w:b/>
          <w:bCs/>
          <w:color w:val="000000"/>
          <w:sz w:val="20"/>
          <w:szCs w:val="20"/>
        </w:rPr>
        <w:t>Y</w:t>
      </w:r>
    </w:p>
    <w:p w:rsidR="00000000" w:rsidRDefault="00A270CC">
      <w:pPr>
        <w:jc w:val="center"/>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rPr>
          <w:rFonts w:eastAsia="Times New Roman"/>
        </w:rPr>
      </w:pPr>
      <w:r>
        <w:rPr>
          <w:rFonts w:eastAsia="Times New Roman"/>
          <w:color w:val="000000"/>
          <w:sz w:val="20"/>
          <w:szCs w:val="20"/>
        </w:rPr>
        <w:t>(Millions of dollars, except per share amounts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904"/>
        <w:gridCol w:w="40"/>
        <w:gridCol w:w="135"/>
        <w:gridCol w:w="665"/>
        <w:gridCol w:w="85"/>
        <w:gridCol w:w="36"/>
        <w:gridCol w:w="36"/>
        <w:gridCol w:w="36"/>
        <w:gridCol w:w="135"/>
        <w:gridCol w:w="665"/>
        <w:gridCol w:w="85"/>
        <w:gridCol w:w="36"/>
        <w:gridCol w:w="36"/>
        <w:gridCol w:w="36"/>
        <w:gridCol w:w="135"/>
        <w:gridCol w:w="665"/>
        <w:gridCol w:w="85"/>
        <w:gridCol w:w="36"/>
        <w:gridCol w:w="36"/>
        <w:gridCol w:w="36"/>
        <w:gridCol w:w="135"/>
        <w:gridCol w:w="665"/>
        <w:gridCol w:w="85"/>
        <w:gridCol w:w="36"/>
        <w:gridCol w:w="36"/>
        <w:gridCol w:w="36"/>
        <w:gridCol w:w="36"/>
        <w:gridCol w:w="36"/>
        <w:gridCol w:w="36"/>
        <w:gridCol w:w="36"/>
        <w:gridCol w:w="36"/>
        <w:gridCol w:w="36"/>
        <w:gridCol w:w="36"/>
        <w:gridCol w:w="36"/>
        <w:gridCol w:w="36"/>
      </w:tblGrid>
      <w:tr w:rsidR="00000000">
        <w:trPr>
          <w:gridAfter w:val="12"/>
          <w:divId w:val="385107868"/>
        </w:trPr>
        <w:tc>
          <w:tcPr>
            <w:tcW w:w="50" w:type="pct"/>
            <w:vAlign w:val="center"/>
            <w:hideMark/>
          </w:tcPr>
          <w:p w:rsidR="00000000" w:rsidRDefault="00A270CC">
            <w:pPr>
              <w:jc w:val="center"/>
              <w:rPr>
                <w:rFonts w:eastAsia="Times New Roman"/>
              </w:rPr>
            </w:pPr>
          </w:p>
        </w:tc>
        <w:tc>
          <w:tcPr>
            <w:tcW w:w="279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38510786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38510786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Common stock, without par valu</w:t>
            </w:r>
            <w:r>
              <w:rPr>
                <w:rFonts w:eastAsia="Times New Roman"/>
                <w:b/>
                <w:bCs/>
                <w:color w:val="000000"/>
                <w:sz w:val="20"/>
                <w:szCs w:val="20"/>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1,408.6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1,219.0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Common Stock issued in connection with employee and director plans, net of tax withhel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Equity-based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end of perio</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1,223.9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1,223.9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Retained earning</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2,953.3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2,653.1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Cumulative effect of change in accounting principle - ASC 60</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of stranded income tax effects related to TCJ</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Losses on common stock transactions in connection with employee and director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income (loss) attributable to UG</w:t>
            </w:r>
            <w:r>
              <w:rPr>
                <w:rFonts w:eastAsia="Times New Roman"/>
                <w:color w:val="000000"/>
                <w:sz w:val="20"/>
                <w:szCs w:val="20"/>
              </w:rPr>
              <w:t>I</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20" w:type="dxa"/>
              <w:bottom w:w="30" w:type="dxa"/>
              <w:right w:w="20" w:type="dxa"/>
            </w:tcMar>
            <w:vAlign w:val="bottom"/>
            <w:hideMark/>
          </w:tcPr>
          <w:p w:rsidR="00000000" w:rsidRDefault="00A270CC">
            <w:pPr>
              <w:divId w:val="993145464"/>
              <w:rPr>
                <w:rFonts w:eastAsia="Times New Roman"/>
              </w:rPr>
            </w:pPr>
            <w:r>
              <w:rPr>
                <w:rFonts w:eastAsia="Times New Roman"/>
                <w:color w:val="000000"/>
                <w:sz w:val="20"/>
                <w:szCs w:val="20"/>
              </w:rPr>
              <w:t>Cash dividends on UGI Common Stock ($0.33, $0.30, $0.98, and $0.82, respectively</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2,969.7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2,969.7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Accumulated other comprehensive income (loss</w:t>
            </w:r>
            <w:r>
              <w:rPr>
                <w:rFonts w:eastAsia="Times New Roman"/>
                <w:b/>
                <w:bCs/>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of stranded income tax effects related to TCJ</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losses on derivative instrument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of net losses on derivative instrument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Benefit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Foreign currency adjustment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Treasury stoc</w:t>
            </w:r>
            <w:r>
              <w:rPr>
                <w:rFonts w:eastAsia="Times New Roman"/>
                <w:b/>
                <w:bCs/>
                <w:color w:val="000000"/>
                <w:sz w:val="20"/>
                <w:szCs w:val="20"/>
              </w:rPr>
              <w:t>k</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Common Stock issued in connection with employee and director plans, net of tax withhel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Repurchases of UGI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Reacquired UGI Common Stock - employee and director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Total UGI stockholders’ equit</w:t>
            </w:r>
            <w:r>
              <w:rPr>
                <w:rFonts w:eastAsia="Times New Roman"/>
                <w:b/>
                <w:bCs/>
                <w:color w:val="000000"/>
                <w:sz w:val="20"/>
                <w:szCs w:val="20"/>
              </w:rPr>
              <w:t>y</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4,126.7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3,820.9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4,126.7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3,820.9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Noncontrolling interest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(loss) income attributable to noncontrolling interests, principally in AmeriGas Partners prior to the AmeriGas Merge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Dividends and distribution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Balance, end of perio</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38510786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Total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4,173.7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4,173.7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divId w:val="1450733991"/>
        <w:rPr>
          <w:rFonts w:eastAsia="Times New Roman"/>
        </w:rPr>
      </w:pPr>
      <w:r>
        <w:rPr>
          <w:rFonts w:eastAsia="Times New Roman"/>
          <w:color w:val="000000"/>
          <w:sz w:val="20"/>
          <w:szCs w:val="20"/>
        </w:rPr>
        <w:t>See accompanying notes to condensed consolidated financial statements</w:t>
      </w:r>
      <w:r>
        <w:rPr>
          <w:rFonts w:eastAsia="Times New Roman"/>
          <w:color w:val="000000"/>
          <w:sz w:val="20"/>
          <w:szCs w:val="20"/>
        </w:rPr>
        <w:t>.</w:t>
      </w:r>
    </w:p>
    <w:p w:rsidR="00000000" w:rsidRDefault="00A270CC">
      <w:pPr>
        <w:jc w:val="center"/>
        <w:divId w:val="1231427081"/>
        <w:rPr>
          <w:rFonts w:eastAsia="Times New Roman"/>
        </w:rPr>
      </w:pPr>
      <w:r>
        <w:rPr>
          <w:rFonts w:eastAsia="Times New Roman"/>
          <w:color w:val="000000"/>
          <w:sz w:val="20"/>
          <w:szCs w:val="20"/>
        </w:rPr>
        <w:t>1</w:t>
      </w:r>
      <w:r>
        <w:rPr>
          <w:rFonts w:eastAsia="Times New Roman"/>
          <w:color w:val="000000"/>
          <w:sz w:val="20"/>
          <w:szCs w:val="20"/>
        </w:rPr>
        <w:t>0</w:t>
      </w:r>
    </w:p>
    <w:p w:rsidR="00000000" w:rsidRDefault="00A270CC">
      <w:pPr>
        <w:rPr>
          <w:rFonts w:eastAsia="Times New Roman"/>
        </w:rPr>
      </w:pPr>
      <w:r>
        <w:rPr>
          <w:rFonts w:eastAsia="Times New Roman"/>
        </w:rPr>
        <w:pict>
          <v:rect id="_x0000_i1036" style="width:0;height:1.5pt" o:hralign="center" o:hrstd="t" o:hr="t" fillcolor="#a0a0a0" stroked="f"/>
        </w:pict>
      </w:r>
    </w:p>
    <w:p w:rsidR="00000000" w:rsidRDefault="00A270CC">
      <w:pPr>
        <w:divId w:val="152723893"/>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13925641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98111799"/>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2139256418"/>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2139256418"/>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divId w:val="1100836571"/>
        <w:rPr>
          <w:rFonts w:eastAsia="Times New Roman"/>
        </w:rPr>
      </w:pPr>
    </w:p>
    <w:p w:rsidR="00000000" w:rsidRDefault="00A270CC">
      <w:pPr>
        <w:ind w:hanging="540"/>
        <w:divId w:val="1882087895"/>
        <w:rPr>
          <w:rFonts w:eastAsia="Times New Roman"/>
        </w:rPr>
      </w:pPr>
      <w:r>
        <w:rPr>
          <w:rFonts w:eastAsia="Times New Roman"/>
          <w:b/>
          <w:bCs/>
          <w:color w:val="000000"/>
          <w:sz w:val="20"/>
          <w:szCs w:val="20"/>
          <w:u w:val="single"/>
        </w:rPr>
        <w:t>Note 1 — Nature of Operation</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divId w:val="514076554"/>
        <w:rPr>
          <w:rFonts w:eastAsia="Times New Roman"/>
        </w:rPr>
      </w:pPr>
    </w:p>
    <w:p w:rsidR="00000000" w:rsidRDefault="00A270CC">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services. In the United States, we own and operate (1) a retail propane marketing and distribution business; (2) nat</w:t>
      </w:r>
      <w:r>
        <w:rPr>
          <w:rFonts w:eastAsia="Times New Roman"/>
          <w:color w:val="000000"/>
          <w:sz w:val="20"/>
          <w:szCs w:val="20"/>
        </w:rPr>
        <w:t>ural gas and electric distribution utilities; and (3) an energy marketing, midstream infrastructure, storage, natural gas gathering, natural gas production, electricity generation and energy services business. In Europe, we market and distribute propane an</w:t>
      </w:r>
      <w:r>
        <w:rPr>
          <w:rFonts w:eastAsia="Times New Roman"/>
          <w:color w:val="000000"/>
          <w:sz w:val="20"/>
          <w:szCs w:val="20"/>
        </w:rPr>
        <w:t>d other LPG and market energy products and services.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conduct a domestic propane marketing and distribution business through AmeriGas Partners. AmeriGas Partners conducts a national propane distribution business through its principal operating subsidi</w:t>
      </w:r>
      <w:r>
        <w:rPr>
          <w:rFonts w:eastAsia="Times New Roman"/>
          <w:color w:val="000000"/>
          <w:sz w:val="20"/>
          <w:szCs w:val="20"/>
        </w:rPr>
        <w:t>ary, AmeriGas OLP. AmeriGas Partners and AmeriGas OLP are Delaware limited partnerships. UGI’s wholly owned second-tier subsidiary, AmeriGas Propane, Inc., serves as the General Partner of AmeriGas Partners. On August 21, 2019, we completed the AmeriGas Me</w:t>
      </w:r>
      <w:r>
        <w:rPr>
          <w:rFonts w:eastAsia="Times New Roman"/>
          <w:color w:val="000000"/>
          <w:sz w:val="20"/>
          <w:szCs w:val="20"/>
        </w:rPr>
        <w:t>rger pursuant to which we issued 34,612,847 shares of UGI Common Stock and paid $528.9 in cash to acquire all of the outstanding Common Units in AmeriGas Partners not already held by UGI or its subsidiaries, with the Partnership surviving as a wholly owned</w:t>
      </w:r>
      <w:r>
        <w:rPr>
          <w:rFonts w:eastAsia="Times New Roman"/>
          <w:color w:val="000000"/>
          <w:sz w:val="20"/>
          <w:szCs w:val="20"/>
        </w:rPr>
        <w:t xml:space="preserve"> subsidiary of UGI. Prior to the AmeriGas Merger, UGI controlled the Partnership through its ownership of the General Partner, which held a 1% general partner interest (which included IDRs) and approximately 25.5% of the outstanding Common Units in AmeriGa</w:t>
      </w:r>
      <w:r>
        <w:rPr>
          <w:rFonts w:eastAsia="Times New Roman"/>
          <w:color w:val="000000"/>
          <w:sz w:val="20"/>
          <w:szCs w:val="20"/>
        </w:rPr>
        <w:t>s Partners, and held an effective 27.0% ownership interest in AmeriGas OLP. The IDRs held by the General Partner prior to the AmeriGas Merger entitled it to receive distributions from AmeriGas Partners in excess of its general partner interest under certai</w:t>
      </w:r>
      <w:r>
        <w:rPr>
          <w:rFonts w:eastAsia="Times New Roman"/>
          <w:color w:val="000000"/>
          <w:sz w:val="20"/>
          <w:szCs w:val="20"/>
        </w:rPr>
        <w:t>n circumstances. Incentive distributions received by the General Partner during the nine months ended June 30, 2019 were $34.3</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International, through subsidiaries and affiliates, conducts (1) an LPG distribution business throughout much of Europe an</w:t>
      </w:r>
      <w:r>
        <w:rPr>
          <w:rFonts w:eastAsia="Times New Roman"/>
          <w:color w:val="000000"/>
          <w:sz w:val="20"/>
          <w:szCs w:val="20"/>
        </w:rPr>
        <w:t>d (2) an energy marketing business in France, Belgium, the Netherlands and the United Kingdom. These businesses are conducted principally through our subsidiaries, UGI France, Flaga, AvantiGas, DVEP and UniverGas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Energy Services conducts, directly and t</w:t>
      </w:r>
      <w:r>
        <w:rPr>
          <w:rFonts w:eastAsia="Times New Roman"/>
          <w:color w:val="000000"/>
          <w:sz w:val="20"/>
          <w:szCs w:val="20"/>
        </w:rPr>
        <w:t>hrough subsidiaries, energy marketing, midstream transmission, LNG storage, natural gas gathering and processing, natural gas production, electricity generation and energy services businesses primarily in the Mid-Atlantic region of the U.S., eastern Ohio a</w:t>
      </w:r>
      <w:r>
        <w:rPr>
          <w:rFonts w:eastAsia="Times New Roman"/>
          <w:color w:val="000000"/>
          <w:sz w:val="20"/>
          <w:szCs w:val="20"/>
        </w:rPr>
        <w:t xml:space="preserve">nd the panhandle of West Virginia. UGID owns all or a portion of electricity generation facilities principally located in Pennsylvania. Energy Services and its subsidiaries’ storage and portions of its LNG and midstream transmission operations are subject </w:t>
      </w:r>
      <w:r>
        <w:rPr>
          <w:rFonts w:eastAsia="Times New Roman"/>
          <w:color w:val="000000"/>
          <w:sz w:val="20"/>
          <w:szCs w:val="20"/>
        </w:rPr>
        <w:t>to regulation by the FERC. In July 2020, Energy Services acquired GHI Energy, LLC, a Houston based renewable natural gas company. GHI Energy, LLC is primarily focused on providing vehicle fleets with renewable natural gas by coordinating supply from a port</w:t>
      </w:r>
      <w:r>
        <w:rPr>
          <w:rFonts w:eastAsia="Times New Roman"/>
          <w:color w:val="000000"/>
          <w:sz w:val="20"/>
          <w:szCs w:val="20"/>
        </w:rPr>
        <w:t>folio of sources throughout the country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directly owns and operates Gas Utility, a natural gas distribution utility business in eastern and central Pennsylvania and in a portion of one Maryland county. Gas Utility is subject to regulation b</w:t>
      </w:r>
      <w:r>
        <w:rPr>
          <w:rFonts w:eastAsia="Times New Roman"/>
          <w:color w:val="000000"/>
          <w:sz w:val="20"/>
          <w:szCs w:val="20"/>
        </w:rPr>
        <w:t>y the PAPUC and the FERC and, with respect to a small service territory in one Maryland county, the MDPSC. UGI Utilities also owns and operates Electric Utility, an electric distribution utility located in northeastern Pennsylvania. Electric Utility is sub</w:t>
      </w:r>
      <w:r>
        <w:rPr>
          <w:rFonts w:eastAsia="Times New Roman"/>
          <w:color w:val="000000"/>
          <w:sz w:val="20"/>
          <w:szCs w:val="20"/>
        </w:rPr>
        <w:t>ject to regulation by the PAPUC and the FERC</w:t>
      </w:r>
      <w:r>
        <w:rPr>
          <w:rFonts w:eastAsia="Times New Roman"/>
          <w:color w:val="000000"/>
          <w:sz w:val="20"/>
          <w:szCs w:val="20"/>
        </w:rPr>
        <w:t>.</w:t>
      </w:r>
    </w:p>
    <w:p w:rsidR="00000000" w:rsidRDefault="00A270CC">
      <w:pPr>
        <w:jc w:val="both"/>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2 — Summary of Significant Accounting Policie</w:t>
      </w:r>
      <w:r>
        <w:rPr>
          <w:rFonts w:eastAsia="Times New Roman"/>
          <w:b/>
          <w:bCs/>
          <w:color w:val="000000"/>
          <w:sz w:val="20"/>
          <w:szCs w:val="20"/>
          <w:u w:val="single"/>
        </w:rPr>
        <w:t>s</w:t>
      </w:r>
    </w:p>
    <w:p w:rsidR="00000000" w:rsidRDefault="00A270CC">
      <w:pPr>
        <w:ind w:hanging="540"/>
        <w:divId w:val="1489595380"/>
        <w:rPr>
          <w:rFonts w:eastAsia="Times New Roman"/>
        </w:rPr>
      </w:pPr>
    </w:p>
    <w:p w:rsidR="00000000" w:rsidRDefault="00A270CC">
      <w:pPr>
        <w:jc w:val="both"/>
        <w:rPr>
          <w:rFonts w:eastAsia="Times New Roman"/>
        </w:rPr>
      </w:pPr>
      <w:r>
        <w:rPr>
          <w:rFonts w:eastAsia="Times New Roman"/>
          <w:color w:val="000000"/>
          <w:sz w:val="20"/>
          <w:szCs w:val="20"/>
        </w:rPr>
        <w:t>The accompanying condensed consolidated financial statements are unaudited and have been prepared in accordance with the rules and regulations of the SEC.</w:t>
      </w:r>
      <w:r>
        <w:rPr>
          <w:rFonts w:eastAsia="Times New Roman"/>
          <w:color w:val="000000"/>
          <w:sz w:val="20"/>
          <w:szCs w:val="20"/>
        </w:rPr>
        <w:t xml:space="preserve"> They include all adjustments that we consider necessary for a fair statement of the results for the interim periods presented. Such adjustments consisted only of normal recurring items unless otherwise disclosed. The September 30, 2019, Condensed Consolid</w:t>
      </w:r>
      <w:r>
        <w:rPr>
          <w:rFonts w:eastAsia="Times New Roman"/>
          <w:color w:val="000000"/>
          <w:sz w:val="20"/>
          <w:szCs w:val="20"/>
        </w:rPr>
        <w:t>ated Balance Sheet was derived from audited financial statements but does not include all footnote disclosures from the annual financial statements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These financial statements should be read in conjunction with the financial statements and related notes </w:t>
      </w:r>
      <w:r>
        <w:rPr>
          <w:rFonts w:eastAsia="Times New Roman"/>
          <w:color w:val="000000"/>
          <w:sz w:val="20"/>
          <w:szCs w:val="20"/>
        </w:rPr>
        <w:t>included in the Company’s 2019 Annual Report. Due to the seasonal nature of our businesses, the results of operations for interim periods are not necessarily indicative of the results to be expected for a full year</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Leases.</w:t>
      </w:r>
      <w:r>
        <w:rPr>
          <w:rFonts w:eastAsia="Times New Roman"/>
          <w:b/>
          <w:bCs/>
          <w:i/>
          <w:iCs/>
          <w:color w:val="000000"/>
          <w:sz w:val="20"/>
          <w:szCs w:val="20"/>
        </w:rPr>
        <w:t xml:space="preserve"> </w:t>
      </w:r>
      <w:r>
        <w:rPr>
          <w:rFonts w:eastAsia="Times New Roman"/>
          <w:color w:val="000000"/>
          <w:sz w:val="20"/>
          <w:szCs w:val="20"/>
        </w:rPr>
        <w:t>Effective October 1, 2019, the</w:t>
      </w:r>
      <w:r>
        <w:rPr>
          <w:rFonts w:eastAsia="Times New Roman"/>
          <w:color w:val="000000"/>
          <w:sz w:val="20"/>
          <w:szCs w:val="20"/>
        </w:rPr>
        <w:t xml:space="preserve"> Company adopted ASU No. 2016-02, "Leases," which, as amended, is included in ASC 842. This new accounting guidance supersedes previous lease accounting guidance in ASC 840 and requires entities that lease</w:t>
      </w:r>
      <w:r>
        <w:rPr>
          <w:rFonts w:eastAsia="Times New Roman"/>
          <w:color w:val="000000"/>
          <w:sz w:val="20"/>
          <w:szCs w:val="20"/>
        </w:rPr>
        <w:t xml:space="preserve"> </w:t>
      </w:r>
    </w:p>
    <w:p w:rsidR="00000000" w:rsidRDefault="00A270CC">
      <w:pPr>
        <w:jc w:val="center"/>
        <w:divId w:val="98649736"/>
        <w:rPr>
          <w:rFonts w:eastAsia="Times New Roman"/>
        </w:rPr>
      </w:pPr>
      <w:r>
        <w:rPr>
          <w:rFonts w:eastAsia="Times New Roman"/>
          <w:color w:val="000000"/>
          <w:sz w:val="20"/>
          <w:szCs w:val="20"/>
        </w:rPr>
        <w:t>1</w:t>
      </w:r>
      <w:r>
        <w:rPr>
          <w:rFonts w:eastAsia="Times New Roman"/>
          <w:color w:val="000000"/>
          <w:sz w:val="20"/>
          <w:szCs w:val="20"/>
        </w:rPr>
        <w:t>1</w:t>
      </w:r>
    </w:p>
    <w:p w:rsidR="00000000" w:rsidRDefault="00A270CC">
      <w:pPr>
        <w:rPr>
          <w:rFonts w:eastAsia="Times New Roman"/>
        </w:rPr>
      </w:pPr>
      <w:r>
        <w:rPr>
          <w:rFonts w:eastAsia="Times New Roman"/>
        </w:rPr>
        <w:pict>
          <v:rect id="_x0000_i1037" style="width:0;height:1.5pt" o:hralign="center" o:hrstd="t" o:hr="t" fillcolor="#a0a0a0" stroked="f"/>
        </w:pict>
      </w:r>
    </w:p>
    <w:p w:rsidR="00000000" w:rsidRDefault="00A270CC">
      <w:pPr>
        <w:divId w:val="115988156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84400558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236012762"/>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844005582"/>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844005582"/>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assets to recognize the assets and liabilities for the rights and obligations created by those leases on its balance sheet. The new guidance also requires additional disclosures about the amount, timing and uncertainty of cash flows from leases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adopt</w:t>
      </w:r>
      <w:r>
        <w:rPr>
          <w:rFonts w:eastAsia="Times New Roman"/>
          <w:color w:val="000000"/>
          <w:sz w:val="20"/>
          <w:szCs w:val="20"/>
        </w:rPr>
        <w:t>ed this new guidance using the modified retrospective transition method. Amounts and disclosures related to periods prior to October 1, 2019 have not been restated and continue to be reported in accordance with ASC 840. We elected to apply the following pr</w:t>
      </w:r>
      <w:r>
        <w:rPr>
          <w:rFonts w:eastAsia="Times New Roman"/>
          <w:color w:val="000000"/>
          <w:sz w:val="20"/>
          <w:szCs w:val="20"/>
        </w:rPr>
        <w:t>actical expedients in accordance with the guidance upon adoption</w:t>
      </w:r>
      <w:r>
        <w:rPr>
          <w:rFonts w:eastAsia="Times New Roman"/>
          <w:color w:val="000000"/>
          <w:sz w:val="20"/>
          <w:szCs w:val="20"/>
        </w:rPr>
        <w:t>:</w:t>
      </w:r>
    </w:p>
    <w:p w:rsidR="00000000" w:rsidRDefault="00A270CC">
      <w:pPr>
        <w:jc w:val="both"/>
        <w:rPr>
          <w:rFonts w:eastAsia="Times New Roman"/>
        </w:rPr>
      </w:pPr>
    </w:p>
    <w:p w:rsidR="00000000" w:rsidRDefault="00A270CC">
      <w:pPr>
        <w:ind w:hanging="360"/>
        <w:jc w:val="both"/>
        <w:rPr>
          <w:rFonts w:eastAsia="Times New Roman"/>
        </w:rPr>
      </w:pPr>
      <w:r>
        <w:rPr>
          <w:rFonts w:eastAsia="Times New Roman"/>
          <w:color w:val="000000"/>
          <w:sz w:val="20"/>
          <w:szCs w:val="20"/>
        </w:rPr>
        <w:t>•</w:t>
      </w:r>
      <w:r>
        <w:rPr>
          <w:rFonts w:eastAsia="Times New Roman"/>
          <w:color w:val="000000"/>
          <w:sz w:val="20"/>
          <w:szCs w:val="20"/>
        </w:rPr>
        <w:t>Short-term leases: We did not recognize short-term leases (term of 12 months or less) on the balance sheet</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w:t>
      </w:r>
      <w:r>
        <w:rPr>
          <w:rFonts w:eastAsia="Times New Roman"/>
          <w:color w:val="000000"/>
          <w:sz w:val="20"/>
          <w:szCs w:val="20"/>
        </w:rPr>
        <w:t>Easements: We did not re-evaluate existing land easements that were not previo</w:t>
      </w:r>
      <w:r>
        <w:rPr>
          <w:rFonts w:eastAsia="Times New Roman"/>
          <w:color w:val="000000"/>
          <w:sz w:val="20"/>
          <w:szCs w:val="20"/>
        </w:rPr>
        <w:t>usly accounted for as leases; an</w:t>
      </w:r>
      <w:r>
        <w:rPr>
          <w:rFonts w:eastAsia="Times New Roman"/>
          <w:color w:val="000000"/>
          <w:sz w:val="20"/>
          <w:szCs w:val="20"/>
        </w:rPr>
        <w:t>d</w:t>
      </w:r>
    </w:p>
    <w:p w:rsidR="00000000" w:rsidRDefault="00A270CC">
      <w:pPr>
        <w:ind w:hanging="360"/>
        <w:jc w:val="both"/>
        <w:rPr>
          <w:rFonts w:eastAsia="Times New Roman"/>
        </w:rPr>
      </w:pPr>
      <w:r>
        <w:rPr>
          <w:rFonts w:eastAsia="Times New Roman"/>
          <w:color w:val="000000"/>
          <w:sz w:val="20"/>
          <w:szCs w:val="20"/>
        </w:rPr>
        <w:t>•</w:t>
      </w:r>
      <w:r>
        <w:rPr>
          <w:rFonts w:eastAsia="Times New Roman"/>
          <w:color w:val="000000"/>
          <w:sz w:val="20"/>
          <w:szCs w:val="20"/>
        </w:rPr>
        <w:t>Other: We did not reassess the classification of expired or existing contracts or determine whether they are or contain a lease. We also did not reassess whether initial direct costs qualify for capitalization under ASC 8</w:t>
      </w:r>
      <w:r>
        <w:rPr>
          <w:rFonts w:eastAsia="Times New Roman"/>
          <w:color w:val="000000"/>
          <w:sz w:val="20"/>
          <w:szCs w:val="20"/>
        </w:rPr>
        <w:t>42</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Upon adoption, we recorded ROU assets and lease liabilities of $451.9 related to our operating leases. Our accounting for finance leases remained substantially unchanged. There were no cumulative effect adjustments made to opening retained earnings a</w:t>
      </w:r>
      <w:r>
        <w:rPr>
          <w:rFonts w:eastAsia="Times New Roman"/>
          <w:color w:val="000000"/>
          <w:sz w:val="20"/>
          <w:szCs w:val="20"/>
        </w:rPr>
        <w:t>s of October 1, 2019. The adoption did not, and is not expected to, have a significant impact on our condensed consolidated statements of income or cash flows. See Note 9 for additional disclosures regarding our leases</w:t>
      </w:r>
      <w:r>
        <w:rPr>
          <w:rFonts w:eastAsia="Times New Roman"/>
          <w:color w:val="000000"/>
          <w:sz w:val="20"/>
          <w:szCs w:val="20"/>
        </w:rPr>
        <w:t>.</w:t>
      </w:r>
    </w:p>
    <w:p w:rsidR="00000000" w:rsidRDefault="00A270CC">
      <w:pPr>
        <w:jc w:val="both"/>
        <w:divId w:val="1909342931"/>
        <w:rPr>
          <w:rFonts w:eastAsia="Times New Roman"/>
        </w:rPr>
      </w:pPr>
      <w:r>
        <w:rPr>
          <w:rFonts w:eastAsia="Times New Roman"/>
          <w:b/>
          <w:bCs/>
          <w:i/>
          <w:iCs/>
          <w:color w:val="000000"/>
          <w:sz w:val="20"/>
          <w:szCs w:val="20"/>
        </w:rPr>
        <w:t>Equity Method Investments.</w:t>
      </w:r>
      <w:r>
        <w:rPr>
          <w:rFonts w:eastAsia="Times New Roman"/>
          <w:b/>
          <w:bCs/>
          <w:i/>
          <w:iCs/>
          <w:color w:val="000000"/>
          <w:sz w:val="20"/>
          <w:szCs w:val="20"/>
        </w:rPr>
        <w:t xml:space="preserve"> </w:t>
      </w:r>
      <w:r>
        <w:rPr>
          <w:rFonts w:eastAsia="Times New Roman"/>
          <w:color w:val="000000"/>
          <w:sz w:val="20"/>
          <w:szCs w:val="20"/>
        </w:rPr>
        <w:t>We account for privately held equity securities of entities without readily determinable fair values in which we do not have control, but have significant influence over operating and financial policies, under the equity method. Our equity method investmen</w:t>
      </w:r>
      <w:r>
        <w:rPr>
          <w:rFonts w:eastAsia="Times New Roman"/>
          <w:color w:val="000000"/>
          <w:sz w:val="20"/>
          <w:szCs w:val="20"/>
        </w:rPr>
        <w:t>ts are primarily comprised of PennEast and Pennant</w:t>
      </w:r>
      <w:r>
        <w:rPr>
          <w:rFonts w:eastAsia="Times New Roman"/>
          <w:color w:val="000000"/>
          <w:sz w:val="20"/>
          <w:szCs w:val="20"/>
        </w:rPr>
        <w:t>.</w:t>
      </w:r>
    </w:p>
    <w:p w:rsidR="00000000" w:rsidRDefault="00A270CC">
      <w:pPr>
        <w:jc w:val="both"/>
        <w:divId w:val="1096826729"/>
        <w:rPr>
          <w:rFonts w:eastAsia="Times New Roman"/>
        </w:rPr>
      </w:pPr>
      <w:r>
        <w:rPr>
          <w:rFonts w:eastAsia="Times New Roman"/>
          <w:color w:val="000000"/>
          <w:sz w:val="20"/>
          <w:szCs w:val="20"/>
        </w:rPr>
        <w:t>UGI PennEast, LLC and four other members comprising wholly owned subsidiaries of Southern Company, New Jersey Resources, South Jersey Industries, and Enbridge, Inc., each hold a 20% membership interest in</w:t>
      </w:r>
      <w:r>
        <w:rPr>
          <w:rFonts w:eastAsia="Times New Roman"/>
          <w:color w:val="000000"/>
          <w:sz w:val="20"/>
          <w:szCs w:val="20"/>
        </w:rPr>
        <w:t xml:space="preserve"> PennEast. In September 2019, a panel of the U.S. Court of Appeals for the Third Circuit ruled that New Jersey’s Eleventh Amendment immunity barred PennEast from bringing an eminent domain lawsuit in federal court, under the Natural Gas Act, against New Je</w:t>
      </w:r>
      <w:r>
        <w:rPr>
          <w:rFonts w:eastAsia="Times New Roman"/>
          <w:color w:val="000000"/>
          <w:sz w:val="20"/>
          <w:szCs w:val="20"/>
        </w:rPr>
        <w:t>rsey or its agencies. The Third Circuit subsequently denied PennEast’s petition for rehearing en banc. PennEast also filed a petition for declaratory order with the FERC regarding interpretation of the Natural Gas Act; the FERC issued an order favorable to</w:t>
      </w:r>
      <w:r>
        <w:rPr>
          <w:rFonts w:eastAsia="Times New Roman"/>
          <w:color w:val="000000"/>
          <w:sz w:val="20"/>
          <w:szCs w:val="20"/>
        </w:rPr>
        <w:t xml:space="preserve"> PennEast’s position on January 30, 2020. PennEast filed a petition for a writ of certiorari to seek U.S. Supreme Court review of the Third Circuit decision on February 18, 2020.  On June 29, 2020, the U.S. Supreme Court invited the U.S. Solicitor General </w:t>
      </w:r>
      <w:r>
        <w:rPr>
          <w:rFonts w:eastAsia="Times New Roman"/>
          <w:color w:val="000000"/>
          <w:sz w:val="20"/>
          <w:szCs w:val="20"/>
        </w:rPr>
        <w:t>to file a brief in the case expressing the views of the U.S. The ultimate outcome of these matters cannot be determined at this time, and could result in delays, additional costs, or the inability to move forward with the project, resulting in an impairmen</w:t>
      </w:r>
      <w:r>
        <w:rPr>
          <w:rFonts w:eastAsia="Times New Roman"/>
          <w:color w:val="000000"/>
          <w:sz w:val="20"/>
          <w:szCs w:val="20"/>
        </w:rPr>
        <w:t>t of all or a portion of our investment in PennEast</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Restricted Cash</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Restricted cash principally represents those cash balances in our commodity futures brokerage accounts that are restricted from withdrawal. The following table provides a reconciliatio</w:t>
      </w:r>
      <w:r>
        <w:rPr>
          <w:rFonts w:eastAsia="Times New Roman"/>
          <w:color w:val="000000"/>
          <w:sz w:val="20"/>
          <w:szCs w:val="20"/>
        </w:rPr>
        <w:t>n of the total cash, cash equivalents and restricted cash reported on the Condensed Consolidated Balance Sheets to the corresponding amounts reported on the Condensed Consolidated Statements of Cash Flows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386"/>
        <w:gridCol w:w="36"/>
        <w:gridCol w:w="36"/>
        <w:gridCol w:w="36"/>
        <w:gridCol w:w="36"/>
        <w:gridCol w:w="135"/>
        <w:gridCol w:w="669"/>
        <w:gridCol w:w="85"/>
        <w:gridCol w:w="36"/>
        <w:gridCol w:w="36"/>
        <w:gridCol w:w="36"/>
        <w:gridCol w:w="135"/>
        <w:gridCol w:w="685"/>
        <w:gridCol w:w="85"/>
        <w:gridCol w:w="36"/>
        <w:gridCol w:w="36"/>
        <w:gridCol w:w="36"/>
        <w:gridCol w:w="136"/>
        <w:gridCol w:w="753"/>
        <w:gridCol w:w="85"/>
        <w:gridCol w:w="36"/>
        <w:gridCol w:w="36"/>
        <w:gridCol w:w="36"/>
        <w:gridCol w:w="136"/>
        <w:gridCol w:w="753"/>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261718753"/>
          <w:jc w:val="center"/>
        </w:trPr>
        <w:tc>
          <w:tcPr>
            <w:tcW w:w="50" w:type="pct"/>
            <w:vAlign w:val="center"/>
            <w:hideMark/>
          </w:tcPr>
          <w:p w:rsidR="00000000" w:rsidRDefault="00A270CC">
            <w:pPr>
              <w:jc w:val="both"/>
              <w:rPr>
                <w:rFonts w:eastAsia="Times New Roman"/>
              </w:rPr>
            </w:pPr>
          </w:p>
        </w:tc>
        <w:tc>
          <w:tcPr>
            <w:tcW w:w="226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2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2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2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261718753"/>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1"/>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261718753"/>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w:t>
            </w:r>
            <w:r>
              <w:rPr>
                <w:rFonts w:eastAsia="Times New Roman"/>
                <w:color w:val="000000"/>
                <w:sz w:val="20"/>
                <w:szCs w:val="20"/>
              </w:rPr>
              <w:b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w:t>
            </w:r>
            <w:r>
              <w:rPr>
                <w:rFonts w:eastAsia="Times New Roman"/>
                <w:color w:val="000000"/>
                <w:sz w:val="20"/>
                <w:szCs w:val="20"/>
              </w:rPr>
              <w:br/>
              <w:t>201</w:t>
            </w:r>
            <w:r>
              <w:rPr>
                <w:rFonts w:eastAsia="Times New Roman"/>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30, 201</w:t>
            </w:r>
            <w:r>
              <w:rPr>
                <w:rFonts w:eastAsia="Times New Roman"/>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30, 201</w:t>
            </w:r>
            <w:r>
              <w:rPr>
                <w:rFonts w:eastAsia="Times New Roman"/>
                <w:color w:val="000000"/>
                <w:sz w:val="20"/>
                <w:szCs w:val="20"/>
              </w:rPr>
              <w:t>8</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1718753"/>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487.3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1718753"/>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1718753"/>
          <w:jc w:val="center"/>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Earnings Per Common Share</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Basic earnings per share attributable to UGI stockholders reflect the weighted-average number of common shares outstanding. Diluted earnings per share attributable to UGI stockholders include the effects of dilutive stock options and common stock awards</w:t>
      </w:r>
      <w:r>
        <w:rPr>
          <w:rFonts w:eastAsia="Times New Roman"/>
          <w:color w:val="000000"/>
          <w:sz w:val="20"/>
          <w:szCs w:val="20"/>
        </w:rPr>
        <w:t>.</w:t>
      </w:r>
    </w:p>
    <w:p w:rsidR="00000000" w:rsidRDefault="00A270CC">
      <w:pPr>
        <w:jc w:val="both"/>
        <w:rPr>
          <w:rFonts w:eastAsia="Times New Roman"/>
        </w:rPr>
      </w:pPr>
      <w:r>
        <w:rPr>
          <w:rFonts w:eastAsia="Times New Roman"/>
          <w:color w:val="000000"/>
          <w:sz w:val="16"/>
          <w:szCs w:val="16"/>
        </w:rPr>
        <w:t> </w:t>
      </w:r>
    </w:p>
    <w:p w:rsidR="00000000" w:rsidRDefault="00A270CC">
      <w:pPr>
        <w:jc w:val="center"/>
        <w:divId w:val="1946031593"/>
        <w:rPr>
          <w:rFonts w:eastAsia="Times New Roman"/>
        </w:rPr>
      </w:pPr>
      <w:r>
        <w:rPr>
          <w:rFonts w:eastAsia="Times New Roman"/>
          <w:color w:val="000000"/>
          <w:sz w:val="20"/>
          <w:szCs w:val="20"/>
        </w:rPr>
        <w:t>1</w:t>
      </w:r>
      <w:r>
        <w:rPr>
          <w:rFonts w:eastAsia="Times New Roman"/>
          <w:color w:val="000000"/>
          <w:sz w:val="20"/>
          <w:szCs w:val="20"/>
        </w:rPr>
        <w:t>2</w:t>
      </w:r>
    </w:p>
    <w:p w:rsidR="00000000" w:rsidRDefault="00A270CC">
      <w:pPr>
        <w:rPr>
          <w:rFonts w:eastAsia="Times New Roman"/>
        </w:rPr>
      </w:pPr>
      <w:r>
        <w:rPr>
          <w:rFonts w:eastAsia="Times New Roman"/>
        </w:rPr>
        <w:pict>
          <v:rect id="_x0000_i1038" style="width:0;height:1.5pt" o:hralign="center" o:hrstd="t" o:hr="t" fillcolor="#a0a0a0" stroked="f"/>
        </w:pict>
      </w:r>
    </w:p>
    <w:p w:rsidR="00000000" w:rsidRDefault="00A270CC">
      <w:pPr>
        <w:divId w:val="158545782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1350501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88367080"/>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713505018"/>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713505018"/>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Shares used in computing basic and diluted earnings per share are as follows</w:t>
      </w:r>
      <w:r>
        <w:rPr>
          <w:rFonts w:eastAsia="Times New Roman"/>
          <w:color w:val="000000"/>
          <w:sz w:val="20"/>
          <w:szCs w:val="20"/>
        </w:rPr>
        <w:t>:</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3761"/>
        <w:gridCol w:w="36"/>
        <w:gridCol w:w="36"/>
        <w:gridCol w:w="36"/>
        <w:gridCol w:w="36"/>
        <w:gridCol w:w="95"/>
        <w:gridCol w:w="625"/>
        <w:gridCol w:w="87"/>
        <w:gridCol w:w="37"/>
        <w:gridCol w:w="36"/>
        <w:gridCol w:w="36"/>
        <w:gridCol w:w="95"/>
        <w:gridCol w:w="625"/>
        <w:gridCol w:w="86"/>
        <w:gridCol w:w="36"/>
        <w:gridCol w:w="36"/>
        <w:gridCol w:w="36"/>
        <w:gridCol w:w="95"/>
        <w:gridCol w:w="625"/>
        <w:gridCol w:w="85"/>
        <w:gridCol w:w="36"/>
        <w:gridCol w:w="36"/>
        <w:gridCol w:w="36"/>
        <w:gridCol w:w="95"/>
        <w:gridCol w:w="625"/>
        <w:gridCol w:w="85"/>
        <w:gridCol w:w="100"/>
        <w:gridCol w:w="100"/>
        <w:gridCol w:w="100"/>
        <w:gridCol w:w="100"/>
        <w:gridCol w:w="100"/>
        <w:gridCol w:w="100"/>
        <w:gridCol w:w="36"/>
        <w:gridCol w:w="36"/>
        <w:gridCol w:w="36"/>
        <w:gridCol w:w="36"/>
        <w:gridCol w:w="36"/>
        <w:gridCol w:w="36"/>
      </w:tblGrid>
      <w:tr w:rsidR="00000000">
        <w:trPr>
          <w:gridAfter w:val="12"/>
          <w:divId w:val="2057855374"/>
        </w:trPr>
        <w:tc>
          <w:tcPr>
            <w:tcW w:w="50" w:type="pct"/>
            <w:vAlign w:val="center"/>
            <w:hideMark/>
          </w:tcPr>
          <w:p w:rsidR="00000000" w:rsidRDefault="00A270CC">
            <w:pPr>
              <w:jc w:val="both"/>
              <w:rPr>
                <w:rFonts w:eastAsia="Times New Roman"/>
              </w:rPr>
            </w:pPr>
          </w:p>
        </w:tc>
        <w:tc>
          <w:tcPr>
            <w:tcW w:w="302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2057855374"/>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2057855374"/>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57855374"/>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Denominator (thousands of shares)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57855374"/>
        </w:trPr>
        <w:tc>
          <w:tcPr>
            <w:tcW w:w="0" w:type="auto"/>
            <w:gridSpan w:val="3"/>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Weighted-average common shares outstanding — basic (a</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208,598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174,759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208,989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174,541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57855374"/>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Incremental shares issuable for stock options and awards (b</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57855374"/>
        </w:trPr>
        <w:tc>
          <w:tcPr>
            <w:tcW w:w="0" w:type="auto"/>
            <w:gridSpan w:val="3"/>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Weighted-average common shares outstanding — dilute</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208,975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174,759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210,009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177,389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divId w:val="638148757"/>
        <w:rPr>
          <w:rFonts w:eastAsia="Times New Roman"/>
        </w:rPr>
      </w:pPr>
      <w:r>
        <w:rPr>
          <w:rFonts w:eastAsia="Times New Roman"/>
          <w:color w:val="000000"/>
          <w:sz w:val="20"/>
          <w:szCs w:val="20"/>
        </w:rPr>
        <w:t>(a) The three and nine months ended June 30, 2020, reflects the August 2019 issuance of 34,613 shares of UGI Common Stock in connection with the AmeriGas Merger</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 For the three and nine months ended June 30, 2020, 7,083 shares associated with outstanding stock option awards were excluded from the computation of diluted earnings per share above because their effect was antidilutive. For the three months ended Jun</w:t>
      </w:r>
      <w:r>
        <w:rPr>
          <w:rFonts w:eastAsia="Times New Roman"/>
          <w:color w:val="000000"/>
          <w:sz w:val="20"/>
          <w:szCs w:val="20"/>
        </w:rPr>
        <w:t xml:space="preserve">e 30, 2019, 2,576 of such shares have been excluded as such incremental shares would be antidilutive due to the net loss for the period. For the nine months ended June 30, 2019, 244 shares associated with outstanding stock option awards were excluded from </w:t>
      </w:r>
      <w:r>
        <w:rPr>
          <w:rFonts w:eastAsia="Times New Roman"/>
          <w:color w:val="000000"/>
          <w:sz w:val="20"/>
          <w:szCs w:val="20"/>
        </w:rPr>
        <w:t>the computation of diluted earnings per share above because their effect was antidilutive.</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Derivative Instruments.</w:t>
      </w:r>
      <w:r>
        <w:rPr>
          <w:rFonts w:eastAsia="Times New Roman"/>
          <w:b/>
          <w:bCs/>
          <w:i/>
          <w:iCs/>
          <w:color w:val="000000"/>
          <w:sz w:val="20"/>
          <w:szCs w:val="20"/>
        </w:rPr>
        <w:t xml:space="preserve"> </w:t>
      </w:r>
      <w:r>
        <w:rPr>
          <w:rFonts w:eastAsia="Times New Roman"/>
          <w:color w:val="000000"/>
          <w:sz w:val="20"/>
          <w:szCs w:val="20"/>
        </w:rPr>
        <w:t>Derivative instruments are reported on the Condensed Consolidated Balance Sheets at their fair values, unless the NPNS exception is elected. The accounting for changes in fair value depends upon the purpose of the derivative instrument, whether it is subje</w:t>
      </w:r>
      <w:r>
        <w:rPr>
          <w:rFonts w:eastAsia="Times New Roman"/>
          <w:color w:val="000000"/>
          <w:sz w:val="20"/>
          <w:szCs w:val="20"/>
        </w:rPr>
        <w:t>ct to regulatory ratemaking mechanisms or if it qualifies and is designated as a hedge for accounting purposes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Certain of our derivative instruments qualify and are designated as cash flow hedges. For cash flow hedges, changes in the fair values of the </w:t>
      </w:r>
      <w:r>
        <w:rPr>
          <w:rFonts w:eastAsia="Times New Roman"/>
          <w:color w:val="000000"/>
          <w:sz w:val="20"/>
          <w:szCs w:val="20"/>
        </w:rPr>
        <w:t>derivative instruments are recorded in AOCI, to the extent effective at offsetting changes in the hedged item, until earnings are affected by the hedged item. We discontinue cash flow hedge accounting if occurrence of the forecasted transaction is determin</w:t>
      </w:r>
      <w:r>
        <w:rPr>
          <w:rFonts w:eastAsia="Times New Roman"/>
          <w:color w:val="000000"/>
          <w:sz w:val="20"/>
          <w:szCs w:val="20"/>
        </w:rPr>
        <w:t xml:space="preserve">ed to be no longer probable. Hedge accounting is also discontinued for derivatives that cease to be highly effective. We do not designate our commodity and certain foreign currency derivative instruments as hedges under GAAP. Changes in the fair values of </w:t>
      </w:r>
      <w:r>
        <w:rPr>
          <w:rFonts w:eastAsia="Times New Roman"/>
          <w:color w:val="000000"/>
          <w:sz w:val="20"/>
          <w:szCs w:val="20"/>
        </w:rPr>
        <w:t>these derivative instruments are reflected in net income. Gains and losses on substantially all of the commodity derivative instruments used by UGI Utilities are included in regulatory assets or liabilities because it is probable such gains and losses will</w:t>
      </w:r>
      <w:r>
        <w:rPr>
          <w:rFonts w:eastAsia="Times New Roman"/>
          <w:color w:val="000000"/>
          <w:sz w:val="20"/>
          <w:szCs w:val="20"/>
        </w:rPr>
        <w:t xml:space="preserve"> be recoverable from, or refundable to, customers. From time to time, we also enter into net investment hedges. Gains and losses on net investment hedges that relate to our foreign operations are included in the cumulative translation adjustment component </w:t>
      </w:r>
      <w:r>
        <w:rPr>
          <w:rFonts w:eastAsia="Times New Roman"/>
          <w:color w:val="000000"/>
          <w:sz w:val="20"/>
          <w:szCs w:val="20"/>
        </w:rPr>
        <w:t>in AOCI until such foreign net investment is sold or liquidated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Cash flows from derivative instruments, other than certain cross-currency swaps and net investment hedges, if any, are included in cash flows from operating activities on the Condensed Cons</w:t>
      </w:r>
      <w:r>
        <w:rPr>
          <w:rFonts w:eastAsia="Times New Roman"/>
          <w:color w:val="000000"/>
          <w:sz w:val="20"/>
          <w:szCs w:val="20"/>
        </w:rPr>
        <w:t>olidated Statements of Cash Flows. Cash flows from the interest portion of our cross-currency hedges, if any, are included in cash flows from operating activities while cash flows from the currency portion of such hedges, if any, are included in cash flows</w:t>
      </w:r>
      <w:r>
        <w:rPr>
          <w:rFonts w:eastAsia="Times New Roman"/>
          <w:color w:val="000000"/>
          <w:sz w:val="20"/>
          <w:szCs w:val="20"/>
        </w:rPr>
        <w:t xml:space="preserve"> from financing activities. Cash flows from net investment hedges, if any, are included in cash flows from investing activities on the Condensed Consolidated Statements of Cash Flows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For a more detailed description of the derivative instruments we use, </w:t>
      </w:r>
      <w:r>
        <w:rPr>
          <w:rFonts w:eastAsia="Times New Roman"/>
          <w:color w:val="000000"/>
          <w:sz w:val="20"/>
          <w:szCs w:val="20"/>
        </w:rPr>
        <w:t>our accounting for derivatives, our objectives for using them and other information, see Note 14</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Business Combination Purchase Price Allocations.</w:t>
      </w:r>
      <w:r>
        <w:rPr>
          <w:rFonts w:eastAsia="Times New Roman"/>
          <w:b/>
          <w:bCs/>
          <w:i/>
          <w:iCs/>
          <w:color w:val="000000"/>
          <w:sz w:val="20"/>
          <w:szCs w:val="20"/>
        </w:rPr>
        <w:t xml:space="preserve"> </w:t>
      </w:r>
      <w:r>
        <w:rPr>
          <w:rFonts w:eastAsia="Times New Roman"/>
          <w:color w:val="000000"/>
          <w:sz w:val="20"/>
          <w:szCs w:val="20"/>
        </w:rPr>
        <w:t xml:space="preserve">From time to time, the Company enters into business combinations. In accordance with ASC 805, the purchase </w:t>
      </w:r>
      <w:r>
        <w:rPr>
          <w:rFonts w:eastAsia="Times New Roman"/>
          <w:color w:val="000000"/>
          <w:sz w:val="20"/>
          <w:szCs w:val="20"/>
        </w:rPr>
        <w:t>price is allocated to the various assets acquired and liabilities assumed at their estimated fair value as of the acquisition date. Fair values of assets acquired and liabilities assumed are based upon available information. Estimating fair values is gener</w:t>
      </w:r>
      <w:r>
        <w:rPr>
          <w:rFonts w:eastAsia="Times New Roman"/>
          <w:color w:val="000000"/>
          <w:sz w:val="20"/>
          <w:szCs w:val="20"/>
        </w:rPr>
        <w:t xml:space="preserve">ally subject to significant judgment and assumptions and most commonly impacts property, plant and equipment and intangible assets, including those with indefinite lives. Generally, we have, under certain circumstances, up to one year from the acquisition </w:t>
      </w:r>
      <w:r>
        <w:rPr>
          <w:rFonts w:eastAsia="Times New Roman"/>
          <w:color w:val="000000"/>
          <w:sz w:val="20"/>
          <w:szCs w:val="20"/>
        </w:rPr>
        <w:t>date to finalize the purchase price allocation</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Impairment of long-lived assets held for sale</w:t>
      </w:r>
      <w:r>
        <w:rPr>
          <w:rFonts w:eastAsia="Times New Roman"/>
          <w:b/>
          <w:bCs/>
          <w:i/>
          <w:iCs/>
          <w:color w:val="000000"/>
          <w:sz w:val="20"/>
          <w:szCs w:val="20"/>
        </w:rPr>
        <w:t>.</w:t>
      </w:r>
      <w:r>
        <w:rPr>
          <w:rFonts w:eastAsia="Times New Roman"/>
          <w:color w:val="000000"/>
        </w:rPr>
        <w:t xml:space="preserve"> </w:t>
      </w:r>
      <w:r>
        <w:rPr>
          <w:rFonts w:eastAsia="Times New Roman"/>
          <w:color w:val="000000"/>
          <w:sz w:val="20"/>
          <w:szCs w:val="20"/>
        </w:rPr>
        <w:t>On July 21, 2020, Energy Services, through a wholly owned subsidiary, entered into an agreement to sell its approximate 5.97% ownership interest in the Conemau</w:t>
      </w:r>
      <w:r>
        <w:rPr>
          <w:rFonts w:eastAsia="Times New Roman"/>
          <w:color w:val="000000"/>
          <w:sz w:val="20"/>
          <w:szCs w:val="20"/>
        </w:rPr>
        <w:t>gh generation station, a 1,711-megawatt, coal-fired electricity generation station located near Johnstown, Pennsylvania. As a result of this agreement to sell, the</w:t>
      </w:r>
      <w:r>
        <w:rPr>
          <w:rFonts w:eastAsia="Times New Roman"/>
          <w:color w:val="000000"/>
          <w:sz w:val="20"/>
          <w:szCs w:val="20"/>
        </w:rPr>
        <w:t xml:space="preserve"> </w:t>
      </w:r>
    </w:p>
    <w:p w:rsidR="00000000" w:rsidRDefault="00A270CC">
      <w:pPr>
        <w:jc w:val="center"/>
        <w:divId w:val="1695810454"/>
        <w:rPr>
          <w:rFonts w:eastAsia="Times New Roman"/>
        </w:rPr>
      </w:pPr>
      <w:r>
        <w:rPr>
          <w:rFonts w:eastAsia="Times New Roman"/>
          <w:color w:val="000000"/>
          <w:sz w:val="20"/>
          <w:szCs w:val="20"/>
        </w:rPr>
        <w:t>1</w:t>
      </w:r>
      <w:r>
        <w:rPr>
          <w:rFonts w:eastAsia="Times New Roman"/>
          <w:color w:val="000000"/>
          <w:sz w:val="20"/>
          <w:szCs w:val="20"/>
        </w:rPr>
        <w:t>3</w:t>
      </w:r>
    </w:p>
    <w:p w:rsidR="00000000" w:rsidRDefault="00A270CC">
      <w:pPr>
        <w:rPr>
          <w:rFonts w:eastAsia="Times New Roman"/>
        </w:rPr>
      </w:pPr>
      <w:r>
        <w:rPr>
          <w:rFonts w:eastAsia="Times New Roman"/>
        </w:rPr>
        <w:pict>
          <v:rect id="_x0000_i1039" style="width:0;height:1.5pt" o:hralign="center" o:hrstd="t" o:hr="t" fillcolor="#a0a0a0" stroked="f"/>
        </w:pict>
      </w:r>
    </w:p>
    <w:p w:rsidR="00000000" w:rsidRDefault="00A270CC">
      <w:pPr>
        <w:divId w:val="199845847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94850726"/>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359823580"/>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894850726"/>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894850726"/>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Company adjusted the carrying amount of these assets to their fair value and classified these assets as held for sale within the Midstream &amp; Marketing segment as of June 30, 202</w:t>
      </w:r>
      <w:r>
        <w:rPr>
          <w:rFonts w:eastAsia="Times New Roman"/>
          <w:color w:val="000000"/>
          <w:sz w:val="20"/>
          <w:szCs w:val="20"/>
        </w:rPr>
        <w:t>0. The Company determined the fair value of such assets falls within Level 2 of the fair value hierarchy and was based upon the agreed upon sales price. During the three and nine months ended June 30, 2020, we recognized a non-cash, pre-tax impairment char</w:t>
      </w:r>
      <w:r>
        <w:rPr>
          <w:rFonts w:eastAsia="Times New Roman"/>
          <w:color w:val="000000"/>
          <w:sz w:val="20"/>
          <w:szCs w:val="20"/>
        </w:rPr>
        <w:t>ge of $51.6 which amount is reflected in “Impairment of assets held-for-sale” on the Condensed Consolidated Statements of Income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Other Non-Operating (Expense) Income, Net</w:t>
      </w:r>
      <w:r>
        <w:rPr>
          <w:rFonts w:eastAsia="Times New Roman"/>
          <w:b/>
          <w:bCs/>
          <w:i/>
          <w:iCs/>
          <w:color w:val="000000"/>
          <w:sz w:val="20"/>
          <w:szCs w:val="20"/>
        </w:rPr>
        <w:t>.</w:t>
      </w:r>
      <w:r>
        <w:rPr>
          <w:rFonts w:eastAsia="Times New Roman"/>
          <w:color w:val="000000"/>
          <w:sz w:val="20"/>
          <w:szCs w:val="20"/>
        </w:rPr>
        <w:t xml:space="preserve"> Included in “Other non-operating (expense) income, net,” on the Condensed Consoli</w:t>
      </w:r>
      <w:r>
        <w:rPr>
          <w:rFonts w:eastAsia="Times New Roman"/>
          <w:color w:val="000000"/>
          <w:sz w:val="20"/>
          <w:szCs w:val="20"/>
        </w:rPr>
        <w:t>dated Statements of Income are net gains (losses) on forward foreign currency contracts used to reduce volatility in net income associated with our foreign operations, amortization of excluded components of certain net investment hedges and non-service inc</w:t>
      </w:r>
      <w:r>
        <w:rPr>
          <w:rFonts w:eastAsia="Times New Roman"/>
          <w:color w:val="000000"/>
          <w:sz w:val="20"/>
          <w:szCs w:val="20"/>
        </w:rPr>
        <w:t>ome (expense) associated with our pension and other postretirement plans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Use of Estimates</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 xml:space="preserve">The preparation of financial statements in accordance with GAAP requires management to make estimates and assumptions that affect the reported amounts of assets, </w:t>
      </w:r>
      <w:r>
        <w:rPr>
          <w:rFonts w:eastAsia="Times New Roman"/>
          <w:color w:val="000000"/>
          <w:sz w:val="20"/>
          <w:szCs w:val="20"/>
        </w:rPr>
        <w:t>liabilities, revenues, expenses and costs. These estimates are based on management’s knowledge of current events, historical experience and various other assumptions that are believed to be reasonable under the circumstances. Accordingly, actual results ma</w:t>
      </w:r>
      <w:r>
        <w:rPr>
          <w:rFonts w:eastAsia="Times New Roman"/>
          <w:color w:val="000000"/>
          <w:sz w:val="20"/>
          <w:szCs w:val="20"/>
        </w:rPr>
        <w:t>y be different from these estimates and assumptions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Reclassifications</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Certain prior-period amounts have been reclassified to conform to the current-period presentation</w:t>
      </w:r>
      <w:r>
        <w:rPr>
          <w:rFonts w:eastAsia="Times New Roman"/>
          <w:color w:val="000000"/>
          <w:sz w:val="20"/>
          <w:szCs w:val="20"/>
        </w:rPr>
        <w:t>.</w:t>
      </w:r>
    </w:p>
    <w:p w:rsidR="00000000" w:rsidRDefault="00A270CC">
      <w:pPr>
        <w:jc w:val="both"/>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3 — Accounting Change</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ind w:hanging="540"/>
        <w:jc w:val="both"/>
        <w:rPr>
          <w:rFonts w:eastAsia="Times New Roman"/>
        </w:rPr>
      </w:pPr>
    </w:p>
    <w:p w:rsidR="00000000" w:rsidRDefault="00A270CC">
      <w:pPr>
        <w:jc w:val="both"/>
        <w:rPr>
          <w:rFonts w:eastAsia="Times New Roman"/>
        </w:rPr>
      </w:pPr>
      <w:r>
        <w:rPr>
          <w:rFonts w:eastAsia="Times New Roman"/>
          <w:b/>
          <w:bCs/>
          <w:color w:val="000000"/>
          <w:sz w:val="20"/>
          <w:szCs w:val="20"/>
        </w:rPr>
        <w:t>New Accounting Standards Adopted in Fiscal 202</w:t>
      </w:r>
      <w:r>
        <w:rPr>
          <w:rFonts w:eastAsia="Times New Roman"/>
          <w:b/>
          <w:bCs/>
          <w:color w:val="000000"/>
          <w:sz w:val="20"/>
          <w:szCs w:val="20"/>
        </w:rPr>
        <w:t>0</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Derivatives and Hedging</w:t>
      </w:r>
      <w:r>
        <w:rPr>
          <w:rFonts w:eastAsia="Times New Roman"/>
          <w:b/>
          <w:bCs/>
          <w:i/>
          <w:iCs/>
          <w:color w:val="000000"/>
          <w:sz w:val="20"/>
          <w:szCs w:val="20"/>
        </w:rPr>
        <w:t>.</w:t>
      </w:r>
      <w:r>
        <w:rPr>
          <w:rFonts w:eastAsia="Times New Roman"/>
          <w:color w:val="000000"/>
          <w:sz w:val="20"/>
          <w:szCs w:val="20"/>
        </w:rPr>
        <w:t xml:space="preserve"> Effective October 1, 2019, the Company adopted ASU No. 2017-12, “Targeted Improvements to Accounting for Hedging Activities.” This ASU amends and simplifies existing guidance to all</w:t>
      </w:r>
      <w:r>
        <w:rPr>
          <w:rFonts w:eastAsia="Times New Roman"/>
          <w:color w:val="000000"/>
          <w:sz w:val="20"/>
          <w:szCs w:val="20"/>
        </w:rPr>
        <w:t>ow companies to more accurately present the economic effects of risk management activities in the financial statements. For cash flow and net investment hedges as of the adoption date, the guidance required a modified retrospective approach. The amended pr</w:t>
      </w:r>
      <w:r>
        <w:rPr>
          <w:rFonts w:eastAsia="Times New Roman"/>
          <w:color w:val="000000"/>
          <w:sz w:val="20"/>
          <w:szCs w:val="20"/>
        </w:rPr>
        <w:t>esentation and disclosure guidance was required prospectively. The adoption of the new guidance did not have a material impact on our consolidated financial statements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Leases</w:t>
      </w:r>
      <w:r>
        <w:rPr>
          <w:rFonts w:eastAsia="Times New Roman"/>
          <w:b/>
          <w:bCs/>
          <w:i/>
          <w:iCs/>
          <w:color w:val="000000"/>
          <w:sz w:val="20"/>
          <w:szCs w:val="20"/>
        </w:rPr>
        <w:t>.</w:t>
      </w:r>
      <w:r>
        <w:rPr>
          <w:rFonts w:eastAsia="Times New Roman"/>
          <w:color w:val="000000"/>
          <w:sz w:val="20"/>
          <w:szCs w:val="20"/>
        </w:rPr>
        <w:t xml:space="preserve"> Effective October 1, 2019, the Company adopted new accounting guidance for le</w:t>
      </w:r>
      <w:r>
        <w:rPr>
          <w:rFonts w:eastAsia="Times New Roman"/>
          <w:color w:val="000000"/>
          <w:sz w:val="20"/>
          <w:szCs w:val="20"/>
        </w:rPr>
        <w:t>ases in accordance with ASC 842. See Notes 2 and 9 for a detailed description of the impact of the new guidance and related disclosures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Accounting Standards Not Yet Adopte</w:t>
      </w:r>
      <w:r>
        <w:rPr>
          <w:rFonts w:eastAsia="Times New Roman"/>
          <w:b/>
          <w:bCs/>
          <w:color w:val="000000"/>
          <w:sz w:val="20"/>
          <w:szCs w:val="20"/>
        </w:rPr>
        <w:t>d</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Credit Losses.</w:t>
      </w:r>
      <w:r>
        <w:rPr>
          <w:rFonts w:eastAsia="Times New Roman"/>
          <w:b/>
          <w:bCs/>
          <w:i/>
          <w:iCs/>
          <w:color w:val="000000"/>
          <w:sz w:val="20"/>
          <w:szCs w:val="20"/>
        </w:rPr>
        <w:t xml:space="preserve"> </w:t>
      </w:r>
      <w:r>
        <w:rPr>
          <w:rFonts w:eastAsia="Times New Roman"/>
          <w:color w:val="000000"/>
          <w:sz w:val="20"/>
          <w:szCs w:val="20"/>
        </w:rPr>
        <w:t>In June 2016, the FASB issued ASU 2016-13, “Measurement of Cred</w:t>
      </w:r>
      <w:r>
        <w:rPr>
          <w:rFonts w:eastAsia="Times New Roman"/>
          <w:color w:val="000000"/>
          <w:sz w:val="20"/>
          <w:szCs w:val="20"/>
        </w:rPr>
        <w:t>it Losses on Financial Instruments</w:t>
      </w:r>
      <w:r>
        <w:rPr>
          <w:rFonts w:eastAsia="Times New Roman"/>
          <w:color w:val="000000"/>
          <w:sz w:val="20"/>
          <w:szCs w:val="20"/>
        </w:rPr>
        <w:t>.</w:t>
      </w:r>
      <w:r>
        <w:rPr>
          <w:rFonts w:eastAsia="Times New Roman"/>
          <w:i/>
          <w:iCs/>
          <w:color w:val="000000"/>
          <w:sz w:val="20"/>
          <w:szCs w:val="20"/>
        </w:rPr>
        <w:t>”</w:t>
      </w:r>
      <w:r>
        <w:rPr>
          <w:rFonts w:eastAsia="Times New Roman"/>
          <w:color w:val="000000"/>
          <w:sz w:val="20"/>
          <w:szCs w:val="20"/>
        </w:rPr>
        <w:t xml:space="preserve"> This ASU, as subsequently amended, requires entities to estimate lifetime expected credit losses for financial instruments not measured at fair value through net income, including trade and other receivables, net invest</w:t>
      </w:r>
      <w:r>
        <w:rPr>
          <w:rFonts w:eastAsia="Times New Roman"/>
          <w:color w:val="000000"/>
          <w:sz w:val="20"/>
          <w:szCs w:val="20"/>
        </w:rPr>
        <w:t>ments in leases, financial receivables, debt securities, and other financial instruments, which may result in earlier recognition of credit losses. Further, the new current expected credit loss model may affect how entities estimate their allowance for los</w:t>
      </w:r>
      <w:r>
        <w:rPr>
          <w:rFonts w:eastAsia="Times New Roman"/>
          <w:color w:val="000000"/>
          <w:sz w:val="20"/>
          <w:szCs w:val="20"/>
        </w:rPr>
        <w:t>ses related to receivables that are current with respect to their payment terms. ASU 2016-13 is effective for the Company for interim and annual periods beginning October 1, 2020 (Fiscal 2021). Early adoption is permitted, however, the Company expects to a</w:t>
      </w:r>
      <w:r>
        <w:rPr>
          <w:rFonts w:eastAsia="Times New Roman"/>
          <w:color w:val="000000"/>
          <w:sz w:val="20"/>
          <w:szCs w:val="20"/>
        </w:rPr>
        <w:t>dopt the new guidance in the first quarter of Fiscal 2021. The Company is in the process of assessing the impact on its financial statements from the adoption of the new guidance.</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Income Taxes.</w:t>
      </w:r>
      <w:r>
        <w:rPr>
          <w:rFonts w:eastAsia="Times New Roman"/>
          <w:b/>
          <w:bCs/>
          <w:i/>
          <w:iCs/>
          <w:color w:val="000000"/>
          <w:sz w:val="20"/>
          <w:szCs w:val="20"/>
        </w:rPr>
        <w:t xml:space="preserve"> </w:t>
      </w:r>
      <w:r>
        <w:rPr>
          <w:rFonts w:eastAsia="Times New Roman"/>
          <w:color w:val="000000"/>
          <w:sz w:val="20"/>
          <w:szCs w:val="20"/>
        </w:rPr>
        <w:t>In December 2019, the FASB issued ASU 2019-12, “Income Taxe</w:t>
      </w:r>
      <w:r>
        <w:rPr>
          <w:rFonts w:eastAsia="Times New Roman"/>
          <w:color w:val="000000"/>
          <w:sz w:val="20"/>
          <w:szCs w:val="20"/>
        </w:rPr>
        <w:t>s (Topic 740): Simplifying the Accounting for Income Taxes.” This ASU simplifies the accounting for income taxes by eliminating certain exceptions within the existing guidance for recognizing deferred taxes for equity method investments, performing intrape</w:t>
      </w:r>
      <w:r>
        <w:rPr>
          <w:rFonts w:eastAsia="Times New Roman"/>
          <w:color w:val="000000"/>
          <w:sz w:val="20"/>
          <w:szCs w:val="20"/>
        </w:rPr>
        <w:t>riod allocations and calculating income taxes in interim periods. Further, this ASU clarifies existing guidance related to, among other things, recognizing deferred taxes for goodwill and allocated taxes to members of a consolidated group. ASU 2019-12 is e</w:t>
      </w:r>
      <w:r>
        <w:rPr>
          <w:rFonts w:eastAsia="Times New Roman"/>
          <w:color w:val="000000"/>
          <w:sz w:val="20"/>
          <w:szCs w:val="20"/>
        </w:rPr>
        <w:t>ffective for the Company for interim and annual periods beginning October 1, 2021 (Fiscal 2022). Early adoption is permitted. The Company is in the process of assessing the impact on its financial statements from the adoption of the new guidance and determ</w:t>
      </w:r>
      <w:r>
        <w:rPr>
          <w:rFonts w:eastAsia="Times New Roman"/>
          <w:color w:val="000000"/>
          <w:sz w:val="20"/>
          <w:szCs w:val="20"/>
        </w:rPr>
        <w:t>ining the period in which the new guidance will be adopted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Reference Rate Reform</w:t>
      </w:r>
      <w:r>
        <w:rPr>
          <w:rFonts w:eastAsia="Times New Roman"/>
          <w:b/>
          <w:bCs/>
          <w:i/>
          <w:iCs/>
          <w:color w:val="000000"/>
          <w:sz w:val="20"/>
          <w:szCs w:val="20"/>
        </w:rPr>
        <w:t>.</w:t>
      </w:r>
      <w:r>
        <w:rPr>
          <w:rFonts w:ascii="Calibri" w:eastAsia="Times New Roman" w:hAnsi="Calibri" w:cs="Calibri"/>
          <w:color w:val="000000"/>
          <w:sz w:val="22"/>
          <w:szCs w:val="22"/>
        </w:rPr>
        <w:t xml:space="preserve"> </w:t>
      </w:r>
      <w:r>
        <w:rPr>
          <w:rFonts w:eastAsia="Times New Roman"/>
          <w:color w:val="000000"/>
          <w:sz w:val="20"/>
          <w:szCs w:val="20"/>
        </w:rPr>
        <w:t>In March 2020, the FASB issued ASU 2020-04, “Reference Rate Reform (Topic 848): Facilitation of the Effects of Reference Rate Reform on Financial Reporting.” This ASU prov</w:t>
      </w:r>
      <w:r>
        <w:rPr>
          <w:rFonts w:eastAsia="Times New Roman"/>
          <w:color w:val="000000"/>
          <w:sz w:val="20"/>
          <w:szCs w:val="20"/>
        </w:rPr>
        <w:t>ides entities with temporary optional guidance to</w:t>
      </w:r>
      <w:r>
        <w:rPr>
          <w:rFonts w:eastAsia="Times New Roman"/>
          <w:color w:val="000000"/>
          <w:sz w:val="20"/>
          <w:szCs w:val="20"/>
        </w:rPr>
        <w:t xml:space="preserve"> </w:t>
      </w:r>
    </w:p>
    <w:p w:rsidR="00000000" w:rsidRDefault="00A270CC">
      <w:pPr>
        <w:jc w:val="center"/>
        <w:divId w:val="799304402"/>
        <w:rPr>
          <w:rFonts w:eastAsia="Times New Roman"/>
        </w:rPr>
      </w:pPr>
      <w:r>
        <w:rPr>
          <w:rFonts w:eastAsia="Times New Roman"/>
          <w:color w:val="000000"/>
          <w:sz w:val="20"/>
          <w:szCs w:val="20"/>
        </w:rPr>
        <w:t>1</w:t>
      </w:r>
      <w:r>
        <w:rPr>
          <w:rFonts w:eastAsia="Times New Roman"/>
          <w:color w:val="000000"/>
          <w:sz w:val="20"/>
          <w:szCs w:val="20"/>
        </w:rPr>
        <w:t>4</w:t>
      </w:r>
    </w:p>
    <w:p w:rsidR="00000000" w:rsidRDefault="00A270CC">
      <w:pPr>
        <w:rPr>
          <w:rFonts w:eastAsia="Times New Roman"/>
        </w:rPr>
      </w:pPr>
      <w:r>
        <w:rPr>
          <w:rFonts w:eastAsia="Times New Roman"/>
        </w:rPr>
        <w:pict>
          <v:rect id="_x0000_i1040" style="width:0;height:1.5pt" o:hralign="center" o:hrstd="t" o:hr="t" fillcolor="#a0a0a0" stroked="f"/>
        </w:pict>
      </w:r>
    </w:p>
    <w:p w:rsidR="00000000" w:rsidRDefault="00A270CC">
      <w:pPr>
        <w:divId w:val="61540940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92661546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453721534"/>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926615467"/>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926615467"/>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ease potential accounting burdens to transition away from LIBOR or other reference rates that are expected to be</w:t>
      </w:r>
      <w:r>
        <w:rPr>
          <w:rFonts w:eastAsia="Times New Roman"/>
          <w:color w:val="000000"/>
          <w:sz w:val="20"/>
          <w:szCs w:val="20"/>
        </w:rPr>
        <w:t xml:space="preserve"> discontinued and replaced with alternative reference rates. This ASU applies to all entities that have contracts, hedging relationships and other transactions affected by reference rate reform. The provisions in this ASU, among other things, simplify cont</w:t>
      </w:r>
      <w:r>
        <w:rPr>
          <w:rFonts w:eastAsia="Times New Roman"/>
          <w:color w:val="000000"/>
          <w:sz w:val="20"/>
          <w:szCs w:val="20"/>
        </w:rPr>
        <w:t>ract modification accounting and allow hedging relationships affected by reference rate reform to continue. ASU 2020-04 is effective upon issuance and entities are able to apply the amendments prospectively through December 31, 2022. During the third quart</w:t>
      </w:r>
      <w:r>
        <w:rPr>
          <w:rFonts w:eastAsia="Times New Roman"/>
          <w:color w:val="000000"/>
          <w:sz w:val="20"/>
          <w:szCs w:val="20"/>
        </w:rPr>
        <w:t>er of Fiscal 2020, the Company elected certain optional expedients related to all outstanding cash flow hedging relationships and such elections did not have a material impact on its financial statements. The Company is in the process of determining the pe</w:t>
      </w:r>
      <w:r>
        <w:rPr>
          <w:rFonts w:eastAsia="Times New Roman"/>
          <w:color w:val="000000"/>
          <w:sz w:val="20"/>
          <w:szCs w:val="20"/>
        </w:rPr>
        <w:t>riod in which other optional expedients will be elected</w:t>
      </w:r>
      <w:r>
        <w:rPr>
          <w:rFonts w:eastAsia="Times New Roman"/>
          <w:color w:val="000000"/>
          <w:sz w:val="20"/>
          <w:szCs w:val="20"/>
        </w:rPr>
        <w:t>.</w:t>
      </w:r>
    </w:p>
    <w:p w:rsidR="00000000" w:rsidRDefault="00A270CC">
      <w:pPr>
        <w:jc w:val="both"/>
        <w:rPr>
          <w:rFonts w:eastAsia="Times New Roman"/>
        </w:rPr>
      </w:pPr>
    </w:p>
    <w:p w:rsidR="00000000" w:rsidRDefault="00A270CC">
      <w:pPr>
        <w:divId w:val="951284001"/>
        <w:rPr>
          <w:rFonts w:eastAsia="Times New Roman"/>
        </w:rPr>
      </w:pPr>
      <w:r>
        <w:rPr>
          <w:rFonts w:eastAsia="Times New Roman"/>
          <w:b/>
          <w:bCs/>
          <w:color w:val="000000"/>
          <w:sz w:val="20"/>
          <w:szCs w:val="20"/>
          <w:u w:val="single"/>
        </w:rPr>
        <w:t>Note 4 — Revenue from Contracts with Customer</w:t>
      </w:r>
      <w:r>
        <w:rPr>
          <w:rFonts w:eastAsia="Times New Roman"/>
          <w:b/>
          <w:bCs/>
          <w:color w:val="000000"/>
          <w:sz w:val="20"/>
          <w:szCs w:val="20"/>
          <w:u w:val="single"/>
        </w:rPr>
        <w:t>s</w:t>
      </w:r>
      <w:r>
        <w:rPr>
          <w:rFonts w:eastAsia="Times New Roman"/>
          <w:color w:val="000000"/>
          <w:sz w:val="20"/>
          <w:szCs w:val="20"/>
        </w:rPr>
        <w:t xml:space="preserve"> </w:t>
      </w:r>
    </w:p>
    <w:p w:rsidR="00000000" w:rsidRDefault="00A270CC">
      <w:pPr>
        <w:divId w:val="764301406"/>
        <w:rPr>
          <w:rFonts w:eastAsia="Times New Roman"/>
        </w:rPr>
      </w:pPr>
    </w:p>
    <w:p w:rsidR="00000000" w:rsidRDefault="00A270CC">
      <w:pPr>
        <w:jc w:val="both"/>
        <w:rPr>
          <w:rFonts w:eastAsia="Times New Roman"/>
        </w:rPr>
      </w:pPr>
      <w:r>
        <w:rPr>
          <w:rFonts w:eastAsia="Times New Roman"/>
          <w:color w:val="000000"/>
          <w:sz w:val="20"/>
          <w:szCs w:val="20"/>
        </w:rPr>
        <w:t xml:space="preserve">The Company recognizes revenue when control of promised goods or services is transferred to customers in an amount that reflects the consideration </w:t>
      </w:r>
      <w:r>
        <w:rPr>
          <w:rFonts w:eastAsia="Times New Roman"/>
          <w:color w:val="000000"/>
          <w:sz w:val="20"/>
          <w:szCs w:val="20"/>
        </w:rPr>
        <w:t>to which we expect to be entitled in exchange for those goods or services. See Note 4 in the Company’s 2019 Annual Report for additional information on our revenues from contracts with customers</w:t>
      </w:r>
      <w:r>
        <w:rPr>
          <w:rFonts w:eastAsia="Times New Roman"/>
          <w:color w:val="000000"/>
          <w:sz w:val="20"/>
          <w:szCs w:val="20"/>
        </w:rPr>
        <w:t>.</w:t>
      </w:r>
    </w:p>
    <w:p w:rsidR="00000000" w:rsidRDefault="00A270CC">
      <w:pPr>
        <w:jc w:val="both"/>
        <w:rPr>
          <w:rFonts w:eastAsia="Times New Roman"/>
        </w:rPr>
      </w:pPr>
    </w:p>
    <w:p w:rsidR="00000000" w:rsidRDefault="00A270CC">
      <w:pPr>
        <w:divId w:val="1243874014"/>
        <w:rPr>
          <w:rFonts w:eastAsia="Times New Roman"/>
        </w:rPr>
      </w:pPr>
      <w:r>
        <w:rPr>
          <w:rFonts w:eastAsia="Times New Roman"/>
          <w:b/>
          <w:bCs/>
          <w:color w:val="000000"/>
          <w:sz w:val="20"/>
          <w:szCs w:val="20"/>
        </w:rPr>
        <w:t>Revenue Disaggregatio</w:t>
      </w:r>
      <w:r>
        <w:rPr>
          <w:rFonts w:eastAsia="Times New Roman"/>
          <w:b/>
          <w:bCs/>
          <w:color w:val="000000"/>
          <w:sz w:val="20"/>
          <w:szCs w:val="20"/>
        </w:rPr>
        <w:t>n</w:t>
      </w:r>
    </w:p>
    <w:p w:rsidR="00000000" w:rsidRDefault="00A270CC">
      <w:pPr>
        <w:divId w:val="84764520"/>
        <w:rPr>
          <w:rFonts w:eastAsia="Times New Roman"/>
        </w:rPr>
      </w:pPr>
      <w:r>
        <w:rPr>
          <w:rFonts w:eastAsia="Times New Roman"/>
          <w:color w:val="000000"/>
          <w:sz w:val="20"/>
          <w:szCs w:val="20"/>
        </w:rPr>
        <w:t>The following tables present our disaggregated revenues by reportable segment for the three and nine months ended June 30, 2020 and 2019</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00"/>
        <w:gridCol w:w="39"/>
        <w:gridCol w:w="36"/>
        <w:gridCol w:w="36"/>
        <w:gridCol w:w="36"/>
        <w:gridCol w:w="115"/>
        <w:gridCol w:w="535"/>
        <w:gridCol w:w="75"/>
        <w:gridCol w:w="36"/>
        <w:gridCol w:w="36"/>
        <w:gridCol w:w="36"/>
        <w:gridCol w:w="116"/>
        <w:gridCol w:w="719"/>
        <w:gridCol w:w="89"/>
        <w:gridCol w:w="36"/>
        <w:gridCol w:w="36"/>
        <w:gridCol w:w="36"/>
        <w:gridCol w:w="116"/>
        <w:gridCol w:w="573"/>
        <w:gridCol w:w="82"/>
        <w:gridCol w:w="36"/>
        <w:gridCol w:w="36"/>
        <w:gridCol w:w="36"/>
        <w:gridCol w:w="116"/>
        <w:gridCol w:w="683"/>
        <w:gridCol w:w="87"/>
        <w:gridCol w:w="36"/>
        <w:gridCol w:w="36"/>
        <w:gridCol w:w="36"/>
        <w:gridCol w:w="116"/>
        <w:gridCol w:w="611"/>
        <w:gridCol w:w="81"/>
        <w:gridCol w:w="36"/>
        <w:gridCol w:w="36"/>
        <w:gridCol w:w="36"/>
        <w:gridCol w:w="115"/>
        <w:gridCol w:w="415"/>
        <w:gridCol w:w="75"/>
        <w:gridCol w:w="36"/>
        <w:gridCol w:w="36"/>
        <w:gridCol w:w="36"/>
        <w:gridCol w:w="116"/>
        <w:gridCol w:w="553"/>
        <w:gridCol w:w="83"/>
      </w:tblGrid>
      <w:tr w:rsidR="00000000">
        <w:trPr>
          <w:divId w:val="1631010196"/>
          <w:jc w:val="center"/>
        </w:trPr>
        <w:tc>
          <w:tcPr>
            <w:tcW w:w="50" w:type="pct"/>
            <w:vAlign w:val="center"/>
            <w:hideMark/>
          </w:tcPr>
          <w:p w:rsidR="00000000" w:rsidRDefault="00A270CC">
            <w:pPr>
              <w:rPr>
                <w:rFonts w:eastAsia="Times New Roman"/>
              </w:rPr>
            </w:pPr>
          </w:p>
        </w:tc>
        <w:tc>
          <w:tcPr>
            <w:tcW w:w="13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0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8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631010196"/>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Total</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AmeriGas Propane</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International</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Corporate &amp; Other</w:t>
            </w:r>
            <w:r>
              <w:rPr>
                <w:rFonts w:eastAsia="Times New Roman"/>
                <w:color w:val="000000"/>
                <w:sz w:val="16"/>
                <w:szCs w:val="16"/>
              </w:rPr>
              <w:t xml:space="preserve"> </w:t>
            </w:r>
          </w:p>
        </w:tc>
      </w:tr>
      <w:tr w:rsidR="00000000">
        <w:trPr>
          <w:divId w:val="163101019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Revenues from contracts with customers</w:t>
            </w:r>
            <w:r>
              <w:rPr>
                <w:rFonts w:eastAsia="Times New Roman"/>
                <w:b/>
                <w:bCs/>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Utility</w:t>
            </w:r>
            <w:r>
              <w:rPr>
                <w:rFonts w:eastAsia="Times New Roman"/>
                <w:color w:val="000000"/>
                <w:sz w:val="16"/>
                <w:szCs w:val="16"/>
                <w:u w:val="single"/>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Core Market</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A270CC">
        <w:trPr>
          <w:divId w:val="1631010196"/>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Residentia</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Commercial &amp; Industria</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Large delivery servic</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Off-system sales and capacity release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Utilit</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171.1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178.6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Non-Utility</w:t>
            </w:r>
            <w:r>
              <w:rPr>
                <w:rFonts w:eastAsia="Times New Roman"/>
                <w:color w:val="000000"/>
                <w:sz w:val="16"/>
                <w:szCs w:val="16"/>
                <w:u w:val="single"/>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LPG</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Retai</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622.0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250.6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Wholesal</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Energy Marketin</w:t>
            </w:r>
            <w:r>
              <w:rPr>
                <w:rFonts w:eastAsia="Times New Roman"/>
                <w:color w:val="000000"/>
                <w:sz w:val="16"/>
                <w:szCs w:val="16"/>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222.9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158.4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Midstream</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31010196"/>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Pipelin</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Peakin</w:t>
            </w:r>
            <w:r>
              <w:rPr>
                <w:rFonts w:eastAsia="Times New Roman"/>
                <w:color w:val="000000"/>
                <w:sz w:val="16"/>
                <w:szCs w:val="16"/>
              </w:rPr>
              <w:t>g</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Electricity Generatio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Non-Utilit</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999.9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(20.8</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434.9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366.7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219.1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revenues from contracts with customer</w:t>
            </w:r>
            <w:r>
              <w:rPr>
                <w:rFonts w:eastAsia="Times New Roman"/>
                <w:b/>
                <w:bCs/>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1,171.0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(28.3</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434.9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366.7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219.1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178.6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631010196"/>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revenues (b</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divId w:val="163101019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revenues</w:t>
            </w:r>
            <w:r>
              <w:rPr>
                <w:rFonts w:eastAsia="Times New Roman"/>
                <w:b/>
                <w:bCs/>
                <w:color w:val="000000"/>
                <w:sz w:val="16"/>
                <w:szCs w:val="16"/>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1,199.3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(29.0</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450.9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371.5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222.5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jc w:val="center"/>
        <w:divId w:val="1992447217"/>
        <w:rPr>
          <w:rFonts w:eastAsia="Times New Roman"/>
        </w:rPr>
      </w:pPr>
      <w:r>
        <w:rPr>
          <w:rFonts w:eastAsia="Times New Roman"/>
          <w:color w:val="000000"/>
          <w:sz w:val="20"/>
          <w:szCs w:val="20"/>
        </w:rPr>
        <w:t>1</w:t>
      </w:r>
      <w:r>
        <w:rPr>
          <w:rFonts w:eastAsia="Times New Roman"/>
          <w:color w:val="000000"/>
          <w:sz w:val="20"/>
          <w:szCs w:val="20"/>
        </w:rPr>
        <w:t>5</w:t>
      </w:r>
    </w:p>
    <w:p w:rsidR="00000000" w:rsidRDefault="00A270CC">
      <w:pPr>
        <w:rPr>
          <w:rFonts w:eastAsia="Times New Roman"/>
        </w:rPr>
      </w:pPr>
      <w:r>
        <w:rPr>
          <w:rFonts w:eastAsia="Times New Roman"/>
        </w:rPr>
        <w:pict>
          <v:rect id="_x0000_i1041" style="width:0;height:1.5pt" o:hralign="center" o:hrstd="t" o:hr="t" fillcolor="#a0a0a0" stroked="f"/>
        </w:pict>
      </w:r>
    </w:p>
    <w:p w:rsidR="00000000" w:rsidRDefault="00A270CC">
      <w:pPr>
        <w:divId w:val="165964809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349181503"/>
        <w:rPr>
          <w:rFonts w:eastAsia="Times New Roman"/>
        </w:rPr>
      </w:pPr>
      <w:r>
        <w:rPr>
          <w:rFonts w:eastAsia="Times New Roman"/>
          <w:b/>
          <w:bCs/>
          <w:color w:val="000000"/>
          <w:sz w:val="20"/>
          <w:szCs w:val="20"/>
        </w:rPr>
        <w:t>UGI CORPORATION AN</w:t>
      </w:r>
      <w:r>
        <w:rPr>
          <w:rFonts w:eastAsia="Times New Roman"/>
          <w:b/>
          <w:bCs/>
          <w:color w:val="000000"/>
          <w:sz w:val="20"/>
          <w:szCs w:val="20"/>
        </w:rPr>
        <w:t>D SUBSIDIARIE</w:t>
      </w:r>
      <w:r>
        <w:rPr>
          <w:rFonts w:eastAsia="Times New Roman"/>
          <w:b/>
          <w:bCs/>
          <w:color w:val="000000"/>
          <w:sz w:val="20"/>
          <w:szCs w:val="20"/>
        </w:rPr>
        <w:t>S</w:t>
      </w:r>
    </w:p>
    <w:p w:rsidR="00000000" w:rsidRDefault="00A270CC">
      <w:pPr>
        <w:jc w:val="center"/>
        <w:divId w:val="38484199"/>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34918150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349181503"/>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00"/>
        <w:gridCol w:w="39"/>
        <w:gridCol w:w="36"/>
        <w:gridCol w:w="36"/>
        <w:gridCol w:w="36"/>
        <w:gridCol w:w="115"/>
        <w:gridCol w:w="535"/>
        <w:gridCol w:w="75"/>
        <w:gridCol w:w="36"/>
        <w:gridCol w:w="36"/>
        <w:gridCol w:w="36"/>
        <w:gridCol w:w="116"/>
        <w:gridCol w:w="719"/>
        <w:gridCol w:w="89"/>
        <w:gridCol w:w="36"/>
        <w:gridCol w:w="36"/>
        <w:gridCol w:w="36"/>
        <w:gridCol w:w="116"/>
        <w:gridCol w:w="573"/>
        <w:gridCol w:w="82"/>
        <w:gridCol w:w="36"/>
        <w:gridCol w:w="36"/>
        <w:gridCol w:w="36"/>
        <w:gridCol w:w="116"/>
        <w:gridCol w:w="683"/>
        <w:gridCol w:w="87"/>
        <w:gridCol w:w="36"/>
        <w:gridCol w:w="36"/>
        <w:gridCol w:w="36"/>
        <w:gridCol w:w="116"/>
        <w:gridCol w:w="611"/>
        <w:gridCol w:w="81"/>
        <w:gridCol w:w="36"/>
        <w:gridCol w:w="36"/>
        <w:gridCol w:w="36"/>
        <w:gridCol w:w="115"/>
        <w:gridCol w:w="415"/>
        <w:gridCol w:w="75"/>
        <w:gridCol w:w="36"/>
        <w:gridCol w:w="36"/>
        <w:gridCol w:w="36"/>
        <w:gridCol w:w="116"/>
        <w:gridCol w:w="553"/>
        <w:gridCol w:w="83"/>
      </w:tblGrid>
      <w:tr w:rsidR="00000000">
        <w:trPr>
          <w:divId w:val="1832794353"/>
          <w:jc w:val="center"/>
        </w:trPr>
        <w:tc>
          <w:tcPr>
            <w:tcW w:w="50" w:type="pct"/>
            <w:vAlign w:val="center"/>
            <w:hideMark/>
          </w:tcPr>
          <w:p w:rsidR="00000000" w:rsidRDefault="00A270CC">
            <w:pPr>
              <w:jc w:val="center"/>
              <w:rPr>
                <w:rFonts w:eastAsia="Times New Roman"/>
              </w:rPr>
            </w:pPr>
          </w:p>
        </w:tc>
        <w:tc>
          <w:tcPr>
            <w:tcW w:w="13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0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8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832794353"/>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Three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Tota</w:t>
            </w:r>
            <w:r>
              <w:rPr>
                <w:rFonts w:eastAsia="Times New Roman"/>
                <w:color w:val="000000"/>
                <w:sz w:val="16"/>
                <w:szCs w:val="16"/>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AmeriGas Propane</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International</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Corporate &amp; Othe</w:t>
            </w:r>
            <w:r>
              <w:rPr>
                <w:rFonts w:eastAsia="Times New Roman"/>
                <w:color w:val="000000"/>
                <w:sz w:val="16"/>
                <w:szCs w:val="16"/>
              </w:rPr>
              <w:t>r</w:t>
            </w:r>
          </w:p>
        </w:tc>
      </w:tr>
      <w:tr w:rsidR="00000000">
        <w:trPr>
          <w:divId w:val="183279435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Revenues from contracts with customers</w:t>
            </w:r>
            <w:r>
              <w:rPr>
                <w:rFonts w:eastAsia="Times New Roman"/>
                <w:b/>
                <w:bCs/>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Utility</w:t>
            </w:r>
            <w:r>
              <w:rPr>
                <w:rFonts w:eastAsia="Times New Roman"/>
                <w:color w:val="000000"/>
                <w:sz w:val="16"/>
                <w:szCs w:val="16"/>
                <w:u w:val="single"/>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Core Market</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A270CC">
        <w:trPr>
          <w:divId w:val="183279435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Residentia</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Commercial &amp; Industria</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Large delivery servic</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Off-system sales and capacity release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(c</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Utilit</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152.4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163.3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Non-Utility</w:t>
            </w:r>
            <w:r>
              <w:rPr>
                <w:rFonts w:eastAsia="Times New Roman"/>
                <w:color w:val="000000"/>
                <w:sz w:val="16"/>
                <w:szCs w:val="16"/>
                <w:u w:val="single"/>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LPG</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Retai</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405.9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348.2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Wholesal</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35.7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Energy Marketin</w:t>
            </w:r>
            <w:r>
              <w:rPr>
                <w:rFonts w:eastAsia="Times New Roman"/>
                <w:color w:val="000000"/>
                <w:sz w:val="16"/>
                <w:szCs w:val="16"/>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80.4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Midstream</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279435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Pipelin</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Peakin</w:t>
            </w:r>
            <w:r>
              <w:rPr>
                <w:rFonts w:eastAsia="Times New Roman"/>
                <w:color w:val="000000"/>
                <w:sz w:val="16"/>
                <w:szCs w:val="16"/>
              </w:rPr>
              <w:t>g</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Electricity Generatio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76.2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48.2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14.5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Non-Utilit</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1,179.4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462.9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478.9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265.6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revenues from contracts with customer</w:t>
            </w:r>
            <w:r>
              <w:rPr>
                <w:rFonts w:eastAsia="Times New Roman"/>
                <w:b/>
                <w:bCs/>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1,331.8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(38.9</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462.9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478.9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265.6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163.3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183279435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revenues (b</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divId w:val="183279435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w:t>
            </w:r>
            <w:r>
              <w:rPr>
                <w:rFonts w:eastAsia="Times New Roman"/>
                <w:b/>
                <w:bCs/>
                <w:color w:val="000000"/>
                <w:sz w:val="16"/>
                <w:szCs w:val="16"/>
              </w:rPr>
              <w:t>al revenue</w:t>
            </w:r>
            <w:r>
              <w:rPr>
                <w:rFonts w:eastAsia="Times New Roman"/>
                <w:b/>
                <w:bCs/>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1,363.7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(39.6</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478.7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486.6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267.3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163.9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jc w:val="center"/>
        <w:divId w:val="359168784"/>
        <w:rPr>
          <w:rFonts w:eastAsia="Times New Roman"/>
        </w:rPr>
      </w:pPr>
      <w:r>
        <w:rPr>
          <w:rFonts w:eastAsia="Times New Roman"/>
          <w:color w:val="000000"/>
          <w:sz w:val="20"/>
          <w:szCs w:val="20"/>
        </w:rPr>
        <w:t>1</w:t>
      </w:r>
      <w:r>
        <w:rPr>
          <w:rFonts w:eastAsia="Times New Roman"/>
          <w:color w:val="000000"/>
          <w:sz w:val="20"/>
          <w:szCs w:val="20"/>
        </w:rPr>
        <w:t>6</w:t>
      </w:r>
    </w:p>
    <w:p w:rsidR="00000000" w:rsidRDefault="00A270CC">
      <w:pPr>
        <w:rPr>
          <w:rFonts w:eastAsia="Times New Roman"/>
        </w:rPr>
      </w:pPr>
      <w:r>
        <w:rPr>
          <w:rFonts w:eastAsia="Times New Roman"/>
        </w:rPr>
        <w:pict>
          <v:rect id="_x0000_i1042" style="width:0;height:1.5pt" o:hralign="center" o:hrstd="t" o:hr="t" fillcolor="#a0a0a0" stroked="f"/>
        </w:pict>
      </w:r>
    </w:p>
    <w:p w:rsidR="00000000" w:rsidRDefault="00A270CC">
      <w:pPr>
        <w:divId w:val="40248702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55720354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375854567"/>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55720354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557203543"/>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02"/>
        <w:gridCol w:w="39"/>
        <w:gridCol w:w="36"/>
        <w:gridCol w:w="36"/>
        <w:gridCol w:w="36"/>
        <w:gridCol w:w="115"/>
        <w:gridCol w:w="535"/>
        <w:gridCol w:w="75"/>
        <w:gridCol w:w="36"/>
        <w:gridCol w:w="36"/>
        <w:gridCol w:w="36"/>
        <w:gridCol w:w="116"/>
        <w:gridCol w:w="719"/>
        <w:gridCol w:w="89"/>
        <w:gridCol w:w="36"/>
        <w:gridCol w:w="36"/>
        <w:gridCol w:w="36"/>
        <w:gridCol w:w="116"/>
        <w:gridCol w:w="569"/>
        <w:gridCol w:w="84"/>
        <w:gridCol w:w="36"/>
        <w:gridCol w:w="36"/>
        <w:gridCol w:w="36"/>
        <w:gridCol w:w="116"/>
        <w:gridCol w:w="683"/>
        <w:gridCol w:w="87"/>
        <w:gridCol w:w="36"/>
        <w:gridCol w:w="36"/>
        <w:gridCol w:w="36"/>
        <w:gridCol w:w="116"/>
        <w:gridCol w:w="611"/>
        <w:gridCol w:w="81"/>
        <w:gridCol w:w="36"/>
        <w:gridCol w:w="36"/>
        <w:gridCol w:w="36"/>
        <w:gridCol w:w="115"/>
        <w:gridCol w:w="415"/>
        <w:gridCol w:w="75"/>
        <w:gridCol w:w="36"/>
        <w:gridCol w:w="36"/>
        <w:gridCol w:w="36"/>
        <w:gridCol w:w="116"/>
        <w:gridCol w:w="553"/>
        <w:gridCol w:w="83"/>
      </w:tblGrid>
      <w:tr w:rsidR="00000000">
        <w:trPr>
          <w:divId w:val="805777452"/>
          <w:jc w:val="center"/>
        </w:trPr>
        <w:tc>
          <w:tcPr>
            <w:tcW w:w="50" w:type="pct"/>
            <w:vAlign w:val="center"/>
            <w:hideMark/>
          </w:tcPr>
          <w:p w:rsidR="00000000" w:rsidRDefault="00A270CC">
            <w:pPr>
              <w:jc w:val="center"/>
              <w:rPr>
                <w:rFonts w:eastAsia="Times New Roman"/>
              </w:rPr>
            </w:pPr>
          </w:p>
        </w:tc>
        <w:tc>
          <w:tcPr>
            <w:tcW w:w="13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0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8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805777452"/>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Nine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Tota</w:t>
            </w:r>
            <w:r>
              <w:rPr>
                <w:rFonts w:eastAsia="Times New Roman"/>
                <w:color w:val="000000"/>
                <w:sz w:val="16"/>
                <w:szCs w:val="16"/>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AmeriGas Propane</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International</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Corporate &amp; Othe</w:t>
            </w:r>
            <w:r>
              <w:rPr>
                <w:rFonts w:eastAsia="Times New Roman"/>
                <w:color w:val="000000"/>
                <w:sz w:val="16"/>
                <w:szCs w:val="16"/>
              </w:rPr>
              <w:t>r</w:t>
            </w:r>
          </w:p>
        </w:tc>
      </w:tr>
      <w:tr w:rsidR="00000000">
        <w:trPr>
          <w:divId w:val="80577745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Revenues from contracts with customers</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805777452"/>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Utility</w:t>
            </w:r>
            <w:r>
              <w:rPr>
                <w:rFonts w:eastAsia="Times New Roman"/>
                <w:color w:val="000000"/>
                <w:sz w:val="16"/>
                <w:szCs w:val="16"/>
                <w:u w:val="single"/>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805777452"/>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Core Market</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A270CC">
        <w:trPr>
          <w:divId w:val="805777452"/>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Residentia</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Commercial &amp; Industria</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192.9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192.9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Large delivery servic</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Off-system sales and capacity release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Utilit</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860.5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899.2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Non-Utility</w:t>
            </w:r>
            <w:r>
              <w:rPr>
                <w:rFonts w:eastAsia="Times New Roman"/>
                <w:color w:val="000000"/>
                <w:sz w:val="16"/>
                <w:szCs w:val="16"/>
                <w:u w:val="single"/>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805777452"/>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LPG</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805777452"/>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Retai</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2,910.7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1,714.8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1,195.9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Wholesal</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Energy Marketin</w:t>
            </w:r>
            <w:r>
              <w:rPr>
                <w:rFonts w:eastAsia="Times New Roman"/>
                <w:color w:val="000000"/>
                <w:sz w:val="16"/>
                <w:szCs w:val="16"/>
              </w:rPr>
              <w:t>g</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1,004.9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(63.6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348.6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719.9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Midstream</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805777452"/>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Pipelin</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Peakin</w:t>
            </w:r>
            <w:r>
              <w:rPr>
                <w:rFonts w:eastAsia="Times New Roman"/>
                <w:color w:val="000000"/>
                <w:sz w:val="16"/>
                <w:szCs w:val="16"/>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(96.6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Electricity Generatio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168.3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Non-Utilit</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4,488.2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(162.3</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1,934.2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1,709.1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1,007.2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revenues from contracts with customer</w:t>
            </w:r>
            <w:r>
              <w:rPr>
                <w:rFonts w:eastAsia="Times New Roman"/>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5,348.7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(201.0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1,934.2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1,709.1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1,007.2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899.2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805777452"/>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revenues (b</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divId w:val="805777452"/>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w:t>
            </w:r>
            <w:r>
              <w:rPr>
                <w:rFonts w:eastAsia="Times New Roman"/>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5,434.8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(203.2</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1,983.3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1,726.3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1,017.2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901.0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jc w:val="center"/>
        <w:divId w:val="714232735"/>
        <w:rPr>
          <w:rFonts w:eastAsia="Times New Roman"/>
        </w:rPr>
      </w:pPr>
      <w:r>
        <w:rPr>
          <w:rFonts w:eastAsia="Times New Roman"/>
          <w:color w:val="000000"/>
          <w:sz w:val="20"/>
          <w:szCs w:val="20"/>
        </w:rPr>
        <w:t>1</w:t>
      </w:r>
      <w:r>
        <w:rPr>
          <w:rFonts w:eastAsia="Times New Roman"/>
          <w:color w:val="000000"/>
          <w:sz w:val="20"/>
          <w:szCs w:val="20"/>
        </w:rPr>
        <w:t>7</w:t>
      </w:r>
    </w:p>
    <w:p w:rsidR="00000000" w:rsidRDefault="00A270CC">
      <w:pPr>
        <w:rPr>
          <w:rFonts w:eastAsia="Times New Roman"/>
        </w:rPr>
      </w:pPr>
      <w:r>
        <w:rPr>
          <w:rFonts w:eastAsia="Times New Roman"/>
        </w:rPr>
        <w:pict>
          <v:rect id="_x0000_i1043" style="width:0;height:1.5pt" o:hralign="center" o:hrstd="t" o:hr="t" fillcolor="#a0a0a0" stroked="f"/>
        </w:pict>
      </w:r>
    </w:p>
    <w:p w:rsidR="00000000" w:rsidRDefault="00A270CC">
      <w:pPr>
        <w:divId w:val="54926861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97722375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500585537"/>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977223752"/>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977223752"/>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01"/>
        <w:gridCol w:w="39"/>
        <w:gridCol w:w="36"/>
        <w:gridCol w:w="36"/>
        <w:gridCol w:w="36"/>
        <w:gridCol w:w="115"/>
        <w:gridCol w:w="535"/>
        <w:gridCol w:w="75"/>
        <w:gridCol w:w="36"/>
        <w:gridCol w:w="36"/>
        <w:gridCol w:w="36"/>
        <w:gridCol w:w="116"/>
        <w:gridCol w:w="719"/>
        <w:gridCol w:w="89"/>
        <w:gridCol w:w="36"/>
        <w:gridCol w:w="36"/>
        <w:gridCol w:w="36"/>
        <w:gridCol w:w="116"/>
        <w:gridCol w:w="569"/>
        <w:gridCol w:w="84"/>
        <w:gridCol w:w="36"/>
        <w:gridCol w:w="36"/>
        <w:gridCol w:w="36"/>
        <w:gridCol w:w="116"/>
        <w:gridCol w:w="683"/>
        <w:gridCol w:w="87"/>
        <w:gridCol w:w="36"/>
        <w:gridCol w:w="36"/>
        <w:gridCol w:w="36"/>
        <w:gridCol w:w="116"/>
        <w:gridCol w:w="611"/>
        <w:gridCol w:w="81"/>
        <w:gridCol w:w="36"/>
        <w:gridCol w:w="36"/>
        <w:gridCol w:w="36"/>
        <w:gridCol w:w="115"/>
        <w:gridCol w:w="415"/>
        <w:gridCol w:w="75"/>
        <w:gridCol w:w="36"/>
        <w:gridCol w:w="36"/>
        <w:gridCol w:w="36"/>
        <w:gridCol w:w="116"/>
        <w:gridCol w:w="555"/>
        <w:gridCol w:w="82"/>
      </w:tblGrid>
      <w:tr w:rsidR="00000000">
        <w:trPr>
          <w:divId w:val="799030943"/>
          <w:jc w:val="center"/>
        </w:trPr>
        <w:tc>
          <w:tcPr>
            <w:tcW w:w="50" w:type="pct"/>
            <w:vAlign w:val="center"/>
            <w:hideMark/>
          </w:tcPr>
          <w:p w:rsidR="00000000" w:rsidRDefault="00A270CC">
            <w:pPr>
              <w:jc w:val="center"/>
              <w:rPr>
                <w:rFonts w:eastAsia="Times New Roman"/>
              </w:rPr>
            </w:pPr>
          </w:p>
        </w:tc>
        <w:tc>
          <w:tcPr>
            <w:tcW w:w="13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0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8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1"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799030943"/>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Nine Months Ended June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Tota</w:t>
            </w:r>
            <w:r>
              <w:rPr>
                <w:rFonts w:eastAsia="Times New Roman"/>
                <w:color w:val="000000"/>
                <w:sz w:val="16"/>
                <w:szCs w:val="16"/>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AmeriGas Propane</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International</w:t>
            </w:r>
            <w:r>
              <w:rPr>
                <w:rFonts w:eastAsia="Times New Roman"/>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UGI 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Corporate &amp; Othe</w:t>
            </w:r>
            <w:r>
              <w:rPr>
                <w:rFonts w:eastAsia="Times New Roman"/>
                <w:color w:val="000000"/>
                <w:sz w:val="16"/>
                <w:szCs w:val="16"/>
              </w:rPr>
              <w:t>r</w:t>
            </w:r>
          </w:p>
        </w:tc>
      </w:tr>
      <w:tr w:rsidR="00000000">
        <w:trPr>
          <w:divId w:val="79903094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Revenues from contracts with customers</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79903094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Utility</w:t>
            </w:r>
            <w:r>
              <w:rPr>
                <w:rFonts w:eastAsia="Times New Roman"/>
                <w:color w:val="000000"/>
                <w:sz w:val="16"/>
                <w:szCs w:val="16"/>
                <w:u w:val="single"/>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79903094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Core Market</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A270CC">
        <w:trPr>
          <w:divId w:val="79903094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Residentia</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Commercial &amp; Industria</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Large delivery servic</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Off-system sales and capacity release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(57.5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(c</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Utilit</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854.6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(59.8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914.4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u w:val="single"/>
              </w:rPr>
              <w:t>Non-Utility</w:t>
            </w:r>
            <w:r>
              <w:rPr>
                <w:rFonts w:eastAsia="Times New Roman"/>
                <w:color w:val="000000"/>
                <w:sz w:val="16"/>
                <w:szCs w:val="16"/>
                <w:u w:val="single"/>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79903094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LPG</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79903094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Retai</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3,389.4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1,387.0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Wholesal</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143.3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Energy Marketin</w:t>
            </w:r>
            <w:r>
              <w:rPr>
                <w:rFonts w:eastAsia="Times New Roman"/>
                <w:color w:val="000000"/>
                <w:sz w:val="16"/>
                <w:szCs w:val="16"/>
              </w:rPr>
              <w:t>g</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1,295.8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(117.6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386.2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1,027.2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Midstream</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79903094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Pipelin</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Peakin</w:t>
            </w:r>
            <w:r>
              <w:rPr>
                <w:rFonts w:eastAsia="Times New Roman"/>
                <w:color w:val="000000"/>
                <w:sz w:val="16"/>
                <w:szCs w:val="16"/>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(93.6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Electricity Generatio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Non-Utilit</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5,229.9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(213.7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2,223.3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1,956.2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1,264.1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revenues from contracts with customer</w:t>
            </w:r>
            <w:r>
              <w:rPr>
                <w:rFonts w:eastAsia="Times New Roman"/>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6,084.5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(273.5</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2,223.3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1,956.2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1,264.1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914.4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divId w:val="799030943"/>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revenues (b</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85.5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divId w:val="79903094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Total revenue</w:t>
            </w:r>
            <w:r>
              <w:rPr>
                <w:rFonts w:eastAsia="Times New Roman"/>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6,170.0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(276.0</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2,270.5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1,980.5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1,269.1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916.2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divId w:val="1643266816"/>
        <w:rPr>
          <w:rFonts w:eastAsia="Times New Roman"/>
        </w:rPr>
      </w:pPr>
    </w:p>
    <w:p w:rsidR="00000000" w:rsidRDefault="00A270CC">
      <w:pPr>
        <w:ind w:hanging="360"/>
        <w:divId w:val="1697193689"/>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Includes intersegment revenues principally among Midstream &amp; Marketing, UGI Utilities and AmeriGas Propane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Primarily represe</w:t>
      </w:r>
      <w:r>
        <w:rPr>
          <w:rFonts w:eastAsia="Times New Roman"/>
          <w:color w:val="000000"/>
          <w:sz w:val="20"/>
          <w:szCs w:val="20"/>
        </w:rPr>
        <w:t>nts revenues from tank rentals at AmeriGas Propane and UGI International, revenues from certain gathering assets at Midstream &amp; Marketing, and gains and losses on commodity derivative instruments not associated with current-period transactions reflected in</w:t>
      </w:r>
      <w:r>
        <w:rPr>
          <w:rFonts w:eastAsia="Times New Roman"/>
          <w:color w:val="000000"/>
          <w:sz w:val="20"/>
          <w:szCs w:val="20"/>
        </w:rPr>
        <w:t xml:space="preserve"> Corporate &amp; Other, none of which are within the scope of ASC 606 and are accounted for in accordance with other GAAP</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(c</w:t>
      </w:r>
      <w:r>
        <w:rPr>
          <w:rFonts w:eastAsia="Times New Roman"/>
          <w:color w:val="000000"/>
          <w:sz w:val="20"/>
          <w:szCs w:val="20"/>
        </w:rPr>
        <w:t>)</w:t>
      </w:r>
      <w:r>
        <w:rPr>
          <w:rFonts w:eastAsia="Times New Roman"/>
          <w:color w:val="000000"/>
          <w:sz w:val="20"/>
          <w:szCs w:val="20"/>
        </w:rPr>
        <w:t>UGI Utilities includes an unallocated negative surcharge revenue increase (reduction) of $3.3 and $(11.3) for the three and nine month</w:t>
      </w:r>
      <w:r>
        <w:rPr>
          <w:rFonts w:eastAsia="Times New Roman"/>
          <w:color w:val="000000"/>
          <w:sz w:val="20"/>
          <w:szCs w:val="20"/>
        </w:rPr>
        <w:t>s ended June 30, 2019, respectively, as a result of a PAPUC Order issued May 17, 2018, related to the TCJA</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1816409735"/>
        <w:rPr>
          <w:rFonts w:eastAsia="Times New Roman"/>
        </w:rPr>
      </w:pPr>
      <w:r>
        <w:rPr>
          <w:rFonts w:eastAsia="Times New Roman"/>
          <w:b/>
          <w:bCs/>
          <w:color w:val="000000"/>
          <w:sz w:val="20"/>
          <w:szCs w:val="20"/>
        </w:rPr>
        <w:t>Contract Balance</w:t>
      </w:r>
      <w:r>
        <w:rPr>
          <w:rFonts w:eastAsia="Times New Roman"/>
          <w:b/>
          <w:bCs/>
          <w:color w:val="000000"/>
          <w:sz w:val="20"/>
          <w:szCs w:val="20"/>
        </w:rPr>
        <w:t>s</w:t>
      </w:r>
    </w:p>
    <w:p w:rsidR="00000000" w:rsidRDefault="00A270CC">
      <w:pPr>
        <w:jc w:val="both"/>
        <w:divId w:val="16349329"/>
        <w:rPr>
          <w:rFonts w:eastAsia="Times New Roman"/>
        </w:rPr>
      </w:pPr>
      <w:r>
        <w:rPr>
          <w:rFonts w:eastAsia="Times New Roman"/>
          <w:color w:val="000000"/>
          <w:sz w:val="20"/>
          <w:szCs w:val="20"/>
        </w:rPr>
        <w:t>The timing of revenue recognition may differ from the timing of invoicing to customers or cash receipts. Contract assets represe</w:t>
      </w:r>
      <w:r>
        <w:rPr>
          <w:rFonts w:eastAsia="Times New Roman"/>
          <w:color w:val="000000"/>
          <w:sz w:val="20"/>
          <w:szCs w:val="20"/>
        </w:rPr>
        <w:t>nt our right to consideration after the performance obligations have been satisfied when such right is conditioned on something other than the passage of time. Contract assets were not material for all periods presented. Substantially all of our receivable</w:t>
      </w:r>
      <w:r>
        <w:rPr>
          <w:rFonts w:eastAsia="Times New Roman"/>
          <w:color w:val="000000"/>
          <w:sz w:val="20"/>
          <w:szCs w:val="20"/>
        </w:rPr>
        <w:t>s are unconditional rights to consideration and are included in “Accounts receivable” and, in the case of UGI Utilities, “Accrued utility revenues” on the Condensed Consolidated Balance Sheets. Amounts billed are generally due within the following month.</w:t>
      </w:r>
      <w:r>
        <w:rPr>
          <w:rFonts w:eastAsia="Times New Roman"/>
          <w:color w:val="000000"/>
          <w:sz w:val="20"/>
          <w:szCs w:val="20"/>
        </w:rPr>
        <w:t xml:space="preserve"> </w:t>
      </w:r>
    </w:p>
    <w:p w:rsidR="00000000" w:rsidRDefault="00A270CC">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 the Company’s obligations to transfer goods or services to a customer for which we have received consideration. The bal</w:t>
      </w:r>
      <w:r>
        <w:rPr>
          <w:rFonts w:eastAsia="Times New Roman"/>
          <w:color w:val="000000"/>
          <w:sz w:val="20"/>
          <w:szCs w:val="20"/>
        </w:rPr>
        <w:t>ances of contract liabilities were $76.5, $114.1 and $75.0 at June 30, 2020, September 30, 2019 and June 30, 2019, respectively, and are included in “Other current liabilities” and “Other noncurrent liabilities” on the Condensed Consolidated</w:t>
      </w:r>
      <w:r>
        <w:rPr>
          <w:rFonts w:eastAsia="Times New Roman"/>
          <w:color w:val="000000"/>
          <w:sz w:val="20"/>
          <w:szCs w:val="20"/>
        </w:rPr>
        <w:t xml:space="preserve"> </w:t>
      </w:r>
    </w:p>
    <w:p w:rsidR="00000000" w:rsidRDefault="00A270CC">
      <w:pPr>
        <w:jc w:val="center"/>
        <w:divId w:val="284695270"/>
        <w:rPr>
          <w:rFonts w:eastAsia="Times New Roman"/>
        </w:rPr>
      </w:pPr>
      <w:r>
        <w:rPr>
          <w:rFonts w:eastAsia="Times New Roman"/>
          <w:color w:val="000000"/>
          <w:sz w:val="20"/>
          <w:szCs w:val="20"/>
        </w:rPr>
        <w:t>1</w:t>
      </w:r>
      <w:r>
        <w:rPr>
          <w:rFonts w:eastAsia="Times New Roman"/>
          <w:color w:val="000000"/>
          <w:sz w:val="20"/>
          <w:szCs w:val="20"/>
        </w:rPr>
        <w:t>8</w:t>
      </w:r>
    </w:p>
    <w:p w:rsidR="00000000" w:rsidRDefault="00A270CC">
      <w:pPr>
        <w:rPr>
          <w:rFonts w:eastAsia="Times New Roman"/>
        </w:rPr>
      </w:pPr>
      <w:r>
        <w:rPr>
          <w:rFonts w:eastAsia="Times New Roman"/>
        </w:rPr>
        <w:pict>
          <v:rect id="_x0000_i1044" style="width:0;height:1.5pt" o:hralign="center" o:hrstd="t" o:hr="t" fillcolor="#a0a0a0" stroked="f"/>
        </w:pict>
      </w:r>
    </w:p>
    <w:p w:rsidR="00000000" w:rsidRDefault="00A270CC">
      <w:pPr>
        <w:divId w:val="20545897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14697077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571624703"/>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214697077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2146970773"/>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Balance Sheets. Revenues recognized for the nine months ended June 30, 2020 and 2019, from the amounts included in contract liabilities at September 30, 2019 and October 1, 2018</w:t>
      </w:r>
      <w:r>
        <w:rPr>
          <w:rFonts w:eastAsia="Times New Roman"/>
          <w:color w:val="000000"/>
          <w:sz w:val="20"/>
          <w:szCs w:val="20"/>
        </w:rPr>
        <w:t>, were $87.9 and $89.3, respectively.</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divId w:val="1879010049"/>
        <w:rPr>
          <w:rFonts w:eastAsia="Times New Roman"/>
        </w:rPr>
      </w:pPr>
      <w:r>
        <w:rPr>
          <w:rFonts w:eastAsia="Times New Roman"/>
          <w:b/>
          <w:bCs/>
          <w:color w:val="000000"/>
          <w:sz w:val="20"/>
          <w:szCs w:val="20"/>
        </w:rPr>
        <w:t>Remaining Performance Obligation</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The Company has elected to use practical expedients as allowed in ASC 606 to exclude disclosures related to the aggregate amount of the transaction price allocated to certain perfor</w:t>
      </w:r>
      <w:r>
        <w:rPr>
          <w:rFonts w:eastAsia="Times New Roman"/>
          <w:color w:val="000000"/>
          <w:sz w:val="20"/>
          <w:szCs w:val="20"/>
        </w:rPr>
        <w:t>mance obligations that are unsatisfied as of the end of the reporting period because these contracts have an initial expected term of one year or less, or we have a right to bill the customer in an amount that corresponds directly with the value of service</w:t>
      </w:r>
      <w:r>
        <w:rPr>
          <w:rFonts w:eastAsia="Times New Roman"/>
          <w:color w:val="000000"/>
          <w:sz w:val="20"/>
          <w:szCs w:val="20"/>
        </w:rPr>
        <w:t>s provided to the customer to date. Certain contracts with customers at Midstream &amp; Marketing and UGI Utilities contain minimum future performance obligations through 2047 and 2053, respectively. At June 30, 2020, Midstream &amp; Marketing and UGI Utilities ex</w:t>
      </w:r>
      <w:r>
        <w:rPr>
          <w:rFonts w:eastAsia="Times New Roman"/>
          <w:color w:val="000000"/>
          <w:sz w:val="20"/>
          <w:szCs w:val="20"/>
        </w:rPr>
        <w:t>pect to record approximately $1.9 billion and $0.2 billion of revenues, respectively, related to the minimum future performance obligations over the remaining terms of the related contracts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u w:val="single"/>
        </w:rPr>
        <w:t>Note 5 — CMG Acquisitio</w:t>
      </w:r>
      <w:r>
        <w:rPr>
          <w:rFonts w:eastAsia="Times New Roman"/>
          <w:b/>
          <w:bCs/>
          <w:color w:val="000000"/>
          <w:sz w:val="20"/>
          <w:szCs w:val="20"/>
          <w:u w:val="single"/>
        </w:rPr>
        <w:t>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On August 1, 2019, UGI through its </w:t>
      </w:r>
      <w:r>
        <w:rPr>
          <w:rFonts w:eastAsia="Times New Roman"/>
          <w:color w:val="000000"/>
          <w:sz w:val="20"/>
          <w:szCs w:val="20"/>
        </w:rPr>
        <w:t>wholly owned indirect subsidiary, Energy Services, completed the CMG Acquisition in which Energy Services acquired all of the equity interests in CMG and CMG’s approximately 47% interest in Pennant, for total cash consideration of $1,284.4. The CMG Acquisi</w:t>
      </w:r>
      <w:r>
        <w:rPr>
          <w:rFonts w:eastAsia="Times New Roman"/>
          <w:color w:val="000000"/>
          <w:sz w:val="20"/>
          <w:szCs w:val="20"/>
        </w:rPr>
        <w:t>tion was consummated pursuant to the CMG Acquisition Agreements. CMG and Pennant provide natural gas gathering and processing services through five discrete systems located in western Pennsylvania, eastern Ohio and the panhandle of West Virginia. The CMG A</w:t>
      </w:r>
      <w:r>
        <w:rPr>
          <w:rFonts w:eastAsia="Times New Roman"/>
          <w:color w:val="000000"/>
          <w:sz w:val="20"/>
          <w:szCs w:val="20"/>
        </w:rPr>
        <w:t>cquisition is consistent with our growth strategies, including expanding our midstream natural gas gathering and processing assets within the Marcellus and Utica Shale production regions. The CMG Acquisition was funded with cash from borrowings under the E</w:t>
      </w:r>
      <w:r>
        <w:rPr>
          <w:rFonts w:eastAsia="Times New Roman"/>
          <w:color w:val="000000"/>
          <w:sz w:val="20"/>
          <w:szCs w:val="20"/>
        </w:rPr>
        <w:t>nergy Services Term Loan and the UGI Corporation Senior Credit Facility and cash on hand. We refer to CMG and its equity interest in Pennant as "UGI Appalachia"</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Company has accounted for the CMG Acquisition using the acquisition method. The componen</w:t>
      </w:r>
      <w:r>
        <w:rPr>
          <w:rFonts w:eastAsia="Times New Roman"/>
          <w:color w:val="000000"/>
          <w:sz w:val="20"/>
          <w:szCs w:val="20"/>
        </w:rPr>
        <w:t>ts of the final CMG purchase price allocations are as follows</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69"/>
        <w:gridCol w:w="6900"/>
        <w:gridCol w:w="69"/>
        <w:gridCol w:w="135"/>
        <w:gridCol w:w="998"/>
        <w:gridCol w:w="85"/>
      </w:tblGrid>
      <w:tr w:rsidR="00000000">
        <w:trPr>
          <w:divId w:val="680741447"/>
          <w:jc w:val="center"/>
        </w:trPr>
        <w:tc>
          <w:tcPr>
            <w:tcW w:w="50" w:type="pct"/>
            <w:vAlign w:val="center"/>
            <w:hideMark/>
          </w:tcPr>
          <w:p w:rsidR="00000000" w:rsidRDefault="00A270CC">
            <w:pPr>
              <w:jc w:val="both"/>
              <w:rPr>
                <w:rFonts w:eastAsia="Times New Roman"/>
              </w:rPr>
            </w:pPr>
          </w:p>
        </w:tc>
        <w:tc>
          <w:tcPr>
            <w:tcW w:w="41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61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80741447"/>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Assets acquired</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r>
      <w:tr w:rsidR="00000000">
        <w:trPr>
          <w:divId w:val="680741447"/>
          <w:jc w:val="center"/>
        </w:trPr>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Cas</w:t>
            </w:r>
            <w:r>
              <w:rPr>
                <w:rFonts w:eastAsia="Times New Roman"/>
                <w:color w:val="000000"/>
                <w:sz w:val="20"/>
                <w:szCs w:val="20"/>
              </w:rPr>
              <w:t>h</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Accounts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Property, plant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Investment in Pennan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Intangible assets (a</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assets acquire</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963.2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680741447"/>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Liabilities assumed</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r>
      <w:tr w:rsidR="00000000">
        <w:trPr>
          <w:divId w:val="680741447"/>
          <w:jc w:val="center"/>
        </w:trPr>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noncurrent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liabilities assume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80741447"/>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consideration transferred (including working capital adjustments</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1,284.4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ind w:hanging="540"/>
        <w:jc w:val="both"/>
        <w:divId w:val="870801275"/>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Represents customer relationships having an average amortization period of 35 years</w:t>
      </w:r>
      <w:r>
        <w:rPr>
          <w:rFonts w:eastAsia="Times New Roman"/>
          <w:color w:val="000000"/>
          <w:sz w:val="20"/>
          <w:szCs w:val="20"/>
        </w:rPr>
        <w:t>.</w:t>
      </w:r>
    </w:p>
    <w:p w:rsidR="00000000" w:rsidRDefault="00A270CC">
      <w:pPr>
        <w:jc w:val="center"/>
        <w:divId w:val="496116200"/>
        <w:rPr>
          <w:rFonts w:eastAsia="Times New Roman"/>
        </w:rPr>
      </w:pPr>
      <w:r>
        <w:rPr>
          <w:rFonts w:eastAsia="Times New Roman"/>
          <w:color w:val="000000"/>
          <w:sz w:val="20"/>
          <w:szCs w:val="20"/>
        </w:rPr>
        <w:t>1</w:t>
      </w:r>
      <w:r>
        <w:rPr>
          <w:rFonts w:eastAsia="Times New Roman"/>
          <w:color w:val="000000"/>
          <w:sz w:val="20"/>
          <w:szCs w:val="20"/>
        </w:rPr>
        <w:t>9</w:t>
      </w:r>
    </w:p>
    <w:p w:rsidR="00000000" w:rsidRDefault="00A270CC">
      <w:pPr>
        <w:rPr>
          <w:rFonts w:eastAsia="Times New Roman"/>
        </w:rPr>
      </w:pPr>
      <w:r>
        <w:rPr>
          <w:rFonts w:eastAsia="Times New Roman"/>
        </w:rPr>
        <w:pict>
          <v:rect id="_x0000_i1045" style="width:0;height:1.5pt" o:hralign="center" o:hrstd="t" o:hr="t" fillcolor="#a0a0a0" stroked="f"/>
        </w:pict>
      </w:r>
    </w:p>
    <w:p w:rsidR="00000000" w:rsidRDefault="00A270CC">
      <w:pPr>
        <w:divId w:val="57581842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721763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595749178"/>
        <w:rPr>
          <w:rFonts w:eastAsia="Times New Roman"/>
        </w:rPr>
      </w:pPr>
      <w:r>
        <w:rPr>
          <w:rFonts w:eastAsia="Times New Roman"/>
          <w:b/>
          <w:bCs/>
          <w:color w:val="000000"/>
          <w:sz w:val="20"/>
          <w:szCs w:val="20"/>
          <w:u w:val="single"/>
        </w:rPr>
        <w:t>Notes to Condensed Cons</w:t>
      </w:r>
      <w:r>
        <w:rPr>
          <w:rFonts w:eastAsia="Times New Roman"/>
          <w:b/>
          <w:bCs/>
          <w:color w:val="000000"/>
          <w:sz w:val="20"/>
          <w:szCs w:val="20"/>
          <w:u w:val="single"/>
        </w:rPr>
        <w:t>olidated Financial Statement</w:t>
      </w:r>
      <w:r>
        <w:rPr>
          <w:rFonts w:eastAsia="Times New Roman"/>
          <w:b/>
          <w:bCs/>
          <w:color w:val="000000"/>
          <w:sz w:val="20"/>
          <w:szCs w:val="20"/>
          <w:u w:val="single"/>
        </w:rPr>
        <w:t>s</w:t>
      </w:r>
    </w:p>
    <w:p w:rsidR="00000000" w:rsidRDefault="00A270CC">
      <w:pPr>
        <w:jc w:val="center"/>
        <w:divId w:val="7721763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77217633"/>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divId w:val="72245885"/>
        <w:rPr>
          <w:rFonts w:eastAsia="Times New Roman"/>
        </w:rPr>
      </w:pPr>
      <w:r>
        <w:rPr>
          <w:rFonts w:eastAsia="Times New Roman"/>
          <w:color w:val="000000"/>
          <w:sz w:val="20"/>
          <w:szCs w:val="20"/>
        </w:rPr>
        <w:t>We allocated the purchase price of the acquisition to identifiable intangible assets and property, plant and equipment based on estimat</w:t>
      </w:r>
      <w:r>
        <w:rPr>
          <w:rFonts w:eastAsia="Times New Roman"/>
          <w:color w:val="000000"/>
          <w:sz w:val="20"/>
          <w:szCs w:val="20"/>
        </w:rPr>
        <w:t>ed fair values as follows</w:t>
      </w:r>
      <w:r>
        <w:rPr>
          <w:rFonts w:eastAsia="Times New Roman"/>
          <w:color w:val="000000"/>
          <w:sz w:val="20"/>
          <w:szCs w:val="20"/>
        </w:rPr>
        <w:t>:</w:t>
      </w:r>
    </w:p>
    <w:p w:rsidR="00000000" w:rsidRDefault="00A270CC">
      <w:pPr>
        <w:ind w:hanging="360"/>
        <w:jc w:val="both"/>
        <w:divId w:val="105470381"/>
        <w:rPr>
          <w:rFonts w:eastAsia="Times New Roman"/>
        </w:rPr>
      </w:pPr>
      <w:r>
        <w:rPr>
          <w:rFonts w:eastAsia="Times New Roman"/>
          <w:color w:val="000000"/>
          <w:sz w:val="20"/>
          <w:szCs w:val="20"/>
        </w:rPr>
        <w:t>•</w:t>
      </w:r>
      <w:r>
        <w:rPr>
          <w:rFonts w:eastAsia="Times New Roman"/>
          <w:color w:val="000000"/>
          <w:sz w:val="20"/>
          <w:szCs w:val="20"/>
        </w:rPr>
        <w:t xml:space="preserve">Customer relationships were valued using a multi-period, excess earnings method. </w:t>
      </w:r>
      <w:r>
        <w:rPr>
          <w:rFonts w:eastAsia="Times New Roman"/>
          <w:color w:val="000000"/>
          <w:sz w:val="20"/>
          <w:szCs w:val="20"/>
        </w:rPr>
        <w:t>Key assumptions used in this method include discount rates, growth rates and cash flow projections. These assumptions are most sensitive and susceptible to change as they require significant management judgment; an</w:t>
      </w:r>
      <w:r>
        <w:rPr>
          <w:rFonts w:eastAsia="Times New Roman"/>
          <w:color w:val="000000"/>
          <w:sz w:val="20"/>
          <w:szCs w:val="20"/>
        </w:rPr>
        <w:t>d</w:t>
      </w:r>
    </w:p>
    <w:p w:rsidR="00000000" w:rsidRDefault="00A270CC">
      <w:pPr>
        <w:ind w:hanging="360"/>
        <w:jc w:val="both"/>
        <w:divId w:val="1981688005"/>
        <w:rPr>
          <w:rFonts w:eastAsia="Times New Roman"/>
        </w:rPr>
      </w:pPr>
      <w:r>
        <w:rPr>
          <w:rFonts w:eastAsia="Times New Roman"/>
          <w:color w:val="000000"/>
          <w:sz w:val="20"/>
          <w:szCs w:val="20"/>
        </w:rPr>
        <w:t>•</w:t>
      </w:r>
      <w:r>
        <w:rPr>
          <w:rFonts w:eastAsia="Times New Roman"/>
          <w:color w:val="000000"/>
          <w:sz w:val="20"/>
          <w:szCs w:val="20"/>
        </w:rPr>
        <w:t>Property, plant and equipment were valu</w:t>
      </w:r>
      <w:r>
        <w:rPr>
          <w:rFonts w:eastAsia="Times New Roman"/>
          <w:color w:val="000000"/>
          <w:sz w:val="20"/>
          <w:szCs w:val="20"/>
        </w:rPr>
        <w:t>ed based on estimated fair values primarily using depreciated replacement cost and market value methods.</w:t>
      </w:r>
      <w:r>
        <w:rPr>
          <w:rFonts w:eastAsia="Times New Roman"/>
          <w:color w:val="000000"/>
          <w:sz w:val="20"/>
          <w:szCs w:val="20"/>
        </w:rPr>
        <w:t xml:space="preserve"> </w:t>
      </w:r>
    </w:p>
    <w:p w:rsidR="00000000" w:rsidRDefault="00A270CC">
      <w:pPr>
        <w:jc w:val="both"/>
        <w:divId w:val="530612126"/>
        <w:rPr>
          <w:rFonts w:eastAsia="Times New Roman"/>
        </w:rPr>
      </w:pPr>
      <w:r>
        <w:rPr>
          <w:rFonts w:eastAsia="Times New Roman"/>
          <w:color w:val="000000"/>
          <w:sz w:val="20"/>
          <w:szCs w:val="20"/>
        </w:rPr>
        <w:t>The excess of the purchase price for the CMG Acquisition over the fair values of the assets acquired and liabilities assumed has been reflected as goo</w:t>
      </w:r>
      <w:r>
        <w:rPr>
          <w:rFonts w:eastAsia="Times New Roman"/>
          <w:color w:val="000000"/>
          <w:sz w:val="20"/>
          <w:szCs w:val="20"/>
        </w:rPr>
        <w:t>dwill, assigned to the Midstream &amp; Marketing reportable segment, and results principally from anticipated future capital investment opportunities and value creation resulting from new natural gas processing assets in the Marcellus and Utica Shale productio</w:t>
      </w:r>
      <w:r>
        <w:rPr>
          <w:rFonts w:eastAsia="Times New Roman"/>
          <w:color w:val="000000"/>
          <w:sz w:val="20"/>
          <w:szCs w:val="20"/>
        </w:rPr>
        <w:t>n regions. The goodwill recognized from the CMG Acquisition is deductible for income tax purposes.</w:t>
      </w:r>
      <w:r>
        <w:rPr>
          <w:rFonts w:eastAsia="Times New Roman"/>
          <w:color w:val="000000"/>
          <w:sz w:val="20"/>
          <w:szCs w:val="20"/>
        </w:rPr>
        <w:t xml:space="preserve"> </w:t>
      </w:r>
    </w:p>
    <w:p w:rsidR="00000000" w:rsidRDefault="00A270CC">
      <w:pPr>
        <w:jc w:val="both"/>
        <w:rPr>
          <w:rFonts w:eastAsia="Times New Roman"/>
        </w:rPr>
      </w:pPr>
      <w:r>
        <w:rPr>
          <w:rFonts w:eastAsia="Times New Roman"/>
          <w:color w:val="000000"/>
          <w:sz w:val="20"/>
          <w:szCs w:val="20"/>
        </w:rPr>
        <w:t xml:space="preserve">The impact of the CMG Acquisition on a pro forma basis as if the CMG Acquisition had occurred on October 1, 2018 was not material to the Company’s revenues </w:t>
      </w:r>
      <w:r>
        <w:rPr>
          <w:rFonts w:eastAsia="Times New Roman"/>
          <w:color w:val="000000"/>
          <w:sz w:val="20"/>
          <w:szCs w:val="20"/>
        </w:rPr>
        <w:t>or net income for the three and nine months ended June 30, 2019</w:t>
      </w:r>
      <w:r>
        <w:rPr>
          <w:rFonts w:eastAsia="Times New Roman"/>
          <w:color w:val="000000"/>
          <w:sz w:val="20"/>
          <w:szCs w:val="20"/>
        </w:rPr>
        <w:t>.</w:t>
      </w:r>
    </w:p>
    <w:p w:rsidR="00000000" w:rsidRDefault="00A270CC">
      <w:pPr>
        <w:divId w:val="1853840229"/>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6 — Inventorie</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Inventories comprise the following</w:t>
      </w:r>
      <w:r>
        <w:rPr>
          <w:rFonts w:eastAsia="Times New Roman"/>
          <w:color w:val="000000"/>
          <w:sz w:val="20"/>
          <w:szCs w:val="20"/>
        </w:rPr>
        <w:t>:</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6"/>
        <w:gridCol w:w="4755"/>
        <w:gridCol w:w="47"/>
        <w:gridCol w:w="36"/>
        <w:gridCol w:w="36"/>
        <w:gridCol w:w="36"/>
        <w:gridCol w:w="135"/>
        <w:gridCol w:w="824"/>
        <w:gridCol w:w="85"/>
        <w:gridCol w:w="36"/>
        <w:gridCol w:w="36"/>
        <w:gridCol w:w="36"/>
        <w:gridCol w:w="136"/>
        <w:gridCol w:w="824"/>
        <w:gridCol w:w="85"/>
        <w:gridCol w:w="36"/>
        <w:gridCol w:w="36"/>
        <w:gridCol w:w="36"/>
        <w:gridCol w:w="135"/>
        <w:gridCol w:w="825"/>
        <w:gridCol w:w="85"/>
      </w:tblGrid>
      <w:tr w:rsidR="00000000">
        <w:trPr>
          <w:divId w:val="360252089"/>
        </w:trPr>
        <w:tc>
          <w:tcPr>
            <w:tcW w:w="50" w:type="pct"/>
            <w:vAlign w:val="center"/>
            <w:hideMark/>
          </w:tcPr>
          <w:p w:rsidR="00000000" w:rsidRDefault="00A270CC">
            <w:pPr>
              <w:jc w:val="both"/>
              <w:rPr>
                <w:rFonts w:eastAsia="Times New Roman"/>
              </w:rPr>
            </w:pPr>
          </w:p>
        </w:tc>
        <w:tc>
          <w:tcPr>
            <w:tcW w:w="288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360252089"/>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202</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September 30,</w:t>
            </w:r>
            <w:r>
              <w:rPr>
                <w:rFonts w:eastAsia="Times New Roman"/>
                <w:color w:val="000000"/>
                <w:sz w:val="18"/>
                <w:szCs w:val="18"/>
              </w:rPr>
              <w:b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201</w:t>
            </w:r>
            <w:r>
              <w:rPr>
                <w:rFonts w:eastAsia="Times New Roman"/>
                <w:color w:val="000000"/>
                <w:sz w:val="18"/>
                <w:szCs w:val="18"/>
              </w:rPr>
              <w:t>9</w:t>
            </w:r>
          </w:p>
        </w:tc>
      </w:tr>
      <w:tr w:rsidR="00000000">
        <w:trPr>
          <w:divId w:val="360252089"/>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Non-utility LPG and natural ga</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60252089"/>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Gas Utility natural ga</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60252089"/>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Materials, supplies and othe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60252089"/>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inventorie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229.9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215.1</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At June 30, 2020, UGI Utilities was party to three principal SCAAs with terms of up to three years</w:t>
      </w:r>
      <w:r>
        <w:rPr>
          <w:rFonts w:eastAsia="Times New Roman"/>
          <w:color w:val="000000"/>
          <w:sz w:val="20"/>
          <w:szCs w:val="20"/>
        </w:rPr>
        <w:t>. Pursuant to the SCAAs, UGI Utilities has, among other things, released certain natural gas storage and transportation contracts for the terms of the SCAAs. UGI Utilities also transferred certain associated natural gas storage inventories upon commencemen</w:t>
      </w:r>
      <w:r>
        <w:rPr>
          <w:rFonts w:eastAsia="Times New Roman"/>
          <w:color w:val="000000"/>
          <w:sz w:val="20"/>
          <w:szCs w:val="20"/>
        </w:rPr>
        <w:t>t of the SCAAs, will receive a transfer of storage inventories at the end of the SCAAs, and makes payments associated with refilling storage inventories during the terms of the SCAAs. The historical cost of natural gas storage inventories released under th</w:t>
      </w:r>
      <w:r>
        <w:rPr>
          <w:rFonts w:eastAsia="Times New Roman"/>
          <w:color w:val="000000"/>
          <w:sz w:val="20"/>
          <w:szCs w:val="20"/>
        </w:rPr>
        <w:t>e SCAAs, which represents a portion of Gas Utility’s total natural gas storage inventories, and any exchange receivable (representing amounts of natural gas inventories used by the other parties to the agreement but not yet replenished for which UGI Utilit</w:t>
      </w:r>
      <w:r>
        <w:rPr>
          <w:rFonts w:eastAsia="Times New Roman"/>
          <w:color w:val="000000"/>
          <w:sz w:val="20"/>
          <w:szCs w:val="20"/>
        </w:rPr>
        <w:t>ies has the rights), are included in the caption “Gas Utility natural gas” in the table above. For all periods presented, all of UGI Utilities’ SCAAs were with Energy Services, the effects of which are eliminated in consolidation</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48506373"/>
        <w:rPr>
          <w:rFonts w:eastAsia="Times New Roman"/>
        </w:rPr>
      </w:pPr>
      <w:r>
        <w:rPr>
          <w:rFonts w:eastAsia="Times New Roman"/>
          <w:color w:val="000000"/>
          <w:sz w:val="20"/>
          <w:szCs w:val="20"/>
        </w:rPr>
        <w:t>2</w:t>
      </w:r>
      <w:r>
        <w:rPr>
          <w:rFonts w:eastAsia="Times New Roman"/>
          <w:color w:val="000000"/>
          <w:sz w:val="20"/>
          <w:szCs w:val="20"/>
        </w:rPr>
        <w:t>0</w:t>
      </w:r>
    </w:p>
    <w:p w:rsidR="00000000" w:rsidRDefault="00A270CC">
      <w:pPr>
        <w:rPr>
          <w:rFonts w:eastAsia="Times New Roman"/>
        </w:rPr>
      </w:pPr>
      <w:r>
        <w:rPr>
          <w:rFonts w:eastAsia="Times New Roman"/>
        </w:rPr>
        <w:pict>
          <v:rect id="_x0000_i1046" style="width:0;height:1.5pt" o:hralign="center" o:hrstd="t" o:hr="t" fillcolor="#a0a0a0" stroked="f"/>
        </w:pict>
      </w:r>
    </w:p>
    <w:p w:rsidR="00000000" w:rsidRDefault="00A270CC">
      <w:pPr>
        <w:divId w:val="1103300913"/>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49961916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929238096"/>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499619167"/>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499619167"/>
        <w:rPr>
          <w:rFonts w:eastAsia="Times New Roman"/>
        </w:rPr>
      </w:pPr>
      <w:r>
        <w:rPr>
          <w:rFonts w:eastAsia="Times New Roman"/>
          <w:color w:val="000000"/>
          <w:sz w:val="20"/>
          <w:szCs w:val="20"/>
        </w:rPr>
        <w:t>(Currency in millions, except per share amounts and where indicate</w:t>
      </w:r>
      <w:r>
        <w:rPr>
          <w:rFonts w:eastAsia="Times New Roman"/>
          <w:color w:val="000000"/>
          <w:sz w:val="20"/>
          <w:szCs w:val="20"/>
        </w:rPr>
        <w:t>d otherwise</w:t>
      </w:r>
      <w:r>
        <w:rPr>
          <w:rFonts w:eastAsia="Times New Roman"/>
          <w:color w:val="000000"/>
          <w:sz w:val="20"/>
          <w:szCs w:val="20"/>
        </w:rPr>
        <w:t>)</w:t>
      </w:r>
    </w:p>
    <w:p w:rsidR="00000000" w:rsidRDefault="00A270CC">
      <w:pPr>
        <w:ind w:hanging="540"/>
        <w:jc w:val="both"/>
        <w:rPr>
          <w:rFonts w:eastAsia="Times New Roman"/>
        </w:rPr>
      </w:pPr>
      <w:r>
        <w:rPr>
          <w:rFonts w:eastAsia="Times New Roman"/>
          <w:b/>
          <w:bCs/>
          <w:color w:val="000000"/>
          <w:sz w:val="20"/>
          <w:szCs w:val="20"/>
          <w:u w:val="single"/>
        </w:rPr>
        <w:t>Note 7 — Goodwill and Intangible Asset</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Goodwill and intangible assets comprise the following</w:t>
      </w:r>
      <w:r>
        <w:rPr>
          <w:rFonts w:eastAsia="Times New Roman"/>
          <w:color w:val="000000"/>
          <w:sz w:val="20"/>
          <w:szCs w:val="20"/>
        </w:rPr>
        <w:t>:</w:t>
      </w:r>
      <w:r>
        <w:rPr>
          <w:rFonts w:eastAsia="Times New Roman"/>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46"/>
        <w:gridCol w:w="4719"/>
        <w:gridCol w:w="46"/>
        <w:gridCol w:w="36"/>
        <w:gridCol w:w="36"/>
        <w:gridCol w:w="36"/>
        <w:gridCol w:w="135"/>
        <w:gridCol w:w="824"/>
        <w:gridCol w:w="85"/>
        <w:gridCol w:w="36"/>
        <w:gridCol w:w="36"/>
        <w:gridCol w:w="36"/>
        <w:gridCol w:w="135"/>
        <w:gridCol w:w="824"/>
        <w:gridCol w:w="85"/>
        <w:gridCol w:w="36"/>
        <w:gridCol w:w="36"/>
        <w:gridCol w:w="36"/>
        <w:gridCol w:w="135"/>
        <w:gridCol w:w="826"/>
        <w:gridCol w:w="85"/>
      </w:tblGrid>
      <w:tr w:rsidR="00000000">
        <w:trPr>
          <w:divId w:val="1160731303"/>
        </w:trPr>
        <w:tc>
          <w:tcPr>
            <w:tcW w:w="50" w:type="pct"/>
            <w:vAlign w:val="center"/>
            <w:hideMark/>
          </w:tcPr>
          <w:p w:rsidR="00000000" w:rsidRDefault="00A270CC">
            <w:pPr>
              <w:jc w:val="both"/>
              <w:rPr>
                <w:rFonts w:eastAsia="Times New Roman"/>
              </w:rPr>
            </w:pPr>
          </w:p>
        </w:tc>
        <w:tc>
          <w:tcPr>
            <w:tcW w:w="2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160731303"/>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202</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September 30,</w:t>
            </w:r>
            <w:r>
              <w:rPr>
                <w:rFonts w:eastAsia="Times New Roman"/>
                <w:color w:val="000000"/>
                <w:sz w:val="18"/>
                <w:szCs w:val="18"/>
              </w:rPr>
              <w:b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201</w:t>
            </w:r>
            <w:r>
              <w:rPr>
                <w:rFonts w:eastAsia="Times New Roman"/>
                <w:color w:val="000000"/>
                <w:sz w:val="18"/>
                <w:szCs w:val="18"/>
              </w:rPr>
              <w:t>9</w:t>
            </w:r>
          </w:p>
        </w:tc>
      </w:tr>
      <w:tr w:rsidR="00000000">
        <w:trPr>
          <w:divId w:val="1160731303"/>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3,482.7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3,456.4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3,159.1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Intangible assets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160731303"/>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Customer relationship</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1,038.4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789.3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Trademarks and tradename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Noncompete agreements and othe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Accumulated amortizatio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(503.7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(441.8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Intangible assets, net (definite-lived</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622.4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659.2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Trademarks and tradenames (indefinite-lived</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160731303"/>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intangible assets,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708.6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480.0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Amortization expense of intangible assets was $22.1 and $14.6 for the three months ended June </w:t>
      </w:r>
      <w:r>
        <w:rPr>
          <w:rFonts w:eastAsia="Times New Roman"/>
          <w:color w:val="000000"/>
          <w:sz w:val="20"/>
          <w:szCs w:val="20"/>
        </w:rPr>
        <w:t>30, 2020 and 2019, respectively, and $61.5 and $43.7 for the nine months ended June 30, 2020 and 2019, respectively. The estimated aggregate amortization expense of intangible assets for the remainder of Fiscal 2020 and for the next four fiscal years is as</w:t>
      </w:r>
      <w:r>
        <w:rPr>
          <w:rFonts w:eastAsia="Times New Roman"/>
          <w:color w:val="000000"/>
          <w:sz w:val="20"/>
          <w:szCs w:val="20"/>
        </w:rPr>
        <w:t xml:space="preserve"> follows: remainder of Fiscal 2020 — $20.2; Fiscal 2021 — $67.5; Fiscal 2022 — $59.6; Fiscal 2023 — $57.1; Fiscal 2024 — $55.8</w:t>
      </w:r>
      <w:r>
        <w:rPr>
          <w:rFonts w:eastAsia="Times New Roman"/>
          <w:color w:val="000000"/>
          <w:sz w:val="20"/>
          <w:szCs w:val="20"/>
        </w:rPr>
        <w:t>.</w:t>
      </w:r>
    </w:p>
    <w:p w:rsidR="00000000" w:rsidRDefault="00A270CC">
      <w:pPr>
        <w:jc w:val="both"/>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8 — Utility Regulatory Assets and Liabilities and Regulatory Matter</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For a description of the Company’s regulatory assets and liabilities other than those described below, see Note 9 in the Company’s 2019 Annual Report. Other than removal costs, UGI Utilities currently does not recover a rate of return on its regulatory ass</w:t>
      </w:r>
      <w:r>
        <w:rPr>
          <w:rFonts w:eastAsia="Times New Roman"/>
          <w:color w:val="000000"/>
          <w:sz w:val="20"/>
          <w:szCs w:val="20"/>
        </w:rPr>
        <w:t>ets listed below. The following regulatory assets and liabilities associated with UGI Utilities are included on the Condensed Consolidated Balance Sheets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6"/>
        <w:gridCol w:w="4755"/>
        <w:gridCol w:w="47"/>
        <w:gridCol w:w="36"/>
        <w:gridCol w:w="36"/>
        <w:gridCol w:w="36"/>
        <w:gridCol w:w="135"/>
        <w:gridCol w:w="824"/>
        <w:gridCol w:w="85"/>
        <w:gridCol w:w="36"/>
        <w:gridCol w:w="36"/>
        <w:gridCol w:w="36"/>
        <w:gridCol w:w="136"/>
        <w:gridCol w:w="824"/>
        <w:gridCol w:w="85"/>
        <w:gridCol w:w="36"/>
        <w:gridCol w:w="36"/>
        <w:gridCol w:w="36"/>
        <w:gridCol w:w="135"/>
        <w:gridCol w:w="825"/>
        <w:gridCol w:w="85"/>
      </w:tblGrid>
      <w:tr w:rsidR="00000000">
        <w:trPr>
          <w:divId w:val="1839537436"/>
        </w:trPr>
        <w:tc>
          <w:tcPr>
            <w:tcW w:w="50" w:type="pct"/>
            <w:vAlign w:val="center"/>
            <w:hideMark/>
          </w:tcPr>
          <w:p w:rsidR="00000000" w:rsidRDefault="00A270CC">
            <w:pPr>
              <w:jc w:val="both"/>
              <w:rPr>
                <w:rFonts w:eastAsia="Times New Roman"/>
              </w:rPr>
            </w:pPr>
          </w:p>
        </w:tc>
        <w:tc>
          <w:tcPr>
            <w:tcW w:w="288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839537436"/>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202</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September 30,</w:t>
            </w:r>
            <w:r>
              <w:rPr>
                <w:rFonts w:eastAsia="Times New Roman"/>
                <w:color w:val="000000"/>
                <w:sz w:val="18"/>
                <w:szCs w:val="18"/>
              </w:rPr>
              <w:b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June 30,</w:t>
            </w:r>
            <w:r>
              <w:rPr>
                <w:rFonts w:eastAsia="Times New Roman"/>
                <w:color w:val="000000"/>
                <w:sz w:val="18"/>
                <w:szCs w:val="18"/>
              </w:rPr>
              <w:br/>
              <w:t>201</w:t>
            </w:r>
            <w:r>
              <w:rPr>
                <w:rFonts w:eastAsia="Times New Roman"/>
                <w:color w:val="000000"/>
                <w:sz w:val="18"/>
                <w:szCs w:val="18"/>
              </w:rPr>
              <w:t>9</w:t>
            </w:r>
          </w:p>
        </w:tc>
      </w:tr>
      <w:tr w:rsidR="00000000">
        <w:trPr>
          <w:divId w:val="183953743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Regulatory assets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Income taxes recoverabl</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Underfunded pension and postretirement plan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Environmental cost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839537436"/>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Removal costs,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regulatory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Regulatory liabilities (a)</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39537436"/>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Postretirement benefit overcollection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Deferred fuel and power refund</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State tax benefits — distribution system repair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PAPUC Temporary Rates Orde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Excess federal deferred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FFFF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3953743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regulatory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 xml:space="preserve">Regulatory liabilities are included in “Other current liabilities” and “Other noncurrent liabilities” </w:t>
      </w:r>
      <w:r>
        <w:rPr>
          <w:rFonts w:eastAsia="Times New Roman"/>
          <w:color w:val="000000"/>
          <w:sz w:val="20"/>
          <w:szCs w:val="20"/>
        </w:rPr>
        <w:t>on the Condensed Consolidated Balance Sheets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Deferred Fuel and Power Refunds</w:t>
      </w:r>
      <w:r>
        <w:rPr>
          <w:rFonts w:eastAsia="Times New Roman"/>
          <w:b/>
          <w:bCs/>
          <w:i/>
          <w:iCs/>
          <w:color w:val="000000"/>
          <w:sz w:val="20"/>
          <w:szCs w:val="20"/>
        </w:rPr>
        <w:t>.</w:t>
      </w:r>
      <w:r>
        <w:rPr>
          <w:rFonts w:eastAsia="Times New Roman"/>
          <w:color w:val="000000"/>
          <w:sz w:val="20"/>
          <w:szCs w:val="20"/>
        </w:rPr>
        <w:t xml:space="preserve"> Gas Utility’s and Electric Utility’s tariffs contain clauses that permit recovery of all prudently incurred purchased gas and power costs through the application of PGC rates </w:t>
      </w:r>
      <w:r>
        <w:rPr>
          <w:rFonts w:eastAsia="Times New Roman"/>
          <w:color w:val="000000"/>
          <w:sz w:val="20"/>
          <w:szCs w:val="20"/>
        </w:rPr>
        <w:t>in the case of Gas Utility and DS tariffs in the case of Electric Utility. These clauses provide for periodic adjustments to PGC and DS rates for differences between the</w:t>
      </w:r>
      <w:r>
        <w:rPr>
          <w:rFonts w:eastAsia="Times New Roman"/>
          <w:color w:val="000000"/>
          <w:sz w:val="20"/>
          <w:szCs w:val="20"/>
        </w:rPr>
        <w:t xml:space="preserve"> </w:t>
      </w:r>
    </w:p>
    <w:p w:rsidR="00000000" w:rsidRDefault="00A270CC">
      <w:pPr>
        <w:jc w:val="center"/>
        <w:divId w:val="1092238951"/>
        <w:rPr>
          <w:rFonts w:eastAsia="Times New Roman"/>
        </w:rPr>
      </w:pPr>
      <w:r>
        <w:rPr>
          <w:rFonts w:eastAsia="Times New Roman"/>
          <w:color w:val="000000"/>
          <w:sz w:val="20"/>
          <w:szCs w:val="20"/>
        </w:rPr>
        <w:t>2</w:t>
      </w:r>
      <w:r>
        <w:rPr>
          <w:rFonts w:eastAsia="Times New Roman"/>
          <w:color w:val="000000"/>
          <w:sz w:val="20"/>
          <w:szCs w:val="20"/>
        </w:rPr>
        <w:t>1</w:t>
      </w:r>
    </w:p>
    <w:p w:rsidR="00000000" w:rsidRDefault="00A270CC">
      <w:pPr>
        <w:rPr>
          <w:rFonts w:eastAsia="Times New Roman"/>
        </w:rPr>
      </w:pPr>
      <w:r>
        <w:rPr>
          <w:rFonts w:eastAsia="Times New Roman"/>
        </w:rPr>
        <w:pict>
          <v:rect id="_x0000_i1047" style="width:0;height:1.5pt" o:hralign="center" o:hrstd="t" o:hr="t" fillcolor="#a0a0a0" stroked="f"/>
        </w:pict>
      </w:r>
    </w:p>
    <w:p w:rsidR="00000000" w:rsidRDefault="00A270CC">
      <w:pPr>
        <w:divId w:val="62438889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43277403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434444198"/>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432774038"/>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432774038"/>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total amount of purchased gas and electric generation supply costs collected from customers and recoverable costs incurred. Net undercollected costs are classified as a regulato</w:t>
      </w:r>
      <w:r>
        <w:rPr>
          <w:rFonts w:eastAsia="Times New Roman"/>
          <w:color w:val="000000"/>
          <w:sz w:val="20"/>
          <w:szCs w:val="20"/>
        </w:rPr>
        <w:t>ry asset and net overcollections are classified as a regulatory liability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Gas Utility uses derivative instruments to reduce volatility in the cost of gas it purchases for retail core-market customers. Realized and unrealized gains or losses on natural g</w:t>
      </w:r>
      <w:r>
        <w:rPr>
          <w:rFonts w:eastAsia="Times New Roman"/>
          <w:color w:val="000000"/>
          <w:sz w:val="20"/>
          <w:szCs w:val="20"/>
        </w:rPr>
        <w:t>as derivative instruments are included in deferred fuel and power costs or refunds. Net unrealized gains (losses) on such contracts at June 30, 2020, September 30, 2019 and June 30, 2019 were $1.0, $(2.2) and $(2.1), respectively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Other Regulatory Matter</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Base Rate Filings</w:t>
      </w:r>
      <w:r>
        <w:rPr>
          <w:rFonts w:eastAsia="Times New Roman"/>
          <w:b/>
          <w:bCs/>
          <w:i/>
          <w:iCs/>
          <w:color w:val="000000"/>
          <w:sz w:val="20"/>
          <w:szCs w:val="20"/>
        </w:rPr>
        <w:t>.</w:t>
      </w:r>
      <w:r>
        <w:rPr>
          <w:rFonts w:eastAsia="Times New Roman"/>
          <w:color w:val="000000"/>
          <w:sz w:val="20"/>
          <w:szCs w:val="20"/>
        </w:rPr>
        <w:t> On January 28, 2020, Gas Utility filed a request with the PAPUC to increase its annual base distribution operating revenues by $74.6 annually, which was suspended by the PAPUC for a period extending to October 28, 2020, in accordance</w:t>
      </w:r>
      <w:r>
        <w:rPr>
          <w:rFonts w:eastAsia="Times New Roman"/>
          <w:color w:val="000000"/>
          <w:sz w:val="20"/>
          <w:szCs w:val="20"/>
        </w:rPr>
        <w:t xml:space="preserve"> with standard regulatory practice. Thereafter, in response to a COVID-19 related motion to extend the suspension period indefinitely, the Company voluntarily extended the end of the suspension period to November 19, 2020. On August 3, 2020, a joint petiti</w:t>
      </w:r>
      <w:r>
        <w:rPr>
          <w:rFonts w:eastAsia="Times New Roman"/>
          <w:color w:val="000000"/>
          <w:sz w:val="20"/>
          <w:szCs w:val="20"/>
        </w:rPr>
        <w:t xml:space="preserve">on for settlement of all issues supported, or not opposed by all active parties, was filed with the PAPUC (the “Joint Petition”). Under the terms of the Joint Petition, Gas Utility will be permitted to increase its annual base distribution rates by $20.0, </w:t>
      </w:r>
      <w:r>
        <w:rPr>
          <w:rFonts w:eastAsia="Times New Roman"/>
          <w:color w:val="000000"/>
          <w:sz w:val="20"/>
          <w:szCs w:val="20"/>
        </w:rPr>
        <w:t>through a phased approach, with $10.0 beginning January 1, 2021 and an additional $10.0 beginning July 1, 2021. Additionally, Gas Utility will be authorized to implement a DSIC once Gas Utility total property, plant and equipment less accumulated depreciat</w:t>
      </w:r>
      <w:r>
        <w:rPr>
          <w:rFonts w:eastAsia="Times New Roman"/>
          <w:color w:val="000000"/>
          <w:sz w:val="20"/>
          <w:szCs w:val="20"/>
        </w:rPr>
        <w:t xml:space="preserve">ion reaches $2,875.0, with this threshold being unchanged from Gas Utility’s 2019 base rate case. The Joint Petition also includes enhanced COVID-19 customer assistance measures, including the establishment of an Emergency Relief Program for a defined set </w:t>
      </w:r>
      <w:r>
        <w:rPr>
          <w:rFonts w:eastAsia="Times New Roman"/>
          <w:color w:val="000000"/>
          <w:sz w:val="20"/>
          <w:szCs w:val="20"/>
        </w:rPr>
        <w:t>of payment troubled customers (“ERP”). Additionally, the Joint Petition would permit the Gas Utility to establish a regulatory asset for certain incremental expenses attributable to the ongoing COVID-19 pandemic, most notably expenses related to the ERP an</w:t>
      </w:r>
      <w:r>
        <w:rPr>
          <w:rFonts w:eastAsia="Times New Roman"/>
          <w:color w:val="000000"/>
          <w:sz w:val="20"/>
          <w:szCs w:val="20"/>
        </w:rPr>
        <w:t xml:space="preserve">d uncollectible accounts expense, through the effective date of rates in the next Gas Utility base rate case, to be recovered and amortized over a 10-year period. The Joint Petition is subject to receipt of a recommended decision by a PAPUC administrative </w:t>
      </w:r>
      <w:r>
        <w:rPr>
          <w:rFonts w:eastAsia="Times New Roman"/>
          <w:color w:val="000000"/>
          <w:sz w:val="20"/>
          <w:szCs w:val="20"/>
        </w:rPr>
        <w:t>law judge and an order of the PAPUC approving the settlement. The Company cannot predict the timing or the ultimate outcome of the rate case review process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January 28, 2019, Gas Utility filed a rate request with the PAPUC to increase the base operati</w:t>
      </w:r>
      <w:r>
        <w:rPr>
          <w:rFonts w:eastAsia="Times New Roman"/>
          <w:color w:val="000000"/>
          <w:sz w:val="20"/>
          <w:szCs w:val="20"/>
        </w:rPr>
        <w:t>ng revenues for residential, commercial, and industrial customers throughout its Pennsylvania service territory by an aggregate $71.1. On October 4, 2019, the PAPUC issued a final Order approving a settlement that permitted Gas Utility, effective October 1</w:t>
      </w:r>
      <w:r>
        <w:rPr>
          <w:rFonts w:eastAsia="Times New Roman"/>
          <w:color w:val="000000"/>
          <w:sz w:val="20"/>
          <w:szCs w:val="20"/>
        </w:rPr>
        <w:t xml:space="preserve">1, 2019, to increase its base distribution revenues by $30.0 under a single consolidated tariff, approved a plan for uniform class rates, and permitted Gas Utility to extend its Energy Efficiency and Conservation and Growth Extension Tariff programs by an </w:t>
      </w:r>
      <w:r>
        <w:rPr>
          <w:rFonts w:eastAsia="Times New Roman"/>
          <w:color w:val="000000"/>
          <w:sz w:val="20"/>
          <w:szCs w:val="20"/>
        </w:rPr>
        <w:t>additional term of five years. The PAPUC’s final Order approved a negative surcharge, to return to customers $24.0 of tax benefits experienced by Gas Utility over the period January 1, 2018 to June 30, 2018, plus applicable interest, in accordance with the</w:t>
      </w:r>
      <w:r>
        <w:rPr>
          <w:rFonts w:eastAsia="Times New Roman"/>
          <w:color w:val="000000"/>
          <w:sz w:val="20"/>
          <w:szCs w:val="20"/>
        </w:rPr>
        <w:t xml:space="preserve"> May 17, 2018 PAPUC Order, which became effective for a twelve-month period beginning on October 11, 2019, the effective date of Gas Utility’s new base rates.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October 25, 2018, the PAPUC approved a final order providing for a $3.2 annual base distrib</w:t>
      </w:r>
      <w:r>
        <w:rPr>
          <w:rFonts w:eastAsia="Times New Roman"/>
          <w:color w:val="000000"/>
          <w:sz w:val="20"/>
          <w:szCs w:val="20"/>
        </w:rPr>
        <w:t>ution rate increase for Electric Utility, effective October 27, 2018. As part of the final PAPUC Order, Electric Utility provided customers with a one-time $0.2 billing credit associated with 2018 TCJA tax benefits. On November 26, 2018, the Pennsylvania O</w:t>
      </w:r>
      <w:r>
        <w:rPr>
          <w:rFonts w:eastAsia="Times New Roman"/>
          <w:color w:val="000000"/>
          <w:sz w:val="20"/>
          <w:szCs w:val="20"/>
        </w:rPr>
        <w:t xml:space="preserve">ffice of Consumer Advocate filed an appeal to the Pennsylvania Commonwealth Court challenging the PAPUC’s acceptance of UGI Utilities’ use of a fully projected future test year and handling of consolidated federal income tax benefits. On January 15, 2020, </w:t>
      </w:r>
      <w:r>
        <w:rPr>
          <w:rFonts w:eastAsia="Times New Roman"/>
          <w:color w:val="000000"/>
          <w:sz w:val="20"/>
          <w:szCs w:val="20"/>
        </w:rPr>
        <w:t>the Pennsylvania Commonwealth Court issued a decision affirming the PAPUC Order adopting UGI Utilities’ position on both issues. No party exercised their right to seek an appeal of the Commonwealth Court decision</w:t>
      </w:r>
      <w:r>
        <w:rPr>
          <w:rFonts w:eastAsia="Times New Roman"/>
          <w:color w:val="000000"/>
          <w:sz w:val="20"/>
          <w:szCs w:val="20"/>
        </w:rPr>
        <w:t>.</w:t>
      </w:r>
    </w:p>
    <w:p w:rsidR="00000000" w:rsidRDefault="00A270CC">
      <w:pPr>
        <w:jc w:val="both"/>
        <w:rPr>
          <w:rFonts w:eastAsia="Times New Roman"/>
        </w:rPr>
      </w:pPr>
    </w:p>
    <w:p w:rsidR="00000000" w:rsidRDefault="00A270CC">
      <w:pPr>
        <w:divId w:val="1277057744"/>
        <w:rPr>
          <w:rFonts w:eastAsia="Times New Roman"/>
        </w:rPr>
      </w:pPr>
      <w:r>
        <w:rPr>
          <w:rFonts w:eastAsia="Times New Roman"/>
          <w:b/>
          <w:bCs/>
          <w:color w:val="000000"/>
          <w:sz w:val="20"/>
          <w:szCs w:val="20"/>
          <w:u w:val="single"/>
        </w:rPr>
        <w:t>Note 9 — Lease</w:t>
      </w:r>
      <w:r>
        <w:rPr>
          <w:rFonts w:eastAsia="Times New Roman"/>
          <w:b/>
          <w:bCs/>
          <w:color w:val="000000"/>
          <w:sz w:val="20"/>
          <w:szCs w:val="20"/>
          <w:u w:val="single"/>
        </w:rPr>
        <w:t>s</w:t>
      </w:r>
      <w:r>
        <w:rPr>
          <w:rFonts w:eastAsia="Times New Roman"/>
          <w:color w:val="000000"/>
          <w:sz w:val="20"/>
          <w:szCs w:val="20"/>
        </w:rPr>
        <w:t xml:space="preserve"> </w:t>
      </w:r>
    </w:p>
    <w:p w:rsidR="00000000" w:rsidRDefault="00A270CC">
      <w:pPr>
        <w:divId w:val="1916669973"/>
        <w:rPr>
          <w:rFonts w:eastAsia="Times New Roman"/>
        </w:rPr>
      </w:pPr>
    </w:p>
    <w:p w:rsidR="00000000" w:rsidRDefault="00A270CC">
      <w:pPr>
        <w:jc w:val="both"/>
        <w:rPr>
          <w:rFonts w:eastAsia="Times New Roman"/>
        </w:rPr>
      </w:pPr>
      <w:r>
        <w:rPr>
          <w:rFonts w:eastAsia="Times New Roman"/>
          <w:b/>
          <w:bCs/>
          <w:color w:val="000000"/>
          <w:sz w:val="20"/>
          <w:szCs w:val="20"/>
        </w:rPr>
        <w:t>Lesse</w:t>
      </w:r>
      <w:r>
        <w:rPr>
          <w:rFonts w:eastAsia="Times New Roman"/>
          <w:b/>
          <w:bCs/>
          <w:color w:val="000000"/>
          <w:sz w:val="20"/>
          <w:szCs w:val="20"/>
        </w:rPr>
        <w:t>e</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lease various buildings and other facilities, real estate, vehicles, rail cars and other equipment, the majority of which are operating leases. We determine if a contract is or contains a lease by evaluating whether the contract explicitly or implicitly</w:t>
      </w:r>
      <w:r>
        <w:rPr>
          <w:rFonts w:eastAsia="Times New Roman"/>
          <w:color w:val="000000"/>
          <w:sz w:val="20"/>
          <w:szCs w:val="20"/>
        </w:rPr>
        <w:t xml:space="preserve"> identifies an asset, whether we have the right to obtain substantially all of the economic benefits of the identified leased asset and to direct its use.</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2063016157"/>
        <w:rPr>
          <w:rFonts w:eastAsia="Times New Roman"/>
        </w:rPr>
      </w:pPr>
      <w:r>
        <w:rPr>
          <w:rFonts w:eastAsia="Times New Roman"/>
          <w:color w:val="000000"/>
          <w:sz w:val="20"/>
          <w:szCs w:val="20"/>
        </w:rPr>
        <w:t>2</w:t>
      </w:r>
      <w:r>
        <w:rPr>
          <w:rFonts w:eastAsia="Times New Roman"/>
          <w:color w:val="000000"/>
          <w:sz w:val="20"/>
          <w:szCs w:val="20"/>
        </w:rPr>
        <w:t>2</w:t>
      </w:r>
    </w:p>
    <w:p w:rsidR="00000000" w:rsidRDefault="00A270CC">
      <w:pPr>
        <w:rPr>
          <w:rFonts w:eastAsia="Times New Roman"/>
        </w:rPr>
      </w:pPr>
      <w:r>
        <w:rPr>
          <w:rFonts w:eastAsia="Times New Roman"/>
        </w:rPr>
        <w:pict>
          <v:rect id="_x0000_i1048" style="width:0;height:1.5pt" o:hralign="center" o:hrstd="t" o:hr="t" fillcolor="#a0a0a0" stroked="f"/>
        </w:pict>
      </w:r>
    </w:p>
    <w:p w:rsidR="00000000" w:rsidRDefault="00A270CC">
      <w:pPr>
        <w:divId w:val="105762640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915163516"/>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34307482"/>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915163516"/>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915163516"/>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ROU assets represent our right to use an underlying asset for</w:t>
      </w:r>
      <w:r>
        <w:rPr>
          <w:rFonts w:eastAsia="Times New Roman"/>
          <w:color w:val="000000"/>
          <w:sz w:val="20"/>
          <w:szCs w:val="20"/>
        </w:rPr>
        <w:t xml:space="preserve"> the lease term and lease liabilities represent our obligation to make lease payments arising from the lease. We recognize ROU assets at the lease commencement date at the value of the lease liability adjusted for any prepayments, lease incentives received</w:t>
      </w:r>
      <w:r>
        <w:rPr>
          <w:rFonts w:eastAsia="Times New Roman"/>
          <w:color w:val="000000"/>
          <w:sz w:val="20"/>
          <w:szCs w:val="20"/>
        </w:rPr>
        <w:t>, and initial direct costs incurred. Lease liabilities are recognized at the lease commencement date based on the present value of lease payments over the lease term. These payments are discounted using the discount rate implicit in the lease, when availab</w:t>
      </w:r>
      <w:r>
        <w:rPr>
          <w:rFonts w:eastAsia="Times New Roman"/>
          <w:color w:val="000000"/>
          <w:sz w:val="20"/>
          <w:szCs w:val="20"/>
        </w:rPr>
        <w:t>le. We apply an incremental borrowing rate, which is developed utilizing a credit notching approach based on information available at the lease commencement date, to substantially all of our leases as the implicit rate is often not available.</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Lease expe</w:t>
      </w:r>
      <w:r>
        <w:rPr>
          <w:rFonts w:eastAsia="Times New Roman"/>
          <w:color w:val="000000"/>
          <w:sz w:val="20"/>
          <w:szCs w:val="20"/>
        </w:rPr>
        <w:t>nse is recognized on a straight-line basis over the expected lease term. Renewal and termination options are not included in the lease term unless we are reasonably certain that such options will be exercised. Leases with an original lease term of one year</w:t>
      </w:r>
      <w:r>
        <w:rPr>
          <w:rFonts w:eastAsia="Times New Roman"/>
          <w:color w:val="000000"/>
          <w:sz w:val="20"/>
          <w:szCs w:val="20"/>
        </w:rPr>
        <w:t xml:space="preserve"> or less, including consideration of any renewal options assumed to be exercised, are not included in the Condensed Consolidated Balance Sheets.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Certain lease arrangements, primarily fleet vehicle leases with lease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years, contain pur</w:t>
      </w:r>
      <w:r>
        <w:rPr>
          <w:rFonts w:eastAsia="Times New Roman"/>
          <w:color w:val="000000"/>
          <w:sz w:val="20"/>
          <w:szCs w:val="20"/>
        </w:rPr>
        <w:t xml:space="preserve">chase options. The Company generally excludes purchase options in evaluating its leases unless it is reasonably certain that such options will be exercised. Additionally, leases of fleet vehicles often contain residual value guarantees that are due at the </w:t>
      </w:r>
      <w:r>
        <w:rPr>
          <w:rFonts w:eastAsia="Times New Roman"/>
          <w:color w:val="000000"/>
          <w:sz w:val="20"/>
          <w:szCs w:val="20"/>
        </w:rPr>
        <w:t>end of the lease. Such amounts are included in the determination of lease liabilities when we are reasonably certain that they will be owed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Certain leasing arrangements require variable payments that are dependent on asset usage or are based on changes </w:t>
      </w:r>
      <w:r>
        <w:rPr>
          <w:rFonts w:eastAsia="Times New Roman"/>
          <w:color w:val="000000"/>
          <w:sz w:val="20"/>
          <w:szCs w:val="20"/>
        </w:rPr>
        <w:t>in index rates, such as the Consumer Price Index. The variable payments component of such leases cannot be determined at lease commencement and is not recognized in the measurement of ROU assets or lease liabilities, but is recognized in earnings in the pe</w:t>
      </w:r>
      <w:r>
        <w:rPr>
          <w:rFonts w:eastAsia="Times New Roman"/>
          <w:color w:val="000000"/>
          <w:sz w:val="20"/>
          <w:szCs w:val="20"/>
        </w:rPr>
        <w:t>riod in which the obligation occurs.</w:t>
      </w:r>
      <w:r>
        <w:rPr>
          <w:rFonts w:eastAsia="Times New Roman"/>
          <w:color w:val="000000"/>
          <w:sz w:val="20"/>
          <w:szCs w:val="20"/>
        </w:rPr>
        <w:t xml:space="preserve"> </w:t>
      </w:r>
    </w:p>
    <w:p w:rsidR="00000000" w:rsidRDefault="00A270CC">
      <w:pPr>
        <w:jc w:val="both"/>
        <w:rPr>
          <w:rFonts w:eastAsia="Times New Roman"/>
        </w:rPr>
      </w:pPr>
    </w:p>
    <w:p w:rsidR="00000000" w:rsidRDefault="00A270CC">
      <w:pPr>
        <w:divId w:val="873268349"/>
        <w:rPr>
          <w:rFonts w:eastAsia="Times New Roman"/>
        </w:rPr>
      </w:pPr>
      <w:r>
        <w:rPr>
          <w:rFonts w:eastAsia="Times New Roman"/>
          <w:color w:val="000000"/>
          <w:sz w:val="20"/>
          <w:szCs w:val="20"/>
        </w:rPr>
        <w:t>ROU assets and lease liabilities recorded in the Condensed Consolidated Balance Sheet are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9"/>
        <w:gridCol w:w="69"/>
        <w:gridCol w:w="135"/>
        <w:gridCol w:w="1240"/>
        <w:gridCol w:w="85"/>
        <w:gridCol w:w="36"/>
        <w:gridCol w:w="67"/>
        <w:gridCol w:w="36"/>
        <w:gridCol w:w="70"/>
        <w:gridCol w:w="3160"/>
        <w:gridCol w:w="70"/>
      </w:tblGrid>
      <w:tr w:rsidR="00000000">
        <w:trPr>
          <w:divId w:val="1133645236"/>
          <w:jc w:val="center"/>
        </w:trPr>
        <w:tc>
          <w:tcPr>
            <w:tcW w:w="50" w:type="pct"/>
            <w:vAlign w:val="center"/>
            <w:hideMark/>
          </w:tcPr>
          <w:p w:rsidR="00000000" w:rsidRDefault="00A270CC">
            <w:pPr>
              <w:rPr>
                <w:rFonts w:eastAsia="Times New Roman"/>
              </w:rPr>
            </w:pPr>
          </w:p>
        </w:tc>
        <w:tc>
          <w:tcPr>
            <w:tcW w:w="197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75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48"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91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133645236"/>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Location on the Balance Shee</w:t>
            </w:r>
            <w:r>
              <w:rPr>
                <w:rFonts w:eastAsia="Times New Roman"/>
                <w:color w:val="000000"/>
                <w:sz w:val="20"/>
                <w:szCs w:val="20"/>
              </w:rPr>
              <w:t>t</w:t>
            </w:r>
          </w:p>
        </w:tc>
      </w:tr>
      <w:tr w:rsidR="00000000">
        <w:trPr>
          <w:divId w:val="113364523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ROU assets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13364523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 ROU asset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asset</w:t>
            </w:r>
            <w:r>
              <w:rPr>
                <w:rFonts w:eastAsia="Times New Roman"/>
                <w:color w:val="000000"/>
                <w:sz w:val="20"/>
                <w:szCs w:val="20"/>
              </w:rPr>
              <w:t>s</w:t>
            </w:r>
          </w:p>
        </w:tc>
      </w:tr>
      <w:tr w:rsidR="00000000">
        <w:trPr>
          <w:divId w:val="113364523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 ROU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Property, plant and equipmen</w:t>
            </w:r>
            <w:r>
              <w:rPr>
                <w:rFonts w:eastAsia="Times New Roman"/>
                <w:color w:val="000000"/>
                <w:sz w:val="20"/>
                <w:szCs w:val="20"/>
              </w:rPr>
              <w:t>t</w:t>
            </w:r>
          </w:p>
        </w:tc>
      </w:tr>
      <w:tr w:rsidR="00000000">
        <w:trPr>
          <w:divId w:val="1133645236"/>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ROU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133645236"/>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133645236"/>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Lease liabilities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13364523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 liabilities — curren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current liabilitie</w:t>
            </w:r>
            <w:r>
              <w:rPr>
                <w:rFonts w:eastAsia="Times New Roman"/>
                <w:color w:val="000000"/>
                <w:sz w:val="20"/>
                <w:szCs w:val="20"/>
              </w:rPr>
              <w:t>s</w:t>
            </w:r>
          </w:p>
        </w:tc>
      </w:tr>
      <w:tr w:rsidR="00000000">
        <w:trPr>
          <w:divId w:val="113364523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 liabilities — noncurren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noncurrent liabilitie</w:t>
            </w:r>
            <w:r>
              <w:rPr>
                <w:rFonts w:eastAsia="Times New Roman"/>
                <w:color w:val="000000"/>
                <w:sz w:val="20"/>
                <w:szCs w:val="20"/>
              </w:rPr>
              <w:t>s</w:t>
            </w:r>
          </w:p>
        </w:tc>
      </w:tr>
      <w:tr w:rsidR="00000000">
        <w:trPr>
          <w:divId w:val="1133645236"/>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 liabilities — curren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Current maturities of long-term deb</w:t>
            </w:r>
            <w:r>
              <w:rPr>
                <w:rFonts w:eastAsia="Times New Roman"/>
                <w:color w:val="000000"/>
                <w:sz w:val="20"/>
                <w:szCs w:val="20"/>
              </w:rPr>
              <w:t>t</w:t>
            </w:r>
          </w:p>
        </w:tc>
      </w:tr>
      <w:tr w:rsidR="00000000">
        <w:trPr>
          <w:divId w:val="1133645236"/>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 liabilities — noncurren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49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Long-term deb</w:t>
            </w:r>
            <w:r>
              <w:rPr>
                <w:rFonts w:eastAsia="Times New Roman"/>
                <w:color w:val="000000"/>
                <w:sz w:val="20"/>
                <w:szCs w:val="20"/>
              </w:rPr>
              <w:t>t</w:t>
            </w:r>
          </w:p>
        </w:tc>
      </w:tr>
      <w:tr w:rsidR="00000000">
        <w:trPr>
          <w:divId w:val="1133645236"/>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divId w:val="764495414"/>
        <w:rPr>
          <w:rFonts w:eastAsia="Times New Roman"/>
        </w:rPr>
      </w:pPr>
    </w:p>
    <w:p w:rsidR="00000000" w:rsidRDefault="00A270CC">
      <w:pPr>
        <w:divId w:val="501746673"/>
        <w:rPr>
          <w:rFonts w:eastAsia="Times New Roman"/>
        </w:rPr>
      </w:pPr>
      <w:r>
        <w:rPr>
          <w:rFonts w:eastAsia="Times New Roman"/>
          <w:color w:val="000000"/>
          <w:sz w:val="20"/>
          <w:szCs w:val="20"/>
        </w:rPr>
        <w:t>The components of lease cost are as follows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5"/>
        <w:gridCol w:w="4906"/>
        <w:gridCol w:w="56"/>
        <w:gridCol w:w="136"/>
        <w:gridCol w:w="1373"/>
        <w:gridCol w:w="85"/>
        <w:gridCol w:w="36"/>
        <w:gridCol w:w="36"/>
        <w:gridCol w:w="36"/>
        <w:gridCol w:w="136"/>
        <w:gridCol w:w="1353"/>
        <w:gridCol w:w="85"/>
      </w:tblGrid>
      <w:tr w:rsidR="00000000">
        <w:trPr>
          <w:divId w:val="33697009"/>
          <w:jc w:val="center"/>
        </w:trPr>
        <w:tc>
          <w:tcPr>
            <w:tcW w:w="50" w:type="pct"/>
            <w:vAlign w:val="center"/>
            <w:hideMark/>
          </w:tcPr>
          <w:p w:rsidR="00000000" w:rsidRDefault="00A270CC">
            <w:pPr>
              <w:rPr>
                <w:rFonts w:eastAsia="Times New Roman"/>
              </w:rPr>
            </w:pPr>
          </w:p>
        </w:tc>
        <w:tc>
          <w:tcPr>
            <w:tcW w:w="297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4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4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33697009"/>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Three Months Ended June 30,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Nine Months Ended June 30, 202</w:t>
            </w:r>
            <w:r>
              <w:rPr>
                <w:rFonts w:eastAsia="Times New Roman"/>
                <w:color w:val="000000"/>
                <w:sz w:val="20"/>
                <w:szCs w:val="20"/>
              </w:rPr>
              <w:t>0</w:t>
            </w:r>
          </w:p>
        </w:tc>
      </w:tr>
      <w:tr w:rsidR="00000000">
        <w:trPr>
          <w:divId w:val="3369700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 cos</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697009"/>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 cost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33697009"/>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Amortization of ROU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697009"/>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on lease liabilities</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69700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Variable lease cos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697009"/>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Short-term lease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69700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lease cos</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divId w:val="988481601"/>
        <w:rPr>
          <w:rFonts w:eastAsia="Times New Roman"/>
        </w:rPr>
      </w:pPr>
    </w:p>
    <w:p w:rsidR="00000000" w:rsidRDefault="00A270CC">
      <w:pPr>
        <w:jc w:val="center"/>
        <w:divId w:val="622275435"/>
        <w:rPr>
          <w:rFonts w:eastAsia="Times New Roman"/>
        </w:rPr>
      </w:pPr>
      <w:r>
        <w:rPr>
          <w:rFonts w:eastAsia="Times New Roman"/>
          <w:color w:val="000000"/>
          <w:sz w:val="20"/>
          <w:szCs w:val="20"/>
        </w:rPr>
        <w:t>2</w:t>
      </w:r>
      <w:r>
        <w:rPr>
          <w:rFonts w:eastAsia="Times New Roman"/>
          <w:color w:val="000000"/>
          <w:sz w:val="20"/>
          <w:szCs w:val="20"/>
        </w:rPr>
        <w:t>3</w:t>
      </w:r>
    </w:p>
    <w:p w:rsidR="00000000" w:rsidRDefault="00A270CC">
      <w:pPr>
        <w:rPr>
          <w:rFonts w:eastAsia="Times New Roman"/>
        </w:rPr>
      </w:pPr>
      <w:r>
        <w:rPr>
          <w:rFonts w:eastAsia="Times New Roman"/>
        </w:rPr>
        <w:pict>
          <v:rect id="_x0000_i1049" style="width:0;height:1.5pt" o:hralign="center" o:hrstd="t" o:hr="t" fillcolor="#a0a0a0" stroked="f"/>
        </w:pict>
      </w:r>
    </w:p>
    <w:p w:rsidR="00000000" w:rsidRDefault="00A270CC">
      <w:pPr>
        <w:divId w:val="525412246"/>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385143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942959390"/>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3851438"/>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3851438"/>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r>
        <w:rPr>
          <w:rFonts w:eastAsia="Times New Roman"/>
          <w:color w:val="000000"/>
          <w:sz w:val="20"/>
          <w:szCs w:val="20"/>
        </w:rPr>
        <w:t>)</w:t>
      </w:r>
    </w:p>
    <w:p w:rsidR="00000000" w:rsidRDefault="00A270CC">
      <w:pPr>
        <w:divId w:val="167331212"/>
        <w:rPr>
          <w:rFonts w:eastAsia="Times New Roman"/>
        </w:rPr>
      </w:pPr>
      <w:r>
        <w:rPr>
          <w:rFonts w:eastAsia="Times New Roman"/>
          <w:color w:val="000000"/>
          <w:sz w:val="20"/>
          <w:szCs w:val="20"/>
        </w:rPr>
        <w:t>The following table presents the cash and non-cash activity related to lease liabilities included in the Condensed Consolidated Statement of Cash Flows occurring during the period</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560"/>
        <w:gridCol w:w="70"/>
        <w:gridCol w:w="135"/>
        <w:gridCol w:w="1387"/>
        <w:gridCol w:w="85"/>
      </w:tblGrid>
      <w:tr w:rsidR="00000000">
        <w:trPr>
          <w:divId w:val="21977229"/>
          <w:jc w:val="center"/>
        </w:trPr>
        <w:tc>
          <w:tcPr>
            <w:tcW w:w="50" w:type="pct"/>
            <w:vAlign w:val="center"/>
            <w:hideMark/>
          </w:tcPr>
          <w:p w:rsidR="00000000" w:rsidRDefault="00A270CC">
            <w:pPr>
              <w:rPr>
                <w:rFonts w:eastAsia="Times New Roman"/>
              </w:rPr>
            </w:pPr>
          </w:p>
        </w:tc>
        <w:tc>
          <w:tcPr>
            <w:tcW w:w="395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4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21977229"/>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Nine Months Ended June 30, 202</w:t>
            </w:r>
            <w:r>
              <w:rPr>
                <w:rFonts w:eastAsia="Times New Roman"/>
                <w:color w:val="000000"/>
                <w:sz w:val="20"/>
                <w:szCs w:val="20"/>
              </w:rPr>
              <w:t>0</w:t>
            </w:r>
          </w:p>
        </w:tc>
      </w:tr>
      <w:tr w:rsidR="00000000">
        <w:trPr>
          <w:divId w:val="2197722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Cash paid related to lease liabilities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rPr>
            </w:pPr>
          </w:p>
        </w:tc>
      </w:tr>
      <w:tr w:rsidR="00000000">
        <w:trPr>
          <w:divId w:val="21977229"/>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cash flows — operating lease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21977229"/>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cash flows — finance lease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21977229"/>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Financing cash flows — finance lease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21977229"/>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1977229"/>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Non-cash lease liability activities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r>
      <w:tr w:rsidR="00000000">
        <w:trPr>
          <w:divId w:val="21977229"/>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ROU assets obtained in exchange for operating lease liabilities (including the impact upon adoption</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21977229"/>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ROU assets obtained in exchange for finance lease liabilities</w:t>
            </w:r>
            <w:r>
              <w:rPr>
                <w:rFonts w:eastAsia="Times New Roman"/>
                <w:color w:val="000000"/>
                <w:sz w:val="20"/>
                <w:szCs w:val="20"/>
              </w:rPr>
              <w:t xml:space="preserve"> </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divId w:val="1211065339"/>
        <w:rPr>
          <w:rFonts w:eastAsia="Times New Roman"/>
        </w:rPr>
      </w:pPr>
    </w:p>
    <w:p w:rsidR="00000000" w:rsidRDefault="00A270CC">
      <w:pPr>
        <w:jc w:val="both"/>
        <w:rPr>
          <w:rFonts w:eastAsia="Times New Roman"/>
        </w:rPr>
      </w:pPr>
      <w:r>
        <w:rPr>
          <w:rFonts w:eastAsia="Times New Roman"/>
          <w:color w:val="000000"/>
          <w:sz w:val="20"/>
          <w:szCs w:val="20"/>
        </w:rPr>
        <w:t>The following table presents the weighted-average remaining lease term and weighted-average discount rate as of June 30, 2020</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75"/>
        <w:gridCol w:w="6688"/>
        <w:gridCol w:w="75"/>
        <w:gridCol w:w="36"/>
        <w:gridCol w:w="36"/>
        <w:gridCol w:w="36"/>
        <w:gridCol w:w="74"/>
        <w:gridCol w:w="1186"/>
        <w:gridCol w:w="75"/>
      </w:tblGrid>
      <w:tr w:rsidR="00000000">
        <w:trPr>
          <w:divId w:val="578095413"/>
          <w:jc w:val="center"/>
        </w:trPr>
        <w:tc>
          <w:tcPr>
            <w:tcW w:w="50" w:type="pct"/>
            <w:vAlign w:val="center"/>
            <w:hideMark/>
          </w:tcPr>
          <w:p w:rsidR="00000000" w:rsidRDefault="00A270CC">
            <w:pPr>
              <w:jc w:val="both"/>
              <w:rPr>
                <w:rFonts w:eastAsia="Times New Roman"/>
              </w:rPr>
            </w:pPr>
          </w:p>
        </w:tc>
        <w:tc>
          <w:tcPr>
            <w:tcW w:w="40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72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578095413"/>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Weighted-average remaining lease ter</w:t>
            </w:r>
            <w:r>
              <w:rPr>
                <w:rFonts w:eastAsia="Times New Roman"/>
                <w:color w:val="000000"/>
                <w:sz w:val="20"/>
                <w:szCs w:val="20"/>
              </w:rPr>
              <w:t>m</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 year</w:t>
            </w:r>
            <w:r>
              <w:rPr>
                <w:rFonts w:eastAsia="Times New Roman"/>
                <w:color w:val="000000"/>
                <w:sz w:val="20"/>
                <w:szCs w:val="20"/>
              </w:rPr>
              <w:t>s</w:t>
            </w:r>
          </w:p>
        </w:tc>
      </w:tr>
      <w:tr w:rsidR="00000000">
        <w:trPr>
          <w:divId w:val="578095413"/>
          <w:jc w:val="center"/>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6.</w:t>
            </w:r>
            <w:r>
              <w:rPr>
                <w:rFonts w:eastAsia="Times New Roman"/>
                <w:color w:val="000000"/>
                <w:sz w:val="20"/>
                <w:szCs w:val="20"/>
              </w:rPr>
              <w:t>2</w:t>
            </w:r>
          </w:p>
        </w:tc>
      </w:tr>
      <w:tr w:rsidR="00000000">
        <w:trPr>
          <w:divId w:val="57809541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w:t>
            </w:r>
            <w:r>
              <w:rPr>
                <w:rFonts w:eastAsia="Times New Roman"/>
                <w:color w:val="000000"/>
                <w:sz w:val="20"/>
                <w:szCs w:val="20"/>
              </w:rPr>
              <w:t>3</w:t>
            </w:r>
          </w:p>
        </w:tc>
      </w:tr>
      <w:tr w:rsidR="00000000">
        <w:trPr>
          <w:divId w:val="578095413"/>
          <w:trHeight w:val="120"/>
          <w:jc w:val="center"/>
        </w:trPr>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78095413"/>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Weighted-average discount rat</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w:t>
            </w:r>
          </w:p>
        </w:tc>
      </w:tr>
      <w:tr w:rsidR="00000000">
        <w:trPr>
          <w:divId w:val="578095413"/>
          <w:jc w:val="center"/>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3.9</w:t>
            </w:r>
            <w:r>
              <w:rPr>
                <w:rFonts w:eastAsia="Times New Roman"/>
                <w:color w:val="000000"/>
                <w:sz w:val="20"/>
                <w:szCs w:val="20"/>
              </w:rPr>
              <w:t>%</w:t>
            </w:r>
          </w:p>
        </w:tc>
      </w:tr>
      <w:tr w:rsidR="00000000">
        <w:trPr>
          <w:divId w:val="578095413"/>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w:t>
            </w:r>
            <w:r>
              <w:rPr>
                <w:rFonts w:eastAsia="Times New Roman"/>
                <w:color w:val="000000"/>
                <w:sz w:val="20"/>
                <w:szCs w:val="20"/>
              </w:rPr>
              <w:t>%</w:t>
            </w:r>
          </w:p>
        </w:tc>
      </w:tr>
    </w:tbl>
    <w:p w:rsidR="00000000" w:rsidRDefault="00A270CC">
      <w:pPr>
        <w:divId w:val="1030566188"/>
        <w:rPr>
          <w:rFonts w:eastAsia="Times New Roman"/>
        </w:rPr>
      </w:pPr>
    </w:p>
    <w:p w:rsidR="00000000" w:rsidRDefault="00A270CC">
      <w:pPr>
        <w:jc w:val="both"/>
        <w:rPr>
          <w:rFonts w:eastAsia="Times New Roman"/>
        </w:rPr>
      </w:pPr>
      <w:r>
        <w:rPr>
          <w:rFonts w:eastAsia="Times New Roman"/>
          <w:color w:val="000000"/>
          <w:sz w:val="20"/>
          <w:szCs w:val="20"/>
        </w:rPr>
        <w:t>Expected annual lease payments based on maturities of operating and finance leases, as well as a reconciliation to the lease liabilities on the Condensed Consolidated Balance Sheet, as of June 30, 2020, were as follows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8"/>
        <w:gridCol w:w="837"/>
        <w:gridCol w:w="47"/>
        <w:gridCol w:w="136"/>
        <w:gridCol w:w="653"/>
        <w:gridCol w:w="88"/>
        <w:gridCol w:w="36"/>
        <w:gridCol w:w="36"/>
        <w:gridCol w:w="36"/>
        <w:gridCol w:w="135"/>
        <w:gridCol w:w="415"/>
        <w:gridCol w:w="85"/>
        <w:gridCol w:w="36"/>
        <w:gridCol w:w="36"/>
        <w:gridCol w:w="36"/>
        <w:gridCol w:w="135"/>
        <w:gridCol w:w="415"/>
        <w:gridCol w:w="85"/>
        <w:gridCol w:w="36"/>
        <w:gridCol w:w="36"/>
        <w:gridCol w:w="36"/>
        <w:gridCol w:w="135"/>
        <w:gridCol w:w="415"/>
        <w:gridCol w:w="85"/>
        <w:gridCol w:w="36"/>
        <w:gridCol w:w="36"/>
        <w:gridCol w:w="36"/>
        <w:gridCol w:w="135"/>
        <w:gridCol w:w="415"/>
        <w:gridCol w:w="85"/>
        <w:gridCol w:w="36"/>
        <w:gridCol w:w="36"/>
        <w:gridCol w:w="36"/>
        <w:gridCol w:w="135"/>
        <w:gridCol w:w="515"/>
        <w:gridCol w:w="85"/>
        <w:gridCol w:w="36"/>
        <w:gridCol w:w="36"/>
        <w:gridCol w:w="36"/>
        <w:gridCol w:w="136"/>
        <w:gridCol w:w="557"/>
        <w:gridCol w:w="91"/>
        <w:gridCol w:w="36"/>
        <w:gridCol w:w="36"/>
        <w:gridCol w:w="36"/>
        <w:gridCol w:w="135"/>
        <w:gridCol w:w="499"/>
        <w:gridCol w:w="85"/>
        <w:gridCol w:w="36"/>
        <w:gridCol w:w="36"/>
        <w:gridCol w:w="36"/>
        <w:gridCol w:w="136"/>
        <w:gridCol w:w="595"/>
        <w:gridCol w:w="87"/>
      </w:tblGrid>
      <w:tr w:rsidR="00000000">
        <w:trPr>
          <w:divId w:val="338698934"/>
          <w:jc w:val="center"/>
        </w:trPr>
        <w:tc>
          <w:tcPr>
            <w:tcW w:w="50" w:type="pct"/>
            <w:vAlign w:val="center"/>
            <w:hideMark/>
          </w:tcPr>
          <w:p w:rsidR="00000000" w:rsidRDefault="00A270CC">
            <w:pPr>
              <w:jc w:val="both"/>
              <w:rPr>
                <w:rFonts w:eastAsia="Times New Roman"/>
              </w:rPr>
            </w:pPr>
          </w:p>
        </w:tc>
        <w:tc>
          <w:tcPr>
            <w:tcW w:w="70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0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338698934"/>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Remainder of Fiscal 202</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Fiscal 202</w:t>
            </w:r>
            <w:r>
              <w:rPr>
                <w:rFonts w:eastAsia="Times New Roman"/>
                <w:color w:val="000000"/>
                <w:sz w:val="18"/>
                <w:szCs w:val="18"/>
              </w:rPr>
              <w:t>1</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Fiscal 202</w:t>
            </w:r>
            <w:r>
              <w:rPr>
                <w:rFonts w:eastAsia="Times New Roman"/>
                <w:color w:val="000000"/>
                <w:sz w:val="18"/>
                <w:szCs w:val="18"/>
              </w:rPr>
              <w:t>2</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Fiscal 202</w:t>
            </w:r>
            <w:r>
              <w:rPr>
                <w:rFonts w:eastAsia="Times New Roman"/>
                <w:color w:val="000000"/>
                <w:sz w:val="18"/>
                <w:szCs w:val="18"/>
              </w:rPr>
              <w:t>3</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Fiscal 202</w:t>
            </w:r>
            <w:r>
              <w:rPr>
                <w:rFonts w:eastAsia="Times New Roman"/>
                <w:color w:val="000000"/>
                <w:sz w:val="18"/>
                <w:szCs w:val="18"/>
              </w:rPr>
              <w:t>4</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After Fiscal 202</w:t>
            </w:r>
            <w:r>
              <w:rPr>
                <w:rFonts w:eastAsia="Times New Roman"/>
                <w:color w:val="000000"/>
                <w:sz w:val="18"/>
                <w:szCs w:val="18"/>
              </w:rPr>
              <w:t>4</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Total Lease Payment</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Imputed Interes</w:t>
            </w:r>
            <w:r>
              <w:rPr>
                <w:rFonts w:eastAsia="Times New Roman"/>
                <w:color w:val="000000"/>
                <w:sz w:val="18"/>
                <w:szCs w:val="18"/>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Lease Liabilitie</w:t>
            </w:r>
            <w:r>
              <w:rPr>
                <w:rFonts w:eastAsia="Times New Roman"/>
                <w:color w:val="000000"/>
                <w:sz w:val="18"/>
                <w:szCs w:val="18"/>
              </w:rPr>
              <w:t>s</w:t>
            </w:r>
          </w:p>
        </w:tc>
      </w:tr>
      <w:tr w:rsidR="00A270CC">
        <w:trPr>
          <w:divId w:val="338698934"/>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leases</w:t>
            </w:r>
            <w:r>
              <w:rPr>
                <w:rFonts w:eastAsia="Times New Roman"/>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8698934"/>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Finance leases</w:t>
            </w:r>
            <w:r>
              <w:rPr>
                <w:rFonts w:eastAsia="Times New Roman"/>
                <w:color w:val="000000"/>
                <w:sz w:val="18"/>
                <w:szCs w:val="18"/>
              </w:rPr>
              <w:t>:</w:t>
            </w: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(56.5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338698934"/>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338698934"/>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bl>
    <w:p w:rsidR="00000000" w:rsidRDefault="00A270CC">
      <w:pPr>
        <w:ind w:hanging="360"/>
        <w:divId w:val="932517265"/>
        <w:rPr>
          <w:rFonts w:eastAsia="Times New Roman"/>
        </w:rPr>
      </w:pPr>
      <w:r>
        <w:rPr>
          <w:rFonts w:eastAsia="Times New Roman"/>
          <w:color w:val="000000"/>
          <w:sz w:val="20"/>
          <w:szCs w:val="20"/>
        </w:rPr>
        <w:t>Approximately 85% of the operating lease liabilities presented above relates to AmeriGas Propane.</w:t>
      </w:r>
      <w:r>
        <w:rPr>
          <w:rFonts w:eastAsia="Times New Roman"/>
          <w:color w:val="000000"/>
          <w:sz w:val="20"/>
          <w:szCs w:val="20"/>
        </w:rPr>
        <w:t xml:space="preserve"> </w:t>
      </w:r>
    </w:p>
    <w:p w:rsidR="00000000" w:rsidRDefault="00A270CC">
      <w:pPr>
        <w:divId w:val="1589383501"/>
        <w:rPr>
          <w:rFonts w:eastAsia="Times New Roman"/>
        </w:rPr>
      </w:pPr>
    </w:p>
    <w:p w:rsidR="00000000" w:rsidRDefault="00A270CC">
      <w:pPr>
        <w:jc w:val="both"/>
        <w:rPr>
          <w:rFonts w:eastAsia="Times New Roman"/>
        </w:rPr>
      </w:pPr>
      <w:r>
        <w:rPr>
          <w:rFonts w:eastAsia="Times New Roman"/>
          <w:color w:val="000000"/>
          <w:sz w:val="20"/>
          <w:szCs w:val="20"/>
        </w:rPr>
        <w:t>At June 30, 2020, operating and finance leases that had not yet com</w:t>
      </w:r>
      <w:r>
        <w:rPr>
          <w:rFonts w:eastAsia="Times New Roman"/>
          <w:color w:val="000000"/>
          <w:sz w:val="20"/>
          <w:szCs w:val="20"/>
        </w:rPr>
        <w:t>menced were not material</w:t>
      </w:r>
      <w:r>
        <w:rPr>
          <w:rFonts w:eastAsia="Times New Roman"/>
          <w:color w:val="000000"/>
          <w:sz w:val="20"/>
          <w:szCs w:val="20"/>
        </w:rPr>
        <w:t>.</w:t>
      </w:r>
    </w:p>
    <w:p w:rsidR="00000000" w:rsidRDefault="00A270CC">
      <w:pPr>
        <w:divId w:val="1413773575"/>
        <w:rPr>
          <w:rFonts w:eastAsia="Times New Roman"/>
        </w:rPr>
      </w:pPr>
    </w:p>
    <w:p w:rsidR="00000000" w:rsidRDefault="00A270CC">
      <w:pPr>
        <w:divId w:val="984623725"/>
        <w:rPr>
          <w:rFonts w:eastAsia="Times New Roman"/>
        </w:rPr>
      </w:pPr>
      <w:r>
        <w:rPr>
          <w:rFonts w:eastAsia="Times New Roman"/>
          <w:b/>
          <w:bCs/>
          <w:i/>
          <w:iCs/>
          <w:color w:val="000000"/>
          <w:sz w:val="20"/>
          <w:szCs w:val="20"/>
        </w:rPr>
        <w:t>Disclosures Related to Periods Prior to Adoption of ASC 84</w:t>
      </w:r>
      <w:r>
        <w:rPr>
          <w:rFonts w:eastAsia="Times New Roman"/>
          <w:b/>
          <w:bCs/>
          <w:i/>
          <w:iCs/>
          <w:color w:val="000000"/>
          <w:sz w:val="20"/>
          <w:szCs w:val="20"/>
        </w:rPr>
        <w:t>2</w:t>
      </w:r>
    </w:p>
    <w:p w:rsidR="00000000" w:rsidRDefault="00A270CC">
      <w:pPr>
        <w:divId w:val="670065502"/>
        <w:rPr>
          <w:rFonts w:eastAsia="Times New Roman"/>
        </w:rPr>
      </w:pPr>
    </w:p>
    <w:p w:rsidR="00000000" w:rsidRDefault="00A270CC">
      <w:pPr>
        <w:jc w:val="both"/>
        <w:rPr>
          <w:rFonts w:eastAsia="Times New Roman"/>
        </w:rPr>
      </w:pPr>
      <w:r>
        <w:rPr>
          <w:rFonts w:eastAsia="Times New Roman"/>
          <w:color w:val="000000"/>
          <w:sz w:val="20"/>
          <w:szCs w:val="20"/>
        </w:rPr>
        <w:t xml:space="preserve">As discussed above, the Company adopted ASC 842 effective October 1, 2019, using a modified retrospective approach. As required, the following disclosure is provided </w:t>
      </w:r>
      <w:r>
        <w:rPr>
          <w:rFonts w:eastAsia="Times New Roman"/>
          <w:color w:val="000000"/>
          <w:sz w:val="20"/>
          <w:szCs w:val="20"/>
        </w:rPr>
        <w:t>for periods prior to adoption. The Company’s future minimum payments under non-cancelable operating leases at September 30, 2019, which were accounted for under ASC 840, were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3046"/>
        <w:gridCol w:w="39"/>
        <w:gridCol w:w="36"/>
        <w:gridCol w:w="36"/>
        <w:gridCol w:w="36"/>
        <w:gridCol w:w="135"/>
        <w:gridCol w:w="530"/>
        <w:gridCol w:w="85"/>
        <w:gridCol w:w="36"/>
        <w:gridCol w:w="36"/>
        <w:gridCol w:w="36"/>
        <w:gridCol w:w="135"/>
        <w:gridCol w:w="531"/>
        <w:gridCol w:w="85"/>
        <w:gridCol w:w="36"/>
        <w:gridCol w:w="36"/>
        <w:gridCol w:w="36"/>
        <w:gridCol w:w="135"/>
        <w:gridCol w:w="532"/>
        <w:gridCol w:w="85"/>
        <w:gridCol w:w="36"/>
        <w:gridCol w:w="36"/>
        <w:gridCol w:w="36"/>
        <w:gridCol w:w="135"/>
        <w:gridCol w:w="532"/>
        <w:gridCol w:w="85"/>
        <w:gridCol w:w="36"/>
        <w:gridCol w:w="36"/>
        <w:gridCol w:w="36"/>
        <w:gridCol w:w="135"/>
        <w:gridCol w:w="532"/>
        <w:gridCol w:w="85"/>
        <w:gridCol w:w="36"/>
        <w:gridCol w:w="36"/>
        <w:gridCol w:w="36"/>
        <w:gridCol w:w="135"/>
        <w:gridCol w:w="532"/>
        <w:gridCol w:w="85"/>
      </w:tblGrid>
      <w:tr w:rsidR="00000000">
        <w:trPr>
          <w:divId w:val="936862449"/>
        </w:trPr>
        <w:tc>
          <w:tcPr>
            <w:tcW w:w="50" w:type="pct"/>
            <w:vAlign w:val="center"/>
            <w:hideMark/>
          </w:tcPr>
          <w:p w:rsidR="00000000" w:rsidRDefault="00A270CC">
            <w:pPr>
              <w:jc w:val="both"/>
              <w:rPr>
                <w:rFonts w:eastAsia="Times New Roman"/>
              </w:rPr>
            </w:pPr>
          </w:p>
        </w:tc>
        <w:tc>
          <w:tcPr>
            <w:tcW w:w="186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936862449"/>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Fiscal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Fiscal 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Fiscal 202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Fiscal 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Fiscal 202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After</w:t>
            </w:r>
            <w:r>
              <w:rPr>
                <w:rFonts w:eastAsia="Times New Roman"/>
                <w:color w:val="000000"/>
                <w:sz w:val="20"/>
                <w:szCs w:val="20"/>
              </w:rPr>
              <w:br/>
              <w:t>Fiscal</w:t>
            </w:r>
            <w:r>
              <w:rPr>
                <w:rFonts w:eastAsia="Times New Roman"/>
                <w:color w:val="000000"/>
                <w:sz w:val="20"/>
                <w:szCs w:val="20"/>
              </w:rPr>
              <w:br/>
              <w:t>202</w:t>
            </w:r>
            <w:r>
              <w:rPr>
                <w:rFonts w:eastAsia="Times New Roman"/>
                <w:color w:val="000000"/>
                <w:sz w:val="20"/>
                <w:szCs w:val="20"/>
              </w:rPr>
              <w:t>4</w:t>
            </w:r>
          </w:p>
        </w:tc>
      </w:tr>
      <w:tr w:rsidR="00000000">
        <w:trPr>
          <w:divId w:val="936862449"/>
        </w:trPr>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936862449"/>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936862449"/>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936862449"/>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936862449"/>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jc w:val="center"/>
        <w:divId w:val="1543862391"/>
        <w:rPr>
          <w:rFonts w:eastAsia="Times New Roman"/>
        </w:rPr>
      </w:pPr>
      <w:r>
        <w:rPr>
          <w:rFonts w:eastAsia="Times New Roman"/>
          <w:color w:val="000000"/>
          <w:sz w:val="20"/>
          <w:szCs w:val="20"/>
        </w:rPr>
        <w:t>2</w:t>
      </w:r>
      <w:r>
        <w:rPr>
          <w:rFonts w:eastAsia="Times New Roman"/>
          <w:color w:val="000000"/>
          <w:sz w:val="20"/>
          <w:szCs w:val="20"/>
        </w:rPr>
        <w:t>4</w:t>
      </w:r>
    </w:p>
    <w:p w:rsidR="00000000" w:rsidRDefault="00A270CC">
      <w:pPr>
        <w:rPr>
          <w:rFonts w:eastAsia="Times New Roman"/>
        </w:rPr>
      </w:pPr>
      <w:r>
        <w:rPr>
          <w:rFonts w:eastAsia="Times New Roman"/>
        </w:rPr>
        <w:pict>
          <v:rect id="_x0000_i1050" style="width:0;height:1.5pt" o:hralign="center" o:hrstd="t" o:hr="t" fillcolor="#a0a0a0" stroked="f"/>
        </w:pict>
      </w:r>
    </w:p>
    <w:p w:rsidR="00000000" w:rsidRDefault="00A270CC">
      <w:pPr>
        <w:divId w:val="34059551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562983814"/>
        <w:rPr>
          <w:rFonts w:eastAsia="Times New Roman"/>
        </w:rPr>
      </w:pPr>
      <w:r>
        <w:rPr>
          <w:rFonts w:eastAsia="Times New Roman"/>
          <w:b/>
          <w:bCs/>
          <w:color w:val="000000"/>
          <w:sz w:val="20"/>
          <w:szCs w:val="20"/>
        </w:rPr>
        <w:t>UGI CORPORATION AN</w:t>
      </w:r>
      <w:r>
        <w:rPr>
          <w:rFonts w:eastAsia="Times New Roman"/>
          <w:b/>
          <w:bCs/>
          <w:color w:val="000000"/>
          <w:sz w:val="20"/>
          <w:szCs w:val="20"/>
        </w:rPr>
        <w:t>D SUBSIDIARIE</w:t>
      </w:r>
      <w:r>
        <w:rPr>
          <w:rFonts w:eastAsia="Times New Roman"/>
          <w:b/>
          <w:bCs/>
          <w:color w:val="000000"/>
          <w:sz w:val="20"/>
          <w:szCs w:val="20"/>
        </w:rPr>
        <w:t>S</w:t>
      </w:r>
    </w:p>
    <w:p w:rsidR="00000000" w:rsidRDefault="00A270CC">
      <w:pPr>
        <w:jc w:val="center"/>
        <w:divId w:val="543060057"/>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562983814"/>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562983814"/>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b/>
          <w:bCs/>
          <w:color w:val="000000"/>
          <w:sz w:val="20"/>
          <w:szCs w:val="20"/>
        </w:rPr>
        <w:t>Lesso</w:t>
      </w:r>
      <w:r>
        <w:rPr>
          <w:rFonts w:eastAsia="Times New Roman"/>
          <w:b/>
          <w:bCs/>
          <w:color w:val="000000"/>
          <w:sz w:val="20"/>
          <w:szCs w:val="20"/>
        </w:rPr>
        <w:t>r</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enter into lessor arrangements for the purposes of storing, gathering or distributing natural gas and propane. AmeriGas Propane and UGI International have lessor arrangements that grant customers the right to use small, medium and large storage tanks, w</w:t>
      </w:r>
      <w:r>
        <w:rPr>
          <w:rFonts w:eastAsia="Times New Roman"/>
          <w:color w:val="000000"/>
          <w:sz w:val="20"/>
          <w:szCs w:val="20"/>
        </w:rPr>
        <w:t>hich we classify as operating leases. These agreements contain renewal options for periods up to nine years and certain agreements at UGI International contain a purchase option. Energy Services leases certain natural gas gathering assets to customers, whi</w:t>
      </w:r>
      <w:r>
        <w:rPr>
          <w:rFonts w:eastAsia="Times New Roman"/>
          <w:color w:val="000000"/>
          <w:sz w:val="20"/>
          <w:szCs w:val="20"/>
        </w:rPr>
        <w:t>ch we classify as operating leases. Lease income is generally recognized on a straight-line basis over the lease term and included in “Revenues” on the Condensed Consolidated Statements of Income (see Note 4).</w:t>
      </w:r>
      <w:r>
        <w:rPr>
          <w:rFonts w:eastAsia="Times New Roman"/>
          <w:color w:val="000000"/>
          <w:sz w:val="20"/>
          <w:szCs w:val="20"/>
        </w:rPr>
        <w:t xml:space="preserve"> </w:t>
      </w:r>
    </w:p>
    <w:p w:rsidR="00000000" w:rsidRDefault="00A270CC">
      <w:pPr>
        <w:divId w:val="101845553"/>
        <w:rPr>
          <w:rFonts w:eastAsia="Times New Roman"/>
        </w:rPr>
      </w:pPr>
    </w:p>
    <w:p w:rsidR="00000000" w:rsidRDefault="00A270CC">
      <w:pPr>
        <w:divId w:val="1916742557"/>
        <w:rPr>
          <w:rFonts w:eastAsia="Times New Roman"/>
        </w:rPr>
      </w:pPr>
      <w:r>
        <w:rPr>
          <w:rFonts w:eastAsia="Times New Roman"/>
          <w:b/>
          <w:bCs/>
          <w:color w:val="000000"/>
          <w:sz w:val="20"/>
          <w:szCs w:val="20"/>
          <w:u w:val="single"/>
        </w:rPr>
        <w:t>Note 10 — Deb</w:t>
      </w:r>
      <w:r>
        <w:rPr>
          <w:rFonts w:eastAsia="Times New Roman"/>
          <w:b/>
          <w:bCs/>
          <w:color w:val="000000"/>
          <w:sz w:val="20"/>
          <w:szCs w:val="20"/>
          <w:u w:val="single"/>
        </w:rPr>
        <w:t>t</w:t>
      </w:r>
      <w:r>
        <w:rPr>
          <w:rFonts w:eastAsia="Times New Roman"/>
          <w:color w:val="000000"/>
          <w:sz w:val="20"/>
          <w:szCs w:val="20"/>
        </w:rPr>
        <w:t xml:space="preserve"> </w:t>
      </w:r>
    </w:p>
    <w:p w:rsidR="00000000" w:rsidRDefault="00A270CC">
      <w:pPr>
        <w:divId w:val="715811033"/>
        <w:rPr>
          <w:rFonts w:eastAsia="Times New Roman"/>
        </w:rPr>
      </w:pPr>
    </w:p>
    <w:p w:rsidR="00000000" w:rsidRDefault="00A270CC">
      <w:pPr>
        <w:jc w:val="both"/>
        <w:rPr>
          <w:rFonts w:eastAsia="Times New Roman"/>
        </w:rPr>
      </w:pPr>
      <w:r>
        <w:rPr>
          <w:rFonts w:eastAsia="Times New Roman"/>
          <w:b/>
          <w:bCs/>
          <w:i/>
          <w:iCs/>
          <w:color w:val="000000"/>
          <w:sz w:val="20"/>
          <w:szCs w:val="20"/>
        </w:rPr>
        <w:t>Energy Services.</w:t>
      </w:r>
      <w:r>
        <w:rPr>
          <w:rFonts w:eastAsia="Times New Roman"/>
          <w:b/>
          <w:bCs/>
          <w:i/>
          <w:iCs/>
          <w:color w:val="000000"/>
          <w:sz w:val="20"/>
          <w:szCs w:val="20"/>
        </w:rPr>
        <w:t xml:space="preserve"> </w:t>
      </w:r>
      <w:r>
        <w:rPr>
          <w:rFonts w:eastAsia="Times New Roman"/>
          <w:color w:val="000000"/>
          <w:sz w:val="20"/>
          <w:szCs w:val="20"/>
        </w:rPr>
        <w:t xml:space="preserve">On March 6, 2020, Energy Services entered into the Energy Services 2020 Credit Agreement, as borrower, with a group of lenders. The Energy Services 2020 Credit Agreement amends and restates the Energy Services Credit Agreement. The Energy </w:t>
      </w:r>
      <w:r>
        <w:rPr>
          <w:rFonts w:eastAsia="Times New Roman"/>
          <w:color w:val="000000"/>
          <w:sz w:val="20"/>
          <w:szCs w:val="20"/>
        </w:rPr>
        <w:t>Services 2020 Credit Agreement provides for borrowings up to $260, including a $50 sublimit for letters of credit. Energy Services may request an increase in the amount of loan commitments under the Energy Services 2020 Credit Agreement to a maximum aggreg</w:t>
      </w:r>
      <w:r>
        <w:rPr>
          <w:rFonts w:eastAsia="Times New Roman"/>
          <w:color w:val="000000"/>
          <w:sz w:val="20"/>
          <w:szCs w:val="20"/>
        </w:rPr>
        <w:t>ate amount of $325, subject to certain terms and conditions. Borrowings under the Energy Services 2020 Credit Agreement can be used to fund acquisitions and investments and for general corporate purposes. The Energy Services 2020 Credit Agreement is schedu</w:t>
      </w:r>
      <w:r>
        <w:rPr>
          <w:rFonts w:eastAsia="Times New Roman"/>
          <w:color w:val="000000"/>
          <w:sz w:val="20"/>
          <w:szCs w:val="20"/>
        </w:rPr>
        <w:t>led to expire in March 2025</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Borrowings under the Energy Services 2020 Credit Agreement bear interest at either (i) the Alternate Base Rate plus a margin or (ii) the Adjusted LIBOR plus a margin. The Alternate Base Rate, as defined, is the highest of (a)</w:t>
      </w:r>
      <w:r>
        <w:rPr>
          <w:rFonts w:eastAsia="Times New Roman"/>
          <w:color w:val="000000"/>
          <w:sz w:val="20"/>
          <w:szCs w:val="20"/>
        </w:rPr>
        <w:t xml:space="preserve"> the prime rate, (b) the federal funds rate plus 0.50%, and (c) the Adjusted LIBOR for a one-month interest period plus 1% but in no event shall the Alternative Base Rate be less than 1%. The margins on borrowings ranges from 0.75% to 2.75% and are depende</w:t>
      </w:r>
      <w:r>
        <w:rPr>
          <w:rFonts w:eastAsia="Times New Roman"/>
          <w:color w:val="000000"/>
          <w:sz w:val="20"/>
          <w:szCs w:val="20"/>
        </w:rPr>
        <w:t>nt upon Energy Services’ ratio of Consolidated Total Indebtedness to Consolidated EBITDA, as defined. The initial margin on the Alternate Base Rate and Adjusted LIBOR on borrowings under the Energy Services 2020 Credit Agreement were 1.50% and 2.50%, respe</w:t>
      </w:r>
      <w:r>
        <w:rPr>
          <w:rFonts w:eastAsia="Times New Roman"/>
          <w:color w:val="000000"/>
          <w:sz w:val="20"/>
          <w:szCs w:val="20"/>
        </w:rPr>
        <w:t>ctively. The Energy Services 2020 Credit Agreement includes customary provisions with respect to the replacement of LIBOR</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Energy Services 2020 Credit Agreement requires that Energy Services not exceed ratios of Consolidated Total Indebtedness to Con</w:t>
      </w:r>
      <w:r>
        <w:rPr>
          <w:rFonts w:eastAsia="Times New Roman"/>
          <w:color w:val="000000"/>
          <w:sz w:val="20"/>
          <w:szCs w:val="20"/>
        </w:rPr>
        <w:t>solidated EBITDA, as defined, of 4.00 to 1.00, and maintain a minimum ratio of Consolidated EBITDA to Consolidated Interest Expense, as defined, of 3.50 to 1.00. The Energy Services 2020 Credit Agreement is guaranteed by certain subsidiaries of Energy Serv</w:t>
      </w:r>
      <w:r>
        <w:rPr>
          <w:rFonts w:eastAsia="Times New Roman"/>
          <w:color w:val="000000"/>
          <w:sz w:val="20"/>
          <w:szCs w:val="20"/>
        </w:rPr>
        <w:t>ices and is collateralized by substantially all of the assets of Energy Services, subject to certain exceptions and carveouts including, but not limited to, accounts receivables and certain real property. The Energy Services 2020 Credit Agreement is subjec</w:t>
      </w:r>
      <w:r>
        <w:rPr>
          <w:rFonts w:eastAsia="Times New Roman"/>
          <w:color w:val="000000"/>
          <w:sz w:val="20"/>
          <w:szCs w:val="20"/>
        </w:rPr>
        <w:t>t to customary covenants and default provisions including restrictions on the incurrence of additional indebtedness and also restricts liens, guarantees, investments, loans and advances, payments, mergers, consolidations, asset transfers, transactions with</w:t>
      </w:r>
      <w:r>
        <w:rPr>
          <w:rFonts w:eastAsia="Times New Roman"/>
          <w:color w:val="000000"/>
          <w:sz w:val="20"/>
          <w:szCs w:val="20"/>
        </w:rPr>
        <w:t xml:space="preserve"> affiliates, sales of assets, acquisitions and other transactions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Utilities.</w:t>
      </w:r>
      <w:r>
        <w:rPr>
          <w:rFonts w:eastAsia="Times New Roman"/>
          <w:b/>
          <w:bCs/>
          <w:i/>
          <w:iCs/>
          <w:color w:val="000000"/>
          <w:sz w:val="20"/>
          <w:szCs w:val="20"/>
        </w:rPr>
        <w:t xml:space="preserve"> </w:t>
      </w:r>
      <w:r>
        <w:rPr>
          <w:rFonts w:eastAsia="Times New Roman"/>
          <w:color w:val="000000"/>
          <w:sz w:val="20"/>
          <w:szCs w:val="20"/>
        </w:rPr>
        <w:t>On April 16, 2020, UGI Utilities issued in a private placement $150 of UGI Utilities 3.12% Senior Notes due April 16, 2050 pursuant to a Note Purchase Agreement dated March</w:t>
      </w:r>
      <w:r>
        <w:rPr>
          <w:rFonts w:eastAsia="Times New Roman"/>
          <w:color w:val="000000"/>
          <w:sz w:val="20"/>
          <w:szCs w:val="20"/>
        </w:rPr>
        <w:t xml:space="preserve"> 19, 2020, between UGI Utilities and certain note purchasers. The UGI Utilities 3.12% Senior Notes are unsecured and rank equally with UGI Utilities’ existing outstanding senior debt. The net proceeds from the issuance of the UGI Utilities 3.12% Senior Not</w:t>
      </w:r>
      <w:r>
        <w:rPr>
          <w:rFonts w:eastAsia="Times New Roman"/>
          <w:color w:val="000000"/>
          <w:sz w:val="20"/>
          <w:szCs w:val="20"/>
        </w:rPr>
        <w:t xml:space="preserve">es were used to reduce short-term borrowings and for general corporate purposes. The UGI Utilities 3.12% Senior Notes include the usual and customary covenants for similar type notes including, among others, maintenance of existence, payment of taxes when </w:t>
      </w:r>
      <w:r>
        <w:rPr>
          <w:rFonts w:eastAsia="Times New Roman"/>
          <w:color w:val="000000"/>
          <w:sz w:val="20"/>
          <w:szCs w:val="20"/>
        </w:rPr>
        <w:t>due, compliance with laws and maintenance of insurance. The UGI Utilities 3.12% Senior Notes require UGI Utilities not to exceed a ratio of Consolidated Debt to Consolidated Total Capital, as defined, of 0.65 to 1.00</w:t>
      </w:r>
      <w:r>
        <w:rPr>
          <w:rFonts w:eastAsia="Times New Roman"/>
          <w:color w:val="000000"/>
          <w:sz w:val="20"/>
          <w:szCs w:val="20"/>
        </w:rPr>
        <w:t>.</w:t>
      </w:r>
    </w:p>
    <w:p w:rsidR="00000000" w:rsidRDefault="00A270CC">
      <w:pPr>
        <w:divId w:val="1912961538"/>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11 — Commitments and Contingenc</w:t>
      </w:r>
      <w:r>
        <w:rPr>
          <w:rFonts w:eastAsia="Times New Roman"/>
          <w:b/>
          <w:bCs/>
          <w:color w:val="000000"/>
          <w:sz w:val="20"/>
          <w:szCs w:val="20"/>
          <w:u w:val="single"/>
        </w:rPr>
        <w:t>ie</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Environmental Matter</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Utilitie</w:t>
      </w:r>
      <w:r>
        <w:rPr>
          <w:rFonts w:eastAsia="Times New Roman"/>
          <w:b/>
          <w:bCs/>
          <w:i/>
          <w:iCs/>
          <w:color w:val="000000"/>
          <w:sz w:val="20"/>
          <w:szCs w:val="20"/>
        </w:rPr>
        <w:t>s</w:t>
      </w:r>
    </w:p>
    <w:p w:rsidR="00000000" w:rsidRDefault="00A270CC">
      <w:pPr>
        <w:jc w:val="both"/>
        <w:rPr>
          <w:rFonts w:eastAsia="Times New Roman"/>
        </w:rPr>
      </w:pPr>
    </w:p>
    <w:p w:rsidR="00000000" w:rsidRDefault="00A270CC">
      <w:pPr>
        <w:jc w:val="both"/>
        <w:divId w:val="1139304915"/>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w:t>
      </w:r>
      <w:r>
        <w:rPr>
          <w:rFonts w:eastAsia="Times New Roman"/>
          <w:color w:val="000000"/>
          <w:sz w:val="20"/>
          <w:szCs w:val="20"/>
        </w:rPr>
        <w:t>er residues of the manufactured gas process</w:t>
      </w:r>
      <w:r>
        <w:rPr>
          <w:rFonts w:eastAsia="Times New Roman"/>
          <w:color w:val="000000"/>
          <w:sz w:val="20"/>
          <w:szCs w:val="20"/>
        </w:rPr>
        <w:t xml:space="preserve"> </w:t>
      </w:r>
    </w:p>
    <w:p w:rsidR="00000000" w:rsidRDefault="00A270CC">
      <w:pPr>
        <w:jc w:val="center"/>
        <w:divId w:val="1775856850"/>
        <w:rPr>
          <w:rFonts w:eastAsia="Times New Roman"/>
        </w:rPr>
      </w:pPr>
      <w:r>
        <w:rPr>
          <w:rFonts w:eastAsia="Times New Roman"/>
          <w:color w:val="000000"/>
          <w:sz w:val="20"/>
          <w:szCs w:val="20"/>
        </w:rPr>
        <w:t>2</w:t>
      </w:r>
      <w:r>
        <w:rPr>
          <w:rFonts w:eastAsia="Times New Roman"/>
          <w:color w:val="000000"/>
          <w:sz w:val="20"/>
          <w:szCs w:val="20"/>
        </w:rPr>
        <w:t>5</w:t>
      </w:r>
    </w:p>
    <w:p w:rsidR="00000000" w:rsidRDefault="00A270CC">
      <w:pPr>
        <w:rPr>
          <w:rFonts w:eastAsia="Times New Roman"/>
        </w:rPr>
      </w:pPr>
      <w:r>
        <w:rPr>
          <w:rFonts w:eastAsia="Times New Roman"/>
        </w:rPr>
        <w:pict>
          <v:rect id="_x0000_i1051" style="width:0;height:1.5pt" o:hralign="center" o:hrstd="t" o:hr="t" fillcolor="#a0a0a0" stroked="f"/>
        </w:pict>
      </w:r>
    </w:p>
    <w:p w:rsidR="00000000" w:rsidRDefault="00A270CC">
      <w:pPr>
        <w:divId w:val="998844006"/>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1320440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009404410"/>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213204408"/>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213204408"/>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divId w:val="1635986009"/>
        <w:rPr>
          <w:rFonts w:eastAsia="Times New Roman"/>
        </w:rPr>
      </w:pPr>
      <w:r>
        <w:rPr>
          <w:rFonts w:eastAsia="Times New Roman"/>
          <w:color w:val="000000"/>
          <w:sz w:val="20"/>
          <w:szCs w:val="20"/>
        </w:rPr>
        <w:t>are today considered hazardous substances under the Superfund Law and may be present on the sites of former MGPs. Between 1882 and 1953, UGI Utilities owned the stock of subsi</w:t>
      </w:r>
      <w:r>
        <w:rPr>
          <w:rFonts w:eastAsia="Times New Roman"/>
          <w:color w:val="000000"/>
          <w:sz w:val="20"/>
          <w:szCs w:val="20"/>
        </w:rPr>
        <w:t xml:space="preserve">diary gas companies in Pennsylvania and elsewhere and also operated the businesses of some gas companies under agreement. By the early 1950s, UGI Utilities divested all of its utility operations other than certain gas and electric operations. Beginning in </w:t>
      </w:r>
      <w:r>
        <w:rPr>
          <w:rFonts w:eastAsia="Times New Roman"/>
          <w:color w:val="000000"/>
          <w:sz w:val="20"/>
          <w:szCs w:val="20"/>
        </w:rPr>
        <w:t>2006 and 2008, UGI Utilities also owned and operated two acquired subsidiaries (CPG and PNG), with similar histories of owning, and in some cases operating, MGPs in Pennsylvania. CPG and PNG merged into UGI Utilities effective October 1, 2018</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Prior to the</w:t>
      </w:r>
      <w:r>
        <w:rPr>
          <w:rFonts w:eastAsia="Times New Roman"/>
          <w:color w:val="000000"/>
          <w:sz w:val="20"/>
          <w:szCs w:val="20"/>
        </w:rPr>
        <w:t xml:space="preserve"> Utility Merger, each of UGI Utilities and its subsidiaries, CPG and PNG, were subject to COAs with the PADEP to address the remediation of specified former MGP sites in Pennsylvania. In accordance with the COAs, as amended to recognize the Utility Merger,</w:t>
      </w:r>
      <w:r>
        <w:rPr>
          <w:rFonts w:eastAsia="Times New Roman"/>
          <w:color w:val="000000"/>
          <w:sz w:val="20"/>
          <w:szCs w:val="20"/>
        </w:rPr>
        <w:t xml:space="preserve"> UGI Utilities, as the successor to CPG and PNG, is required to either obtain a certain number of points per calendar year based on defined eligible environmental investigatory and/or remedial activities at the MGPs and in the case of one COA, an additiona</w:t>
      </w:r>
      <w:r>
        <w:rPr>
          <w:rFonts w:eastAsia="Times New Roman"/>
          <w:color w:val="000000"/>
          <w:sz w:val="20"/>
          <w:szCs w:val="20"/>
        </w:rPr>
        <w:t>l obligation to plug specific natural gas wells, or make expenditures for such activities in an amount equal to an annual environmental cost cap (i.e. minimum expenditure threshold). The annual cost cap of the three COAs, in the aggregate, is $5.4. The thr</w:t>
      </w:r>
      <w:r>
        <w:rPr>
          <w:rFonts w:eastAsia="Times New Roman"/>
          <w:color w:val="000000"/>
          <w:sz w:val="20"/>
          <w:szCs w:val="20"/>
        </w:rPr>
        <w:t xml:space="preserve">ee COAs are currently scheduled to terminate at the end of 2031, 2020 and 2020. UGI Utilities has initiated discussions with the PADEP to consolidate the three COAs into one agreement that, when finalized, would supersede the existing agreements as of the </w:t>
      </w:r>
      <w:r>
        <w:rPr>
          <w:rFonts w:eastAsia="Times New Roman"/>
          <w:color w:val="000000"/>
          <w:sz w:val="20"/>
          <w:szCs w:val="20"/>
        </w:rPr>
        <w:t>effective date and have a termination date of 2031. At June 30, 2020, September 30, 2019 and June 30, 2019, our aggregate estimated accrued liabilities for environmental investigation and remediation costs related to the COAs totaled $55.3, $50.4 and $47.6</w:t>
      </w:r>
      <w:r>
        <w:rPr>
          <w:rFonts w:eastAsia="Times New Roman"/>
          <w:color w:val="000000"/>
          <w:sz w:val="20"/>
          <w:szCs w:val="20"/>
        </w:rPr>
        <w:t>, respectively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do not expect the costs for investigation and remediation of hazardous substances at Pennsylvania MGP sites to be material to UGI Utilities’ results of operations because UGI Utilities receives ratemaking recovery of actual environment</w:t>
      </w:r>
      <w:r>
        <w:rPr>
          <w:rFonts w:eastAsia="Times New Roman"/>
          <w:color w:val="000000"/>
          <w:sz w:val="20"/>
          <w:szCs w:val="20"/>
        </w:rPr>
        <w:t>al investigation and remediation costs associated with the sites covered by the COAs. This ratemaking recognition reconciles the accumulated difference between historical costs and rate recoveries with an estimate of future costs associated with the sites.</w:t>
      </w:r>
      <w:r>
        <w:rPr>
          <w:rFonts w:eastAsia="Times New Roman"/>
          <w:color w:val="000000"/>
          <w:sz w:val="20"/>
          <w:szCs w:val="20"/>
        </w:rPr>
        <w:t xml:space="preserve"> As such, UGI Utilities has recorded an associated regulatory asset for these costs because recovery of these costs from customers is probable (see Note 8)</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From time to time, UGI Utilities is notified of sites outside Pennsylvania on which private parties allege MGPs were formerly owned or operated by UGI Utilities or owned or operated by a former subsidiary. Such parties generally investigate the extent of e</w:t>
      </w:r>
      <w:r>
        <w:rPr>
          <w:rFonts w:eastAsia="Times New Roman"/>
          <w:color w:val="000000"/>
          <w:sz w:val="20"/>
          <w:szCs w:val="20"/>
        </w:rPr>
        <w:t>nvironmental contamination or perform environmental remediation. Management believes that under applicable law UGI Utilities should not be liable in those instances in which a former subsidiary owned or operated an MGP. There could be, however, significant</w:t>
      </w:r>
      <w:r>
        <w:rPr>
          <w:rFonts w:eastAsia="Times New Roman"/>
          <w:color w:val="000000"/>
          <w:sz w:val="20"/>
          <w:szCs w:val="20"/>
        </w:rPr>
        <w:t xml:space="preserve"> future costs of an uncertain amount associated with environmental damage caused by MGPs outside Pennsylvania that UGI Utilities directly operated, or that were owned or operated by a former subsidiary of UGI Utilities if a court were to conclude that (1) </w:t>
      </w:r>
      <w:r>
        <w:rPr>
          <w:rFonts w:eastAsia="Times New Roman"/>
          <w:color w:val="000000"/>
          <w:sz w:val="20"/>
          <w:szCs w:val="20"/>
        </w:rPr>
        <w:t>the subsidiary’s separate corporate form should be disregarded, or (2) UGI Utilities should be considered to have been an operator because of its conduct with respect to its subsidiary’s MGP. Neither the undiscounted nor the accrued liability for environme</w:t>
      </w:r>
      <w:r>
        <w:rPr>
          <w:rFonts w:eastAsia="Times New Roman"/>
          <w:color w:val="000000"/>
          <w:sz w:val="20"/>
          <w:szCs w:val="20"/>
        </w:rPr>
        <w:t>ntal investigation and cleanup costs for UGI Utilities’ MGP sites outside Pennsylvania was material for all periods presented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AmeriGas Propan</w:t>
      </w:r>
      <w:r>
        <w:rPr>
          <w:rFonts w:eastAsia="Times New Roman"/>
          <w:b/>
          <w:bCs/>
          <w:i/>
          <w:iCs/>
          <w:color w:val="000000"/>
          <w:sz w:val="20"/>
          <w:szCs w:val="20"/>
        </w:rPr>
        <w:t>e</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AmeriGas OLP Saranac Lake.</w:t>
      </w:r>
      <w:r>
        <w:rPr>
          <w:rFonts w:eastAsia="Times New Roman"/>
          <w:b/>
          <w:bCs/>
          <w:i/>
          <w:iCs/>
          <w:color w:val="000000"/>
          <w:sz w:val="20"/>
          <w:szCs w:val="20"/>
        </w:rPr>
        <w:t xml:space="preserve"> </w:t>
      </w:r>
      <w:r>
        <w:rPr>
          <w:rFonts w:eastAsia="Times New Roman"/>
          <w:color w:val="000000"/>
          <w:sz w:val="20"/>
          <w:szCs w:val="20"/>
        </w:rPr>
        <w:t>In 2008, the NYDEC notified AmeriGas OLP that the NYDEC had placed property purportedly owned by AmeriGas OLP in Saranac Lake, New York on the New York State Registry of Inactive Hazardous Waste Disposal Sites. A site characterization study performed by th</w:t>
      </w:r>
      <w:r>
        <w:rPr>
          <w:rFonts w:eastAsia="Times New Roman"/>
          <w:color w:val="000000"/>
          <w:sz w:val="20"/>
          <w:szCs w:val="20"/>
        </w:rPr>
        <w:t>e NYDEC disclosed contamination related to a former MGP. AmeriGas OLP responded to the NYDEC in 2009 to dispute the contention it was a PRP as it did not operate the MGP and appeared to only own a portion of the site. In 2017, the NYDEC communicated to Ame</w:t>
      </w:r>
      <w:r>
        <w:rPr>
          <w:rFonts w:eastAsia="Times New Roman"/>
          <w:color w:val="000000"/>
          <w:sz w:val="20"/>
          <w:szCs w:val="20"/>
        </w:rPr>
        <w:t>riGas OLP that the NYDEC had previously issued three RODs related to remediation of the site totaling approximately $27.7 and requested additional information regarding AmeriGas OLP’s purported ownership. AmeriGas OLP renewed its challenge to designation a</w:t>
      </w:r>
      <w:r>
        <w:rPr>
          <w:rFonts w:eastAsia="Times New Roman"/>
          <w:color w:val="000000"/>
          <w:sz w:val="20"/>
          <w:szCs w:val="20"/>
        </w:rPr>
        <w:t>s a PRP and identified potential defenses. The NYDEC subsequently identified a third party PRP with respect to the site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w:t>
      </w:r>
      <w:r>
        <w:rPr>
          <w:rFonts w:eastAsia="Times New Roman"/>
          <w:color w:val="000000"/>
          <w:sz w:val="20"/>
          <w:szCs w:val="20"/>
        </w:rPr>
        <w:t>n as of June 30, 2020, the Partnership has an undiscounted environmental remediation liability of $7.5 related to the site. Our share of the actual remediation costs could be significantly more or less than the accrued amount</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1049454015"/>
        <w:rPr>
          <w:rFonts w:eastAsia="Times New Roman"/>
        </w:rPr>
      </w:pPr>
      <w:r>
        <w:rPr>
          <w:rFonts w:eastAsia="Times New Roman"/>
          <w:color w:val="000000"/>
          <w:sz w:val="20"/>
          <w:szCs w:val="20"/>
        </w:rPr>
        <w:t>2</w:t>
      </w:r>
      <w:r>
        <w:rPr>
          <w:rFonts w:eastAsia="Times New Roman"/>
          <w:color w:val="000000"/>
          <w:sz w:val="20"/>
          <w:szCs w:val="20"/>
        </w:rPr>
        <w:t>6</w:t>
      </w:r>
    </w:p>
    <w:p w:rsidR="00000000" w:rsidRDefault="00A270CC">
      <w:pPr>
        <w:rPr>
          <w:rFonts w:eastAsia="Times New Roman"/>
        </w:rPr>
      </w:pPr>
      <w:r>
        <w:rPr>
          <w:rFonts w:eastAsia="Times New Roman"/>
        </w:rPr>
        <w:pict>
          <v:rect id="_x0000_i1052" style="width:0;height:1.5pt" o:hralign="center" o:hrstd="t" o:hr="t" fillcolor="#a0a0a0" stroked="f"/>
        </w:pict>
      </w:r>
    </w:p>
    <w:p w:rsidR="00000000" w:rsidRDefault="00A270CC">
      <w:pPr>
        <w:divId w:val="1499881833"/>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5185335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248587748"/>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751853357"/>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751853357"/>
        <w:rPr>
          <w:rFonts w:eastAsia="Times New Roman"/>
        </w:rPr>
      </w:pPr>
      <w:r>
        <w:rPr>
          <w:rFonts w:eastAsia="Times New Roman"/>
          <w:color w:val="000000"/>
          <w:sz w:val="20"/>
          <w:szCs w:val="20"/>
        </w:rPr>
        <w:t>(Currency in millions, except per share amounts and where indicated ot</w:t>
      </w:r>
      <w:r>
        <w:rPr>
          <w:rFonts w:eastAsia="Times New Roman"/>
          <w:color w:val="000000"/>
          <w:sz w:val="20"/>
          <w:szCs w:val="20"/>
        </w:rPr>
        <w:t>herwise</w:t>
      </w:r>
      <w:r>
        <w:rPr>
          <w:rFonts w:eastAsia="Times New Roman"/>
          <w:color w:val="000000"/>
          <w:sz w:val="20"/>
          <w:szCs w:val="20"/>
        </w:rPr>
        <w:t>)</w:t>
      </w:r>
    </w:p>
    <w:p w:rsidR="00000000" w:rsidRDefault="00A270CC">
      <w:pPr>
        <w:jc w:val="both"/>
        <w:rPr>
          <w:rFonts w:eastAsia="Times New Roman"/>
        </w:rPr>
      </w:pPr>
      <w:r>
        <w:rPr>
          <w:rFonts w:eastAsia="Times New Roman"/>
          <w:b/>
          <w:bCs/>
          <w:color w:val="000000"/>
          <w:sz w:val="20"/>
          <w:szCs w:val="20"/>
        </w:rPr>
        <w:t>Other Matter</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Purported Class Action Lawsuits.</w:t>
      </w:r>
      <w:r>
        <w:rPr>
          <w:rFonts w:eastAsia="Times New Roman"/>
          <w:b/>
          <w:bCs/>
          <w:i/>
          <w:iCs/>
          <w:color w:val="000000"/>
          <w:sz w:val="20"/>
          <w:szCs w:val="20"/>
        </w:rPr>
        <w:t xml:space="preserve"> </w:t>
      </w:r>
      <w:r>
        <w:rPr>
          <w:rFonts w:eastAsia="Times New Roman"/>
          <w:color w:val="000000"/>
          <w:sz w:val="20"/>
          <w:szCs w:val="20"/>
        </w:rPr>
        <w:t>Between May and October of 2014, purported class action lawsuits were filed in multiple jurisdictions against the Partnership/UGI and a competitor by certain of their direct and indirect customers. </w:t>
      </w:r>
      <w:r>
        <w:rPr>
          <w:rFonts w:eastAsia="Times New Roman"/>
          <w:color w:val="000000"/>
          <w:sz w:val="20"/>
          <w:szCs w:val="20"/>
        </w:rPr>
        <w:t xml:space="preserve"> The class action lawsuits allege, among other things, that the Partnership and its competitor colluded, beginning in 2008, to reduce the fill level of portable propane cylinders from 17 pounds to 15 pounds and combined to persuade their common customer, W</w:t>
      </w:r>
      <w:r>
        <w:rPr>
          <w:rFonts w:eastAsia="Times New Roman"/>
          <w:color w:val="000000"/>
          <w:sz w:val="20"/>
          <w:szCs w:val="20"/>
        </w:rPr>
        <w:t xml:space="preserve">almart Stores, Inc., to accept that fill reduction, resulting in increased cylinder costs to retailers and end-user customers in violation of federal and certain state antitrust laws.  The claims seek treble damages, injunctive relief, attorneys’ fees and </w:t>
      </w:r>
      <w:r>
        <w:rPr>
          <w:rFonts w:eastAsia="Times New Roman"/>
          <w:color w:val="000000"/>
          <w:sz w:val="20"/>
          <w:szCs w:val="20"/>
        </w:rPr>
        <w:t>costs on behalf of the putative classes. </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October 16, 2014, the United States Judicial Panel on Multidistrict Litigation transferred all of these purported class action cases to the Western Missouri District Court.  As the result of rulings on a seri</w:t>
      </w:r>
      <w:r>
        <w:rPr>
          <w:rFonts w:eastAsia="Times New Roman"/>
          <w:color w:val="000000"/>
          <w:sz w:val="20"/>
          <w:szCs w:val="20"/>
        </w:rPr>
        <w:t>es of procedural filings, including petitions filed with the Eighth Circuit and the U.S. Supreme Court, both the federal and state law claims of the direct customer plaintiffs and the state law claims of the indirect customer plaintiffs were remanded to th</w:t>
      </w:r>
      <w:r>
        <w:rPr>
          <w:rFonts w:eastAsia="Times New Roman"/>
          <w:color w:val="000000"/>
          <w:sz w:val="20"/>
          <w:szCs w:val="20"/>
        </w:rPr>
        <w:t>e Western Missouri District Court. The decision of the Western Missouri District Court to dismiss the federal antitrust claims of the indirect customer plaintiffs was upheld by the Eighth Circuit. On April 15, 2019, the Western Missouri District Court rule</w:t>
      </w:r>
      <w:r>
        <w:rPr>
          <w:rFonts w:eastAsia="Times New Roman"/>
          <w:color w:val="000000"/>
          <w:sz w:val="20"/>
          <w:szCs w:val="20"/>
        </w:rPr>
        <w:t>d that it has jurisdiction over the indirect purchasers’ state law claims and that the indirect customer plaintiffs have standing to pursue those claims. On August 21, 2019, the District Court partially granted the Company’s motion for judgment on the plea</w:t>
      </w:r>
      <w:r>
        <w:rPr>
          <w:rFonts w:eastAsia="Times New Roman"/>
          <w:color w:val="000000"/>
          <w:sz w:val="20"/>
          <w:szCs w:val="20"/>
        </w:rPr>
        <w:t>dings and dismissed the claims of indirect customer plaintiffs from ten states and the District of Columbia</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October 2, 2019, the Partnership reached an agreement to resolve the claims of the direct purchaser class of plaintiffs; the agreement receive</w:t>
      </w:r>
      <w:r>
        <w:rPr>
          <w:rFonts w:eastAsia="Times New Roman"/>
          <w:color w:val="000000"/>
          <w:sz w:val="20"/>
          <w:szCs w:val="20"/>
        </w:rPr>
        <w:t>d final court approval on June 18, 2020</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Although we cannot predict the final results of these pending claims and legal actions, we believe, after consultation with counsel, that the final outcome of these matters will not have a material effect on our f</w:t>
      </w:r>
      <w:r>
        <w:rPr>
          <w:rFonts w:eastAsia="Times New Roman"/>
          <w:color w:val="000000"/>
          <w:sz w:val="20"/>
          <w:szCs w:val="20"/>
        </w:rPr>
        <w:t>inancial statements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addition to the matters described above, there are other pending claims and legal actions arising in the normal course of our businesses. Although we cannot predict the final results of these pending claims and legal actions, we b</w:t>
      </w:r>
      <w:r>
        <w:rPr>
          <w:rFonts w:eastAsia="Times New Roman"/>
          <w:color w:val="000000"/>
          <w:sz w:val="20"/>
          <w:szCs w:val="20"/>
        </w:rPr>
        <w:t>elieve, after consultation with counsel, that the final outcome of these matters will not have a material effect on our financial statements</w:t>
      </w:r>
      <w:r>
        <w:rPr>
          <w:rFonts w:eastAsia="Times New Roman"/>
          <w:color w:val="000000"/>
          <w:sz w:val="20"/>
          <w:szCs w:val="20"/>
        </w:rPr>
        <w:t>.</w:t>
      </w:r>
    </w:p>
    <w:p w:rsidR="00000000" w:rsidRDefault="00A270CC">
      <w:pPr>
        <w:jc w:val="both"/>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12 — Defined Benefit Pension and Other Postretirement Plan</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U.S. Pension Plan is a defined benefit pension plan for employees hired prior to January 1, 2009, of UGI, UGI Utilities, and certain of UGI’s other domestic wholly owned subsidiaries. U.S. Pension Plan benefits are based on years of service, age and em</w:t>
      </w:r>
      <w:r>
        <w:rPr>
          <w:rFonts w:eastAsia="Times New Roman"/>
          <w:color w:val="000000"/>
          <w:sz w:val="20"/>
          <w:szCs w:val="20"/>
        </w:rPr>
        <w:t>ployee compensation. We also provide postretirement health care benefits to certain retirees and postretirement life insurance benefits to certain U.S. active and retired employees. In addition, certain UGI International employees in France, Belgium and th</w:t>
      </w:r>
      <w:r>
        <w:rPr>
          <w:rFonts w:eastAsia="Times New Roman"/>
          <w:color w:val="000000"/>
          <w:sz w:val="20"/>
          <w:szCs w:val="20"/>
        </w:rPr>
        <w:t>e Netherlands are covered by defined benefit pension and postretirement plans. Although the disclosures in the tables below include amounts related to the UGI International plans, such amounts are not material</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service cost component of our pension a</w:t>
      </w:r>
      <w:r>
        <w:rPr>
          <w:rFonts w:eastAsia="Times New Roman"/>
          <w:color w:val="000000"/>
          <w:sz w:val="20"/>
          <w:szCs w:val="20"/>
        </w:rPr>
        <w:t>nd other postretirement plans, net of amounts capitalized, is reflected in “Operating and administrative expenses” on the Condensed Consolidated Statements of Income. The non-service cost component, net of amounts capitalized by UGI Utilities as a regulato</w:t>
      </w:r>
      <w:r>
        <w:rPr>
          <w:rFonts w:eastAsia="Times New Roman"/>
          <w:color w:val="000000"/>
          <w:sz w:val="20"/>
          <w:szCs w:val="20"/>
        </w:rPr>
        <w:t>ry asset, is reflected in “Other non-operating (expense) income, net” on the</w:t>
      </w:r>
      <w:r>
        <w:rPr>
          <w:rFonts w:eastAsia="Times New Roman"/>
          <w:color w:val="000000"/>
          <w:sz w:val="20"/>
          <w:szCs w:val="20"/>
        </w:rPr>
        <w:t xml:space="preserve"> </w:t>
      </w:r>
    </w:p>
    <w:p w:rsidR="00000000" w:rsidRDefault="00A270CC">
      <w:pPr>
        <w:jc w:val="center"/>
        <w:divId w:val="1529373862"/>
        <w:rPr>
          <w:rFonts w:eastAsia="Times New Roman"/>
        </w:rPr>
      </w:pPr>
      <w:r>
        <w:rPr>
          <w:rFonts w:eastAsia="Times New Roman"/>
          <w:color w:val="000000"/>
          <w:sz w:val="20"/>
          <w:szCs w:val="20"/>
        </w:rPr>
        <w:t>2</w:t>
      </w:r>
      <w:r>
        <w:rPr>
          <w:rFonts w:eastAsia="Times New Roman"/>
          <w:color w:val="000000"/>
          <w:sz w:val="20"/>
          <w:szCs w:val="20"/>
        </w:rPr>
        <w:t>7</w:t>
      </w:r>
    </w:p>
    <w:p w:rsidR="00000000" w:rsidRDefault="00A270CC">
      <w:pPr>
        <w:rPr>
          <w:rFonts w:eastAsia="Times New Roman"/>
        </w:rPr>
      </w:pPr>
      <w:r>
        <w:rPr>
          <w:rFonts w:eastAsia="Times New Roman"/>
        </w:rPr>
        <w:pict>
          <v:rect id="_x0000_i1053" style="width:0;height:1.5pt" o:hralign="center" o:hrstd="t" o:hr="t" fillcolor="#a0a0a0" stroked="f"/>
        </w:pict>
      </w:r>
    </w:p>
    <w:p w:rsidR="00000000" w:rsidRDefault="00A270CC">
      <w:pPr>
        <w:divId w:val="90245017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49318146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664553573"/>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493181462"/>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493181462"/>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Condensed Consolidated Statements of Income. Net periodic pension cost and othe</w:t>
      </w:r>
      <w:r>
        <w:rPr>
          <w:rFonts w:eastAsia="Times New Roman"/>
          <w:color w:val="000000"/>
          <w:sz w:val="20"/>
          <w:szCs w:val="20"/>
        </w:rPr>
        <w:t>r postretirement benefit cost include the following components</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39"/>
        <w:gridCol w:w="2940"/>
        <w:gridCol w:w="38"/>
        <w:gridCol w:w="36"/>
        <w:gridCol w:w="36"/>
        <w:gridCol w:w="36"/>
        <w:gridCol w:w="136"/>
        <w:gridCol w:w="499"/>
        <w:gridCol w:w="85"/>
        <w:gridCol w:w="36"/>
        <w:gridCol w:w="36"/>
        <w:gridCol w:w="36"/>
        <w:gridCol w:w="136"/>
        <w:gridCol w:w="560"/>
        <w:gridCol w:w="85"/>
        <w:gridCol w:w="36"/>
        <w:gridCol w:w="36"/>
        <w:gridCol w:w="36"/>
        <w:gridCol w:w="135"/>
        <w:gridCol w:w="560"/>
        <w:gridCol w:w="85"/>
        <w:gridCol w:w="36"/>
        <w:gridCol w:w="36"/>
        <w:gridCol w:w="36"/>
        <w:gridCol w:w="135"/>
        <w:gridCol w:w="560"/>
        <w:gridCol w:w="85"/>
        <w:gridCol w:w="255"/>
        <w:gridCol w:w="255"/>
        <w:gridCol w:w="255"/>
        <w:gridCol w:w="255"/>
        <w:gridCol w:w="255"/>
        <w:gridCol w:w="255"/>
        <w:gridCol w:w="36"/>
        <w:gridCol w:w="36"/>
        <w:gridCol w:w="36"/>
        <w:gridCol w:w="36"/>
        <w:gridCol w:w="36"/>
        <w:gridCol w:w="36"/>
      </w:tblGrid>
      <w:tr w:rsidR="00000000">
        <w:trPr>
          <w:gridAfter w:val="12"/>
          <w:divId w:val="1104495482"/>
        </w:trPr>
        <w:tc>
          <w:tcPr>
            <w:tcW w:w="50" w:type="pct"/>
            <w:vAlign w:val="center"/>
            <w:hideMark/>
          </w:tcPr>
          <w:p w:rsidR="00000000" w:rsidRDefault="00A270CC">
            <w:pPr>
              <w:jc w:val="both"/>
              <w:rPr>
                <w:rFonts w:eastAsia="Times New Roman"/>
              </w:rPr>
            </w:pPr>
          </w:p>
        </w:tc>
        <w:tc>
          <w:tcPr>
            <w:tcW w:w="237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1044954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Pension Benefit</w:t>
            </w:r>
            <w:r>
              <w:rPr>
                <w:rFonts w:eastAsia="Times New Roman"/>
                <w:color w:val="000000"/>
                <w:sz w:val="18"/>
                <w:szCs w:val="18"/>
              </w:rPr>
              <w:t>s</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Other Postretirement Benefit</w:t>
            </w:r>
            <w:r>
              <w:rPr>
                <w:rFonts w:eastAsia="Times New Roman"/>
                <w:color w:val="000000"/>
                <w:sz w:val="18"/>
                <w:szCs w:val="18"/>
              </w:rPr>
              <w:t>s</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1044954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Three Months Ended June 30</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Expected return on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Amortization of</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Prior service cost (benefit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Actuarial los</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cost (benefit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Change in associated regulatory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cost (benefit) after change in regulatory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Pension Benefit</w:t>
            </w:r>
            <w:r>
              <w:rPr>
                <w:rFonts w:eastAsia="Times New Roman"/>
                <w:color w:val="000000"/>
                <w:sz w:val="18"/>
                <w:szCs w:val="18"/>
              </w:rPr>
              <w:t>s</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Other Postretirement Benefit</w:t>
            </w:r>
            <w:r>
              <w:rPr>
                <w:rFonts w:eastAsia="Times New Roman"/>
                <w:color w:val="000000"/>
                <w:sz w:val="18"/>
                <w:szCs w:val="18"/>
              </w:rPr>
              <w:t>s</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1044954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Nine Months Ended June 30</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201</w:t>
            </w:r>
            <w:r>
              <w:rPr>
                <w:rFonts w:eastAsia="Times New Roman"/>
                <w:color w:val="000000"/>
                <w:sz w:val="18"/>
                <w:szCs w:val="18"/>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Expected return on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Curtailment gai</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Amortization of</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Prior service cost (benefit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Actuarial loss (gain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cost (benefit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Change in associated regulatory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044954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Net cost (benefit) after change in regulatory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U.S. Pension Plan’s assets are held in trust and consist princip</w:t>
      </w:r>
      <w:r>
        <w:rPr>
          <w:rFonts w:eastAsia="Times New Roman"/>
          <w:color w:val="000000"/>
          <w:sz w:val="20"/>
          <w:szCs w:val="20"/>
        </w:rPr>
        <w:t xml:space="preserve">ally of publicly traded, diversified equity and fixed income mutual funds and, to a much lesser extent, UGI Common Stock. It is our general policy to fund amounts for U.S. Pension Plan benefits equal to at least the minimum required contribution set forth </w:t>
      </w:r>
      <w:r>
        <w:rPr>
          <w:rFonts w:eastAsia="Times New Roman"/>
          <w:color w:val="000000"/>
          <w:sz w:val="20"/>
          <w:szCs w:val="20"/>
        </w:rPr>
        <w:t>in applicable employee benefit laws. During the nine months ended June 30, 2020 and 2019, the Company made cash contributions to the U.S. Pension Plan of $9.5 and $8.2, respectively. The Company expects to make additional cash contributions of approximatel</w:t>
      </w:r>
      <w:r>
        <w:rPr>
          <w:rFonts w:eastAsia="Times New Roman"/>
          <w:color w:val="000000"/>
          <w:sz w:val="20"/>
          <w:szCs w:val="20"/>
        </w:rPr>
        <w:t>y $3.0 to the U.S. Pension Plan during the remainder of Fiscal 2020</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has established a VEBA trust to pay retiree health care and life insurance benefits by depositing into the VEBA the annual amount of postretirement benefits costs, if any,</w:t>
      </w:r>
      <w:r>
        <w:rPr>
          <w:rFonts w:eastAsia="Times New Roman"/>
          <w:color w:val="000000"/>
          <w:sz w:val="20"/>
          <w:szCs w:val="20"/>
        </w:rPr>
        <w:t xml:space="preserve"> determined under GAAP. There were no required contributions to the VEBA during the nine months ended June 30, 2020 and 2019.</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also sponsor unfunded and non-qualified supplemental executive defined benefit retirement plans. Net costs associated with these plans for the three and nine months ended June 30, 2020 and 2019, were not material</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760032862"/>
        <w:rPr>
          <w:rFonts w:eastAsia="Times New Roman"/>
        </w:rPr>
      </w:pPr>
      <w:r>
        <w:rPr>
          <w:rFonts w:eastAsia="Times New Roman"/>
          <w:color w:val="000000"/>
          <w:sz w:val="20"/>
          <w:szCs w:val="20"/>
        </w:rPr>
        <w:t>2</w:t>
      </w:r>
      <w:r>
        <w:rPr>
          <w:rFonts w:eastAsia="Times New Roman"/>
          <w:color w:val="000000"/>
          <w:sz w:val="20"/>
          <w:szCs w:val="20"/>
        </w:rPr>
        <w:t>8</w:t>
      </w:r>
    </w:p>
    <w:p w:rsidR="00000000" w:rsidRDefault="00A270CC">
      <w:pPr>
        <w:rPr>
          <w:rFonts w:eastAsia="Times New Roman"/>
        </w:rPr>
      </w:pPr>
      <w:r>
        <w:rPr>
          <w:rFonts w:eastAsia="Times New Roman"/>
        </w:rPr>
        <w:pict>
          <v:rect id="_x0000_i1054" style="width:0;height:1.5pt" o:hralign="center" o:hrstd="t" o:hr="t" fillcolor="#a0a0a0" stroked="f"/>
        </w:pict>
      </w:r>
    </w:p>
    <w:p w:rsidR="00000000" w:rsidRDefault="00A270CC">
      <w:pPr>
        <w:divId w:val="186057909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06170738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768228724"/>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2061707382"/>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2061707382"/>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ind w:hanging="540"/>
        <w:jc w:val="both"/>
        <w:rPr>
          <w:rFonts w:eastAsia="Times New Roman"/>
        </w:rPr>
      </w:pPr>
      <w:r>
        <w:rPr>
          <w:rFonts w:eastAsia="Times New Roman"/>
          <w:b/>
          <w:bCs/>
          <w:color w:val="000000"/>
          <w:sz w:val="20"/>
          <w:szCs w:val="20"/>
          <w:u w:val="single"/>
        </w:rPr>
        <w:t>N</w:t>
      </w:r>
      <w:r>
        <w:rPr>
          <w:rFonts w:eastAsia="Times New Roman"/>
          <w:b/>
          <w:bCs/>
          <w:color w:val="000000"/>
          <w:sz w:val="20"/>
          <w:szCs w:val="20"/>
          <w:u w:val="single"/>
        </w:rPr>
        <w:t>ote 13 — Fair Value Measurement</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Recurring Fair Value Measurement</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following table presents, on a gross basis, our financial assets and liabilities, including both current and noncurrent portions, that are measured at fair value on a recurring bas</w:t>
      </w:r>
      <w:r>
        <w:rPr>
          <w:rFonts w:eastAsia="Times New Roman"/>
          <w:color w:val="000000"/>
          <w:sz w:val="20"/>
          <w:szCs w:val="20"/>
        </w:rPr>
        <w:t>is within the fair value hierarchy</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4222"/>
        <w:gridCol w:w="38"/>
        <w:gridCol w:w="36"/>
        <w:gridCol w:w="36"/>
        <w:gridCol w:w="36"/>
        <w:gridCol w:w="125"/>
        <w:gridCol w:w="513"/>
        <w:gridCol w:w="80"/>
        <w:gridCol w:w="36"/>
        <w:gridCol w:w="36"/>
        <w:gridCol w:w="36"/>
        <w:gridCol w:w="125"/>
        <w:gridCol w:w="540"/>
        <w:gridCol w:w="80"/>
        <w:gridCol w:w="36"/>
        <w:gridCol w:w="36"/>
        <w:gridCol w:w="36"/>
        <w:gridCol w:w="126"/>
        <w:gridCol w:w="500"/>
        <w:gridCol w:w="80"/>
        <w:gridCol w:w="36"/>
        <w:gridCol w:w="36"/>
        <w:gridCol w:w="36"/>
        <w:gridCol w:w="125"/>
        <w:gridCol w:w="540"/>
        <w:gridCol w:w="8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893880750"/>
        </w:trPr>
        <w:tc>
          <w:tcPr>
            <w:tcW w:w="50" w:type="pct"/>
            <w:vAlign w:val="center"/>
            <w:hideMark/>
          </w:tcPr>
          <w:p w:rsidR="00000000" w:rsidRDefault="00A270CC">
            <w:pPr>
              <w:jc w:val="both"/>
              <w:rPr>
                <w:rFonts w:eastAsia="Times New Roman"/>
              </w:rPr>
            </w:pPr>
          </w:p>
        </w:tc>
        <w:tc>
          <w:tcPr>
            <w:tcW w:w="279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893880750"/>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1"/>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Asset (Liability</w:t>
            </w:r>
            <w:r>
              <w:rPr>
                <w:rFonts w:eastAsia="Times New Roman"/>
                <w:color w:val="000000"/>
                <w:sz w:val="18"/>
                <w:szCs w:val="18"/>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89388075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 xml:space="preserve">Level </w:t>
            </w:r>
            <w:r>
              <w:rPr>
                <w:rFonts w:eastAsia="Times New Roman"/>
                <w:color w:val="000000"/>
                <w:sz w:val="18"/>
                <w:szCs w:val="18"/>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 xml:space="preserve">Level </w:t>
            </w:r>
            <w:r>
              <w:rPr>
                <w:rFonts w:eastAsia="Times New Roman"/>
                <w:color w:val="000000"/>
                <w:sz w:val="18"/>
                <w:szCs w:val="18"/>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 xml:space="preserve">Level </w:t>
            </w:r>
            <w:r>
              <w:rPr>
                <w:rFonts w:eastAsia="Times New Roman"/>
                <w:color w:val="000000"/>
                <w:sz w:val="18"/>
                <w:szCs w:val="18"/>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June 30, 2020</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Assets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(57.7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(114.2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(171.9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Interest rate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(59.0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59.0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Non-qualified supplemental postretirement grantor trust investments (a</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September 30, 2019</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Assets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(62.3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(112.7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(175.0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Interest rate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(12.3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12.3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Non-qualified supplemental postretirement grantor trust investments (a</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June 30, 2019</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Derivative instruments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Assets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8"/>
                <w:szCs w:val="18"/>
              </w:rPr>
              <w:t>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Commodity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(44.8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(107.2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Foreign currency contract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18"/>
                <w:szCs w:val="18"/>
              </w:rPr>
              <w:t>Interest rate contract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7.8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893880750"/>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Non-qualified supplemental postretirement grantor trust investments (a</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Consists primarily of mutual fund investments held in grantor trusts associated with non-qualified supplemental retirement plans (see Note 12)</w:t>
      </w:r>
      <w:r>
        <w:rPr>
          <w:rFonts w:eastAsia="Times New Roman"/>
          <w:color w:val="000000"/>
          <w:sz w:val="20"/>
          <w:szCs w:val="20"/>
        </w:rPr>
        <w:t>.</w:t>
      </w:r>
    </w:p>
    <w:p w:rsidR="00000000" w:rsidRDefault="00A270CC">
      <w:pPr>
        <w:jc w:val="both"/>
        <w:rPr>
          <w:rFonts w:eastAsia="Times New Roman"/>
        </w:rPr>
      </w:pPr>
      <w:r>
        <w:rPr>
          <w:rFonts w:eastAsia="Times New Roman"/>
          <w:color w:val="000000"/>
          <w:sz w:val="16"/>
          <w:szCs w:val="16"/>
        </w:rPr>
        <w:t> </w:t>
      </w:r>
    </w:p>
    <w:p w:rsidR="00000000" w:rsidRDefault="00A270CC">
      <w:pPr>
        <w:jc w:val="both"/>
        <w:rPr>
          <w:rFonts w:eastAsia="Times New Roman"/>
        </w:rPr>
      </w:pPr>
      <w:r>
        <w:rPr>
          <w:rFonts w:eastAsia="Times New Roman"/>
          <w:color w:val="000000"/>
          <w:sz w:val="20"/>
          <w:szCs w:val="20"/>
        </w:rPr>
        <w:t>The fair values of our Level 1 exchange-traded commodity futures and option contracts a</w:t>
      </w:r>
      <w:r>
        <w:rPr>
          <w:rFonts w:eastAsia="Times New Roman"/>
          <w:color w:val="000000"/>
          <w:sz w:val="20"/>
          <w:szCs w:val="20"/>
        </w:rPr>
        <w:t>nd non-exchange-traded commodity futures and forward contracts are based upon actively quoted market prices for identical assets and liabilities. The remainder of our derivative instruments are designated as Level 2. The fair values of certain non-exchange</w:t>
      </w:r>
      <w:r>
        <w:rPr>
          <w:rFonts w:eastAsia="Times New Roman"/>
          <w:color w:val="000000"/>
          <w:sz w:val="20"/>
          <w:szCs w:val="20"/>
        </w:rPr>
        <w:t xml:space="preserve">-traded commodity derivatives designated as Level 2 are based upon indicative price quotations available through brokers, industry price publications or recent market transactions and related market indicators. The fair values of our Level 2 interest rate </w:t>
      </w:r>
      <w:r>
        <w:rPr>
          <w:rFonts w:eastAsia="Times New Roman"/>
          <w:color w:val="000000"/>
          <w:sz w:val="20"/>
          <w:szCs w:val="20"/>
        </w:rPr>
        <w:t>contracts and foreign currency contracts are based upon third-party quotes or indicative values based on recent market transactions. The fair values of</w:t>
      </w:r>
      <w:r>
        <w:rPr>
          <w:rFonts w:eastAsia="Times New Roman"/>
          <w:color w:val="000000"/>
          <w:sz w:val="20"/>
          <w:szCs w:val="20"/>
        </w:rPr>
        <w:t xml:space="preserve"> </w:t>
      </w:r>
    </w:p>
    <w:p w:rsidR="00000000" w:rsidRDefault="00A270CC">
      <w:pPr>
        <w:jc w:val="center"/>
        <w:divId w:val="1650745553"/>
        <w:rPr>
          <w:rFonts w:eastAsia="Times New Roman"/>
        </w:rPr>
      </w:pPr>
      <w:r>
        <w:rPr>
          <w:rFonts w:eastAsia="Times New Roman"/>
          <w:color w:val="000000"/>
          <w:sz w:val="20"/>
          <w:szCs w:val="20"/>
        </w:rPr>
        <w:t>2</w:t>
      </w:r>
      <w:r>
        <w:rPr>
          <w:rFonts w:eastAsia="Times New Roman"/>
          <w:color w:val="000000"/>
          <w:sz w:val="20"/>
          <w:szCs w:val="20"/>
        </w:rPr>
        <w:t>9</w:t>
      </w:r>
    </w:p>
    <w:p w:rsidR="00000000" w:rsidRDefault="00A270CC">
      <w:pPr>
        <w:rPr>
          <w:rFonts w:eastAsia="Times New Roman"/>
        </w:rPr>
      </w:pPr>
      <w:r>
        <w:rPr>
          <w:rFonts w:eastAsia="Times New Roman"/>
        </w:rPr>
        <w:pict>
          <v:rect id="_x0000_i1055" style="width:0;height:1.5pt" o:hralign="center" o:hrstd="t" o:hr="t" fillcolor="#a0a0a0" stroked="f"/>
        </w:pict>
      </w:r>
    </w:p>
    <w:p w:rsidR="00000000" w:rsidRDefault="00A270CC">
      <w:pPr>
        <w:divId w:val="180115067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6772159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579339511"/>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6772159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67721593"/>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inv</w:t>
      </w:r>
      <w:r>
        <w:rPr>
          <w:rFonts w:eastAsia="Times New Roman"/>
          <w:color w:val="000000"/>
          <w:sz w:val="20"/>
          <w:szCs w:val="20"/>
        </w:rPr>
        <w:t>estments held in grantor trusts are derived from quoted market prices as substantially all of the investments in these trusts have active markets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Other Financial Instrument</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nature. We estimate the fair value of long-te</w:t>
      </w:r>
      <w:r>
        <w:rPr>
          <w:rFonts w:eastAsia="Times New Roman"/>
          <w:color w:val="000000"/>
          <w:sz w:val="20"/>
          <w:szCs w:val="20"/>
        </w:rPr>
        <w:t>rm debt by using current market rates and by discounting future cash flows using rates available for similar type debt (Level 2). The carrying amounts and estimated fair values of our long-term debt (including current maturities but excluding unamortized d</w:t>
      </w:r>
      <w:r>
        <w:rPr>
          <w:rFonts w:eastAsia="Times New Roman"/>
          <w:color w:val="000000"/>
          <w:sz w:val="20"/>
          <w:szCs w:val="20"/>
        </w:rPr>
        <w:t>ebt issuance costs) were as follows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8"/>
        <w:gridCol w:w="3104"/>
        <w:gridCol w:w="48"/>
        <w:gridCol w:w="135"/>
        <w:gridCol w:w="1415"/>
        <w:gridCol w:w="85"/>
        <w:gridCol w:w="36"/>
        <w:gridCol w:w="36"/>
        <w:gridCol w:w="36"/>
        <w:gridCol w:w="136"/>
        <w:gridCol w:w="1388"/>
        <w:gridCol w:w="85"/>
        <w:gridCol w:w="36"/>
        <w:gridCol w:w="36"/>
        <w:gridCol w:w="36"/>
        <w:gridCol w:w="135"/>
        <w:gridCol w:w="1389"/>
        <w:gridCol w:w="85"/>
      </w:tblGrid>
      <w:tr w:rsidR="00000000">
        <w:trPr>
          <w:divId w:val="690379757"/>
          <w:jc w:val="center"/>
        </w:trPr>
        <w:tc>
          <w:tcPr>
            <w:tcW w:w="50" w:type="pct"/>
            <w:vAlign w:val="center"/>
            <w:hideMark/>
          </w:tcPr>
          <w:p w:rsidR="00000000" w:rsidRDefault="00A270CC">
            <w:pPr>
              <w:jc w:val="both"/>
              <w:rPr>
                <w:rFonts w:eastAsia="Times New Roman"/>
              </w:rPr>
            </w:pPr>
          </w:p>
        </w:tc>
        <w:tc>
          <w:tcPr>
            <w:tcW w:w="189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7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90379757"/>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30,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201</w:t>
            </w:r>
            <w:r>
              <w:rPr>
                <w:rFonts w:eastAsia="Times New Roman"/>
                <w:color w:val="000000"/>
                <w:sz w:val="20"/>
                <w:szCs w:val="20"/>
              </w:rPr>
              <w:t>9</w:t>
            </w:r>
          </w:p>
        </w:tc>
      </w:tr>
      <w:tr w:rsidR="00000000">
        <w:trPr>
          <w:divId w:val="690379757"/>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Carrying amoun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6,036.2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5,856.6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4,347.1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690379757"/>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Estimated fair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6,208.1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6,189.3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4,571.3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Financial instruments other than derivative instruments, such as short-term investments and trade accounts receivable, could expose us to concentrations of credit risk.</w:t>
      </w:r>
      <w:r>
        <w:rPr>
          <w:rFonts w:eastAsia="Times New Roman"/>
          <w:color w:val="000000"/>
          <w:sz w:val="20"/>
          <w:szCs w:val="20"/>
        </w:rPr>
        <w:t xml:space="preserve"> We limit credit risk from short-term investments by investing only in investment-grade commercial paper, money market mutual funds, securities guaranteed by the U.S. Government or its agencies and FDIC insured bank deposits. The credit risk arising from c</w:t>
      </w:r>
      <w:r>
        <w:rPr>
          <w:rFonts w:eastAsia="Times New Roman"/>
          <w:color w:val="000000"/>
          <w:sz w:val="20"/>
          <w:szCs w:val="20"/>
        </w:rPr>
        <w:t>oncentrations of trade accounts receivable is limited because we have a large customer base that extends across many different U.S. markets and a number of foreign countries. For information regarding concentrations of credit risk associated with our deriv</w:t>
      </w:r>
      <w:r>
        <w:rPr>
          <w:rFonts w:eastAsia="Times New Roman"/>
          <w:color w:val="000000"/>
          <w:sz w:val="20"/>
          <w:szCs w:val="20"/>
        </w:rPr>
        <w:t>ative instruments, see Note 14.</w:t>
      </w:r>
      <w:r>
        <w:rPr>
          <w:rFonts w:eastAsia="Times New Roman"/>
          <w:color w:val="000000"/>
          <w:sz w:val="20"/>
          <w:szCs w:val="20"/>
        </w:rPr>
        <w:t xml:space="preserve"> </w:t>
      </w:r>
    </w:p>
    <w:p w:rsidR="00000000" w:rsidRDefault="00A270CC">
      <w:pPr>
        <w:jc w:val="both"/>
        <w:rPr>
          <w:rFonts w:eastAsia="Times New Roman"/>
        </w:rPr>
      </w:pPr>
    </w:p>
    <w:p w:rsidR="00000000" w:rsidRDefault="00A270CC">
      <w:pPr>
        <w:ind w:hanging="540"/>
        <w:jc w:val="both"/>
        <w:rPr>
          <w:rFonts w:eastAsia="Times New Roman"/>
        </w:rPr>
      </w:pPr>
      <w:r>
        <w:rPr>
          <w:rFonts w:eastAsia="Times New Roman"/>
          <w:b/>
          <w:bCs/>
          <w:color w:val="000000"/>
          <w:sz w:val="20"/>
          <w:szCs w:val="20"/>
          <w:u w:val="single"/>
        </w:rPr>
        <w:t>Note 14 — Derivative Instruments and Hedging Activitie</w:t>
      </w:r>
      <w:r>
        <w:rPr>
          <w:rFonts w:eastAsia="Times New Roman"/>
          <w:b/>
          <w:bCs/>
          <w:color w:val="000000"/>
          <w:sz w:val="20"/>
          <w:szCs w:val="20"/>
          <w:u w:val="single"/>
        </w:rPr>
        <w:t>s</w:t>
      </w:r>
      <w:r>
        <w:rPr>
          <w:rFonts w:eastAsia="Times New Roman"/>
          <w:b/>
          <w:bCs/>
          <w:color w:val="000000"/>
          <w:sz w:val="20"/>
          <w:szCs w:val="20"/>
        </w:rPr>
        <w:t xml:space="preserve"> </w:t>
      </w:r>
    </w:p>
    <w:p w:rsidR="00000000" w:rsidRDefault="00A270CC">
      <w:pPr>
        <w:ind w:hanging="540"/>
        <w:divId w:val="663625348"/>
        <w:rPr>
          <w:rFonts w:eastAsia="Times New Roman"/>
        </w:rPr>
      </w:pPr>
    </w:p>
    <w:p w:rsidR="00000000" w:rsidRDefault="00A270CC">
      <w:pPr>
        <w:jc w:val="both"/>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these risks. The primary risks managed by derivative instruments are (1) commod</w:t>
      </w:r>
      <w:r>
        <w:rPr>
          <w:rFonts w:eastAsia="Times New Roman"/>
          <w:color w:val="000000"/>
          <w:sz w:val="20"/>
          <w:szCs w:val="20"/>
        </w:rPr>
        <w:t>ity price risk; (2) interest rate risk; and (3) foreign currency exchange rate risk. Although we use derivative financial and commodity instruments to reduce market risk associated with forecasted transactions, we do not use derivative financial and commod</w:t>
      </w:r>
      <w:r>
        <w:rPr>
          <w:rFonts w:eastAsia="Times New Roman"/>
          <w:color w:val="000000"/>
          <w:sz w:val="20"/>
          <w:szCs w:val="20"/>
        </w:rPr>
        <w:t>ity instruments for speculative or trading purposes. The use of derivative instruments is controlled by our risk management and credit policies, which govern, among other things, the derivative instruments we can use, counterparty credit limits and contrac</w:t>
      </w:r>
      <w:r>
        <w:rPr>
          <w:rFonts w:eastAsia="Times New Roman"/>
          <w:color w:val="000000"/>
          <w:sz w:val="20"/>
          <w:szCs w:val="20"/>
        </w:rPr>
        <w:t>t authorization limits. Although our commodity derivative instruments extend over a number of years, a significant portion of our commodity derivative instruments economically hedge commodity price risk during the next twelve months. For additional informa</w:t>
      </w:r>
      <w:r>
        <w:rPr>
          <w:rFonts w:eastAsia="Times New Roman"/>
          <w:color w:val="000000"/>
          <w:sz w:val="20"/>
          <w:szCs w:val="20"/>
        </w:rPr>
        <w:t>tion on the accounting for our derivative instruments, see Note 2</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Commodity Price Ris</w:t>
      </w:r>
      <w:r>
        <w:rPr>
          <w:rFonts w:eastAsia="Times New Roman"/>
          <w:b/>
          <w:bCs/>
          <w:color w:val="000000"/>
          <w:sz w:val="20"/>
          <w:szCs w:val="20"/>
        </w:rPr>
        <w:t>k</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u w:val="single"/>
        </w:rPr>
        <w:t>Regulated Utility Operation</w:t>
      </w:r>
      <w:r>
        <w:rPr>
          <w:rFonts w:eastAsia="Times New Roman"/>
          <w:color w:val="000000"/>
          <w:sz w:val="20"/>
          <w:szCs w:val="20"/>
          <w:u w:val="single"/>
        </w:rPr>
        <w:t>s</w:t>
      </w:r>
    </w:p>
    <w:p w:rsidR="00000000" w:rsidRDefault="00A270CC">
      <w:pPr>
        <w:jc w:val="both"/>
        <w:rPr>
          <w:rFonts w:eastAsia="Times New Roman"/>
        </w:rPr>
      </w:pPr>
    </w:p>
    <w:p w:rsidR="00000000" w:rsidRDefault="00A270CC">
      <w:pPr>
        <w:jc w:val="both"/>
        <w:rPr>
          <w:rFonts w:eastAsia="Times New Roman"/>
        </w:rPr>
      </w:pPr>
      <w:r>
        <w:rPr>
          <w:rFonts w:eastAsia="Times New Roman"/>
          <w:i/>
          <w:iCs/>
          <w:color w:val="000000"/>
          <w:sz w:val="20"/>
          <w:szCs w:val="20"/>
        </w:rPr>
        <w:t>Natural Ga</w:t>
      </w:r>
      <w:r>
        <w:rPr>
          <w:rFonts w:eastAsia="Times New Roman"/>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Gas Utility’s tariffs contain clauses that permit recovery of all prudently incurred costs of natural gas it sells to r</w:t>
      </w:r>
      <w:r>
        <w:rPr>
          <w:rFonts w:eastAsia="Times New Roman"/>
          <w:color w:val="000000"/>
          <w:sz w:val="20"/>
          <w:szCs w:val="20"/>
        </w:rPr>
        <w:t>etail core-market customers, including the cost of financial instruments used to hedge purchased gas costs. As permitted and agreed to by the PAPUC pursuant to Gas Utility’s annual PGC filings, Gas Utility currently uses NYMEX natural gas futures and optio</w:t>
      </w:r>
      <w:r>
        <w:rPr>
          <w:rFonts w:eastAsia="Times New Roman"/>
          <w:color w:val="000000"/>
          <w:sz w:val="20"/>
          <w:szCs w:val="20"/>
        </w:rPr>
        <w:t>n contracts to reduce commodity price volatility associated with a portion of the natural gas it purchases for its retail core-market customers. Gains and losses on Gas Utility’s natural gas futures contracts and natural gas option contracts are recorded i</w:t>
      </w:r>
      <w:r>
        <w:rPr>
          <w:rFonts w:eastAsia="Times New Roman"/>
          <w:color w:val="000000"/>
          <w:sz w:val="20"/>
          <w:szCs w:val="20"/>
        </w:rPr>
        <w:t>n regulatory assets or liabilities on the Condensed Consolidated Balance Sheets because it is probable such gains or losses will be recoverable from, or refundable to, customers through the PGC recovery mechanism (see Note 8)</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u w:val="single"/>
        </w:rPr>
        <w:t>Non-utility Operation</w:t>
      </w:r>
      <w:r>
        <w:rPr>
          <w:rFonts w:eastAsia="Times New Roman"/>
          <w:color w:val="000000"/>
          <w:sz w:val="20"/>
          <w:szCs w:val="20"/>
          <w:u w:val="single"/>
        </w:rPr>
        <w:t>s</w:t>
      </w:r>
    </w:p>
    <w:p w:rsidR="00000000" w:rsidRDefault="00A270CC">
      <w:pPr>
        <w:jc w:val="both"/>
        <w:rPr>
          <w:rFonts w:eastAsia="Times New Roman"/>
        </w:rPr>
      </w:pPr>
    </w:p>
    <w:p w:rsidR="00000000" w:rsidRDefault="00A270CC">
      <w:pPr>
        <w:jc w:val="both"/>
        <w:rPr>
          <w:rFonts w:eastAsia="Times New Roman"/>
        </w:rPr>
      </w:pPr>
      <w:r>
        <w:rPr>
          <w:rFonts w:eastAsia="Times New Roman"/>
          <w:i/>
          <w:iCs/>
          <w:color w:val="000000"/>
          <w:sz w:val="20"/>
          <w:szCs w:val="20"/>
        </w:rPr>
        <w:t>LP</w:t>
      </w:r>
      <w:r>
        <w:rPr>
          <w:rFonts w:eastAsia="Times New Roman"/>
          <w:i/>
          <w:iCs/>
          <w:color w:val="000000"/>
          <w:sz w:val="20"/>
          <w:szCs w:val="20"/>
        </w:rPr>
        <w:t>G</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manage market price risk associated with the Partnership’s fixed-price programs, the Partnership uses over-the-counter derivative commodity instruments, principally price swap contracts. In addition, the Partnership, certain other domestic</w:t>
      </w:r>
      <w:r>
        <w:rPr>
          <w:rFonts w:eastAsia="Times New Roman"/>
          <w:color w:val="000000"/>
          <w:sz w:val="20"/>
          <w:szCs w:val="20"/>
        </w:rPr>
        <w:t xml:space="preserve"> </w:t>
      </w:r>
    </w:p>
    <w:p w:rsidR="00000000" w:rsidRDefault="00A270CC">
      <w:pPr>
        <w:jc w:val="center"/>
        <w:divId w:val="876354162"/>
        <w:rPr>
          <w:rFonts w:eastAsia="Times New Roman"/>
        </w:rPr>
      </w:pPr>
      <w:r>
        <w:rPr>
          <w:rFonts w:eastAsia="Times New Roman"/>
          <w:color w:val="000000"/>
          <w:sz w:val="20"/>
          <w:szCs w:val="20"/>
        </w:rPr>
        <w:t>3</w:t>
      </w:r>
      <w:r>
        <w:rPr>
          <w:rFonts w:eastAsia="Times New Roman"/>
          <w:color w:val="000000"/>
          <w:sz w:val="20"/>
          <w:szCs w:val="20"/>
        </w:rPr>
        <w:t>0</w:t>
      </w:r>
    </w:p>
    <w:p w:rsidR="00000000" w:rsidRDefault="00A270CC">
      <w:pPr>
        <w:rPr>
          <w:rFonts w:eastAsia="Times New Roman"/>
        </w:rPr>
      </w:pPr>
      <w:r>
        <w:rPr>
          <w:rFonts w:eastAsia="Times New Roman"/>
        </w:rPr>
        <w:pict>
          <v:rect id="_x0000_i1056" style="width:0;height:1.5pt" o:hralign="center" o:hrstd="t" o:hr="t" fillcolor="#a0a0a0" stroked="f"/>
        </w:pict>
      </w:r>
    </w:p>
    <w:p w:rsidR="00000000" w:rsidRDefault="00A270CC">
      <w:pPr>
        <w:divId w:val="103029951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57019125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420571538"/>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570191254"/>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570191254"/>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businesses and our UGI International operations also use over-the-counter price swap contracts to reduce commodity price volatility associated with a portion of their forecasted</w:t>
      </w:r>
      <w:r>
        <w:rPr>
          <w:rFonts w:eastAsia="Times New Roman"/>
          <w:color w:val="000000"/>
          <w:sz w:val="20"/>
          <w:szCs w:val="20"/>
        </w:rPr>
        <w:t xml:space="preserve"> LPG purchases. The Partnership, from time to time, enters into price swap agreements to reduce the effects of short-term commodity price volatility. Also, Midstream &amp; Marketing, from time to time, uses NYMEX futures contracts to economically hedge the gro</w:t>
      </w:r>
      <w:r>
        <w:rPr>
          <w:rFonts w:eastAsia="Times New Roman"/>
          <w:color w:val="000000"/>
          <w:sz w:val="20"/>
          <w:szCs w:val="20"/>
        </w:rPr>
        <w:t>ss margin associated with the purchase and anticipated later near-term sale of propane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i/>
          <w:iCs/>
          <w:color w:val="000000"/>
          <w:sz w:val="20"/>
          <w:szCs w:val="20"/>
        </w:rPr>
        <w:t>Natural Ga</w:t>
      </w:r>
      <w:r>
        <w:rPr>
          <w:rFonts w:eastAsia="Times New Roman"/>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manage market price risk relating to fixed-price sales contracts for physical natural gas, Midstream &amp; Marketing enters into NYMEX and over-the-counter natural gas futures and over-the-counter and ICE natural gas basis swap contracts. In additi</w:t>
      </w:r>
      <w:r>
        <w:rPr>
          <w:rFonts w:eastAsia="Times New Roman"/>
          <w:color w:val="000000"/>
          <w:sz w:val="20"/>
          <w:szCs w:val="20"/>
        </w:rPr>
        <w:t>on, Midstream &amp; Marketing uses NYMEX and over-the-counter futures and options contracts to economically hedge price volatility associated with the gross margin derived from the purchase and anticipated later near-term sale of natural gas storage inventorie</w:t>
      </w:r>
      <w:r>
        <w:rPr>
          <w:rFonts w:eastAsia="Times New Roman"/>
          <w:color w:val="000000"/>
          <w:sz w:val="20"/>
          <w:szCs w:val="20"/>
        </w:rPr>
        <w:t>s. Outside of the financial market, Midstream &amp; Marketing also uses ICE and over-the-counter forward physical contracts. UGI International also uses natural gas futures and forward contracts to economically hedge market price risk associated with fixed-pri</w:t>
      </w:r>
      <w:r>
        <w:rPr>
          <w:rFonts w:eastAsia="Times New Roman"/>
          <w:color w:val="000000"/>
          <w:sz w:val="20"/>
          <w:szCs w:val="20"/>
        </w:rPr>
        <w:t>ce sales contracts with its customers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i/>
          <w:iCs/>
          <w:color w:val="000000"/>
          <w:sz w:val="20"/>
          <w:szCs w:val="20"/>
        </w:rPr>
        <w:t>Electricit</w:t>
      </w:r>
      <w:r>
        <w:rPr>
          <w:rFonts w:eastAsia="Times New Roman"/>
          <w:i/>
          <w:iCs/>
          <w:color w:val="000000"/>
          <w:sz w:val="20"/>
          <w:szCs w:val="20"/>
        </w:rPr>
        <w:t>y</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manage market price risk relating to fixed-price sales contracts for electricity, Midstream &amp; Marketing enters into electricity futures and forward contracts. Midstream &amp; Marketing also use</w:t>
      </w:r>
      <w:r>
        <w:rPr>
          <w:rFonts w:eastAsia="Times New Roman"/>
          <w:color w:val="000000"/>
          <w:sz w:val="20"/>
          <w:szCs w:val="20"/>
        </w:rPr>
        <w:t>s NYMEX and over-the-counter electricity futures contracts to economically hedge the price of a portion of its anticipated future sales of electricity from its electric generation facilities. UGI International also uses electricity futures and forward cont</w:t>
      </w:r>
      <w:r>
        <w:rPr>
          <w:rFonts w:eastAsia="Times New Roman"/>
          <w:color w:val="000000"/>
          <w:sz w:val="20"/>
          <w:szCs w:val="20"/>
        </w:rPr>
        <w:t>racts to economically hedge market price risk associated with fixed-price sales and purchase contracts for electricity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A270CC">
      <w:pPr>
        <w:jc w:val="both"/>
        <w:divId w:val="1054768998"/>
        <w:rPr>
          <w:rFonts w:eastAsia="Times New Roman"/>
        </w:rPr>
      </w:pPr>
      <w:r>
        <w:rPr>
          <w:rFonts w:eastAsia="Times New Roman"/>
          <w:color w:val="000000"/>
          <w:sz w:val="20"/>
          <w:szCs w:val="20"/>
        </w:rPr>
        <w:t>Certain of our long-term debt agreements have interest rates that are generally indexed to short-term market intere</w:t>
      </w:r>
      <w:r>
        <w:rPr>
          <w:rFonts w:eastAsia="Times New Roman"/>
          <w:color w:val="000000"/>
          <w:sz w:val="20"/>
          <w:szCs w:val="20"/>
        </w:rPr>
        <w:t>st rates. In order to fix the underlying short-term market interest rates, we may enter into pay-fixed, receive-variable interest rate swap agreements and designate such swaps as cash flow hedges</w:t>
      </w:r>
      <w:r>
        <w:rPr>
          <w:rFonts w:eastAsia="Times New Roman"/>
          <w:color w:val="000000"/>
          <w:sz w:val="20"/>
          <w:szCs w:val="20"/>
        </w:rPr>
        <w:t>.</w:t>
      </w:r>
    </w:p>
    <w:p w:rsidR="00000000" w:rsidRDefault="00A270CC">
      <w:pPr>
        <w:jc w:val="both"/>
        <w:divId w:val="214316925"/>
        <w:rPr>
          <w:rFonts w:eastAsia="Times New Roman"/>
        </w:rPr>
      </w:pPr>
      <w:r>
        <w:rPr>
          <w:rFonts w:eastAsia="Times New Roman"/>
          <w:color w:val="000000"/>
          <w:sz w:val="20"/>
          <w:szCs w:val="20"/>
        </w:rPr>
        <w:t xml:space="preserve">The remainder of our long-term debt is typically issued at </w:t>
      </w:r>
      <w:r>
        <w:rPr>
          <w:rFonts w:eastAsia="Times New Roman"/>
          <w:color w:val="000000"/>
          <w:sz w:val="20"/>
          <w:szCs w:val="20"/>
        </w:rPr>
        <w:t>fixed rates of interest. As these long-term debt issues mature, we typically refinance such debt with new debt having interest rates reflecting then-current market conditions. In order to reduce market rate risk on the underlying benchmark rate of interest</w:t>
      </w:r>
      <w:r>
        <w:rPr>
          <w:rFonts w:eastAsia="Times New Roman"/>
          <w:color w:val="000000"/>
          <w:sz w:val="20"/>
          <w:szCs w:val="20"/>
        </w:rPr>
        <w:t xml:space="preserve"> associated with near- to medium-term forecasted issuances of fixed-rate debt, from time to time, we enter into IRPAs. We account for IRPAs as cash flow hedges. There were no unsettled IRPAs during any of the periods presented. At June 30, 2020, the amount</w:t>
      </w:r>
      <w:r>
        <w:rPr>
          <w:rFonts w:eastAsia="Times New Roman"/>
          <w:color w:val="000000"/>
          <w:sz w:val="20"/>
          <w:szCs w:val="20"/>
        </w:rPr>
        <w:t xml:space="preserve"> of pre-tax net losses associated with interest rate hedges (excluding pay-fixed, receive-variable interest rate swaps) expected to be reclassified into earnings during the next twelve months is $3.5</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Foreign Currency Exchange Rate Ris</w:t>
      </w:r>
      <w:r>
        <w:rPr>
          <w:rFonts w:eastAsia="Times New Roman"/>
          <w:b/>
          <w:bCs/>
          <w:color w:val="000000"/>
          <w:sz w:val="20"/>
          <w:szCs w:val="20"/>
        </w:rPr>
        <w:t>k</w:t>
      </w:r>
    </w:p>
    <w:p w:rsidR="00000000" w:rsidRDefault="00A270CC">
      <w:pPr>
        <w:jc w:val="both"/>
        <w:rPr>
          <w:rFonts w:eastAsia="Times New Roman"/>
        </w:rPr>
      </w:pPr>
    </w:p>
    <w:p w:rsidR="00000000" w:rsidRDefault="00A270CC">
      <w:pPr>
        <w:jc w:val="both"/>
        <w:rPr>
          <w:rFonts w:eastAsia="Times New Roman"/>
        </w:rPr>
      </w:pPr>
      <w:r>
        <w:rPr>
          <w:rFonts w:eastAsia="Times New Roman"/>
          <w:i/>
          <w:iCs/>
          <w:color w:val="000000"/>
          <w:sz w:val="20"/>
          <w:szCs w:val="20"/>
        </w:rPr>
        <w:t>Forward Foreign</w:t>
      </w:r>
      <w:r>
        <w:rPr>
          <w:rFonts w:eastAsia="Times New Roman"/>
          <w:i/>
          <w:iCs/>
          <w:color w:val="000000"/>
          <w:sz w:val="20"/>
          <w:szCs w:val="20"/>
        </w:rPr>
        <w:t xml:space="preserve"> Currency Exchange Contract</w:t>
      </w:r>
      <w:r>
        <w:rPr>
          <w:rFonts w:eastAsia="Times New Roman"/>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reduce the volatility in net income associated with our foreign operations, principally as a result of changes in the U.S. dollar exchange rate to the euro and British pound sterling, we enter into forward foreign</w:t>
      </w:r>
      <w:r>
        <w:rPr>
          <w:rFonts w:eastAsia="Times New Roman"/>
          <w:color w:val="000000"/>
          <w:sz w:val="20"/>
          <w:szCs w:val="20"/>
        </w:rPr>
        <w:t xml:space="preserve"> currency exchange contracts. We layer in these foreign currency exchange contracts over a multi-year period to eventually equal approximately 90% of anticipated UGI International local currency earnings before income taxes. Because these contracts are not</w:t>
      </w:r>
      <w:r>
        <w:rPr>
          <w:rFonts w:eastAsia="Times New Roman"/>
          <w:color w:val="000000"/>
          <w:sz w:val="20"/>
          <w:szCs w:val="20"/>
        </w:rPr>
        <w:t xml:space="preserve"> designated as hedging instruments, realized and unrealized gains and losses on these contracts are recorded in “Other non-operating (expense) income, net,” on the Condensed Consolidated Statements of Income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reduce exposure to foreign exchan</w:t>
      </w:r>
      <w:r>
        <w:rPr>
          <w:rFonts w:eastAsia="Times New Roman"/>
          <w:color w:val="000000"/>
          <w:sz w:val="20"/>
          <w:szCs w:val="20"/>
        </w:rPr>
        <w:t>ge rate volatility related to our foreign LPG operations, we previously entered into forward foreign currency exchange contracts to hedge a portion of anticipated U.S. dollar-denominated LPG product purchases primarily during the heating-season months of O</w:t>
      </w:r>
      <w:r>
        <w:rPr>
          <w:rFonts w:eastAsia="Times New Roman"/>
          <w:color w:val="000000"/>
          <w:sz w:val="20"/>
          <w:szCs w:val="20"/>
        </w:rPr>
        <w:t>ctober through March. The last such contracts expired in September 2019. We accounted for these foreign currency exchange contracts as cash flow hedges.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1621840618"/>
        <w:rPr>
          <w:rFonts w:eastAsia="Times New Roman"/>
        </w:rPr>
      </w:pPr>
      <w:r>
        <w:rPr>
          <w:rFonts w:eastAsia="Times New Roman"/>
          <w:color w:val="000000"/>
          <w:sz w:val="20"/>
          <w:szCs w:val="20"/>
        </w:rPr>
        <w:t>3</w:t>
      </w:r>
      <w:r>
        <w:rPr>
          <w:rFonts w:eastAsia="Times New Roman"/>
          <w:color w:val="000000"/>
          <w:sz w:val="20"/>
          <w:szCs w:val="20"/>
        </w:rPr>
        <w:t>1</w:t>
      </w:r>
    </w:p>
    <w:p w:rsidR="00000000" w:rsidRDefault="00A270CC">
      <w:pPr>
        <w:rPr>
          <w:rFonts w:eastAsia="Times New Roman"/>
        </w:rPr>
      </w:pPr>
      <w:r>
        <w:rPr>
          <w:rFonts w:eastAsia="Times New Roman"/>
        </w:rPr>
        <w:pict>
          <v:rect id="_x0000_i1057" style="width:0;height:1.5pt" o:hralign="center" o:hrstd="t" o:hr="t" fillcolor="#a0a0a0" stroked="f"/>
        </w:pict>
      </w:r>
    </w:p>
    <w:p w:rsidR="00000000" w:rsidRDefault="00A270CC">
      <w:pPr>
        <w:divId w:val="562561954"/>
        <w:rPr>
          <w:rFonts w:eastAsia="Times New Roman"/>
        </w:rPr>
      </w:pPr>
      <w:hyperlink w:anchor="ie970dc11ee4142a48682b4ecf773997e_7" w:history="1">
        <w:r>
          <w:rPr>
            <w:rStyle w:val="a3"/>
            <w:rFonts w:eastAsia="Times New Roman"/>
            <w:sz w:val="20"/>
            <w:szCs w:val="20"/>
          </w:rPr>
          <w:t>Ta</w:t>
        </w:r>
        <w:r>
          <w:rPr>
            <w:rStyle w:val="a3"/>
            <w:rFonts w:eastAsia="Times New Roman"/>
            <w:sz w:val="20"/>
            <w:szCs w:val="20"/>
          </w:rPr>
          <w:t>ble of Contents</w:t>
        </w:r>
      </w:hyperlink>
    </w:p>
    <w:p w:rsidR="00000000" w:rsidRDefault="00A270CC">
      <w:pPr>
        <w:jc w:val="center"/>
        <w:divId w:val="647633599"/>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682588224"/>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647633599"/>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647633599"/>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 xml:space="preserve">From time to time, we also enter into forward foreign currency </w:t>
      </w:r>
      <w:r>
        <w:rPr>
          <w:rFonts w:eastAsia="Times New Roman"/>
          <w:color w:val="000000"/>
          <w:sz w:val="20"/>
          <w:szCs w:val="20"/>
        </w:rPr>
        <w:t>exchange contracts to reduce the volatility of the U.S. dollar value of a portion of our UGI International euro-denominated net investments. We account for these foreign currency exchange contracts as net investment hedges and all changes in the fair value</w:t>
      </w:r>
      <w:r>
        <w:rPr>
          <w:rFonts w:eastAsia="Times New Roman"/>
          <w:color w:val="000000"/>
          <w:sz w:val="20"/>
          <w:szCs w:val="20"/>
        </w:rPr>
        <w:t xml:space="preserve"> of these contracts are reported in the cumulative translation adjustment component in AOCI. During the third quarter of Fiscal 2020, we changed the method used for measuring ineffectiveness of our net investment hedges from the forward rate method to the </w:t>
      </w:r>
      <w:r>
        <w:rPr>
          <w:rFonts w:eastAsia="Times New Roman"/>
          <w:color w:val="000000"/>
          <w:sz w:val="20"/>
          <w:szCs w:val="20"/>
        </w:rPr>
        <w:t>spot rate method and the income statement impact of the change was not material.</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Certain euro-denominated long-term debt issued under the 2018 UGI International Credit Facilities Agreement and the UGI International 3.25% Senior Notes have been designated as net investment hedges of a portion of our UGI International euro-denominated ne</w:t>
      </w:r>
      <w:r>
        <w:rPr>
          <w:rFonts w:eastAsia="Times New Roman"/>
          <w:color w:val="000000"/>
          <w:sz w:val="20"/>
          <w:szCs w:val="20"/>
        </w:rPr>
        <w:t xml:space="preserve">t investment. We recognized pre-tax (losses) gains associated with these net investment hedges in the cumulative translation adjustment component in AOCI of $(13.2) and $(9.8) during the three months ended June 30, 2020 and 2019, respectively, and $(21.7) </w:t>
      </w:r>
      <w:r>
        <w:rPr>
          <w:rFonts w:eastAsia="Times New Roman"/>
          <w:color w:val="000000"/>
          <w:sz w:val="20"/>
          <w:szCs w:val="20"/>
        </w:rPr>
        <w:t>and $0.5 during the nine months ended June 30, 2020 and 2019, respectively.</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Quantitative Disclosures Related to Derivative Instrument</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following table summarizes by derivative type the gross notional amounts related to open derivative contracts at</w:t>
      </w:r>
      <w:r>
        <w:rPr>
          <w:rFonts w:eastAsia="Times New Roman"/>
          <w:color w:val="000000"/>
          <w:sz w:val="20"/>
          <w:szCs w:val="20"/>
        </w:rPr>
        <w:t> June 30, 2020, September 30, 2019 and June 30, 2019, and the final settlement date of the Company's open derivative transactions as of June 30, 2020, excluding those derivatives that qualified for the NPNS exception</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96"/>
        <w:gridCol w:w="38"/>
        <w:gridCol w:w="36"/>
        <w:gridCol w:w="36"/>
        <w:gridCol w:w="36"/>
        <w:gridCol w:w="95"/>
        <w:gridCol w:w="818"/>
        <w:gridCol w:w="94"/>
        <w:gridCol w:w="36"/>
        <w:gridCol w:w="36"/>
        <w:gridCol w:w="36"/>
        <w:gridCol w:w="65"/>
        <w:gridCol w:w="863"/>
        <w:gridCol w:w="64"/>
        <w:gridCol w:w="36"/>
        <w:gridCol w:w="36"/>
        <w:gridCol w:w="36"/>
        <w:gridCol w:w="135"/>
        <w:gridCol w:w="665"/>
        <w:gridCol w:w="85"/>
        <w:gridCol w:w="36"/>
        <w:gridCol w:w="36"/>
        <w:gridCol w:w="36"/>
        <w:gridCol w:w="136"/>
        <w:gridCol w:w="755"/>
        <w:gridCol w:w="85"/>
        <w:gridCol w:w="36"/>
        <w:gridCol w:w="36"/>
        <w:gridCol w:w="36"/>
        <w:gridCol w:w="136"/>
        <w:gridCol w:w="679"/>
        <w:gridCol w:w="85"/>
        <w:gridCol w:w="36"/>
        <w:gridCol w:w="36"/>
        <w:gridCol w:w="36"/>
        <w:gridCol w:w="36"/>
        <w:gridCol w:w="36"/>
        <w:gridCol w:w="36"/>
        <w:gridCol w:w="36"/>
        <w:gridCol w:w="36"/>
        <w:gridCol w:w="36"/>
        <w:gridCol w:w="36"/>
        <w:gridCol w:w="36"/>
        <w:gridCol w:w="36"/>
      </w:tblGrid>
      <w:tr w:rsidR="00000000">
        <w:trPr>
          <w:gridAfter w:val="12"/>
          <w:divId w:val="1127089470"/>
          <w:jc w:val="center"/>
        </w:trPr>
        <w:tc>
          <w:tcPr>
            <w:tcW w:w="50" w:type="pct"/>
            <w:vAlign w:val="center"/>
            <w:hideMark/>
          </w:tcPr>
          <w:p w:rsidR="00000000" w:rsidRDefault="00A270CC">
            <w:pPr>
              <w:jc w:val="both"/>
              <w:rPr>
                <w:rFonts w:eastAsia="Times New Roman"/>
              </w:rPr>
            </w:pPr>
          </w:p>
        </w:tc>
        <w:tc>
          <w:tcPr>
            <w:tcW w:w="161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65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12708947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127089470"/>
          <w:jc w:val="center"/>
        </w:trPr>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Typ</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Unit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Settlements Extending Throug</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30, 201</w:t>
            </w:r>
            <w:r>
              <w:rPr>
                <w:rFonts w:eastAsia="Times New Roman"/>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201</w:t>
            </w:r>
            <w:r>
              <w:rPr>
                <w:rFonts w:eastAsia="Times New Roman"/>
                <w:color w:val="000000"/>
                <w:sz w:val="20"/>
                <w:szCs w:val="20"/>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Commodity Price Risk</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i/>
                <w:iCs/>
                <w:color w:val="000000"/>
                <w:sz w:val="20"/>
                <w:szCs w:val="20"/>
              </w:rPr>
              <w:t>Regulated Utility Operation</w:t>
            </w:r>
            <w:r>
              <w:rPr>
                <w:rFonts w:eastAsia="Times New Roman"/>
                <w:i/>
                <w:i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Gas Utility NYMEX natural gas futures and option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Dekatherm</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i/>
                <w:iCs/>
                <w:color w:val="000000"/>
                <w:sz w:val="20"/>
                <w:szCs w:val="20"/>
              </w:rPr>
              <w:t>Non-utility Operation</w:t>
            </w:r>
            <w:r>
              <w:rPr>
                <w:rFonts w:eastAsia="Times New Roman"/>
                <w:i/>
                <w:i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LPG swap</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Gallon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889.6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635.2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Natural gas futures, forward and pipeline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Dekatherm</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December 202</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Natural gas basis swap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Dekatherm</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December 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NYMEX natural gas storage futures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Dekatherm</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March 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NYMEX natural gas option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Dekatherm</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NYMEX propane storage futures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Gallon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Electricity long forward and futures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Kilowatt hour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January 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4,549.5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3,098.1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Electricity short forward and futures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Kilowatt hour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April 202</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Interest Rate Risk</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rate swap</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Eur</w:t>
            </w:r>
            <w:r>
              <w:rPr>
                <w:rFonts w:eastAsia="Times New Roman"/>
                <w:color w:val="000000"/>
                <w:sz w:val="20"/>
                <w:szCs w:val="20"/>
              </w:rPr>
              <w:t>o</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October 202</w:t>
            </w:r>
            <w:r>
              <w:rPr>
                <w:rFonts w:eastAsia="Times New Roman"/>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rate swap</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US</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July 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1,347.4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1,357.3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Foreign Currency Exchange Rate Risk</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Forward foreign currency exchange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US</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investment hedge forward foreign exchange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Eur</w:t>
            </w:r>
            <w:r>
              <w:rPr>
                <w:rFonts w:eastAsia="Times New Roman"/>
                <w:color w:val="000000"/>
                <w:sz w:val="20"/>
                <w:szCs w:val="20"/>
              </w:rPr>
              <w:t>o</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October 202</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127089470"/>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center"/>
        <w:divId w:val="740565275"/>
        <w:rPr>
          <w:rFonts w:eastAsia="Times New Roman"/>
        </w:rPr>
      </w:pPr>
      <w:r>
        <w:rPr>
          <w:rFonts w:eastAsia="Times New Roman"/>
          <w:color w:val="000000"/>
          <w:sz w:val="20"/>
          <w:szCs w:val="20"/>
        </w:rPr>
        <w:t>3</w:t>
      </w:r>
      <w:r>
        <w:rPr>
          <w:rFonts w:eastAsia="Times New Roman"/>
          <w:color w:val="000000"/>
          <w:sz w:val="20"/>
          <w:szCs w:val="20"/>
        </w:rPr>
        <w:t>2</w:t>
      </w:r>
    </w:p>
    <w:p w:rsidR="00000000" w:rsidRDefault="00A270CC">
      <w:pPr>
        <w:rPr>
          <w:rFonts w:eastAsia="Times New Roman"/>
        </w:rPr>
      </w:pPr>
      <w:r>
        <w:rPr>
          <w:rFonts w:eastAsia="Times New Roman"/>
        </w:rPr>
        <w:pict>
          <v:rect id="_x0000_i1058" style="width:0;height:1.5pt" o:hralign="center" o:hrstd="t" o:hr="t" fillcolor="#a0a0a0" stroked="f"/>
        </w:pict>
      </w:r>
    </w:p>
    <w:p w:rsidR="00000000" w:rsidRDefault="00A270CC">
      <w:pPr>
        <w:divId w:val="94734744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867912637"/>
        <w:rPr>
          <w:rFonts w:eastAsia="Times New Roman"/>
        </w:rPr>
      </w:pPr>
      <w:r>
        <w:rPr>
          <w:rFonts w:eastAsia="Times New Roman"/>
          <w:b/>
          <w:bCs/>
          <w:color w:val="000000"/>
          <w:sz w:val="20"/>
          <w:szCs w:val="20"/>
        </w:rPr>
        <w:t>UGI CORPOR</w:t>
      </w:r>
      <w:r>
        <w:rPr>
          <w:rFonts w:eastAsia="Times New Roman"/>
          <w:b/>
          <w:bCs/>
          <w:color w:val="000000"/>
          <w:sz w:val="20"/>
          <w:szCs w:val="20"/>
        </w:rPr>
        <w:t>ATION AND SUBSIDIARIE</w:t>
      </w:r>
      <w:r>
        <w:rPr>
          <w:rFonts w:eastAsia="Times New Roman"/>
          <w:b/>
          <w:bCs/>
          <w:color w:val="000000"/>
          <w:sz w:val="20"/>
          <w:szCs w:val="20"/>
        </w:rPr>
        <w:t>S</w:t>
      </w:r>
    </w:p>
    <w:p w:rsidR="00000000" w:rsidRDefault="00A270CC">
      <w:pPr>
        <w:jc w:val="center"/>
        <w:divId w:val="1637492505"/>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867912637"/>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867912637"/>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b/>
          <w:bCs/>
          <w:color w:val="000000"/>
          <w:sz w:val="20"/>
          <w:szCs w:val="20"/>
        </w:rPr>
        <w:t>Derivative Instrument Credit Ris</w:t>
      </w:r>
      <w:r>
        <w:rPr>
          <w:rFonts w:eastAsia="Times New Roman"/>
          <w:b/>
          <w:bCs/>
          <w:color w:val="000000"/>
          <w:sz w:val="20"/>
          <w:szCs w:val="20"/>
        </w:rPr>
        <w:t>k</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ounterparties that govern credit limits or entering into netting agreements that allow for offsetting counterparty receivable and payable balances for certain financial transactions, as deemed appropriate. Certain of these agreements call for the posting o</w:t>
      </w:r>
      <w:r>
        <w:rPr>
          <w:rFonts w:eastAsia="Times New Roman"/>
          <w:color w:val="000000"/>
          <w:sz w:val="20"/>
          <w:szCs w:val="20"/>
        </w:rPr>
        <w:t>f collateral by the counterparty or by the Company in the forms of letters of credit, parental guarantees or cash. Additionally, our commodity exchange traded futures contracts generally require cash deposits in margin accounts. Restricted cash in brokerag</w:t>
      </w:r>
      <w:r>
        <w:rPr>
          <w:rFonts w:eastAsia="Times New Roman"/>
          <w:color w:val="000000"/>
          <w:sz w:val="20"/>
          <w:szCs w:val="20"/>
        </w:rPr>
        <w:t>e accounts is reported in “Restricted cash” on the Condensed Consolidated Balance Sheets. Although we have concentrations of credit risk associated with derivative instruments, the maximum amount of loss we would incur if these counterparties failed to per</w:t>
      </w:r>
      <w:r>
        <w:rPr>
          <w:rFonts w:eastAsia="Times New Roman"/>
          <w:color w:val="000000"/>
          <w:sz w:val="20"/>
          <w:szCs w:val="20"/>
        </w:rPr>
        <w:t>form according to the terms of their contracts, based upon the gross fair values of the derivative instruments, was not material at June 30, 2020. Certain of the Partnership’s derivative contracts have credit-risk-related contingent features that may requi</w:t>
      </w:r>
      <w:r>
        <w:rPr>
          <w:rFonts w:eastAsia="Times New Roman"/>
          <w:color w:val="000000"/>
          <w:sz w:val="20"/>
          <w:szCs w:val="20"/>
        </w:rPr>
        <w:t>re the posting of additional collateral in the event of a downgrade of the Partnership’s debt rating. At June 30, 2020, if the credit-risk-related contingent features were triggered, the amount of collateral required to be posted would not be material</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O</w:t>
      </w:r>
      <w:r>
        <w:rPr>
          <w:rFonts w:eastAsia="Times New Roman"/>
          <w:b/>
          <w:bCs/>
          <w:color w:val="000000"/>
          <w:sz w:val="20"/>
          <w:szCs w:val="20"/>
        </w:rPr>
        <w:t>ffsetting Derivative Assets and Liabilitie</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Derivative assets and liabilities are presented net by counterparty on the Condensed Consolidated Balance Sheets if the right of offset exists. We offset amounts recognized for the right to reclaim cash collate</w:t>
      </w:r>
      <w:r>
        <w:rPr>
          <w:rFonts w:eastAsia="Times New Roman"/>
          <w:color w:val="000000"/>
          <w:sz w:val="20"/>
          <w:szCs w:val="20"/>
        </w:rPr>
        <w:t xml:space="preserve">ral or the obligation to return cash collateral against amounts recognized for derivative instruments executed with the same counterparty. Our derivative instruments include both those that are executed on an exchange through brokers and centrally cleared </w:t>
      </w:r>
      <w:r>
        <w:rPr>
          <w:rFonts w:eastAsia="Times New Roman"/>
          <w:color w:val="000000"/>
          <w:sz w:val="20"/>
          <w:szCs w:val="20"/>
        </w:rPr>
        <w:t>and over-the-counter transactions. Exchange contracts utilize a financial intermediary, exchange or clearinghouse to enter, execute or clear the transactions. Over-the-counter contracts are bilateral contracts that are transacted directly with a third part</w:t>
      </w:r>
      <w:r>
        <w:rPr>
          <w:rFonts w:eastAsia="Times New Roman"/>
          <w:color w:val="000000"/>
          <w:sz w:val="20"/>
          <w:szCs w:val="20"/>
        </w:rPr>
        <w:t>y. Certain over-the-counter and exchange contracts contain contractual rights of offset through master netting arrangements, derivative clearing agreements and contract default provisions. In addition, the contracts are subject to conditional rights of off</w:t>
      </w:r>
      <w:r>
        <w:rPr>
          <w:rFonts w:eastAsia="Times New Roman"/>
          <w:color w:val="000000"/>
          <w:sz w:val="20"/>
          <w:szCs w:val="20"/>
        </w:rPr>
        <w:t>set through counterparty nonperformance, insolvency or other conditions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general, most of our over-the-counter transactions and all exchange contracts are subject to collateral requirements. Types of collateral generally include cash or letters of credit. Cash collateral paid by us to our over-the-counter derivative counterp</w:t>
      </w:r>
      <w:r>
        <w:rPr>
          <w:rFonts w:eastAsia="Times New Roman"/>
          <w:color w:val="000000"/>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eastAsia="Times New Roman"/>
          <w:color w:val="000000"/>
          <w:sz w:val="20"/>
          <w:szCs w:val="20"/>
        </w:rPr>
        <w:t>s receivable and accounts payable balances recognized on the Condensed Consolidated Balance Sheets with our derivative counterparties are not included in the table below but could reduce our net exposure to such counterparties because such balances are sub</w:t>
      </w:r>
      <w:r>
        <w:rPr>
          <w:rFonts w:eastAsia="Times New Roman"/>
          <w:color w:val="000000"/>
          <w:sz w:val="20"/>
          <w:szCs w:val="20"/>
        </w:rPr>
        <w:t>ject to master netting or similar arrangements</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61681899"/>
        <w:rPr>
          <w:rFonts w:eastAsia="Times New Roman"/>
        </w:rPr>
      </w:pPr>
      <w:r>
        <w:rPr>
          <w:rFonts w:eastAsia="Times New Roman"/>
          <w:color w:val="000000"/>
          <w:sz w:val="20"/>
          <w:szCs w:val="20"/>
        </w:rPr>
        <w:t>3</w:t>
      </w:r>
      <w:r>
        <w:rPr>
          <w:rFonts w:eastAsia="Times New Roman"/>
          <w:color w:val="000000"/>
          <w:sz w:val="20"/>
          <w:szCs w:val="20"/>
        </w:rPr>
        <w:t>3</w:t>
      </w:r>
    </w:p>
    <w:p w:rsidR="00000000" w:rsidRDefault="00A270CC">
      <w:pPr>
        <w:rPr>
          <w:rFonts w:eastAsia="Times New Roman"/>
        </w:rPr>
      </w:pPr>
      <w:r>
        <w:rPr>
          <w:rFonts w:eastAsia="Times New Roman"/>
        </w:rPr>
        <w:pict>
          <v:rect id="_x0000_i1059" style="width:0;height:1.5pt" o:hralign="center" o:hrstd="t" o:hr="t" fillcolor="#a0a0a0" stroked="f"/>
        </w:pict>
      </w:r>
    </w:p>
    <w:p w:rsidR="00000000" w:rsidRDefault="00A270CC">
      <w:pPr>
        <w:divId w:val="185002399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7577549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48671687"/>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875775494"/>
        <w:rPr>
          <w:rFonts w:eastAsia="Times New Roman"/>
        </w:rPr>
      </w:pPr>
      <w:r>
        <w:rPr>
          <w:rFonts w:eastAsia="Times New Roman"/>
          <w:color w:val="000000"/>
          <w:sz w:val="20"/>
          <w:szCs w:val="20"/>
        </w:rPr>
        <w:t>(una</w:t>
      </w:r>
      <w:r>
        <w:rPr>
          <w:rFonts w:eastAsia="Times New Roman"/>
          <w:color w:val="000000"/>
          <w:sz w:val="20"/>
          <w:szCs w:val="20"/>
        </w:rPr>
        <w:t>udited</w:t>
      </w:r>
      <w:r>
        <w:rPr>
          <w:rFonts w:eastAsia="Times New Roman"/>
          <w:color w:val="000000"/>
          <w:sz w:val="20"/>
          <w:szCs w:val="20"/>
        </w:rPr>
        <w:t>)</w:t>
      </w:r>
    </w:p>
    <w:p w:rsidR="00000000" w:rsidRDefault="00A270CC">
      <w:pPr>
        <w:jc w:val="center"/>
        <w:divId w:val="875775494"/>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b/>
          <w:bCs/>
          <w:color w:val="000000"/>
          <w:sz w:val="20"/>
          <w:szCs w:val="20"/>
        </w:rPr>
        <w:t>Fair Value of Derivative Instrument</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 </w:t>
      </w:r>
    </w:p>
    <w:p w:rsidR="00000000" w:rsidRDefault="00A270CC">
      <w:pPr>
        <w:jc w:val="both"/>
        <w:rPr>
          <w:rFonts w:eastAsia="Times New Roman"/>
        </w:rPr>
      </w:pPr>
      <w:r>
        <w:rPr>
          <w:rFonts w:eastAsia="Times New Roman"/>
          <w:color w:val="000000"/>
          <w:sz w:val="20"/>
          <w:szCs w:val="20"/>
        </w:rPr>
        <w:t>The following table presents the Company’s derivative assets and liabilities by type, as well as the effects of offsetting</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6"/>
        <w:gridCol w:w="4755"/>
        <w:gridCol w:w="47"/>
        <w:gridCol w:w="36"/>
        <w:gridCol w:w="36"/>
        <w:gridCol w:w="36"/>
        <w:gridCol w:w="135"/>
        <w:gridCol w:w="824"/>
        <w:gridCol w:w="85"/>
        <w:gridCol w:w="36"/>
        <w:gridCol w:w="36"/>
        <w:gridCol w:w="36"/>
        <w:gridCol w:w="136"/>
        <w:gridCol w:w="824"/>
        <w:gridCol w:w="85"/>
        <w:gridCol w:w="36"/>
        <w:gridCol w:w="36"/>
        <w:gridCol w:w="36"/>
        <w:gridCol w:w="135"/>
        <w:gridCol w:w="825"/>
        <w:gridCol w:w="85"/>
      </w:tblGrid>
      <w:tr w:rsidR="00000000">
        <w:trPr>
          <w:divId w:val="1689873283"/>
        </w:trPr>
        <w:tc>
          <w:tcPr>
            <w:tcW w:w="50" w:type="pct"/>
            <w:vAlign w:val="center"/>
            <w:hideMark/>
          </w:tcPr>
          <w:p w:rsidR="00000000" w:rsidRDefault="00A270CC">
            <w:pPr>
              <w:jc w:val="both"/>
              <w:rPr>
                <w:rFonts w:eastAsia="Times New Roman"/>
              </w:rPr>
            </w:pPr>
          </w:p>
        </w:tc>
        <w:tc>
          <w:tcPr>
            <w:tcW w:w="288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689873283"/>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w:t>
            </w:r>
            <w:r>
              <w:rPr>
                <w:rFonts w:eastAsia="Times New Roman"/>
                <w:color w:val="000000"/>
                <w:sz w:val="20"/>
                <w:szCs w:val="20"/>
              </w:rPr>
              <w:b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September 30,</w:t>
            </w:r>
            <w:r>
              <w:rPr>
                <w:rFonts w:eastAsia="Times New Roman"/>
                <w:color w:val="000000"/>
                <w:sz w:val="20"/>
                <w:szCs w:val="20"/>
              </w:rPr>
              <w:b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w:t>
            </w:r>
            <w:r>
              <w:rPr>
                <w:rFonts w:eastAsia="Times New Roman"/>
                <w:color w:val="000000"/>
                <w:sz w:val="20"/>
                <w:szCs w:val="20"/>
              </w:rPr>
              <w:br/>
              <w:t>201</w:t>
            </w:r>
            <w:r>
              <w:rPr>
                <w:rFonts w:eastAsia="Times New Roman"/>
                <w:color w:val="000000"/>
                <w:sz w:val="20"/>
                <w:szCs w:val="20"/>
              </w:rPr>
              <w:t>9</w:t>
            </w:r>
          </w:p>
        </w:tc>
      </w:tr>
      <w:tr w:rsidR="00000000">
        <w:trPr>
          <w:divId w:val="16898732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 assets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designated as hedging instruments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r>
      <w:tr w:rsidR="00000000">
        <w:trPr>
          <w:divId w:val="1689873283"/>
        </w:trPr>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subject to PGC and DS mechanisms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not designated as hedging instruments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derivative assets — gros</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Gross amounts offset in the balance shee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derivative assets —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 liabilities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designated as hedging instruments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Interest rate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subject to PGC and DS mechanisms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not designated as hedging instruments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689873283"/>
        </w:trPr>
        <w:tc>
          <w:tcPr>
            <w:tcW w:w="0" w:type="auto"/>
            <w:gridSpan w:val="3"/>
            <w:shd w:val="clear" w:color="auto" w:fill="CCEE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171.3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225"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(177.3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(175.6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(109.3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derivative liabilities — gros</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(237.9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Gross amounts offset in the balance shee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Cash collateral pledge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6898732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derivative liabilities —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(174.8</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(133.3</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(92.4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rPr>
          <w:rFonts w:eastAsia="Times New Roman"/>
        </w:rPr>
      </w:pPr>
    </w:p>
    <w:p w:rsidR="00000000" w:rsidRDefault="00A270CC">
      <w:pPr>
        <w:jc w:val="center"/>
        <w:divId w:val="620917960"/>
        <w:rPr>
          <w:rFonts w:eastAsia="Times New Roman"/>
        </w:rPr>
      </w:pPr>
      <w:r>
        <w:rPr>
          <w:rFonts w:eastAsia="Times New Roman"/>
          <w:color w:val="000000"/>
          <w:sz w:val="20"/>
          <w:szCs w:val="20"/>
        </w:rPr>
        <w:t>3</w:t>
      </w:r>
      <w:r>
        <w:rPr>
          <w:rFonts w:eastAsia="Times New Roman"/>
          <w:color w:val="000000"/>
          <w:sz w:val="20"/>
          <w:szCs w:val="20"/>
        </w:rPr>
        <w:t>4</w:t>
      </w:r>
    </w:p>
    <w:p w:rsidR="00000000" w:rsidRDefault="00A270CC">
      <w:pPr>
        <w:rPr>
          <w:rFonts w:eastAsia="Times New Roman"/>
        </w:rPr>
      </w:pPr>
      <w:r>
        <w:rPr>
          <w:rFonts w:eastAsia="Times New Roman"/>
        </w:rPr>
        <w:pict>
          <v:rect id="_x0000_i1060" style="width:0;height:1.5pt" o:hralign="center" o:hrstd="t" o:hr="t" fillcolor="#a0a0a0" stroked="f"/>
        </w:pict>
      </w:r>
    </w:p>
    <w:p w:rsidR="00000000" w:rsidRDefault="00A270CC">
      <w:pPr>
        <w:divId w:val="197829388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44411273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498811015"/>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44411273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444112733"/>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r>
        <w:rPr>
          <w:rFonts w:eastAsia="Times New Roman"/>
          <w:color w:val="000000"/>
          <w:sz w:val="20"/>
          <w:szCs w:val="20"/>
        </w:rPr>
        <w:t>)</w:t>
      </w:r>
    </w:p>
    <w:p w:rsidR="00000000" w:rsidRDefault="00A270CC">
      <w:pPr>
        <w:divId w:val="1325746920"/>
        <w:rPr>
          <w:rFonts w:eastAsia="Times New Roman"/>
        </w:rPr>
      </w:pPr>
      <w:r>
        <w:rPr>
          <w:rFonts w:eastAsia="Times New Roman"/>
          <w:b/>
          <w:bCs/>
          <w:color w:val="000000"/>
          <w:sz w:val="20"/>
          <w:szCs w:val="20"/>
        </w:rPr>
        <w:t>Effects of Derivative Instrument</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following tables provide information on the effects of derivative instruments on the Condensed Consolidated Statements of Income and changes in AOCI for the three and nine months ende</w:t>
      </w:r>
      <w:r>
        <w:rPr>
          <w:rFonts w:eastAsia="Times New Roman"/>
          <w:color w:val="000000"/>
          <w:sz w:val="20"/>
          <w:szCs w:val="20"/>
        </w:rPr>
        <w:t>d June 30, 2020 and 2019</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2"/>
        <w:gridCol w:w="1928"/>
        <w:gridCol w:w="41"/>
        <w:gridCol w:w="36"/>
        <w:gridCol w:w="36"/>
        <w:gridCol w:w="36"/>
        <w:gridCol w:w="136"/>
        <w:gridCol w:w="724"/>
        <w:gridCol w:w="86"/>
        <w:gridCol w:w="36"/>
        <w:gridCol w:w="43"/>
        <w:gridCol w:w="36"/>
        <w:gridCol w:w="135"/>
        <w:gridCol w:w="723"/>
        <w:gridCol w:w="85"/>
        <w:gridCol w:w="36"/>
        <w:gridCol w:w="36"/>
        <w:gridCol w:w="36"/>
        <w:gridCol w:w="135"/>
        <w:gridCol w:w="399"/>
        <w:gridCol w:w="85"/>
        <w:gridCol w:w="36"/>
        <w:gridCol w:w="36"/>
        <w:gridCol w:w="36"/>
        <w:gridCol w:w="136"/>
        <w:gridCol w:w="464"/>
        <w:gridCol w:w="86"/>
        <w:gridCol w:w="37"/>
        <w:gridCol w:w="36"/>
        <w:gridCol w:w="36"/>
        <w:gridCol w:w="56"/>
        <w:gridCol w:w="1062"/>
        <w:gridCol w:w="56"/>
        <w:gridCol w:w="36"/>
        <w:gridCol w:w="36"/>
        <w:gridCol w:w="36"/>
        <w:gridCol w:w="36"/>
        <w:gridCol w:w="36"/>
        <w:gridCol w:w="36"/>
        <w:gridCol w:w="36"/>
        <w:gridCol w:w="36"/>
        <w:gridCol w:w="36"/>
        <w:gridCol w:w="340"/>
        <w:gridCol w:w="339"/>
        <w:gridCol w:w="339"/>
      </w:tblGrid>
      <w:tr w:rsidR="00000000">
        <w:trPr>
          <w:gridAfter w:val="12"/>
          <w:divId w:val="470876510"/>
          <w:jc w:val="center"/>
        </w:trPr>
        <w:tc>
          <w:tcPr>
            <w:tcW w:w="50" w:type="pct"/>
            <w:vAlign w:val="center"/>
            <w:hideMark/>
          </w:tcPr>
          <w:p w:rsidR="00000000" w:rsidRDefault="00A270CC">
            <w:pPr>
              <w:jc w:val="both"/>
              <w:rPr>
                <w:rFonts w:eastAsia="Times New Roman"/>
              </w:rPr>
            </w:pPr>
          </w:p>
        </w:tc>
        <w:tc>
          <w:tcPr>
            <w:tcW w:w="154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92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gridAfter w:val="12"/>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u w:val="single"/>
              </w:rPr>
              <w:t>Three Months Ended June 30,</w:t>
            </w:r>
            <w:r>
              <w:rPr>
                <w:rFonts w:eastAsia="Times New Roman"/>
                <w:b/>
                <w:bCs/>
                <w:color w:val="000000"/>
                <w:sz w:val="20"/>
                <w:szCs w:val="20"/>
                <w:u w:val="single"/>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47087651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 xml:space="preserve">Gain (Loss) </w:t>
            </w:r>
            <w:r>
              <w:rPr>
                <w:rFonts w:eastAsia="Times New Roman"/>
                <w:color w:val="000000"/>
                <w:sz w:val="20"/>
                <w:szCs w:val="20"/>
              </w:rPr>
              <w:br/>
              <w:t>Recognized in</w:t>
            </w:r>
            <w:r>
              <w:rPr>
                <w:rFonts w:eastAsia="Times New Roman"/>
                <w:color w:val="000000"/>
                <w:sz w:val="20"/>
                <w:szCs w:val="20"/>
              </w:rPr>
              <w:br/>
              <w:t>AOC</w:t>
            </w:r>
            <w:r>
              <w:rPr>
                <w:rFonts w:eastAsia="Times New Roman"/>
                <w:color w:val="000000"/>
                <w:sz w:val="20"/>
                <w:szCs w:val="20"/>
              </w:rPr>
              <w:t>I</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w:t>
            </w:r>
            <w:r>
              <w:rPr>
                <w:rFonts w:eastAsia="Times New Roman"/>
                <w:color w:val="000000"/>
                <w:sz w:val="20"/>
                <w:szCs w:val="20"/>
              </w:rPr>
              <w:t>e</w:t>
            </w: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Cash Flow Hedges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gridSpan w:val="3"/>
            <w:vMerge/>
            <w:vAlign w:val="center"/>
            <w:hideMark/>
          </w:tcPr>
          <w:p w:rsidR="00000000" w:rsidRDefault="00A270CC">
            <w:pPr>
              <w:rPr>
                <w:rFonts w:eastAsia="Times New Roman"/>
              </w:rPr>
            </w:pPr>
          </w:p>
        </w:tc>
      </w:tr>
      <w:tr w:rsidR="00000000">
        <w:trPr>
          <w:divId w:val="470876510"/>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rate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trHeight w:val="18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b/>
                <w:bCs/>
                <w:color w:val="000000"/>
                <w:sz w:val="20"/>
                <w:szCs w:val="20"/>
              </w:rPr>
              <w:t>Net Investment Hedges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trHeight w:val="18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Not Designated as Hedging Instruments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Location of Gain (Loss) Recognized in Incom</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non-operating (expense) income, ne</w:t>
            </w:r>
            <w:r>
              <w:rPr>
                <w:rFonts w:eastAsia="Times New Roman"/>
                <w:color w:val="000000"/>
                <w:sz w:val="20"/>
                <w:szCs w:val="20"/>
              </w:rPr>
              <w:t>t</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trHeight w:val="18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u w:val="single"/>
              </w:rPr>
              <w:t>Nine Months Ended June 30,</w:t>
            </w:r>
            <w:r>
              <w:rPr>
                <w:rFonts w:eastAsia="Times New Roman"/>
                <w:b/>
                <w:bCs/>
                <w:color w:val="000000"/>
                <w:sz w:val="20"/>
                <w:szCs w:val="20"/>
                <w:u w:val="single"/>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w:t>
            </w:r>
            <w:r>
              <w:rPr>
                <w:rFonts w:eastAsia="Times New Roman"/>
                <w:color w:val="000000"/>
                <w:sz w:val="20"/>
                <w:szCs w:val="20"/>
              </w:rPr>
              <w:t>I</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w:t>
            </w:r>
            <w:r>
              <w:rPr>
                <w:rFonts w:eastAsia="Times New Roman"/>
                <w:color w:val="000000"/>
                <w:sz w:val="20"/>
                <w:szCs w:val="20"/>
              </w:rPr>
              <w:t>e</w:t>
            </w: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Cash Flow Hedges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2020</w:t>
            </w:r>
            <w:r>
              <w:rPr>
                <w:rFonts w:eastAsia="Times New Roman"/>
                <w:color w:val="000000"/>
                <w:sz w:val="20"/>
                <w:szCs w:val="20"/>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gridSpan w:val="3"/>
            <w:vMerge/>
            <w:vAlign w:val="center"/>
            <w:hideMark/>
          </w:tcPr>
          <w:p w:rsidR="00000000" w:rsidRDefault="00A270CC">
            <w:pPr>
              <w:rPr>
                <w:rFonts w:eastAsia="Times New Roman"/>
              </w:rPr>
            </w:pPr>
          </w:p>
        </w:tc>
      </w:tr>
      <w:tr w:rsidR="00000000">
        <w:trPr>
          <w:divId w:val="470876510"/>
          <w:jc w:val="center"/>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Cross-currency contract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expense/other operating income, ne</w:t>
            </w:r>
            <w:r>
              <w:rPr>
                <w:rFonts w:eastAsia="Times New Roman"/>
                <w:color w:val="000000"/>
                <w:sz w:val="20"/>
                <w:szCs w:val="20"/>
              </w:rPr>
              <w:t>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rate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expense</w:t>
            </w:r>
            <w:r>
              <w:rPr>
                <w:rFonts w:eastAsia="Times New Roman"/>
                <w:color w:val="000000"/>
                <w:sz w:val="20"/>
                <w:szCs w:val="20"/>
              </w:rPr>
              <w:t xml:space="preserve">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trHeight w:val="18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Net Investment Hedges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trHeight w:val="18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Derivatives Not Designated as Hedging Instruments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Location of Gain (Loss) Recognized in Incom</w:t>
            </w:r>
            <w:r>
              <w:rPr>
                <w:rFonts w:eastAsia="Times New Roman"/>
                <w:color w:val="000000"/>
                <w:sz w:val="20"/>
                <w:szCs w:val="20"/>
              </w:rPr>
              <w:t>e</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tcBorders>
              <w:top w:val="single" w:sz="8" w:space="0" w:color="000000"/>
            </w:tcBorders>
            <w:shd w:val="clear" w:color="auto" w:fill="CCEEFF"/>
            <w:tcMar>
              <w:top w:w="30" w:type="dxa"/>
              <w:left w:w="135" w:type="dxa"/>
              <w:bottom w:w="30" w:type="dxa"/>
              <w:right w:w="20" w:type="dxa"/>
            </w:tcMar>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(112.2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(244.5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non-operating (expense) income, ne</w:t>
            </w:r>
            <w:r>
              <w:rPr>
                <w:rFonts w:eastAsia="Times New Roman"/>
                <w:color w:val="000000"/>
                <w:sz w:val="20"/>
                <w:szCs w:val="20"/>
              </w:rPr>
              <w:t>t</w:t>
            </w:r>
          </w:p>
        </w:tc>
        <w:tc>
          <w:tcPr>
            <w:tcW w:w="0" w:type="auto"/>
            <w:gridSpan w:val="3"/>
            <w:vAlign w:val="center"/>
            <w:hideMark/>
          </w:tcPr>
          <w:p w:rsidR="00000000" w:rsidRDefault="00A270CC">
            <w:pP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470876510"/>
          <w:jc w:val="center"/>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(101.9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(218.7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center"/>
        <w:rPr>
          <w:rFonts w:eastAsia="Times New Roman"/>
        </w:rPr>
      </w:pPr>
    </w:p>
    <w:p w:rsidR="00000000" w:rsidRDefault="00A270CC">
      <w:pPr>
        <w:jc w:val="both"/>
        <w:rPr>
          <w:rFonts w:eastAsia="Times New Roman"/>
        </w:rPr>
      </w:pPr>
      <w:r>
        <w:rPr>
          <w:rFonts w:eastAsia="Times New Roman"/>
          <w:color w:val="000000"/>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eastAsia="Times New Roman"/>
          <w:color w:val="000000"/>
          <w:sz w:val="20"/>
          <w:szCs w:val="20"/>
        </w:rPr>
        <w:t>o be used in the normal course of operating our business and the price in the contract is based on an underlying that is</w:t>
      </w:r>
      <w:r>
        <w:rPr>
          <w:rFonts w:eastAsia="Times New Roman"/>
          <w:color w:val="000000"/>
          <w:sz w:val="20"/>
          <w:szCs w:val="20"/>
        </w:rPr>
        <w:t xml:space="preserve"> </w:t>
      </w:r>
    </w:p>
    <w:p w:rsidR="00000000" w:rsidRDefault="00A270CC">
      <w:pPr>
        <w:jc w:val="center"/>
        <w:divId w:val="162550415"/>
        <w:rPr>
          <w:rFonts w:eastAsia="Times New Roman"/>
        </w:rPr>
      </w:pPr>
      <w:r>
        <w:rPr>
          <w:rFonts w:eastAsia="Times New Roman"/>
          <w:color w:val="000000"/>
          <w:sz w:val="20"/>
          <w:szCs w:val="20"/>
        </w:rPr>
        <w:t>3</w:t>
      </w:r>
      <w:r>
        <w:rPr>
          <w:rFonts w:eastAsia="Times New Roman"/>
          <w:color w:val="000000"/>
          <w:sz w:val="20"/>
          <w:szCs w:val="20"/>
        </w:rPr>
        <w:t>5</w:t>
      </w:r>
    </w:p>
    <w:p w:rsidR="00000000" w:rsidRDefault="00A270CC">
      <w:pPr>
        <w:rPr>
          <w:rFonts w:eastAsia="Times New Roman"/>
        </w:rPr>
      </w:pPr>
      <w:r>
        <w:rPr>
          <w:rFonts w:eastAsia="Times New Roman"/>
        </w:rPr>
        <w:pict>
          <v:rect id="_x0000_i1061" style="width:0;height:1.5pt" o:hralign="center" o:hrstd="t" o:hr="t" fillcolor="#a0a0a0" stroked="f"/>
        </w:pict>
      </w:r>
    </w:p>
    <w:p w:rsidR="00000000" w:rsidRDefault="00A270CC">
      <w:pPr>
        <w:divId w:val="133807896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539587195"/>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37145068"/>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539587195"/>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539587195"/>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jc w:val="both"/>
        <w:rPr>
          <w:rFonts w:eastAsia="Times New Roman"/>
        </w:rPr>
      </w:pPr>
      <w:r>
        <w:rPr>
          <w:rFonts w:eastAsia="Times New Roman"/>
          <w:color w:val="000000"/>
          <w:sz w:val="20"/>
          <w:szCs w:val="20"/>
        </w:rPr>
        <w:t>directly associated with the price of the product or service being purchased or</w:t>
      </w:r>
      <w:r>
        <w:rPr>
          <w:rFonts w:eastAsia="Times New Roman"/>
          <w:color w:val="000000"/>
          <w:sz w:val="20"/>
          <w:szCs w:val="20"/>
        </w:rPr>
        <w:t xml:space="preserve"> sold. These contracts include, among others, binding purchase orders, contracts that provide for the purchase and delivery, or sale, of energy products, and service contracts that require the counterparty to provide commodity storage, transportation or ca</w:t>
      </w:r>
      <w:r>
        <w:rPr>
          <w:rFonts w:eastAsia="Times New Roman"/>
          <w:color w:val="000000"/>
          <w:sz w:val="20"/>
          <w:szCs w:val="20"/>
        </w:rPr>
        <w:t>pacity service to meet our normal sales commitments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u w:val="single"/>
        </w:rPr>
        <w:t>Note 15 — Accumulated Other Comprehensive Income (Loss</w:t>
      </w:r>
      <w:r>
        <w:rPr>
          <w:rFonts w:eastAsia="Times New Roman"/>
          <w:b/>
          <w:bCs/>
          <w:color w:val="000000"/>
          <w:sz w:val="20"/>
          <w:szCs w:val="20"/>
          <w:u w:val="single"/>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tables below present changes in AOCI, net of tax, during the three and nine months ended June 30, 2020 and 2019</w:t>
      </w:r>
      <w:r>
        <w:rPr>
          <w:rFonts w:eastAsia="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39"/>
        <w:gridCol w:w="3958"/>
        <w:gridCol w:w="38"/>
        <w:gridCol w:w="36"/>
        <w:gridCol w:w="36"/>
        <w:gridCol w:w="36"/>
        <w:gridCol w:w="136"/>
        <w:gridCol w:w="919"/>
        <w:gridCol w:w="85"/>
        <w:gridCol w:w="36"/>
        <w:gridCol w:w="36"/>
        <w:gridCol w:w="36"/>
        <w:gridCol w:w="136"/>
        <w:gridCol w:w="739"/>
        <w:gridCol w:w="85"/>
        <w:gridCol w:w="36"/>
        <w:gridCol w:w="36"/>
        <w:gridCol w:w="36"/>
        <w:gridCol w:w="135"/>
        <w:gridCol w:w="639"/>
        <w:gridCol w:w="85"/>
        <w:gridCol w:w="36"/>
        <w:gridCol w:w="36"/>
        <w:gridCol w:w="36"/>
        <w:gridCol w:w="135"/>
        <w:gridCol w:w="599"/>
        <w:gridCol w:w="85"/>
      </w:tblGrid>
      <w:tr w:rsidR="00000000">
        <w:trPr>
          <w:divId w:val="586040017"/>
        </w:trPr>
        <w:tc>
          <w:tcPr>
            <w:tcW w:w="50" w:type="pct"/>
            <w:vAlign w:val="center"/>
            <w:hideMark/>
          </w:tcPr>
          <w:p w:rsidR="00000000" w:rsidRDefault="00A270CC">
            <w:pPr>
              <w:jc w:val="both"/>
              <w:rPr>
                <w:rFonts w:eastAsia="Times New Roman"/>
              </w:rPr>
            </w:pPr>
          </w:p>
        </w:tc>
        <w:tc>
          <w:tcPr>
            <w:tcW w:w="24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58604001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Three Months Ended June 30, 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Postretirement Benefit Plan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Foreign Currenc</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w:t>
            </w:r>
            <w:r>
              <w:rPr>
                <w:rFonts w:eastAsia="Times New Roman"/>
                <w:color w:val="000000"/>
                <w:sz w:val="18"/>
                <w:szCs w:val="18"/>
              </w:rPr>
              <w:t>l</w:t>
            </w:r>
          </w:p>
        </w:tc>
      </w:tr>
      <w:tr w:rsidR="00000000">
        <w:trPr>
          <w:divId w:val="58604001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March 31,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(229.7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(loss) income before 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Amounts reclassified from AOCI</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86040017"/>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(pre-tax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tax benefi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income (loss) attributable to UGI</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58604001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(123.6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Height w:val="28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8604001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Three Months Ended June 30, 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Postretirement Benefit Plan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Foreign Currenc</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w:t>
            </w:r>
            <w:r>
              <w:rPr>
                <w:rFonts w:eastAsia="Times New Roman"/>
                <w:color w:val="000000"/>
                <w:sz w:val="18"/>
                <w:szCs w:val="18"/>
              </w:rPr>
              <w:t>l</w:t>
            </w:r>
          </w:p>
        </w:tc>
      </w:tr>
      <w:tr w:rsidR="00000000">
        <w:trPr>
          <w:divId w:val="58604001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March 31,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(125.7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(160.8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(loss) income before 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Amounts reclassified from AOCI</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86040017"/>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(pre-tax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tax benefi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income (loss) attributable to UGI</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58604001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June 30,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(109.6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center"/>
        <w:divId w:val="1558710897"/>
        <w:rPr>
          <w:rFonts w:eastAsia="Times New Roman"/>
        </w:rPr>
      </w:pPr>
      <w:r>
        <w:rPr>
          <w:rFonts w:eastAsia="Times New Roman"/>
          <w:color w:val="000000"/>
          <w:sz w:val="20"/>
          <w:szCs w:val="20"/>
        </w:rPr>
        <w:t>3</w:t>
      </w:r>
      <w:r>
        <w:rPr>
          <w:rFonts w:eastAsia="Times New Roman"/>
          <w:color w:val="000000"/>
          <w:sz w:val="20"/>
          <w:szCs w:val="20"/>
        </w:rPr>
        <w:t>6</w:t>
      </w:r>
    </w:p>
    <w:p w:rsidR="00000000" w:rsidRDefault="00A270CC">
      <w:pPr>
        <w:rPr>
          <w:rFonts w:eastAsia="Times New Roman"/>
        </w:rPr>
      </w:pPr>
      <w:r>
        <w:rPr>
          <w:rFonts w:eastAsia="Times New Roman"/>
        </w:rPr>
        <w:pict>
          <v:rect id="_x0000_i1062" style="width:0;height:1.5pt" o:hralign="center" o:hrstd="t" o:hr="t" fillcolor="#a0a0a0" stroked="f"/>
        </w:pict>
      </w:r>
    </w:p>
    <w:p w:rsidR="00000000" w:rsidRDefault="00A270CC">
      <w:pPr>
        <w:divId w:val="160669551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658314505"/>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085223557"/>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658314505"/>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658314505"/>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3994"/>
        <w:gridCol w:w="39"/>
        <w:gridCol w:w="36"/>
        <w:gridCol w:w="36"/>
        <w:gridCol w:w="36"/>
        <w:gridCol w:w="136"/>
        <w:gridCol w:w="919"/>
        <w:gridCol w:w="85"/>
        <w:gridCol w:w="36"/>
        <w:gridCol w:w="36"/>
        <w:gridCol w:w="36"/>
        <w:gridCol w:w="136"/>
        <w:gridCol w:w="739"/>
        <w:gridCol w:w="85"/>
        <w:gridCol w:w="36"/>
        <w:gridCol w:w="36"/>
        <w:gridCol w:w="36"/>
        <w:gridCol w:w="135"/>
        <w:gridCol w:w="637"/>
        <w:gridCol w:w="85"/>
        <w:gridCol w:w="36"/>
        <w:gridCol w:w="36"/>
        <w:gridCol w:w="36"/>
        <w:gridCol w:w="135"/>
        <w:gridCol w:w="599"/>
        <w:gridCol w:w="85"/>
      </w:tblGrid>
      <w:tr w:rsidR="00000000">
        <w:trPr>
          <w:divId w:val="18246120"/>
          <w:jc w:val="center"/>
        </w:trPr>
        <w:tc>
          <w:tcPr>
            <w:tcW w:w="50" w:type="pct"/>
            <w:vAlign w:val="center"/>
            <w:hideMark/>
          </w:tcPr>
          <w:p w:rsidR="00000000" w:rsidRDefault="00A270CC">
            <w:pPr>
              <w:jc w:val="center"/>
              <w:rPr>
                <w:rFonts w:eastAsia="Times New Roman"/>
              </w:rPr>
            </w:pPr>
          </w:p>
        </w:tc>
        <w:tc>
          <w:tcPr>
            <w:tcW w:w="245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9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824612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Nine Months Ended June 30, 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Postretirement Benefit Plan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Foreign Currenc</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w:t>
            </w:r>
            <w:r>
              <w:rPr>
                <w:rFonts w:eastAsia="Times New Roman"/>
                <w:color w:val="000000"/>
                <w:sz w:val="18"/>
                <w:szCs w:val="18"/>
              </w:rPr>
              <w:t>l</w:t>
            </w:r>
          </w:p>
        </w:tc>
      </w:tr>
      <w:tr w:rsidR="00000000">
        <w:trPr>
          <w:divId w:val="1824612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xml:space="preserve">AOCI — </w:t>
            </w:r>
            <w:r>
              <w:rPr>
                <w:rFonts w:eastAsia="Times New Roman"/>
                <w:color w:val="000000"/>
                <w:sz w:val="20"/>
                <w:szCs w:val="20"/>
              </w:rPr>
              <w:t>September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(165.5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(216.6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(loss) income before 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Amounts reclassified from AOCI</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24612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(pre-tax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tax benefi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income (loss) attributable to UGI</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8246120"/>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24.0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(57.0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(123.6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trHeight w:val="280"/>
          <w:jc w:val="center"/>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246120"/>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Nine Months Ended June 30, 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Postretirement Benefit Plan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Foreign Currenc</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w:t>
            </w:r>
            <w:r>
              <w:rPr>
                <w:rFonts w:eastAsia="Times New Roman"/>
                <w:color w:val="000000"/>
                <w:sz w:val="18"/>
                <w:szCs w:val="18"/>
              </w:rPr>
              <w:t>l</w:t>
            </w:r>
          </w:p>
        </w:tc>
      </w:tr>
      <w:tr w:rsidR="00000000">
        <w:trPr>
          <w:divId w:val="1824612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September 30,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(110.4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loss before 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Amounts reclassified from AOCI</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824612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(pre-tax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tax benefi</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adjustments (after-tax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comprehensive income (loss) attributable to UGI</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Reclassification of stranded income tax effects related to TCJ</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8246120"/>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AOCI — June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13.1</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(109.6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jc w:val="both"/>
        <w:divId w:val="302198075"/>
        <w:rPr>
          <w:rFonts w:eastAsia="Times New Roman"/>
        </w:rPr>
      </w:pPr>
      <w:r>
        <w:rPr>
          <w:rFonts w:eastAsia="Times New Roman"/>
          <w:color w:val="000000"/>
          <w:sz w:val="20"/>
          <w:szCs w:val="20"/>
        </w:rPr>
        <w:t xml:space="preserve">For additional information </w:t>
      </w:r>
      <w:r>
        <w:rPr>
          <w:rFonts w:eastAsia="Times New Roman"/>
          <w:color w:val="000000"/>
          <w:sz w:val="20"/>
          <w:szCs w:val="20"/>
        </w:rPr>
        <w:t>on amounts reclassified from AOCI relating to derivative instruments, see Note 14</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u w:val="single"/>
        </w:rPr>
        <w:t>Note 16 — Segment Informatio</w:t>
      </w:r>
      <w:r>
        <w:rPr>
          <w:rFonts w:eastAsia="Times New Roman"/>
          <w:b/>
          <w:bCs/>
          <w:color w:val="000000"/>
          <w:sz w:val="20"/>
          <w:szCs w:val="20"/>
          <w:u w:val="single"/>
        </w:rPr>
        <w:t>n</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Our operations comprise four </w:t>
      </w:r>
      <w:r>
        <w:rPr>
          <w:rFonts w:eastAsia="Times New Roman"/>
          <w:color w:val="000000"/>
          <w:sz w:val="20"/>
          <w:szCs w:val="20"/>
        </w:rPr>
        <w:t>reportable segments generally based upon products or services sold, geographic location and regulatory environment: (1) AmeriGas Propane; (2) UGI International; (3) Midstream &amp; Marketing; and (4) UGI Utilities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During the fourth quarter of Fiscal 2019, t</w:t>
      </w:r>
      <w:r>
        <w:rPr>
          <w:rFonts w:eastAsia="Times New Roman"/>
          <w:color w:val="000000"/>
          <w:sz w:val="20"/>
          <w:szCs w:val="20"/>
        </w:rPr>
        <w:t>he measurement of segment profit used by our CODM was revised to exclude certain items that are now included in Corporate &amp; Other (in addition to net gains and losses on commodity and certain foreign currency derivative instruments not associated with curr</w:t>
      </w:r>
      <w:r>
        <w:rPr>
          <w:rFonts w:eastAsia="Times New Roman"/>
          <w:color w:val="000000"/>
          <w:sz w:val="20"/>
          <w:szCs w:val="20"/>
        </w:rPr>
        <w:t>ent-period transactions, which had previously been excluded). The revision to our segment profit measures aligns with the financial information used by our CODM in evaluating our reportable segments’ performance and allocating resources. Prior period amoun</w:t>
      </w:r>
      <w:r>
        <w:rPr>
          <w:rFonts w:eastAsia="Times New Roman"/>
          <w:color w:val="000000"/>
          <w:sz w:val="20"/>
          <w:szCs w:val="20"/>
        </w:rPr>
        <w:t>ts have been recast to reflect the change in segment measure of profit. Also during the fourth quarter of Fiscal 2019, principally as a result of the AmeriGas Merger and the CMG Acquisition and related transactions, our CODM began evaluating the performanc</w:t>
      </w:r>
      <w:r>
        <w:rPr>
          <w:rFonts w:eastAsia="Times New Roman"/>
          <w:color w:val="000000"/>
          <w:sz w:val="20"/>
          <w:szCs w:val="20"/>
        </w:rPr>
        <w:t>e of all of our reportable segments based upon earnings before interest expense and income taxes, excluding the items noted above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addition to the items described above, Corporate &amp; Other includes the net expenses of UGI’s captive general liability in</w:t>
      </w:r>
      <w:r>
        <w:rPr>
          <w:rFonts w:eastAsia="Times New Roman"/>
          <w:color w:val="000000"/>
          <w:sz w:val="20"/>
          <w:szCs w:val="20"/>
        </w:rPr>
        <w:t>surance company, UGI’s corporate headquarters facility and UGI’s unallocated corporate and general expenses as well as interest expense on UGI debt that is not allocated. Corporate &amp; Other assets principally comprise cash and cash equivalents of UGI and it</w:t>
      </w:r>
      <w:r>
        <w:rPr>
          <w:rFonts w:eastAsia="Times New Roman"/>
          <w:color w:val="000000"/>
          <w:sz w:val="20"/>
          <w:szCs w:val="20"/>
        </w:rPr>
        <w:t>s captive insurance company, and UGI corporate headquarters’ assets. The accounting policies of our reportable segments are the same as those described in Note 2, “Summary of Significant Accounting Policies,” in the Company’s 2019 Annual Report.</w:t>
      </w:r>
      <w:r>
        <w:rPr>
          <w:rFonts w:eastAsia="Times New Roman"/>
          <w:color w:val="000000"/>
          <w:sz w:val="20"/>
          <w:szCs w:val="20"/>
        </w:rPr>
        <w:t xml:space="preserve"> </w:t>
      </w:r>
    </w:p>
    <w:p w:rsidR="00000000" w:rsidRDefault="00A270CC">
      <w:pPr>
        <w:jc w:val="center"/>
        <w:divId w:val="1281302683"/>
        <w:rPr>
          <w:rFonts w:eastAsia="Times New Roman"/>
        </w:rPr>
      </w:pPr>
      <w:r>
        <w:rPr>
          <w:rFonts w:eastAsia="Times New Roman"/>
          <w:color w:val="000000"/>
          <w:sz w:val="20"/>
          <w:szCs w:val="20"/>
        </w:rPr>
        <w:t>3</w:t>
      </w:r>
      <w:r>
        <w:rPr>
          <w:rFonts w:eastAsia="Times New Roman"/>
          <w:color w:val="000000"/>
          <w:sz w:val="20"/>
          <w:szCs w:val="20"/>
        </w:rPr>
        <w:t>7</w:t>
      </w:r>
    </w:p>
    <w:p w:rsidR="00000000" w:rsidRDefault="00A270CC">
      <w:pPr>
        <w:rPr>
          <w:rFonts w:eastAsia="Times New Roman"/>
        </w:rPr>
      </w:pPr>
      <w:r>
        <w:rPr>
          <w:rFonts w:eastAsia="Times New Roman"/>
        </w:rPr>
        <w:pict>
          <v:rect id="_x0000_i1063" style="width:0;height:1.5pt" o:hralign="center" o:hrstd="t" o:hr="t" fillcolor="#a0a0a0" stroked="f"/>
        </w:pict>
      </w:r>
    </w:p>
    <w:p w:rsidR="00000000" w:rsidRDefault="00A270CC">
      <w:pPr>
        <w:divId w:val="108495647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263225369"/>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257058688"/>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1263225369"/>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1263225369"/>
        <w:rPr>
          <w:rFonts w:eastAsia="Times New Roman"/>
        </w:rPr>
      </w:pPr>
      <w:r>
        <w:rPr>
          <w:rFonts w:eastAsia="Times New Roman"/>
          <w:color w:val="000000"/>
          <w:sz w:val="20"/>
          <w:szCs w:val="20"/>
        </w:rPr>
        <w:t xml:space="preserve">(Currency in millions, except per share amounts and </w:t>
      </w:r>
      <w:r>
        <w:rPr>
          <w:rFonts w:eastAsia="Times New Roman"/>
          <w:color w:val="000000"/>
          <w:sz w:val="20"/>
          <w:szCs w:val="20"/>
        </w:rPr>
        <w:t>where indicated otherwise</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4"/>
        <w:gridCol w:w="100"/>
        <w:gridCol w:w="1578"/>
        <w:gridCol w:w="44"/>
        <w:gridCol w:w="36"/>
        <w:gridCol w:w="36"/>
        <w:gridCol w:w="36"/>
        <w:gridCol w:w="47"/>
        <w:gridCol w:w="68"/>
        <w:gridCol w:w="76"/>
        <w:gridCol w:w="144"/>
        <w:gridCol w:w="144"/>
        <w:gridCol w:w="144"/>
        <w:gridCol w:w="27"/>
        <w:gridCol w:w="75"/>
        <w:gridCol w:w="36"/>
        <w:gridCol w:w="6"/>
        <w:gridCol w:w="30"/>
        <w:gridCol w:w="36"/>
        <w:gridCol w:w="116"/>
        <w:gridCol w:w="319"/>
        <w:gridCol w:w="144"/>
        <w:gridCol w:w="144"/>
        <w:gridCol w:w="70"/>
        <w:gridCol w:w="74"/>
        <w:gridCol w:w="16"/>
        <w:gridCol w:w="75"/>
        <w:gridCol w:w="53"/>
        <w:gridCol w:w="25"/>
        <w:gridCol w:w="74"/>
        <w:gridCol w:w="45"/>
        <w:gridCol w:w="71"/>
        <w:gridCol w:w="537"/>
        <w:gridCol w:w="14"/>
        <w:gridCol w:w="66"/>
        <w:gridCol w:w="36"/>
        <w:gridCol w:w="36"/>
        <w:gridCol w:w="6"/>
        <w:gridCol w:w="30"/>
        <w:gridCol w:w="114"/>
        <w:gridCol w:w="2"/>
        <w:gridCol w:w="142"/>
        <w:gridCol w:w="144"/>
        <w:gridCol w:w="144"/>
        <w:gridCol w:w="241"/>
        <w:gridCol w:w="93"/>
        <w:gridCol w:w="72"/>
        <w:gridCol w:w="75"/>
        <w:gridCol w:w="68"/>
        <w:gridCol w:w="3"/>
        <w:gridCol w:w="116"/>
        <w:gridCol w:w="25"/>
        <w:gridCol w:w="144"/>
        <w:gridCol w:w="225"/>
        <w:gridCol w:w="144"/>
        <w:gridCol w:w="39"/>
        <w:gridCol w:w="78"/>
        <w:gridCol w:w="27"/>
        <w:gridCol w:w="48"/>
        <w:gridCol w:w="78"/>
        <w:gridCol w:w="74"/>
        <w:gridCol w:w="115"/>
        <w:gridCol w:w="282"/>
        <w:gridCol w:w="133"/>
        <w:gridCol w:w="11"/>
        <w:gridCol w:w="64"/>
        <w:gridCol w:w="36"/>
        <w:gridCol w:w="36"/>
        <w:gridCol w:w="8"/>
        <w:gridCol w:w="28"/>
        <w:gridCol w:w="116"/>
        <w:gridCol w:w="144"/>
        <w:gridCol w:w="144"/>
        <w:gridCol w:w="322"/>
        <w:gridCol w:w="88"/>
        <w:gridCol w:w="201"/>
        <w:gridCol w:w="144"/>
        <w:gridCol w:w="144"/>
        <w:gridCol w:w="144"/>
        <w:gridCol w:w="144"/>
        <w:gridCol w:w="144"/>
        <w:gridCol w:w="525"/>
        <w:gridCol w:w="144"/>
        <w:gridCol w:w="144"/>
        <w:gridCol w:w="144"/>
        <w:gridCol w:w="144"/>
        <w:gridCol w:w="144"/>
        <w:gridCol w:w="574"/>
        <w:gridCol w:w="144"/>
      </w:tblGrid>
      <w:tr w:rsidR="00000000">
        <w:trPr>
          <w:gridAfter w:val="14"/>
          <w:divId w:val="1212154491"/>
        </w:trPr>
        <w:tc>
          <w:tcPr>
            <w:tcW w:w="50" w:type="pct"/>
            <w:vAlign w:val="center"/>
            <w:hideMark/>
          </w:tcPr>
          <w:p w:rsidR="00000000" w:rsidRDefault="00A270CC">
            <w:pPr>
              <w:jc w:val="center"/>
              <w:rPr>
                <w:rFonts w:eastAsia="Times New Roman"/>
              </w:rPr>
            </w:pPr>
          </w:p>
        </w:tc>
        <w:tc>
          <w:tcPr>
            <w:tcW w:w="107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03" w:type="pct"/>
            <w:gridSpan w:val="5"/>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6" w:type="pct"/>
            <w:gridSpan w:val="4"/>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32"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136" w:type="pct"/>
            <w:vAlign w:val="center"/>
            <w:hideMark/>
          </w:tcPr>
          <w:p w:rsidR="00000000" w:rsidRDefault="00A270CC">
            <w:pPr>
              <w:rPr>
                <w:rFonts w:eastAsia="Times New Roman"/>
                <w:sz w:val="20"/>
                <w:szCs w:val="20"/>
              </w:rPr>
            </w:pPr>
          </w:p>
        </w:tc>
        <w:tc>
          <w:tcPr>
            <w:tcW w:w="5" w:type="pct"/>
            <w:gridSpan w:val="2"/>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61" w:type="pct"/>
            <w:gridSpan w:val="4"/>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gridSpan w:val="5"/>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7" w:type="pct"/>
            <w:gridSpan w:val="2"/>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7" w:type="pct"/>
            <w:gridSpan w:val="3"/>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gridAfter w:val="14"/>
          <w:divId w:val="1212154491"/>
        </w:trPr>
        <w:tc>
          <w:tcPr>
            <w:tcW w:w="0" w:type="auto"/>
            <w:gridSpan w:val="4"/>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8"/>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Elimination</w:t>
            </w:r>
            <w:r>
              <w:rPr>
                <w:rFonts w:eastAsia="Times New Roman"/>
                <w:color w:val="000000"/>
                <w:sz w:val="16"/>
                <w:szCs w:val="16"/>
              </w:rPr>
              <w:t>s</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AmeriGas</w:t>
            </w:r>
            <w:r>
              <w:rPr>
                <w:rFonts w:eastAsia="Times New Roman"/>
                <w:color w:val="000000"/>
                <w:sz w:val="16"/>
                <w:szCs w:val="16"/>
              </w:rPr>
              <w:br/>
              <w:t>Propan</w:t>
            </w:r>
            <w:r>
              <w:rPr>
                <w:rFonts w:eastAsia="Times New Roman"/>
                <w:color w:val="000000"/>
                <w:sz w:val="16"/>
                <w:szCs w:val="16"/>
              </w:rPr>
              <w:t>e</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 Internationa</w:t>
            </w:r>
            <w:r>
              <w:rPr>
                <w:rFonts w:eastAsia="Times New Roman"/>
                <w:color w:val="000000"/>
                <w:sz w:val="16"/>
                <w:szCs w:val="16"/>
              </w:rPr>
              <w:t>l</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Midstream &amp; Marketin</w:t>
            </w:r>
            <w:r>
              <w:rPr>
                <w:rFonts w:eastAsia="Times New Roman"/>
                <w:color w:val="000000"/>
                <w:sz w:val="16"/>
                <w:szCs w:val="16"/>
              </w:rPr>
              <w:t>g</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w:t>
            </w:r>
            <w:r>
              <w:rPr>
                <w:rFonts w:eastAsia="Times New Roman"/>
                <w:color w:val="000000"/>
                <w:sz w:val="16"/>
                <w:szCs w:val="16"/>
              </w:rPr>
              <w:br/>
              <w:t>Utilitie</w:t>
            </w:r>
            <w:r>
              <w:rPr>
                <w:rFonts w:eastAsia="Times New Roman"/>
                <w:color w:val="000000"/>
                <w:sz w:val="16"/>
                <w:szCs w:val="16"/>
              </w:rPr>
              <w:t>s</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r>
              <w:rPr>
                <w:rFonts w:eastAsia="Times New Roman"/>
                <w:color w:val="000000"/>
                <w:sz w:val="16"/>
                <w:szCs w:val="16"/>
              </w:rPr>
              <w:t>)</w:t>
            </w:r>
          </w:p>
        </w:tc>
      </w:tr>
      <w:tr w:rsidR="00A270CC">
        <w:trPr>
          <w:gridAfter w:val="14"/>
          <w:divId w:val="1212154491"/>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Revenues from external customer</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1,199.3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450.9</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371.5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201.7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171.6</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Intersegment revenue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(29.0</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Cost of sale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(28.2</w:t>
            </w:r>
            <w:r>
              <w:rPr>
                <w:rFonts w:eastAsia="Times New Roman"/>
                <w:color w:val="000000"/>
                <w:sz w:val="16"/>
                <w:szCs w:val="16"/>
              </w:rPr>
              <w:t>)</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177.9</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67.9</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(158.8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Operating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173.9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18.8</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(c</w:t>
            </w:r>
            <w:r>
              <w:rPr>
                <w:rFonts w:eastAsia="Times New Roman"/>
                <w:color w:val="000000"/>
                <w:sz w:val="16"/>
                <w:szCs w:val="16"/>
              </w:rPr>
              <w:t>)</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20.9</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103.8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21215449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(loss) from equity investee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w:t>
            </w:r>
            <w:r>
              <w:rPr>
                <w:rFonts w:eastAsia="Times New Roman"/>
                <w:color w:val="000000"/>
                <w:sz w:val="16"/>
                <w:szCs w:val="16"/>
              </w:rPr>
              <w:t>)</w:t>
            </w:r>
          </w:p>
        </w:tc>
        <w:tc>
          <w:tcPr>
            <w:tcW w:w="0" w:type="auto"/>
            <w:gridSpan w:val="3"/>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212154491"/>
        </w:trPr>
        <w:tc>
          <w:tcPr>
            <w:tcW w:w="0" w:type="auto"/>
            <w:gridSpan w:val="4"/>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8"/>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r>
      <w:tr w:rsidR="00000000">
        <w:trPr>
          <w:gridAfter w:val="14"/>
          <w:divId w:val="121215449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non-operating (expense) income,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21215449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Earnings before interest expense and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177.5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18.8</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20.9</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21215449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(80.8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(40.2</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(13.8</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7.4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(loss) before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96.7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(21.4</w:t>
            </w: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7.1</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89.6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Noncontrolling interests’ net los</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(0.6</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(0.6</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45.0</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26.6</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21215449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Capital expenditures (including the effects of accruals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30.0</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68.3</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50" w:type="pct"/>
            <w:gridSpan w:val="2"/>
            <w:vAlign w:val="center"/>
            <w:hideMark/>
          </w:tcPr>
          <w:p w:rsidR="00000000" w:rsidRDefault="00A270CC">
            <w:pPr>
              <w:jc w:val="both"/>
              <w:rPr>
                <w:rFonts w:eastAsia="Times New Roman"/>
              </w:rPr>
            </w:pPr>
          </w:p>
        </w:tc>
        <w:tc>
          <w:tcPr>
            <w:tcW w:w="1073" w:type="pct"/>
            <w:gridSpan w:val="6"/>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gridSpan w:val="4"/>
            <w:vAlign w:val="center"/>
            <w:hideMark/>
          </w:tcPr>
          <w:p w:rsidR="00000000" w:rsidRDefault="00A270CC">
            <w:pPr>
              <w:rPr>
                <w:rFonts w:eastAsia="Times New Roman"/>
                <w:sz w:val="20"/>
                <w:szCs w:val="20"/>
              </w:rPr>
            </w:pPr>
          </w:p>
        </w:tc>
        <w:tc>
          <w:tcPr>
            <w:tcW w:w="303" w:type="pct"/>
            <w:gridSpan w:val="4"/>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gridSpan w:val="2"/>
            <w:vAlign w:val="center"/>
            <w:hideMark/>
          </w:tcPr>
          <w:p w:rsidR="00000000" w:rsidRDefault="00A270CC">
            <w:pPr>
              <w:rPr>
                <w:rFonts w:eastAsia="Times New Roman"/>
                <w:sz w:val="20"/>
                <w:szCs w:val="20"/>
              </w:rPr>
            </w:pPr>
          </w:p>
        </w:tc>
        <w:tc>
          <w:tcPr>
            <w:tcW w:w="5" w:type="pct"/>
            <w:gridSpan w:val="3"/>
            <w:vAlign w:val="center"/>
            <w:hideMark/>
          </w:tcPr>
          <w:p w:rsidR="00000000" w:rsidRDefault="00A270CC">
            <w:pPr>
              <w:rPr>
                <w:rFonts w:eastAsia="Times New Roman"/>
                <w:sz w:val="20"/>
                <w:szCs w:val="20"/>
              </w:rPr>
            </w:pPr>
          </w:p>
        </w:tc>
        <w:tc>
          <w:tcPr>
            <w:tcW w:w="50" w:type="pct"/>
            <w:gridSpan w:val="3"/>
            <w:vAlign w:val="center"/>
            <w:hideMark/>
          </w:tcPr>
          <w:p w:rsidR="00000000" w:rsidRDefault="00A270CC">
            <w:pPr>
              <w:rPr>
                <w:rFonts w:eastAsia="Times New Roman"/>
                <w:sz w:val="20"/>
                <w:szCs w:val="20"/>
              </w:rPr>
            </w:pPr>
          </w:p>
        </w:tc>
        <w:tc>
          <w:tcPr>
            <w:tcW w:w="376" w:type="pct"/>
            <w:gridSpan w:val="3"/>
            <w:vAlign w:val="center"/>
            <w:hideMark/>
          </w:tcPr>
          <w:p w:rsidR="00000000" w:rsidRDefault="00A270CC">
            <w:pPr>
              <w:rPr>
                <w:rFonts w:eastAsia="Times New Roman"/>
                <w:sz w:val="20"/>
                <w:szCs w:val="20"/>
              </w:rPr>
            </w:pPr>
          </w:p>
        </w:tc>
        <w:tc>
          <w:tcPr>
            <w:tcW w:w="50" w:type="pct"/>
            <w:gridSpan w:val="4"/>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2" w:type="pct"/>
            <w:gridSpan w:val="5"/>
            <w:vAlign w:val="center"/>
            <w:hideMark/>
          </w:tcPr>
          <w:p w:rsidR="00000000" w:rsidRDefault="00A270CC">
            <w:pPr>
              <w:rPr>
                <w:rFonts w:eastAsia="Times New Roman"/>
                <w:sz w:val="20"/>
                <w:szCs w:val="20"/>
              </w:rPr>
            </w:pPr>
          </w:p>
        </w:tc>
        <w:tc>
          <w:tcPr>
            <w:tcW w:w="50" w:type="pct"/>
            <w:gridSpan w:val="3"/>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13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gridSpan w:val="3"/>
            <w:vAlign w:val="center"/>
            <w:hideMark/>
          </w:tcPr>
          <w:p w:rsidR="00000000" w:rsidRDefault="00A270CC">
            <w:pPr>
              <w:rPr>
                <w:rFonts w:eastAsia="Times New Roman"/>
                <w:sz w:val="20"/>
                <w:szCs w:val="20"/>
              </w:rPr>
            </w:pPr>
          </w:p>
        </w:tc>
        <w:tc>
          <w:tcPr>
            <w:tcW w:w="361" w:type="pct"/>
            <w:gridSpan w:val="5"/>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0" w:type="pct"/>
            <w:gridSpan w:val="4"/>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gridSpan w:val="3"/>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Three Months Ended June 30, 2019 (e</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6"/>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10"/>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Elimination</w:t>
            </w:r>
            <w:r>
              <w:rPr>
                <w:rFonts w:eastAsia="Times New Roman"/>
                <w:color w:val="000000"/>
                <w:sz w:val="16"/>
                <w:szCs w:val="16"/>
              </w:rPr>
              <w:t>s</w:t>
            </w:r>
          </w:p>
        </w:tc>
        <w:tc>
          <w:tcPr>
            <w:tcW w:w="0" w:type="auto"/>
            <w:gridSpan w:val="5"/>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AmeriGas</w:t>
            </w:r>
            <w:r>
              <w:rPr>
                <w:rFonts w:eastAsia="Times New Roman"/>
                <w:color w:val="000000"/>
                <w:sz w:val="16"/>
                <w:szCs w:val="16"/>
              </w:rPr>
              <w:br/>
              <w:t>Propan</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10"/>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 Internationa</w:t>
            </w:r>
            <w:r>
              <w:rPr>
                <w:rFonts w:eastAsia="Times New Roman"/>
                <w:color w:val="000000"/>
                <w:sz w:val="16"/>
                <w:szCs w:val="16"/>
              </w:rPr>
              <w:t>l</w:t>
            </w:r>
          </w:p>
        </w:tc>
        <w:tc>
          <w:tcPr>
            <w:tcW w:w="0" w:type="auto"/>
            <w:gridSpan w:val="7"/>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w:t>
            </w:r>
            <w:r>
              <w:rPr>
                <w:rFonts w:eastAsia="Times New Roman"/>
                <w:color w:val="000000"/>
                <w:sz w:val="16"/>
                <w:szCs w:val="16"/>
              </w:rPr>
              <w:br/>
              <w:t>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r>
              <w:rPr>
                <w:rFonts w:eastAsia="Times New Roman"/>
                <w:color w:val="000000"/>
                <w:sz w:val="16"/>
                <w:szCs w:val="16"/>
              </w:rPr>
              <w:t>)</w:t>
            </w: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Revenues from external customer</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1,363.7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478.7</w:t>
            </w:r>
            <w:r>
              <w:rPr>
                <w:rFonts w:eastAsia="Times New Roman"/>
                <w:color w:val="000000"/>
                <w:sz w:val="16"/>
                <w:szCs w:val="16"/>
              </w:rPr>
              <w:t> </w:t>
            </w:r>
          </w:p>
        </w:tc>
        <w:tc>
          <w:tcPr>
            <w:tcW w:w="0" w:type="auto"/>
            <w:gridSpan w:val="3"/>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486.6</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239.3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153.0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Intersegment revenue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(39.6</w:t>
            </w:r>
            <w:r>
              <w:rPr>
                <w:rFonts w:eastAsia="Times New Roman"/>
                <w:color w:val="000000"/>
                <w:sz w:val="16"/>
                <w:szCs w:val="16"/>
              </w:rPr>
              <w:t>)</w:t>
            </w:r>
          </w:p>
        </w:tc>
        <w:tc>
          <w:tcPr>
            <w:tcW w:w="0" w:type="auto"/>
            <w:gridSpan w:val="4"/>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Cost of sale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781.4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(38.5</w:t>
            </w:r>
            <w:r>
              <w:rPr>
                <w:rFonts w:eastAsia="Times New Roman"/>
                <w:color w:val="000000"/>
                <w:sz w:val="16"/>
                <w:szCs w:val="16"/>
              </w:rPr>
              <w:t>)</w:t>
            </w:r>
          </w:p>
        </w:tc>
        <w:tc>
          <w:tcPr>
            <w:tcW w:w="0" w:type="auto"/>
            <w:gridSpan w:val="4"/>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210.3</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278.5</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Operating income (loss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4"/>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27.5</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6"/>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from equity investee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6"/>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c>
          <w:tcPr>
            <w:tcW w:w="0" w:type="auto"/>
            <w:gridSpan w:val="10"/>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6"/>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9"/>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10"/>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non-operating income (expense),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Earnings (loss) before interest expense and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4"/>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28.7</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41.0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(60.5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(41.6</w:t>
            </w:r>
            <w:r>
              <w:rPr>
                <w:rFonts w:eastAsia="Times New Roman"/>
                <w:color w:val="000000"/>
                <w:sz w:val="16"/>
                <w:szCs w:val="16"/>
              </w:rPr>
              <w:t>)</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(5.8</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(Loss) income before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(48.7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4"/>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(42.8</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22.9</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Noncontrolling interests’ net los</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(44.6</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(40.7</w:t>
            </w: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109.9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w:t>
            </w:r>
          </w:p>
        </w:tc>
        <w:tc>
          <w:tcPr>
            <w:tcW w:w="0" w:type="auto"/>
            <w:gridSpan w:val="4"/>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44.0</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30.8</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Capital expenditures (including the effects of accruals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6"/>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4"/>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21.0</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24.1</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jc w:val="center"/>
        <w:divId w:val="1905332718"/>
        <w:rPr>
          <w:rFonts w:eastAsia="Times New Roman"/>
        </w:rPr>
      </w:pPr>
      <w:r>
        <w:rPr>
          <w:rFonts w:eastAsia="Times New Roman"/>
          <w:color w:val="000000"/>
          <w:sz w:val="20"/>
          <w:szCs w:val="20"/>
        </w:rPr>
        <w:t>3</w:t>
      </w:r>
      <w:r>
        <w:rPr>
          <w:rFonts w:eastAsia="Times New Roman"/>
          <w:color w:val="000000"/>
          <w:sz w:val="20"/>
          <w:szCs w:val="20"/>
        </w:rPr>
        <w:t>8</w:t>
      </w:r>
    </w:p>
    <w:p w:rsidR="00000000" w:rsidRDefault="00A270CC">
      <w:pPr>
        <w:rPr>
          <w:rFonts w:eastAsia="Times New Roman"/>
        </w:rPr>
      </w:pPr>
      <w:r>
        <w:rPr>
          <w:rFonts w:eastAsia="Times New Roman"/>
        </w:rPr>
        <w:pict>
          <v:rect id="_x0000_i1064" style="width:0;height:1.5pt" o:hralign="center" o:hrstd="t" o:hr="t" fillcolor="#a0a0a0" stroked="f"/>
        </w:pict>
      </w:r>
    </w:p>
    <w:p w:rsidR="00000000" w:rsidRDefault="00A270CC">
      <w:pPr>
        <w:divId w:val="429662867"/>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52409893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3794432"/>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524098934"/>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524098934"/>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4"/>
        <w:gridCol w:w="100"/>
        <w:gridCol w:w="1386"/>
        <w:gridCol w:w="44"/>
        <w:gridCol w:w="36"/>
        <w:gridCol w:w="36"/>
        <w:gridCol w:w="36"/>
        <w:gridCol w:w="115"/>
        <w:gridCol w:w="124"/>
        <w:gridCol w:w="144"/>
        <w:gridCol w:w="144"/>
        <w:gridCol w:w="144"/>
        <w:gridCol w:w="59"/>
        <w:gridCol w:w="75"/>
        <w:gridCol w:w="10"/>
        <w:gridCol w:w="26"/>
        <w:gridCol w:w="36"/>
        <w:gridCol w:w="36"/>
        <w:gridCol w:w="46"/>
        <w:gridCol w:w="70"/>
        <w:gridCol w:w="431"/>
        <w:gridCol w:w="144"/>
        <w:gridCol w:w="102"/>
        <w:gridCol w:w="42"/>
        <w:gridCol w:w="48"/>
        <w:gridCol w:w="75"/>
        <w:gridCol w:w="21"/>
        <w:gridCol w:w="57"/>
        <w:gridCol w:w="74"/>
        <w:gridCol w:w="13"/>
        <w:gridCol w:w="102"/>
        <w:gridCol w:w="42"/>
        <w:gridCol w:w="493"/>
        <w:gridCol w:w="75"/>
        <w:gridCol w:w="36"/>
        <w:gridCol w:w="18"/>
        <w:gridCol w:w="18"/>
        <w:gridCol w:w="36"/>
        <w:gridCol w:w="90"/>
        <w:gridCol w:w="26"/>
        <w:gridCol w:w="118"/>
        <w:gridCol w:w="144"/>
        <w:gridCol w:w="144"/>
        <w:gridCol w:w="144"/>
        <w:gridCol w:w="121"/>
        <w:gridCol w:w="93"/>
        <w:gridCol w:w="72"/>
        <w:gridCol w:w="75"/>
        <w:gridCol w:w="71"/>
        <w:gridCol w:w="116"/>
        <w:gridCol w:w="1"/>
        <w:gridCol w:w="144"/>
        <w:gridCol w:w="144"/>
        <w:gridCol w:w="225"/>
        <w:gridCol w:w="63"/>
        <w:gridCol w:w="78"/>
        <w:gridCol w:w="3"/>
        <w:gridCol w:w="72"/>
        <w:gridCol w:w="72"/>
        <w:gridCol w:w="6"/>
        <w:gridCol w:w="74"/>
        <w:gridCol w:w="115"/>
        <w:gridCol w:w="402"/>
        <w:gridCol w:w="133"/>
        <w:gridCol w:w="11"/>
        <w:gridCol w:w="64"/>
        <w:gridCol w:w="36"/>
        <w:gridCol w:w="36"/>
        <w:gridCol w:w="8"/>
        <w:gridCol w:w="28"/>
        <w:gridCol w:w="116"/>
        <w:gridCol w:w="144"/>
        <w:gridCol w:w="144"/>
        <w:gridCol w:w="322"/>
        <w:gridCol w:w="88"/>
        <w:gridCol w:w="201"/>
        <w:gridCol w:w="144"/>
        <w:gridCol w:w="144"/>
        <w:gridCol w:w="144"/>
        <w:gridCol w:w="144"/>
        <w:gridCol w:w="144"/>
        <w:gridCol w:w="525"/>
        <w:gridCol w:w="144"/>
        <w:gridCol w:w="144"/>
        <w:gridCol w:w="144"/>
        <w:gridCol w:w="144"/>
        <w:gridCol w:w="144"/>
        <w:gridCol w:w="574"/>
        <w:gridCol w:w="144"/>
      </w:tblGrid>
      <w:tr w:rsidR="00000000">
        <w:trPr>
          <w:gridAfter w:val="14"/>
          <w:divId w:val="1859272821"/>
        </w:trPr>
        <w:tc>
          <w:tcPr>
            <w:tcW w:w="50" w:type="pct"/>
            <w:vAlign w:val="center"/>
            <w:hideMark/>
          </w:tcPr>
          <w:p w:rsidR="00000000" w:rsidRDefault="00A270CC">
            <w:pPr>
              <w:jc w:val="center"/>
              <w:rPr>
                <w:rFonts w:eastAsia="Times New Roman"/>
              </w:rPr>
            </w:pPr>
          </w:p>
        </w:tc>
        <w:tc>
          <w:tcPr>
            <w:tcW w:w="107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03" w:type="pct"/>
            <w:gridSpan w:val="5"/>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gridSpan w:val="2"/>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76" w:type="pct"/>
            <w:gridSpan w:val="3"/>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32"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136"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61" w:type="pct"/>
            <w:gridSpan w:val="5"/>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gridSpan w:val="5"/>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7" w:type="pct"/>
            <w:gridSpan w:val="2"/>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7" w:type="pct"/>
            <w:gridSpan w:val="3"/>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gridAfter w:val="14"/>
          <w:divId w:val="1859272821"/>
        </w:trPr>
        <w:tc>
          <w:tcPr>
            <w:tcW w:w="0" w:type="auto"/>
            <w:gridSpan w:val="4"/>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Nine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Elimination</w:t>
            </w:r>
            <w:r>
              <w:rPr>
                <w:rFonts w:eastAsia="Times New Roman"/>
                <w:color w:val="000000"/>
                <w:sz w:val="16"/>
                <w:szCs w:val="16"/>
              </w:rPr>
              <w:t>s</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AmeriGas</w:t>
            </w:r>
            <w:r>
              <w:rPr>
                <w:rFonts w:eastAsia="Times New Roman"/>
                <w:color w:val="000000"/>
                <w:sz w:val="16"/>
                <w:szCs w:val="16"/>
              </w:rPr>
              <w:br/>
              <w:t>Propan</w:t>
            </w:r>
            <w:r>
              <w:rPr>
                <w:rFonts w:eastAsia="Times New Roman"/>
                <w:color w:val="000000"/>
                <w:sz w:val="16"/>
                <w:szCs w:val="16"/>
              </w:rPr>
              <w:t>e</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 Internationa</w:t>
            </w:r>
            <w:r>
              <w:rPr>
                <w:rFonts w:eastAsia="Times New Roman"/>
                <w:color w:val="000000"/>
                <w:sz w:val="16"/>
                <w:szCs w:val="16"/>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 xml:space="preserve">Midstream &amp; </w:t>
            </w:r>
            <w:r>
              <w:rPr>
                <w:rFonts w:eastAsia="Times New Roman"/>
                <w:color w:val="000000"/>
                <w:sz w:val="16"/>
                <w:szCs w:val="16"/>
              </w:rPr>
              <w:t>Marketin</w:t>
            </w:r>
            <w:r>
              <w:rPr>
                <w:rFonts w:eastAsia="Times New Roman"/>
                <w:color w:val="000000"/>
                <w:sz w:val="16"/>
                <w:szCs w:val="16"/>
              </w:rPr>
              <w:t>g</w:t>
            </w:r>
          </w:p>
        </w:tc>
        <w:tc>
          <w:tcPr>
            <w:tcW w:w="0" w:type="auto"/>
            <w:gridSpan w:val="5"/>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w:t>
            </w:r>
            <w:r>
              <w:rPr>
                <w:rFonts w:eastAsia="Times New Roman"/>
                <w:color w:val="000000"/>
                <w:sz w:val="16"/>
                <w:szCs w:val="16"/>
              </w:rPr>
              <w:br/>
              <w:t>Utilitie</w:t>
            </w:r>
            <w:r>
              <w:rPr>
                <w:rFonts w:eastAsia="Times New Roman"/>
                <w:color w:val="000000"/>
                <w:sz w:val="16"/>
                <w:szCs w:val="16"/>
              </w:rPr>
              <w:t>s</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r>
              <w:rPr>
                <w:rFonts w:eastAsia="Times New Roman"/>
                <w:color w:val="000000"/>
                <w:sz w:val="16"/>
                <w:szCs w:val="16"/>
              </w:rPr>
              <w:t>)</w:t>
            </w:r>
          </w:p>
        </w:tc>
      </w:tr>
      <w:tr w:rsidR="00A270CC">
        <w:trPr>
          <w:gridAfter w:val="14"/>
          <w:divId w:val="1859272821"/>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Revenues from external customer</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5,434.8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1,983.3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1,726.3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854.8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862.3</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Intersegment revenue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(203.2</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38.7</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Cost of sale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2,672.8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(200.7</w:t>
            </w:r>
            <w:r>
              <w:rPr>
                <w:rFonts w:eastAsia="Times New Roman"/>
                <w:color w:val="000000"/>
                <w:sz w:val="16"/>
                <w:szCs w:val="16"/>
              </w:rPr>
              <w:t>)</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792.7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968.6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721.7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403.5</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Operating income (loss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913.0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(c</w:t>
            </w:r>
            <w:r>
              <w:rPr>
                <w:rFonts w:eastAsia="Times New Roman"/>
                <w:color w:val="000000"/>
                <w:sz w:val="16"/>
                <w:szCs w:val="16"/>
              </w:rPr>
              <w:t>)</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139.2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228.7</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(75.2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85927282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from equity investee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w:t>
            </w:r>
            <w:r>
              <w:rPr>
                <w:rFonts w:eastAsia="Times New Roman"/>
                <w:color w:val="000000"/>
                <w:sz w:val="16"/>
                <w:szCs w:val="16"/>
              </w:rPr>
              <w:t>)</w:t>
            </w:r>
          </w:p>
        </w:tc>
        <w:tc>
          <w:tcPr>
            <w:tcW w:w="0" w:type="auto"/>
            <w:gridSpan w:val="3"/>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859272821"/>
        </w:trPr>
        <w:tc>
          <w:tcPr>
            <w:tcW w:w="0" w:type="auto"/>
            <w:gridSpan w:val="4"/>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8"/>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7"/>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c>
          <w:tcPr>
            <w:tcW w:w="0" w:type="auto"/>
            <w:gridSpan w:val="4"/>
            <w:vAlign w:val="center"/>
            <w:hideMark/>
          </w:tcPr>
          <w:p w:rsidR="00000000" w:rsidRDefault="00A270CC">
            <w:pPr>
              <w:rPr>
                <w:rFonts w:eastAsia="Times New Roman"/>
                <w:sz w:val="20"/>
                <w:szCs w:val="20"/>
              </w:rPr>
            </w:pPr>
          </w:p>
        </w:tc>
        <w:tc>
          <w:tcPr>
            <w:tcW w:w="0" w:type="auto"/>
            <w:gridSpan w:val="5"/>
            <w:vAlign w:val="center"/>
            <w:hideMark/>
          </w:tcPr>
          <w:p w:rsidR="00000000" w:rsidRDefault="00A270CC">
            <w:pPr>
              <w:rPr>
                <w:rFonts w:eastAsia="Times New Roman"/>
                <w:sz w:val="20"/>
                <w:szCs w:val="20"/>
              </w:rPr>
            </w:pPr>
          </w:p>
        </w:tc>
      </w:tr>
      <w:tr w:rsidR="00000000">
        <w:trPr>
          <w:gridAfter w:val="14"/>
          <w:divId w:val="185927282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non-operating (expense) income,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85927282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Earnings (loss) before interest expense and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931.3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390.1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246.7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161.2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228.5</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(95.3</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859272821"/>
        </w:trPr>
        <w:tc>
          <w:tcPr>
            <w:tcW w:w="0" w:type="auto"/>
            <w:gridSpan w:val="4"/>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(247.3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(123.9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(40.9</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(loss) before income taxe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684.0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266.2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223.5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126.8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187.6</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(120.2</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Noncontrolling interests’ net los</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(0.3</w:t>
            </w:r>
            <w:r>
              <w:rPr>
                <w:rFonts w:eastAsia="Times New Roman"/>
                <w:color w:val="000000"/>
                <w:sz w:val="16"/>
                <w:szCs w:val="16"/>
              </w:rPr>
              <w:t>)</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56.8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78.1</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Capital expenditures (including the effects of accruals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444.4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216.8</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rPr>
          <w:gridAfter w:val="14"/>
          <w:divId w:val="185927282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As of June 30, 202</w:t>
            </w:r>
            <w:r>
              <w:rPr>
                <w:rFonts w:eastAsia="Times New Roman"/>
                <w:b/>
                <w:bCs/>
                <w:color w:val="000000"/>
                <w:sz w:val="16"/>
                <w:szCs w:val="16"/>
              </w:rPr>
              <w:t>0</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7"/>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8"/>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7"/>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A270CC">
        <w:trPr>
          <w:gridAfter w:val="14"/>
          <w:divId w:val="185927282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13,843.4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364.7</w:t>
            </w:r>
            <w:r>
              <w:rPr>
                <w:rFonts w:eastAsia="Times New Roman"/>
                <w:color w:val="000000"/>
                <w:sz w:val="16"/>
                <w:szCs w:val="16"/>
              </w:rPr>
              <w:t>)</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4,311.0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3,208.1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2,740.2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3,708.5</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Short-term borrowing</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423.1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162.0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40.0</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A270CC">
        <w:trPr>
          <w:gridAfter w:val="14"/>
          <w:divId w:val="1859272821"/>
        </w:trPr>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Goodwil</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3,482.7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955.4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5"/>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342.2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182.1</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50" w:type="pct"/>
            <w:gridSpan w:val="2"/>
            <w:vAlign w:val="center"/>
            <w:hideMark/>
          </w:tcPr>
          <w:p w:rsidR="00000000" w:rsidRDefault="00A270CC">
            <w:pPr>
              <w:jc w:val="both"/>
              <w:rPr>
                <w:rFonts w:eastAsia="Times New Roman"/>
              </w:rPr>
            </w:pPr>
          </w:p>
        </w:tc>
        <w:tc>
          <w:tcPr>
            <w:tcW w:w="1073" w:type="pct"/>
            <w:gridSpan w:val="7"/>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gridSpan w:val="3"/>
            <w:vAlign w:val="center"/>
            <w:hideMark/>
          </w:tcPr>
          <w:p w:rsidR="00000000" w:rsidRDefault="00A270CC">
            <w:pPr>
              <w:rPr>
                <w:rFonts w:eastAsia="Times New Roman"/>
                <w:sz w:val="20"/>
                <w:szCs w:val="20"/>
              </w:rPr>
            </w:pPr>
          </w:p>
        </w:tc>
        <w:tc>
          <w:tcPr>
            <w:tcW w:w="50" w:type="pct"/>
            <w:gridSpan w:val="4"/>
            <w:vAlign w:val="center"/>
            <w:hideMark/>
          </w:tcPr>
          <w:p w:rsidR="00000000" w:rsidRDefault="00A270CC">
            <w:pPr>
              <w:rPr>
                <w:rFonts w:eastAsia="Times New Roman"/>
                <w:sz w:val="20"/>
                <w:szCs w:val="20"/>
              </w:rPr>
            </w:pPr>
          </w:p>
        </w:tc>
        <w:tc>
          <w:tcPr>
            <w:tcW w:w="30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gridSpan w:val="2"/>
            <w:vAlign w:val="center"/>
            <w:hideMark/>
          </w:tcPr>
          <w:p w:rsidR="00000000" w:rsidRDefault="00A270CC">
            <w:pPr>
              <w:rPr>
                <w:rFonts w:eastAsia="Times New Roman"/>
                <w:sz w:val="20"/>
                <w:szCs w:val="20"/>
              </w:rPr>
            </w:pPr>
          </w:p>
        </w:tc>
        <w:tc>
          <w:tcPr>
            <w:tcW w:w="26" w:type="pct"/>
            <w:gridSpan w:val="3"/>
            <w:vAlign w:val="center"/>
            <w:hideMark/>
          </w:tcPr>
          <w:p w:rsidR="00000000" w:rsidRDefault="00A270CC">
            <w:pPr>
              <w:rPr>
                <w:rFonts w:eastAsia="Times New Roman"/>
                <w:sz w:val="20"/>
                <w:szCs w:val="20"/>
              </w:rPr>
            </w:pPr>
          </w:p>
        </w:tc>
        <w:tc>
          <w:tcPr>
            <w:tcW w:w="5" w:type="pct"/>
            <w:gridSpan w:val="3"/>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76" w:type="pct"/>
            <w:gridSpan w:val="4"/>
            <w:vAlign w:val="center"/>
            <w:hideMark/>
          </w:tcPr>
          <w:p w:rsidR="00000000" w:rsidRDefault="00A270CC">
            <w:pPr>
              <w:rPr>
                <w:rFonts w:eastAsia="Times New Roman"/>
                <w:sz w:val="20"/>
                <w:szCs w:val="20"/>
              </w:rPr>
            </w:pPr>
          </w:p>
        </w:tc>
        <w:tc>
          <w:tcPr>
            <w:tcW w:w="50" w:type="pct"/>
            <w:gridSpan w:val="3"/>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2" w:type="pct"/>
            <w:gridSpan w:val="7"/>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136" w:type="pct"/>
            <w:vAlign w:val="center"/>
            <w:hideMark/>
          </w:tcPr>
          <w:p w:rsidR="00000000" w:rsidRDefault="00A270CC">
            <w:pPr>
              <w:rPr>
                <w:rFonts w:eastAsia="Times New Roman"/>
                <w:sz w:val="20"/>
                <w:szCs w:val="20"/>
              </w:rPr>
            </w:pPr>
          </w:p>
        </w:tc>
        <w:tc>
          <w:tcPr>
            <w:tcW w:w="5" w:type="pct"/>
            <w:gridSpan w:val="3"/>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361" w:type="pct"/>
            <w:gridSpan w:val="4"/>
            <w:vAlign w:val="center"/>
            <w:hideMark/>
          </w:tcPr>
          <w:p w:rsidR="00000000" w:rsidRDefault="00A270CC">
            <w:pPr>
              <w:rPr>
                <w:rFonts w:eastAsia="Times New Roman"/>
                <w:sz w:val="20"/>
                <w:szCs w:val="20"/>
              </w:rPr>
            </w:pPr>
          </w:p>
        </w:tc>
        <w:tc>
          <w:tcPr>
            <w:tcW w:w="50" w:type="pct"/>
            <w:gridSpan w:val="2"/>
            <w:vAlign w:val="center"/>
            <w:hideMark/>
          </w:tcPr>
          <w:p w:rsidR="00000000" w:rsidRDefault="00A270CC">
            <w:pPr>
              <w:rPr>
                <w:rFonts w:eastAsia="Times New Roman"/>
                <w:sz w:val="20"/>
                <w:szCs w:val="20"/>
              </w:rPr>
            </w:pPr>
          </w:p>
        </w:tc>
        <w:tc>
          <w:tcPr>
            <w:tcW w:w="50" w:type="pct"/>
            <w:gridSpan w:val="4"/>
            <w:vAlign w:val="center"/>
            <w:hideMark/>
          </w:tcPr>
          <w:p w:rsidR="00000000" w:rsidRDefault="00A270CC">
            <w:pPr>
              <w:rPr>
                <w:rFonts w:eastAsia="Times New Roman"/>
                <w:sz w:val="20"/>
                <w:szCs w:val="20"/>
              </w:rPr>
            </w:pPr>
          </w:p>
        </w:tc>
        <w:tc>
          <w:tcPr>
            <w:tcW w:w="53" w:type="pct"/>
            <w:gridSpan w:val="2"/>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9" w:type="pct"/>
            <w:gridSpan w:val="3"/>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1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4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Nine Months Ended June 30, 2019 (e</w:t>
            </w:r>
            <w:r>
              <w:rPr>
                <w:rFonts w:eastAsia="Times New Roman"/>
                <w:b/>
                <w:bCs/>
                <w:color w:val="000000"/>
                <w:sz w:val="16"/>
                <w:szCs w:val="16"/>
              </w:rPr>
              <w:t>)</w:t>
            </w:r>
          </w:p>
        </w:tc>
        <w:tc>
          <w:tcPr>
            <w:tcW w:w="0" w:type="auto"/>
            <w:gridSpan w:val="5"/>
            <w:tcMar>
              <w:top w:w="15" w:type="dxa"/>
              <w:left w:w="20" w:type="dxa"/>
              <w:bottom w:w="15" w:type="dxa"/>
              <w:right w:w="20" w:type="dxa"/>
            </w:tcMar>
            <w:vAlign w:val="bottom"/>
            <w:hideMark/>
          </w:tcPr>
          <w:p w:rsidR="00000000" w:rsidRDefault="00A270CC">
            <w:pPr>
              <w:rPr>
                <w:rFonts w:eastAsia="Times New Roman"/>
              </w:rPr>
            </w:pPr>
          </w:p>
        </w:tc>
        <w:tc>
          <w:tcPr>
            <w:tcW w:w="0" w:type="auto"/>
            <w:gridSpan w:val="7"/>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8"/>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Elimination</w:t>
            </w:r>
            <w:r>
              <w:rPr>
                <w:rFonts w:eastAsia="Times New Roman"/>
                <w:color w:val="000000"/>
                <w:sz w:val="16"/>
                <w:szCs w:val="16"/>
              </w:rPr>
              <w:t>s</w:t>
            </w:r>
          </w:p>
        </w:tc>
        <w:tc>
          <w:tcPr>
            <w:tcW w:w="0" w:type="auto"/>
            <w:gridSpan w:val="4"/>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AmeriGas</w:t>
            </w:r>
            <w:r>
              <w:rPr>
                <w:rFonts w:eastAsia="Times New Roman"/>
                <w:color w:val="000000"/>
                <w:sz w:val="16"/>
                <w:szCs w:val="16"/>
              </w:rPr>
              <w:br/>
              <w:t>Propan</w:t>
            </w:r>
            <w:r>
              <w:rPr>
                <w:rFonts w:eastAsia="Times New Roman"/>
                <w:color w:val="000000"/>
                <w:sz w:val="16"/>
                <w:szCs w:val="16"/>
              </w:rPr>
              <w:t>e</w:t>
            </w:r>
          </w:p>
        </w:tc>
        <w:tc>
          <w:tcPr>
            <w:tcW w:w="0" w:type="auto"/>
            <w:gridSpan w:val="5"/>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 Internationa</w:t>
            </w:r>
            <w:r>
              <w:rPr>
                <w:rFonts w:eastAsia="Times New Roman"/>
                <w:color w:val="000000"/>
                <w:sz w:val="16"/>
                <w:szCs w:val="16"/>
              </w:rPr>
              <w:t>l</w:t>
            </w:r>
          </w:p>
        </w:tc>
        <w:tc>
          <w:tcPr>
            <w:tcW w:w="0" w:type="auto"/>
            <w:gridSpan w:val="7"/>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Midstream &amp; Marketin</w:t>
            </w:r>
            <w:r>
              <w:rPr>
                <w:rFonts w:eastAsia="Times New Roman"/>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UGI</w:t>
            </w:r>
            <w:r>
              <w:rPr>
                <w:rFonts w:eastAsia="Times New Roman"/>
                <w:color w:val="000000"/>
                <w:sz w:val="16"/>
                <w:szCs w:val="16"/>
              </w:rPr>
              <w:br/>
              <w:t>Utilitie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r>
              <w:rPr>
                <w:rFonts w:eastAsia="Times New Roman"/>
                <w:color w:val="000000"/>
                <w:sz w:val="16"/>
                <w:szCs w:val="16"/>
              </w:rPr>
              <w:t>)</w:t>
            </w: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Revenues from external customer</w:t>
            </w:r>
            <w:r>
              <w:rPr>
                <w:rFonts w:eastAsia="Times New Roman"/>
                <w:color w:val="000000"/>
                <w:sz w:val="16"/>
                <w:szCs w:val="16"/>
              </w:rPr>
              <w:t>s</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6,170.0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2,270.5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1,980.5</w:t>
            </w: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1,055.4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856.4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Intersegment revenue</w:t>
            </w:r>
            <w:r>
              <w:rPr>
                <w:rFonts w:eastAsia="Times New Roman"/>
                <w:color w:val="000000"/>
                <w:sz w:val="16"/>
                <w:szCs w:val="16"/>
              </w:rPr>
              <w:t>s</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(276.0</w:t>
            </w:r>
            <w:r>
              <w:rPr>
                <w:rFonts w:eastAsia="Times New Roman"/>
                <w:color w:val="000000"/>
                <w:sz w:val="16"/>
                <w:szCs w:val="16"/>
              </w:rPr>
              <w:t>)</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59.8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Cost of sale</w:t>
            </w:r>
            <w:r>
              <w:rPr>
                <w:rFonts w:eastAsia="Times New Roman"/>
                <w:color w:val="000000"/>
                <w:sz w:val="16"/>
                <w:szCs w:val="16"/>
              </w:rPr>
              <w:t>s</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3,633.3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(272.9</w:t>
            </w:r>
            <w:r>
              <w:rPr>
                <w:rFonts w:eastAsia="Times New Roman"/>
                <w:color w:val="000000"/>
                <w:sz w:val="16"/>
                <w:szCs w:val="16"/>
              </w:rPr>
              <w:t>)</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(b</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1,024.0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1,171.8</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1,052.2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438.5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Operating income (loss</w:t>
            </w:r>
            <w:r>
              <w:rPr>
                <w:rFonts w:eastAsia="Times New Roman"/>
                <w:color w:val="000000"/>
                <w:sz w:val="16"/>
                <w:szCs w:val="16"/>
              </w:rPr>
              <w:t>)</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716.1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412.7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212.7</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(221.9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from equity investee</w:t>
            </w:r>
            <w:r>
              <w:rPr>
                <w:rFonts w:eastAsia="Times New Roman"/>
                <w:color w:val="000000"/>
                <w:sz w:val="16"/>
                <w:szCs w:val="16"/>
              </w:rPr>
              <w:t>s</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8"/>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Loss on extinguishments of deb</w:t>
            </w:r>
            <w:r>
              <w:rPr>
                <w:rFonts w:eastAsia="Times New Roman"/>
                <w:color w:val="000000"/>
                <w:sz w:val="16"/>
                <w:szCs w:val="16"/>
              </w:rPr>
              <w:t>t</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Other non-operating income, ne</w:t>
            </w:r>
            <w:r>
              <w:rPr>
                <w:rFonts w:eastAsia="Times New Roman"/>
                <w:color w:val="000000"/>
                <w:sz w:val="16"/>
                <w:szCs w:val="16"/>
              </w:rPr>
              <w:t>t</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5.0</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Earnings (loss) before interest expense and income taxe</w:t>
            </w:r>
            <w:r>
              <w:rPr>
                <w:rFonts w:eastAsia="Times New Roman"/>
                <w:color w:val="000000"/>
                <w:sz w:val="16"/>
                <w:szCs w:val="16"/>
              </w:rPr>
              <w:t>s</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732.2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412.7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217.8</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99.7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218.5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(216.7</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(181.7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8"/>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(126.2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(17.3</w:t>
            </w:r>
            <w:r>
              <w:rPr>
                <w:rFonts w:eastAsia="Times New Roman"/>
                <w:color w:val="000000"/>
                <w:sz w:val="16"/>
                <w:szCs w:val="16"/>
              </w:rPr>
              <w:t>)</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(36.3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16"/>
                <w:szCs w:val="16"/>
              </w:rPr>
              <w:t>Income (loss) before income taxe</w:t>
            </w:r>
            <w:r>
              <w:rPr>
                <w:rFonts w:eastAsia="Times New Roman"/>
                <w:color w:val="000000"/>
                <w:sz w:val="16"/>
                <w:szCs w:val="16"/>
              </w:rPr>
              <w:t>s</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550.5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286.5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200.5</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98.0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182.2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(216.9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Noncontrolling interests’ net income (loss</w:t>
            </w:r>
            <w:r>
              <w:rPr>
                <w:rFonts w:eastAsia="Times New Roman"/>
                <w:color w:val="000000"/>
                <w:sz w:val="16"/>
                <w:szCs w:val="16"/>
              </w:rPr>
              <w:t>)</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131.0</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180.1</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gridSpan w:val="2"/>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(49.3</w:t>
            </w: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330.0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(0.3</w:t>
            </w:r>
            <w:r>
              <w:rPr>
                <w:rFonts w:eastAsia="Times New Roman"/>
                <w:color w:val="000000"/>
                <w:sz w:val="16"/>
                <w:szCs w:val="16"/>
              </w:rPr>
              <w:t>)</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134.0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92.8</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68.0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Capital expenditures (including the effects of accruals</w:t>
            </w:r>
            <w:r>
              <w:rPr>
                <w:rFonts w:eastAsia="Times New Roman"/>
                <w:color w:val="000000"/>
                <w:sz w:val="16"/>
                <w:szCs w:val="16"/>
              </w:rPr>
              <w:t>)</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479.0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74.0</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232.6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6"/>
                <w:szCs w:val="16"/>
              </w:rPr>
              <w:t>As of June 30, 201</w:t>
            </w:r>
            <w:r>
              <w:rPr>
                <w:rFonts w:eastAsia="Times New Roman"/>
                <w:b/>
                <w:bCs/>
                <w:color w:val="000000"/>
                <w:sz w:val="16"/>
                <w:szCs w:val="16"/>
              </w:rPr>
              <w:t>9</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7"/>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8"/>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4"/>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8"/>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7"/>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Total asset</w:t>
            </w:r>
            <w:r>
              <w:rPr>
                <w:rFonts w:eastAsia="Times New Roman"/>
                <w:color w:val="000000"/>
                <w:sz w:val="16"/>
                <w:szCs w:val="16"/>
              </w:rPr>
              <w:t>s</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12,018.9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(116.9</w:t>
            </w:r>
            <w:r>
              <w:rPr>
                <w:rFonts w:eastAsia="Times New Roman"/>
                <w:color w:val="000000"/>
                <w:sz w:val="16"/>
                <w:szCs w:val="16"/>
              </w:rPr>
              <w:t>)</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3,789.4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3,168.0</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1,444.7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3,375.6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358.1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Short-term borrowing</w:t>
            </w:r>
            <w:r>
              <w:rPr>
                <w:rFonts w:eastAsia="Times New Roman"/>
                <w:color w:val="000000"/>
                <w:sz w:val="16"/>
                <w:szCs w:val="16"/>
              </w:rPr>
              <w:t>s</w:t>
            </w:r>
          </w:p>
        </w:tc>
        <w:tc>
          <w:tcPr>
            <w:tcW w:w="0" w:type="auto"/>
            <w:gridSpan w:val="5"/>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380.2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248.5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gridSpan w:val="2"/>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55.0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76.0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Goodwil</w:t>
            </w:r>
            <w:r>
              <w:rPr>
                <w:rFonts w:eastAsia="Times New Roman"/>
                <w:color w:val="000000"/>
                <w:sz w:val="16"/>
                <w:szCs w:val="16"/>
              </w:rPr>
              <w:t>l</w:t>
            </w:r>
          </w:p>
        </w:tc>
        <w:tc>
          <w:tcPr>
            <w:tcW w:w="0" w:type="auto"/>
            <w:gridSpan w:val="5"/>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4"/>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2"/>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3,159.1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8"/>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gridSpan w:val="3"/>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4"/>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7"/>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2,003.0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5"/>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4"/>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956.2</w:t>
            </w:r>
            <w:r>
              <w:rPr>
                <w:rFonts w:eastAsia="Times New Roman"/>
                <w:color w:val="000000"/>
                <w:sz w:val="16"/>
                <w:szCs w:val="16"/>
              </w:rPr>
              <w:t> </w:t>
            </w:r>
          </w:p>
        </w:tc>
        <w:tc>
          <w:tcPr>
            <w:tcW w:w="0" w:type="auto"/>
            <w:gridSpan w:val="2"/>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7"/>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gridSpan w:val="3"/>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182.1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6"/>
                <w:szCs w:val="16"/>
              </w:rPr>
              <w:t> </w:t>
            </w:r>
          </w:p>
        </w:tc>
      </w:tr>
    </w:tbl>
    <w:p w:rsidR="00000000" w:rsidRDefault="00A270CC">
      <w:pPr>
        <w:jc w:val="both"/>
        <w:rPr>
          <w:rFonts w:eastAsia="Times New Roman"/>
        </w:rPr>
      </w:pPr>
    </w:p>
    <w:p w:rsidR="00000000" w:rsidRDefault="00A270CC">
      <w:pPr>
        <w:jc w:val="center"/>
        <w:divId w:val="1776634695"/>
        <w:rPr>
          <w:rFonts w:eastAsia="Times New Roman"/>
        </w:rPr>
      </w:pPr>
      <w:r>
        <w:rPr>
          <w:rFonts w:eastAsia="Times New Roman"/>
          <w:color w:val="000000"/>
          <w:sz w:val="20"/>
          <w:szCs w:val="20"/>
        </w:rPr>
        <w:t>3</w:t>
      </w:r>
      <w:r>
        <w:rPr>
          <w:rFonts w:eastAsia="Times New Roman"/>
          <w:color w:val="000000"/>
          <w:sz w:val="20"/>
          <w:szCs w:val="20"/>
        </w:rPr>
        <w:t>9</w:t>
      </w:r>
    </w:p>
    <w:p w:rsidR="00000000" w:rsidRDefault="00A270CC">
      <w:pPr>
        <w:rPr>
          <w:rFonts w:eastAsia="Times New Roman"/>
        </w:rPr>
      </w:pPr>
      <w:r>
        <w:rPr>
          <w:rFonts w:eastAsia="Times New Roman"/>
        </w:rPr>
        <w:pict>
          <v:rect id="_x0000_i1065" style="width:0;height:1.5pt" o:hralign="center" o:hrstd="t" o:hr="t" fillcolor="#a0a0a0" stroked="f"/>
        </w:pict>
      </w:r>
    </w:p>
    <w:p w:rsidR="00000000" w:rsidRDefault="00A270CC">
      <w:pPr>
        <w:divId w:val="145917747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58796895"/>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813722749"/>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758796895"/>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758796895"/>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Corporate &amp; Other includes specific items attributable to our reportable segments that are not included in the segment profit measures used by our CODM in assessing our reportable segments’ performance or allocating reso</w:t>
      </w:r>
      <w:r>
        <w:rPr>
          <w:rFonts w:eastAsia="Times New Roman"/>
          <w:color w:val="000000"/>
          <w:sz w:val="20"/>
          <w:szCs w:val="20"/>
        </w:rPr>
        <w:t>urces. The following table presents such pre-tax gains (losses) which have been included in Corporate &amp; Other, and the reportable segments to which they relate, for the three and nine months ended June 30, 2020 and 2019</w:t>
      </w:r>
      <w:r>
        <w:rPr>
          <w:rFonts w:eastAsia="Times New Roman"/>
          <w:color w:val="000000"/>
          <w:sz w:val="20"/>
          <w:szCs w:val="20"/>
        </w:rPr>
        <w:t>:</w:t>
      </w:r>
    </w:p>
    <w:tbl>
      <w:tblPr>
        <w:tblW w:w="4824" w:type="pct"/>
        <w:tblCellMar>
          <w:top w:w="15" w:type="dxa"/>
          <w:left w:w="15" w:type="dxa"/>
          <w:bottom w:w="15" w:type="dxa"/>
          <w:right w:w="15" w:type="dxa"/>
        </w:tblCellMar>
        <w:tblLook w:val="04A0" w:firstRow="1" w:lastRow="0" w:firstColumn="1" w:lastColumn="0" w:noHBand="0" w:noVBand="1"/>
      </w:tblPr>
      <w:tblGrid>
        <w:gridCol w:w="39"/>
        <w:gridCol w:w="3323"/>
        <w:gridCol w:w="38"/>
        <w:gridCol w:w="36"/>
        <w:gridCol w:w="36"/>
        <w:gridCol w:w="36"/>
        <w:gridCol w:w="54"/>
        <w:gridCol w:w="1292"/>
        <w:gridCol w:w="54"/>
        <w:gridCol w:w="36"/>
        <w:gridCol w:w="36"/>
        <w:gridCol w:w="36"/>
        <w:gridCol w:w="126"/>
        <w:gridCol w:w="635"/>
        <w:gridCol w:w="80"/>
        <w:gridCol w:w="36"/>
        <w:gridCol w:w="36"/>
        <w:gridCol w:w="36"/>
        <w:gridCol w:w="126"/>
        <w:gridCol w:w="781"/>
        <w:gridCol w:w="89"/>
        <w:gridCol w:w="36"/>
        <w:gridCol w:w="36"/>
        <w:gridCol w:w="36"/>
        <w:gridCol w:w="126"/>
        <w:gridCol w:w="667"/>
        <w:gridCol w:w="80"/>
        <w:gridCol w:w="36"/>
        <w:gridCol w:w="36"/>
      </w:tblGrid>
      <w:tr w:rsidR="00000000">
        <w:trPr>
          <w:divId w:val="1697659394"/>
        </w:trPr>
        <w:tc>
          <w:tcPr>
            <w:tcW w:w="50" w:type="pct"/>
            <w:vAlign w:val="center"/>
            <w:hideMark/>
          </w:tcPr>
          <w:p w:rsidR="00000000" w:rsidRDefault="00A270CC">
            <w:pPr>
              <w:ind w:hanging="360"/>
              <w:jc w:val="both"/>
              <w:rPr>
                <w:rFonts w:eastAsia="Times New Roman"/>
              </w:rPr>
            </w:pPr>
          </w:p>
        </w:tc>
        <w:tc>
          <w:tcPr>
            <w:tcW w:w="21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9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Three Months Ended June 30, 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Location on Income Statemen</w:t>
            </w:r>
            <w:r>
              <w:rPr>
                <w:rFonts w:eastAsia="Times New Roman"/>
                <w:color w:val="000000"/>
                <w:sz w:val="18"/>
                <w:szCs w:val="18"/>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AmeriGas Propan</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UGI Internationa</w:t>
            </w:r>
            <w:r>
              <w:rPr>
                <w:rFonts w:eastAsia="Times New Roman"/>
                <w:color w:val="000000"/>
                <w:sz w:val="18"/>
                <w:szCs w:val="18"/>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Midstream &amp; Marketin</w:t>
            </w:r>
            <w:r>
              <w:rPr>
                <w:rFonts w:eastAsia="Times New Roman"/>
                <w:color w:val="000000"/>
                <w:sz w:val="18"/>
                <w:szCs w:val="18"/>
              </w:rPr>
              <w:t>g</w:t>
            </w:r>
          </w:p>
        </w:tc>
        <w:tc>
          <w:tcPr>
            <w:tcW w:w="0" w:type="auto"/>
            <w:vAlign w:val="center"/>
            <w:hideMark/>
          </w:tcPr>
          <w:p w:rsidR="00000000" w:rsidRDefault="00A270CC">
            <w:pPr>
              <w:jc w:val="center"/>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Net gains on commodity derivative instruments not associated with current-period transaction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Revenues / Cost of sale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77.8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Unrealized losses on foreign currency 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non-operating (expense) income,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Acquisition and integration expenses associated with the CMG Acquisitio</w:t>
            </w:r>
            <w:r>
              <w:rPr>
                <w:rFonts w:eastAsia="Times New Roman"/>
                <w:color w:val="000000"/>
                <w:sz w:val="18"/>
                <w:szCs w:val="18"/>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LPG business transformation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697659394"/>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Impairment of assets held-for-sal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Impairment of assets held-for-sal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r>
        <w:rPr>
          <w:rFonts w:eastAsia="Times New Roman"/>
          <w:color w:val="000000"/>
          <w:sz w:val="20"/>
          <w:szCs w:val="20"/>
        </w:rPr>
        <w:t>       </w:t>
      </w:r>
      <w:r>
        <w:rPr>
          <w:rFonts w:eastAsia="Times New Roman"/>
          <w:color w:val="000000"/>
          <w:sz w:val="20"/>
          <w:szCs w:val="20"/>
        </w:rPr>
        <w:t> </w:t>
      </w:r>
    </w:p>
    <w:tbl>
      <w:tblPr>
        <w:tblW w:w="4824" w:type="pct"/>
        <w:tblCellMar>
          <w:top w:w="15" w:type="dxa"/>
          <w:left w:w="15" w:type="dxa"/>
          <w:bottom w:w="15" w:type="dxa"/>
          <w:right w:w="15" w:type="dxa"/>
        </w:tblCellMar>
        <w:tblLook w:val="04A0" w:firstRow="1" w:lastRow="0" w:firstColumn="1" w:lastColumn="0" w:noHBand="0" w:noVBand="1"/>
      </w:tblPr>
      <w:tblGrid>
        <w:gridCol w:w="38"/>
        <w:gridCol w:w="3324"/>
        <w:gridCol w:w="37"/>
        <w:gridCol w:w="36"/>
        <w:gridCol w:w="36"/>
        <w:gridCol w:w="36"/>
        <w:gridCol w:w="54"/>
        <w:gridCol w:w="1293"/>
        <w:gridCol w:w="54"/>
        <w:gridCol w:w="36"/>
        <w:gridCol w:w="36"/>
        <w:gridCol w:w="36"/>
        <w:gridCol w:w="126"/>
        <w:gridCol w:w="635"/>
        <w:gridCol w:w="80"/>
        <w:gridCol w:w="36"/>
        <w:gridCol w:w="36"/>
        <w:gridCol w:w="36"/>
        <w:gridCol w:w="126"/>
        <w:gridCol w:w="781"/>
        <w:gridCol w:w="89"/>
        <w:gridCol w:w="36"/>
        <w:gridCol w:w="36"/>
        <w:gridCol w:w="36"/>
        <w:gridCol w:w="126"/>
        <w:gridCol w:w="667"/>
        <w:gridCol w:w="80"/>
        <w:gridCol w:w="36"/>
        <w:gridCol w:w="36"/>
      </w:tblGrid>
      <w:tr w:rsidR="00000000">
        <w:trPr>
          <w:divId w:val="102459937"/>
        </w:trPr>
        <w:tc>
          <w:tcPr>
            <w:tcW w:w="50" w:type="pct"/>
            <w:vAlign w:val="center"/>
            <w:hideMark/>
          </w:tcPr>
          <w:p w:rsidR="00000000" w:rsidRDefault="00A270CC">
            <w:pPr>
              <w:jc w:val="both"/>
              <w:rPr>
                <w:rFonts w:eastAsia="Times New Roman"/>
              </w:rPr>
            </w:pPr>
          </w:p>
        </w:tc>
        <w:tc>
          <w:tcPr>
            <w:tcW w:w="21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9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Three Months Ended June 30, 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Location on Income Statemen</w:t>
            </w:r>
            <w:r>
              <w:rPr>
                <w:rFonts w:eastAsia="Times New Roman"/>
                <w:color w:val="000000"/>
                <w:sz w:val="18"/>
                <w:szCs w:val="18"/>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AmeriGas Propan</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UGI Internationa</w:t>
            </w:r>
            <w:r>
              <w:rPr>
                <w:rFonts w:eastAsia="Times New Roman"/>
                <w:color w:val="000000"/>
                <w:sz w:val="18"/>
                <w:szCs w:val="18"/>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Midstream &amp; Marketin</w:t>
            </w:r>
            <w:r>
              <w:rPr>
                <w:rFonts w:eastAsia="Times New Roman"/>
                <w:color w:val="000000"/>
                <w:sz w:val="18"/>
                <w:szCs w:val="18"/>
              </w:rPr>
              <w:t>g</w:t>
            </w:r>
          </w:p>
        </w:tc>
        <w:tc>
          <w:tcPr>
            <w:tcW w:w="0" w:type="auto"/>
            <w:vAlign w:val="center"/>
            <w:hideMark/>
          </w:tcPr>
          <w:p w:rsidR="00000000" w:rsidRDefault="00A270CC">
            <w:pPr>
              <w:jc w:val="center"/>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Net losses on commodity derivative instruments not associated with current-period transaction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Revenues / Cost of sale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(3.4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(10.8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(24.5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Unrealized losses on foreign currency 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non-operating (expense) income,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AmeriGas Merger expense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other administrative expense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02459937"/>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tbl>
      <w:tblPr>
        <w:tblW w:w="4824" w:type="pct"/>
        <w:tblCellMar>
          <w:top w:w="15" w:type="dxa"/>
          <w:left w:w="15" w:type="dxa"/>
          <w:bottom w:w="15" w:type="dxa"/>
          <w:right w:w="15" w:type="dxa"/>
        </w:tblCellMar>
        <w:tblLook w:val="04A0" w:firstRow="1" w:lastRow="0" w:firstColumn="1" w:lastColumn="0" w:noHBand="0" w:noVBand="1"/>
      </w:tblPr>
      <w:tblGrid>
        <w:gridCol w:w="39"/>
        <w:gridCol w:w="3323"/>
        <w:gridCol w:w="38"/>
        <w:gridCol w:w="36"/>
        <w:gridCol w:w="36"/>
        <w:gridCol w:w="36"/>
        <w:gridCol w:w="54"/>
        <w:gridCol w:w="1292"/>
        <w:gridCol w:w="54"/>
        <w:gridCol w:w="36"/>
        <w:gridCol w:w="36"/>
        <w:gridCol w:w="36"/>
        <w:gridCol w:w="126"/>
        <w:gridCol w:w="635"/>
        <w:gridCol w:w="80"/>
        <w:gridCol w:w="36"/>
        <w:gridCol w:w="36"/>
        <w:gridCol w:w="36"/>
        <w:gridCol w:w="126"/>
        <w:gridCol w:w="781"/>
        <w:gridCol w:w="89"/>
        <w:gridCol w:w="36"/>
        <w:gridCol w:w="36"/>
        <w:gridCol w:w="36"/>
        <w:gridCol w:w="126"/>
        <w:gridCol w:w="667"/>
        <w:gridCol w:w="80"/>
        <w:gridCol w:w="36"/>
        <w:gridCol w:w="36"/>
      </w:tblGrid>
      <w:tr w:rsidR="00000000">
        <w:trPr>
          <w:divId w:val="1257127995"/>
        </w:trPr>
        <w:tc>
          <w:tcPr>
            <w:tcW w:w="50" w:type="pct"/>
            <w:vAlign w:val="center"/>
            <w:hideMark/>
          </w:tcPr>
          <w:p w:rsidR="00000000" w:rsidRDefault="00A270CC">
            <w:pPr>
              <w:jc w:val="both"/>
              <w:rPr>
                <w:rFonts w:eastAsia="Times New Roman"/>
              </w:rPr>
            </w:pPr>
          </w:p>
        </w:tc>
        <w:tc>
          <w:tcPr>
            <w:tcW w:w="21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9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Nine Months Ended June 30, 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Location on Income Statemen</w:t>
            </w:r>
            <w:r>
              <w:rPr>
                <w:rFonts w:eastAsia="Times New Roman"/>
                <w:color w:val="000000"/>
                <w:sz w:val="18"/>
                <w:szCs w:val="18"/>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AmeriGas Propan</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UGI Internationa</w:t>
            </w:r>
            <w:r>
              <w:rPr>
                <w:rFonts w:eastAsia="Times New Roman"/>
                <w:color w:val="000000"/>
                <w:sz w:val="18"/>
                <w:szCs w:val="18"/>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Midstream &amp; Marketin</w:t>
            </w:r>
            <w:r>
              <w:rPr>
                <w:rFonts w:eastAsia="Times New Roman"/>
                <w:color w:val="000000"/>
                <w:sz w:val="18"/>
                <w:szCs w:val="18"/>
              </w:rPr>
              <w:t>g</w:t>
            </w:r>
          </w:p>
        </w:tc>
        <w:tc>
          <w:tcPr>
            <w:tcW w:w="0" w:type="auto"/>
            <w:vAlign w:val="center"/>
            <w:hideMark/>
          </w:tcPr>
          <w:p w:rsidR="00000000" w:rsidRDefault="00A270CC">
            <w:pPr>
              <w:jc w:val="center"/>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Net gains (losses) on commodity derivative instruments not associated with current-period transaction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Revenues / Cost of sale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48.2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(53.8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Unrealized losses on foreign currency 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non-operating (expense) income,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(20.1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Acquisition and integration expenses associated with the CMG Acquisitio</w:t>
            </w:r>
            <w:r>
              <w:rPr>
                <w:rFonts w:eastAsia="Times New Roman"/>
                <w:color w:val="000000"/>
                <w:sz w:val="18"/>
                <w:szCs w:val="18"/>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LPG business transformation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(15.9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1257127995"/>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Impairment of assets held-for-sal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Impairment of assets held-for-sal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(51.6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r>
        <w:rPr>
          <w:rFonts w:eastAsia="Times New Roman"/>
          <w:color w:val="000000"/>
          <w:sz w:val="20"/>
          <w:szCs w:val="20"/>
        </w:rPr>
        <w:t>       </w:t>
      </w:r>
      <w:r>
        <w:rPr>
          <w:rFonts w:eastAsia="Times New Roman"/>
          <w:color w:val="000000"/>
          <w:sz w:val="20"/>
          <w:szCs w:val="20"/>
        </w:rPr>
        <w:t> </w:t>
      </w:r>
    </w:p>
    <w:tbl>
      <w:tblPr>
        <w:tblW w:w="4824" w:type="pct"/>
        <w:tblCellMar>
          <w:top w:w="15" w:type="dxa"/>
          <w:left w:w="15" w:type="dxa"/>
          <w:bottom w:w="15" w:type="dxa"/>
          <w:right w:w="15" w:type="dxa"/>
        </w:tblCellMar>
        <w:tblLook w:val="04A0" w:firstRow="1" w:lastRow="0" w:firstColumn="1" w:lastColumn="0" w:noHBand="0" w:noVBand="1"/>
      </w:tblPr>
      <w:tblGrid>
        <w:gridCol w:w="39"/>
        <w:gridCol w:w="3319"/>
        <w:gridCol w:w="38"/>
        <w:gridCol w:w="36"/>
        <w:gridCol w:w="36"/>
        <w:gridCol w:w="36"/>
        <w:gridCol w:w="62"/>
        <w:gridCol w:w="1280"/>
        <w:gridCol w:w="62"/>
        <w:gridCol w:w="36"/>
        <w:gridCol w:w="36"/>
        <w:gridCol w:w="36"/>
        <w:gridCol w:w="126"/>
        <w:gridCol w:w="635"/>
        <w:gridCol w:w="80"/>
        <w:gridCol w:w="36"/>
        <w:gridCol w:w="36"/>
        <w:gridCol w:w="36"/>
        <w:gridCol w:w="126"/>
        <w:gridCol w:w="781"/>
        <w:gridCol w:w="89"/>
        <w:gridCol w:w="36"/>
        <w:gridCol w:w="36"/>
        <w:gridCol w:w="36"/>
        <w:gridCol w:w="126"/>
        <w:gridCol w:w="667"/>
        <w:gridCol w:w="80"/>
        <w:gridCol w:w="36"/>
        <w:gridCol w:w="36"/>
      </w:tblGrid>
      <w:tr w:rsidR="00000000">
        <w:trPr>
          <w:divId w:val="2016610836"/>
        </w:trPr>
        <w:tc>
          <w:tcPr>
            <w:tcW w:w="50" w:type="pct"/>
            <w:vAlign w:val="center"/>
            <w:hideMark/>
          </w:tcPr>
          <w:p w:rsidR="00000000" w:rsidRDefault="00A270CC">
            <w:pPr>
              <w:jc w:val="both"/>
              <w:rPr>
                <w:rFonts w:eastAsia="Times New Roman"/>
              </w:rPr>
            </w:pPr>
          </w:p>
        </w:tc>
        <w:tc>
          <w:tcPr>
            <w:tcW w:w="214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89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7"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18"/>
                <w:szCs w:val="18"/>
              </w:rPr>
              <w:t>Nine Months Ended June 30, 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Location on Income Statemen</w:t>
            </w:r>
            <w:r>
              <w:rPr>
                <w:rFonts w:eastAsia="Times New Roman"/>
                <w:color w:val="000000"/>
                <w:sz w:val="18"/>
                <w:szCs w:val="18"/>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AmeriGas Propan</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UGI Internationa</w:t>
            </w:r>
            <w:r>
              <w:rPr>
                <w:rFonts w:eastAsia="Times New Roman"/>
                <w:color w:val="000000"/>
                <w:sz w:val="18"/>
                <w:szCs w:val="18"/>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Midstream &amp; Marketin</w:t>
            </w:r>
            <w:r>
              <w:rPr>
                <w:rFonts w:eastAsia="Times New Roman"/>
                <w:color w:val="000000"/>
                <w:sz w:val="18"/>
                <w:szCs w:val="18"/>
              </w:rPr>
              <w:t>g</w:t>
            </w:r>
          </w:p>
        </w:tc>
        <w:tc>
          <w:tcPr>
            <w:tcW w:w="0" w:type="auto"/>
            <w:vAlign w:val="center"/>
            <w:hideMark/>
          </w:tcPr>
          <w:p w:rsidR="00000000" w:rsidRDefault="00A270CC">
            <w:pPr>
              <w:jc w:val="center"/>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Net losses on commodity derivative instruments not associated with current-period transaction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Revenues / Cost of sale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(64.8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(136.7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(11.1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Unrealized gains on foreign currency derivative instrument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Other non-operating (expense) income,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11.9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Loss on extinguishments of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Loss on extinguishments of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AmeriGas Merger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(2.7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18"/>
                <w:szCs w:val="18"/>
              </w:rPr>
              <w:t> </w:t>
            </w:r>
          </w:p>
        </w:tc>
        <w:tc>
          <w:tcPr>
            <w:tcW w:w="0" w:type="auto"/>
            <w:vAlign w:val="center"/>
            <w:hideMark/>
          </w:tcPr>
          <w:p w:rsidR="00000000" w:rsidRDefault="00A270CC">
            <w:pPr>
              <w:jc w:val="right"/>
              <w:rPr>
                <w:rFonts w:eastAsia="Times New Roman"/>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2016610836"/>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divId w:val="736587112"/>
        <w:rPr>
          <w:rFonts w:eastAsia="Times New Roman"/>
        </w:rPr>
      </w:pPr>
    </w:p>
    <w:p w:rsidR="00000000" w:rsidRDefault="00A270CC">
      <w:pPr>
        <w:ind w:hanging="360"/>
        <w:jc w:val="both"/>
        <w:divId w:val="1419255674"/>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Represents the elimination of intersegment transactions principally among Midstream &amp; Marketing, UGI Utilities and AmeriGas Propane</w:t>
      </w:r>
      <w:r>
        <w:rPr>
          <w:rFonts w:eastAsia="Times New Roman"/>
          <w:color w:val="000000"/>
          <w:sz w:val="20"/>
          <w:szCs w:val="20"/>
        </w:rPr>
        <w:t>.</w:t>
      </w:r>
    </w:p>
    <w:p w:rsidR="00000000" w:rsidRDefault="00A270CC">
      <w:pPr>
        <w:jc w:val="center"/>
        <w:divId w:val="432894267"/>
        <w:rPr>
          <w:rFonts w:eastAsia="Times New Roman"/>
        </w:rPr>
      </w:pPr>
      <w:r>
        <w:rPr>
          <w:rFonts w:eastAsia="Times New Roman"/>
          <w:color w:val="000000"/>
          <w:sz w:val="20"/>
          <w:szCs w:val="20"/>
        </w:rPr>
        <w:t>4</w:t>
      </w:r>
      <w:r>
        <w:rPr>
          <w:rFonts w:eastAsia="Times New Roman"/>
          <w:color w:val="000000"/>
          <w:sz w:val="20"/>
          <w:szCs w:val="20"/>
        </w:rPr>
        <w:t>0</w:t>
      </w:r>
    </w:p>
    <w:p w:rsidR="00000000" w:rsidRDefault="00A270CC">
      <w:pPr>
        <w:rPr>
          <w:rFonts w:eastAsia="Times New Roman"/>
        </w:rPr>
      </w:pPr>
      <w:r>
        <w:rPr>
          <w:rFonts w:eastAsia="Times New Roman"/>
        </w:rPr>
        <w:pict>
          <v:rect id="_x0000_i1066" style="width:0;height:1.5pt" o:hralign="center" o:hrstd="t" o:hr="t" fillcolor="#a0a0a0" stroked="f"/>
        </w:pict>
      </w:r>
    </w:p>
    <w:p w:rsidR="00000000" w:rsidRDefault="00A270CC">
      <w:pPr>
        <w:divId w:val="1348289202"/>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7910538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divId w:val="1193767051"/>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A270CC">
      <w:pPr>
        <w:jc w:val="center"/>
        <w:divId w:val="779105384"/>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A270CC">
      <w:pPr>
        <w:jc w:val="center"/>
        <w:divId w:val="779105384"/>
        <w:rPr>
          <w:rFonts w:eastAsia="Times New Roman"/>
        </w:rPr>
      </w:pPr>
      <w:r>
        <w:rPr>
          <w:rFonts w:eastAsia="Times New Roman"/>
          <w:color w:val="000000"/>
          <w:sz w:val="20"/>
          <w:szCs w:val="20"/>
        </w:rPr>
        <w:t>(Currency in millions, except per share amounts and where indicated otherwise</w:t>
      </w:r>
      <w:r>
        <w:rPr>
          <w:rFonts w:eastAsia="Times New Roman"/>
          <w:color w:val="000000"/>
          <w:sz w:val="20"/>
          <w:szCs w:val="20"/>
        </w:rPr>
        <w:t>)</w:t>
      </w:r>
    </w:p>
    <w:p w:rsidR="00000000" w:rsidRDefault="00A270CC">
      <w:pPr>
        <w:ind w:hanging="360"/>
        <w:jc w:val="both"/>
        <w:divId w:val="538595302"/>
        <w:rPr>
          <w:rFonts w:eastAsia="Times New Roman"/>
        </w:rPr>
      </w:pPr>
      <w:r>
        <w:rPr>
          <w:rFonts w:eastAsia="Times New Roman"/>
          <w:color w:val="000000"/>
          <w:sz w:val="20"/>
          <w:szCs w:val="20"/>
        </w:rPr>
        <w:t>(c</w:t>
      </w:r>
      <w:r>
        <w:rPr>
          <w:rFonts w:eastAsia="Times New Roman"/>
          <w:color w:val="000000"/>
          <w:sz w:val="20"/>
          <w:szCs w:val="20"/>
        </w:rPr>
        <w:t>)</w:t>
      </w:r>
      <w:r>
        <w:rPr>
          <w:rFonts w:eastAsia="Times New Roman"/>
          <w:color w:val="000000"/>
          <w:sz w:val="20"/>
          <w:szCs w:val="20"/>
        </w:rPr>
        <w:t>Beginning October 1, 2019, UGI International is allocated a portion of indirect corporate expenses. Prior to October 1, 2019, these expenses were billed to its parent company, which is included in Corporate &amp; Other</w:t>
      </w:r>
      <w:r>
        <w:rPr>
          <w:rFonts w:eastAsia="Times New Roman"/>
          <w:color w:val="000000"/>
          <w:sz w:val="20"/>
          <w:szCs w:val="20"/>
        </w:rPr>
        <w:t>.</w:t>
      </w:r>
    </w:p>
    <w:p w:rsidR="00000000" w:rsidRDefault="00A270CC">
      <w:pPr>
        <w:ind w:hanging="360"/>
        <w:jc w:val="both"/>
        <w:divId w:val="1237739438"/>
        <w:rPr>
          <w:rFonts w:eastAsia="Times New Roman"/>
        </w:rPr>
      </w:pPr>
      <w:r>
        <w:rPr>
          <w:rFonts w:eastAsia="Times New Roman"/>
          <w:color w:val="000000"/>
          <w:sz w:val="20"/>
          <w:szCs w:val="20"/>
        </w:rPr>
        <w:t>(d</w:t>
      </w:r>
      <w:r>
        <w:rPr>
          <w:rFonts w:eastAsia="Times New Roman"/>
          <w:color w:val="000000"/>
          <w:sz w:val="20"/>
          <w:szCs w:val="20"/>
        </w:rPr>
        <w:t>)</w:t>
      </w:r>
      <w:r>
        <w:rPr>
          <w:rFonts w:eastAsia="Times New Roman"/>
          <w:color w:val="000000"/>
          <w:sz w:val="20"/>
          <w:szCs w:val="20"/>
        </w:rPr>
        <w:t>Includes AFUDC associated with PennEa</w:t>
      </w:r>
      <w:r>
        <w:rPr>
          <w:rFonts w:eastAsia="Times New Roman"/>
          <w:color w:val="000000"/>
          <w:sz w:val="20"/>
          <w:szCs w:val="20"/>
        </w:rPr>
        <w:t>st. The three and nine months ended June 30, 2020 also includes equity income from Pennant (see Note 5)</w:t>
      </w:r>
      <w:r>
        <w:rPr>
          <w:rFonts w:eastAsia="Times New Roman"/>
          <w:color w:val="000000"/>
          <w:sz w:val="20"/>
          <w:szCs w:val="20"/>
        </w:rPr>
        <w:t>.</w:t>
      </w:r>
    </w:p>
    <w:p w:rsidR="00000000" w:rsidRDefault="00A270CC">
      <w:pPr>
        <w:ind w:hanging="360"/>
        <w:jc w:val="both"/>
        <w:divId w:val="812909000"/>
        <w:rPr>
          <w:rFonts w:eastAsia="Times New Roman"/>
        </w:rPr>
      </w:pPr>
      <w:r>
        <w:rPr>
          <w:rFonts w:eastAsia="Times New Roman"/>
          <w:color w:val="000000"/>
          <w:sz w:val="20"/>
          <w:szCs w:val="20"/>
        </w:rPr>
        <w:t>(e</w:t>
      </w:r>
      <w:r>
        <w:rPr>
          <w:rFonts w:eastAsia="Times New Roman"/>
          <w:color w:val="000000"/>
          <w:sz w:val="20"/>
          <w:szCs w:val="20"/>
        </w:rPr>
        <w:t>)</w:t>
      </w:r>
      <w:r>
        <w:rPr>
          <w:rFonts w:eastAsia="Times New Roman"/>
          <w:color w:val="000000"/>
          <w:sz w:val="20"/>
          <w:szCs w:val="20"/>
        </w:rPr>
        <w:t>Segment information recast to reflect the changes adopted during the fourth quarter of Fiscal 2019 in the segment measure of profit used by our CODM</w:t>
      </w:r>
      <w:r>
        <w:rPr>
          <w:rFonts w:eastAsia="Times New Roman"/>
          <w:color w:val="000000"/>
          <w:sz w:val="20"/>
          <w:szCs w:val="20"/>
        </w:rPr>
        <w:t xml:space="preserve"> to evaluate the performance of our reportable segments</w:t>
      </w:r>
      <w:r>
        <w:rPr>
          <w:rFonts w:eastAsia="Times New Roman"/>
          <w:color w:val="000000"/>
          <w:sz w:val="20"/>
          <w:szCs w:val="20"/>
        </w:rPr>
        <w:t>.</w:t>
      </w:r>
    </w:p>
    <w:p w:rsidR="00000000" w:rsidRDefault="00A270CC">
      <w:pPr>
        <w:jc w:val="both"/>
        <w:rPr>
          <w:rFonts w:eastAsia="Times New Roman"/>
        </w:rPr>
      </w:pPr>
    </w:p>
    <w:p w:rsidR="00000000" w:rsidRDefault="00A270CC">
      <w:pPr>
        <w:divId w:val="1297105010"/>
        <w:rPr>
          <w:rFonts w:eastAsia="Times New Roman"/>
        </w:rPr>
      </w:pPr>
      <w:r>
        <w:rPr>
          <w:rFonts w:eastAsia="Times New Roman"/>
          <w:b/>
          <w:bCs/>
          <w:color w:val="000000"/>
          <w:sz w:val="20"/>
          <w:szCs w:val="20"/>
          <w:u w:val="single"/>
        </w:rPr>
        <w:t>Note 17 — Global LPG Business Transformation Initiative</w:t>
      </w:r>
      <w:r>
        <w:rPr>
          <w:rFonts w:eastAsia="Times New Roman"/>
          <w:b/>
          <w:bCs/>
          <w:color w:val="000000"/>
          <w:sz w:val="20"/>
          <w:szCs w:val="20"/>
          <w:u w:val="single"/>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During the fourth quarter of Fiscal 2019, we began executing on multi-year business transformation initiatives at our AmeriGas Propane and</w:t>
      </w:r>
      <w:r>
        <w:rPr>
          <w:rFonts w:eastAsia="Times New Roman"/>
          <w:color w:val="000000"/>
          <w:sz w:val="20"/>
          <w:szCs w:val="20"/>
        </w:rPr>
        <w:t xml:space="preserve"> UGI International business segments. These initiatives are designed to improve long-term operational performance by, among other things, reducing costs and improving efficiency in the areas of sales and marketing, supply and logistics, operations, purchas</w:t>
      </w:r>
      <w:r>
        <w:rPr>
          <w:rFonts w:eastAsia="Times New Roman"/>
          <w:color w:val="000000"/>
          <w:sz w:val="20"/>
          <w:szCs w:val="20"/>
        </w:rPr>
        <w:t>ing, and administration. In addition, these business transformation initiatives focus on enhancing the customer experience through, among other things, enhanced customer relationship management and an improved digital customer experience. In connection wit</w:t>
      </w:r>
      <w:r>
        <w:rPr>
          <w:rFonts w:eastAsia="Times New Roman"/>
          <w:color w:val="000000"/>
          <w:sz w:val="20"/>
          <w:szCs w:val="20"/>
        </w:rPr>
        <w:t xml:space="preserve">h these initiatives, during the three and nine months ended June 30, 2020, we recognized $6.4 and $42.6, respectively, of expenses principally comprising consulting, advisory, marketing and employee-related costs. These expenses are primarily reflected in </w:t>
      </w:r>
      <w:r>
        <w:rPr>
          <w:rFonts w:eastAsia="Times New Roman"/>
          <w:color w:val="000000"/>
          <w:sz w:val="20"/>
          <w:szCs w:val="20"/>
        </w:rPr>
        <w:t>“Operating and administrative expenses” on the Condensed Consolidated Statements of Income</w:t>
      </w:r>
      <w:r>
        <w:rPr>
          <w:rFonts w:eastAsia="Times New Roman"/>
          <w:color w:val="000000"/>
          <w:sz w:val="20"/>
          <w:szCs w:val="20"/>
        </w:rPr>
        <w:t>.</w:t>
      </w:r>
    </w:p>
    <w:p w:rsidR="00000000" w:rsidRDefault="00A270CC">
      <w:pPr>
        <w:jc w:val="both"/>
        <w:rPr>
          <w:rFonts w:eastAsia="Times New Roman"/>
        </w:rPr>
      </w:pPr>
    </w:p>
    <w:p w:rsidR="00000000" w:rsidRDefault="00A270CC">
      <w:pPr>
        <w:divId w:val="1952393052"/>
        <w:rPr>
          <w:rFonts w:eastAsia="Times New Roman"/>
        </w:rPr>
      </w:pPr>
      <w:r>
        <w:rPr>
          <w:rFonts w:eastAsia="Times New Roman"/>
          <w:b/>
          <w:bCs/>
          <w:color w:val="000000"/>
          <w:sz w:val="20"/>
          <w:szCs w:val="20"/>
          <w:u w:val="single"/>
        </w:rPr>
        <w:t>Note 18 — Impact of Global Pandemi</w:t>
      </w:r>
      <w:r>
        <w:rPr>
          <w:rFonts w:eastAsia="Times New Roman"/>
          <w:b/>
          <w:bCs/>
          <w:color w:val="000000"/>
          <w:sz w:val="20"/>
          <w:szCs w:val="20"/>
          <w:u w:val="single"/>
        </w:rPr>
        <w:t>c</w:t>
      </w:r>
    </w:p>
    <w:p w:rsidR="00000000" w:rsidRDefault="00A270CC">
      <w:pPr>
        <w:divId w:val="2019037148"/>
        <w:rPr>
          <w:rFonts w:eastAsia="Times New Roman"/>
        </w:rPr>
      </w:pPr>
    </w:p>
    <w:p w:rsidR="00000000" w:rsidRDefault="00A270CC">
      <w:pPr>
        <w:jc w:val="both"/>
        <w:divId w:val="2063405502"/>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mitigation and containment procedures recommended by the</w:t>
      </w:r>
      <w:r>
        <w:rPr>
          <w:rFonts w:eastAsia="Times New Roman"/>
          <w:color w:val="000000"/>
          <w:sz w:val="20"/>
          <w:szCs w:val="20"/>
        </w:rPr>
        <w:t xml:space="preserve"> WHO, the CDC, and as imposed by federal, state, and local governmental authorities, including shelter-in-place orders, quarantines and similar restrictions, the Company implemented a variety of procedures to protect its employees, third-party business par</w:t>
      </w:r>
      <w:r>
        <w:rPr>
          <w:rFonts w:eastAsia="Times New Roman"/>
          <w:color w:val="000000"/>
          <w:sz w:val="20"/>
          <w:szCs w:val="20"/>
        </w:rPr>
        <w:t xml:space="preserve">tners, and customers worldwide. The Company continues to provide essential products and services to its global customers in a safe and reliable manner, and will continue to do so in compliance with mandated restrictions presented by each of the markets it </w:t>
      </w:r>
      <w:r>
        <w:rPr>
          <w:rFonts w:eastAsia="Times New Roman"/>
          <w:color w:val="000000"/>
          <w:sz w:val="20"/>
          <w:szCs w:val="20"/>
        </w:rPr>
        <w:t>serves. The Company continues to evaluate and react to the potential effects of a prolonged disruption and the continued impact on its results of operations. These items may include, but are not limited to: the financial condition of its customers; decreas</w:t>
      </w:r>
      <w:r>
        <w:rPr>
          <w:rFonts w:eastAsia="Times New Roman"/>
          <w:color w:val="000000"/>
          <w:sz w:val="20"/>
          <w:szCs w:val="20"/>
        </w:rPr>
        <w:t>ed availability and demand for its products and services; realization of accounts receivable; impairment considerations related to certain current assets, long-lived assets and goodwill; delays related to current and future projects; and the effects of gov</w:t>
      </w:r>
      <w:r>
        <w:rPr>
          <w:rFonts w:eastAsia="Times New Roman"/>
          <w:color w:val="000000"/>
          <w:sz w:val="20"/>
          <w:szCs w:val="20"/>
        </w:rPr>
        <w:t>ernment stimulus efforts including tax legislation in response to COVID-19. While its operational and financial performance have been significantly impacted by COVID-19 in Fiscal 2020, the Company cannot predict the duration or magnitude of the outbreak an</w:t>
      </w:r>
      <w:r>
        <w:rPr>
          <w:rFonts w:eastAsia="Times New Roman"/>
          <w:color w:val="000000"/>
          <w:sz w:val="20"/>
          <w:szCs w:val="20"/>
        </w:rPr>
        <w:t>d the total effects on its business, financial position, results of operations, liquidity or cash flows at this time</w:t>
      </w:r>
      <w:r>
        <w:rPr>
          <w:rFonts w:eastAsia="Times New Roman"/>
          <w:color w:val="000000"/>
          <w:sz w:val="20"/>
          <w:szCs w:val="20"/>
        </w:rPr>
        <w:t>.</w:t>
      </w:r>
    </w:p>
    <w:p w:rsidR="00000000" w:rsidRDefault="00A270CC">
      <w:pPr>
        <w:jc w:val="both"/>
        <w:divId w:val="748842112"/>
        <w:rPr>
          <w:rFonts w:eastAsia="Times New Roman"/>
        </w:rPr>
      </w:pPr>
      <w:r>
        <w:rPr>
          <w:rFonts w:eastAsia="Times New Roman"/>
          <w:color w:val="000000"/>
          <w:sz w:val="20"/>
          <w:szCs w:val="20"/>
        </w:rPr>
        <w:t>On March 27, 2020, the CARES Act was enacted in response to the COVID-19 pandemic. Among other things, the CARES Act includes provisions w</w:t>
      </w:r>
      <w:r>
        <w:rPr>
          <w:rFonts w:eastAsia="Times New Roman"/>
          <w:color w:val="000000"/>
          <w:sz w:val="20"/>
          <w:szCs w:val="20"/>
        </w:rPr>
        <w:t xml:space="preserve">hich modify the NOL limitation and carryback rules including a five-year carryback for NOLs and the temporary removal of the 80 percent limitation on NOL utilization for taxable years beginning before January 1, 2021. The Company’s annual effective income </w:t>
      </w:r>
      <w:r>
        <w:rPr>
          <w:rFonts w:eastAsia="Times New Roman"/>
          <w:color w:val="000000"/>
          <w:sz w:val="20"/>
          <w:szCs w:val="20"/>
        </w:rPr>
        <w:t>tax rate for Fiscal 2020 reflects anticipated tax benefits resulting from the carryback of an NOL for Fiscal 2020 pursuant to the provisions of the CARES Act.</w:t>
      </w:r>
      <w:r>
        <w:rPr>
          <w:rFonts w:eastAsia="Times New Roman"/>
          <w:color w:val="000000"/>
          <w:sz w:val="20"/>
          <w:szCs w:val="20"/>
        </w:rPr>
        <w:t xml:space="preserve"> </w:t>
      </w:r>
    </w:p>
    <w:p w:rsidR="00000000" w:rsidRDefault="00A270CC">
      <w:pPr>
        <w:jc w:val="both"/>
        <w:divId w:val="472525885"/>
        <w:rPr>
          <w:rFonts w:eastAsia="Times New Roman"/>
        </w:rPr>
      </w:pPr>
      <w:r>
        <w:rPr>
          <w:rFonts w:eastAsia="Times New Roman"/>
          <w:color w:val="000000"/>
          <w:sz w:val="20"/>
          <w:szCs w:val="20"/>
        </w:rPr>
        <w:t>On July 20, 2020, the U.S. Department of the Treasury and the IRS released regulations which mod</w:t>
      </w:r>
      <w:r>
        <w:rPr>
          <w:rFonts w:eastAsia="Times New Roman"/>
          <w:color w:val="000000"/>
          <w:sz w:val="20"/>
          <w:szCs w:val="20"/>
        </w:rPr>
        <w:t>ify the Global Intangible Low-Taxed Income (“GILTI”) provisions of the IRC, as well as proposed regulations related to other IRC provisions. The Company is evaluating the elections available under these revised and proposed regulations, including any impac</w:t>
      </w:r>
      <w:r>
        <w:rPr>
          <w:rFonts w:eastAsia="Times New Roman"/>
          <w:color w:val="000000"/>
          <w:sz w:val="20"/>
          <w:szCs w:val="20"/>
        </w:rPr>
        <w:t>t on anticipated benefits under the CARES Act, and expects the effects of these changes to provide a significant tax benefit in the fourth quarter of Fiscal 2020.</w:t>
      </w:r>
      <w:r>
        <w:rPr>
          <w:rFonts w:eastAsia="Times New Roman"/>
          <w:color w:val="000000"/>
          <w:sz w:val="20"/>
          <w:szCs w:val="20"/>
        </w:rPr>
        <w:t xml:space="preserve"> </w:t>
      </w:r>
    </w:p>
    <w:p w:rsidR="00000000" w:rsidRDefault="00A270CC">
      <w:pPr>
        <w:divId w:val="935215953"/>
        <w:rPr>
          <w:rFonts w:eastAsia="Times New Roman"/>
        </w:rPr>
      </w:pPr>
      <w:r>
        <w:rPr>
          <w:rFonts w:eastAsia="Times New Roman"/>
          <w:color w:val="000000"/>
          <w:sz w:val="20"/>
          <w:szCs w:val="20"/>
        </w:rPr>
        <w:t>However, the Company has not yet filed its U.S. income tax return for Fiscal 2020, and conti</w:t>
      </w:r>
      <w:r>
        <w:rPr>
          <w:rFonts w:eastAsia="Times New Roman"/>
          <w:color w:val="000000"/>
          <w:sz w:val="20"/>
          <w:szCs w:val="20"/>
        </w:rPr>
        <w:t>nues to evaluate other U.S. tax positions or strategies that could affect U.S. taxable income or loss.  Accordingly, the impacts on the Company’s income tax provisions and taxes payable or refundable related to the CARES Act and the GILTI provisions are su</w:t>
      </w:r>
      <w:r>
        <w:rPr>
          <w:rFonts w:eastAsia="Times New Roman"/>
          <w:color w:val="000000"/>
          <w:sz w:val="20"/>
          <w:szCs w:val="20"/>
        </w:rPr>
        <w:t>bject to change</w:t>
      </w:r>
      <w:r>
        <w:rPr>
          <w:rFonts w:eastAsia="Times New Roman"/>
          <w:color w:val="000000"/>
          <w:sz w:val="20"/>
          <w:szCs w:val="20"/>
        </w:rPr>
        <w:t>.</w:t>
      </w:r>
    </w:p>
    <w:p w:rsidR="00000000" w:rsidRDefault="00A270CC">
      <w:pPr>
        <w:jc w:val="both"/>
        <w:divId w:val="567039039"/>
        <w:rPr>
          <w:rFonts w:eastAsia="Times New Roman"/>
        </w:rPr>
      </w:pPr>
    </w:p>
    <w:p w:rsidR="00000000" w:rsidRDefault="00A270CC">
      <w:pPr>
        <w:jc w:val="center"/>
        <w:divId w:val="302856723"/>
        <w:rPr>
          <w:rFonts w:eastAsia="Times New Roman"/>
        </w:rPr>
      </w:pPr>
      <w:r>
        <w:rPr>
          <w:rFonts w:eastAsia="Times New Roman"/>
          <w:color w:val="000000"/>
          <w:sz w:val="20"/>
          <w:szCs w:val="20"/>
        </w:rPr>
        <w:t>4</w:t>
      </w:r>
      <w:r>
        <w:rPr>
          <w:rFonts w:eastAsia="Times New Roman"/>
          <w:color w:val="000000"/>
          <w:sz w:val="20"/>
          <w:szCs w:val="20"/>
        </w:rPr>
        <w:t>1</w:t>
      </w:r>
    </w:p>
    <w:p w:rsidR="00000000" w:rsidRDefault="00A270CC">
      <w:pPr>
        <w:rPr>
          <w:rFonts w:eastAsia="Times New Roman"/>
        </w:rPr>
      </w:pPr>
      <w:r>
        <w:rPr>
          <w:rFonts w:eastAsia="Times New Roman"/>
        </w:rPr>
        <w:pict>
          <v:rect id="_x0000_i1067" style="width:0;height:1.5pt" o:hralign="center" o:hrstd="t" o:hr="t" fillcolor="#a0a0a0" stroked="f"/>
        </w:pict>
      </w:r>
    </w:p>
    <w:p w:rsidR="00000000" w:rsidRDefault="00A270CC">
      <w:pPr>
        <w:divId w:val="13056013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0740384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color w:val="000000"/>
          <w:sz w:val="20"/>
          <w:szCs w:val="20"/>
        </w:rPr>
        <w:t>ITEM 2. MANAGEMENT’S DISCUSSION AND ANALYSIS OF FINANCIAL CONDITION AND RESULTS OF OPERAT</w:t>
      </w:r>
      <w:r>
        <w:rPr>
          <w:rFonts w:eastAsia="Times New Roman"/>
          <w:b/>
          <w:bCs/>
          <w:color w:val="000000"/>
          <w:sz w:val="20"/>
          <w:szCs w:val="20"/>
        </w:rPr>
        <w:t>ION</w:t>
      </w:r>
      <w:r>
        <w:rPr>
          <w:rFonts w:eastAsia="Times New Roman"/>
          <w:b/>
          <w:bCs/>
          <w:color w:val="000000"/>
          <w:sz w:val="20"/>
          <w:szCs w:val="20"/>
        </w:rPr>
        <w:t>S</w:t>
      </w:r>
    </w:p>
    <w:p w:rsidR="00000000" w:rsidRDefault="00A270CC">
      <w:pPr>
        <w:divId w:val="350569035"/>
        <w:rPr>
          <w:rFonts w:eastAsia="Times New Roman"/>
        </w:rPr>
      </w:pPr>
    </w:p>
    <w:p w:rsidR="00000000" w:rsidRDefault="00A270CC">
      <w:pPr>
        <w:divId w:val="1523131328"/>
        <w:rPr>
          <w:rFonts w:eastAsia="Times New Roman"/>
        </w:rPr>
      </w:pPr>
      <w:r>
        <w:rPr>
          <w:rFonts w:eastAsia="Times New Roman"/>
          <w:b/>
          <w:bCs/>
          <w:color w:val="000000"/>
          <w:sz w:val="20"/>
          <w:szCs w:val="20"/>
        </w:rPr>
        <w:t>Forward-Looking Statement</w:t>
      </w:r>
      <w:r>
        <w:rPr>
          <w:rFonts w:eastAsia="Times New Roman"/>
          <w:b/>
          <w:bCs/>
          <w:color w:val="000000"/>
          <w:sz w:val="20"/>
          <w:szCs w:val="20"/>
        </w:rPr>
        <w:t>s</w:t>
      </w:r>
    </w:p>
    <w:p w:rsidR="00000000" w:rsidRDefault="00A270CC">
      <w:pPr>
        <w:divId w:val="50081567"/>
        <w:rPr>
          <w:rFonts w:eastAsia="Times New Roman"/>
        </w:rPr>
      </w:pPr>
    </w:p>
    <w:p w:rsidR="00000000" w:rsidRDefault="00A270CC">
      <w:pPr>
        <w:jc w:val="both"/>
        <w:rPr>
          <w:rFonts w:eastAsia="Times New Roman"/>
        </w:rPr>
      </w:pPr>
      <w:r>
        <w:rPr>
          <w:rFonts w:eastAsia="Times New Roman"/>
          <w:color w:val="000000"/>
          <w:sz w:val="20"/>
          <w:szCs w:val="20"/>
        </w:rPr>
        <w:t>Information contained in this Quarterly Report on Form 10-Q may contain forward-looking statements within the meaning of Section 27A of the Securities Act of 1933, as amended, and Section 21E of the Exchange Act. Such st</w:t>
      </w:r>
      <w:r>
        <w:rPr>
          <w:rFonts w:eastAsia="Times New Roman"/>
          <w:color w:val="000000"/>
          <w:sz w:val="20"/>
          <w:szCs w:val="20"/>
        </w:rPr>
        <w:t>atements use forward-looking words such as “believe,” “plan,” “anticipate,” “continue,” “estimate,” “expect,” “may,” or other similar words. These statements discuss plans, strategies, events or developments that we expect or anticipate will or may occur i</w:t>
      </w:r>
      <w:r>
        <w:rPr>
          <w:rFonts w:eastAsia="Times New Roman"/>
          <w:color w:val="000000"/>
          <w:sz w:val="20"/>
          <w:szCs w:val="20"/>
        </w:rPr>
        <w:t>n the future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 forward-looking statement may include a statement of the assumptions or bases underlying the forward-looking statement. We believe that we have chosen these assumptions or bases in good faith and that they are reasonable. However, we caut</w:t>
      </w:r>
      <w:r>
        <w:rPr>
          <w:rFonts w:eastAsia="Times New Roman"/>
          <w:color w:val="000000"/>
          <w:sz w:val="20"/>
          <w:szCs w:val="20"/>
        </w:rPr>
        <w:t xml:space="preserve">ion you that actual results almost always vary from assumed facts or bases, and the differences between actual results and assumed facts or bases can be material, depending on the circumstances. When considering forward-looking statements, you should keep </w:t>
      </w:r>
      <w:r>
        <w:rPr>
          <w:rFonts w:eastAsia="Times New Roman"/>
          <w:color w:val="000000"/>
          <w:sz w:val="20"/>
          <w:szCs w:val="20"/>
        </w:rPr>
        <w:t>in mind the following important factors that could affect our future results and could cause those results to differ materially from those expressed in our forward-looking statements: (1) weather conditions resulting in reduced demand and the seasonal natu</w:t>
      </w:r>
      <w:r>
        <w:rPr>
          <w:rFonts w:eastAsia="Times New Roman"/>
          <w:color w:val="000000"/>
          <w:sz w:val="20"/>
          <w:szCs w:val="20"/>
        </w:rPr>
        <w:t>re of our business; (2) cost volatility and availability of propane and other LPG, electricity, and natural gas and the capacity to transport product to our customers; (3) changes in domestic and foreign laws and regulations, including safety, tax, consume</w:t>
      </w:r>
      <w:r>
        <w:rPr>
          <w:rFonts w:eastAsia="Times New Roman"/>
          <w:color w:val="000000"/>
          <w:sz w:val="20"/>
          <w:szCs w:val="20"/>
        </w:rPr>
        <w:t>r protection, data privacy, accounting matters, and environmental, including regulatory responses to climate change; (4) inability to timely recover costs through utility rate proceedings; (5) the impact of pending and future legal proceedings; (6) competi</w:t>
      </w:r>
      <w:r>
        <w:rPr>
          <w:rFonts w:eastAsia="Times New Roman"/>
          <w:color w:val="000000"/>
          <w:sz w:val="20"/>
          <w:szCs w:val="20"/>
        </w:rPr>
        <w:t>tive pressures from the same and alternative energy sources; (7) failure to acquire new customers or retain current customers thereby reducing or limiting any increase in revenues; (8) liability for environmental claims; (9) increased customer conservation</w:t>
      </w:r>
      <w:r>
        <w:rPr>
          <w:rFonts w:eastAsia="Times New Roman"/>
          <w:color w:val="000000"/>
          <w:sz w:val="20"/>
          <w:szCs w:val="20"/>
        </w:rPr>
        <w:t xml:space="preserve"> measures due to high energy prices and improvements in energy efficiency and technology resulting in reduced demand; (10) adverse labor relations; (11) customer, counterparty, supplier, or vendor defaults; (12) liability for uninsured claims and for claim</w:t>
      </w:r>
      <w:r>
        <w:rPr>
          <w:rFonts w:eastAsia="Times New Roman"/>
          <w:color w:val="000000"/>
          <w:sz w:val="20"/>
          <w:szCs w:val="20"/>
        </w:rPr>
        <w:t>s in excess of insurance coverage, including those for personal injury and property damage arising from explosions, terrorism, natural disasters, pandemics and other catastrophic events that may result from operating hazards and risks incidental to generat</w:t>
      </w:r>
      <w:r>
        <w:rPr>
          <w:rFonts w:eastAsia="Times New Roman"/>
          <w:color w:val="000000"/>
          <w:sz w:val="20"/>
          <w:szCs w:val="20"/>
        </w:rPr>
        <w:t>ing and distributing electricity and transporting, storing and distributing natural gas and LPG; (13) transmission or distribution system service interruptions; (14) political, regulatory and economic conditions in the United States, Europe and other forei</w:t>
      </w:r>
      <w:r>
        <w:rPr>
          <w:rFonts w:eastAsia="Times New Roman"/>
          <w:color w:val="000000"/>
          <w:sz w:val="20"/>
          <w:szCs w:val="20"/>
        </w:rPr>
        <w:t>gn countries, including the current conflicts in the Middle East and the withdrawal of the United Kingdom from the European Union, and foreign currency exchange rate fluctuations, particularly the euro; (15) capital market conditions, including reduced acc</w:t>
      </w:r>
      <w:r>
        <w:rPr>
          <w:rFonts w:eastAsia="Times New Roman"/>
          <w:color w:val="000000"/>
          <w:sz w:val="20"/>
          <w:szCs w:val="20"/>
        </w:rPr>
        <w:t>ess to capital markets and interest rate fluctuations; (16) changes in commodity market prices resulting in significantly higher cash collateral requirements; (17) reduced distributions from subsidiaries impacting the ability to pay dividends; (18) changes</w:t>
      </w:r>
      <w:r>
        <w:rPr>
          <w:rFonts w:eastAsia="Times New Roman"/>
          <w:color w:val="000000"/>
          <w:sz w:val="20"/>
          <w:szCs w:val="20"/>
        </w:rPr>
        <w:t xml:space="preserve"> in Marcellus and Utica Shale gas production; (19) the availability, timing and success of our acquisitions, commercial initiatives and investments to grow our businesses; (20) our ability to successfully integrate acquired businesses and achieve anticipat</w:t>
      </w:r>
      <w:r>
        <w:rPr>
          <w:rFonts w:eastAsia="Times New Roman"/>
          <w:color w:val="000000"/>
          <w:sz w:val="20"/>
          <w:szCs w:val="20"/>
        </w:rPr>
        <w:t>ed synergies; (21) the interruption, disruption, failure or malfunction of our information technology systems, including due to cyber attack; (22) the inability to complete pending or future energy infrastructure projects; (23) our ability to achieve the o</w:t>
      </w:r>
      <w:r>
        <w:rPr>
          <w:rFonts w:eastAsia="Times New Roman"/>
          <w:color w:val="000000"/>
          <w:sz w:val="20"/>
          <w:szCs w:val="20"/>
        </w:rPr>
        <w:t>perational benefits and cost efficiencies expected from the completion of pending and future transformation initiatives at our business units; and (24) uncertainties related to a global pandemic, including the duration and/or impact of the COVID-19 pandemi</w:t>
      </w:r>
      <w:r>
        <w:rPr>
          <w:rFonts w:eastAsia="Times New Roman"/>
          <w:color w:val="000000"/>
          <w:sz w:val="20"/>
          <w:szCs w:val="20"/>
        </w:rPr>
        <w:t>c</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These factors, and those factors set forth in Item 1A. Risk Factors in the Company’s 2019 Annual Report and the Quarterly Report on Form 10-Q for the fiscal quarter ended March 31, 2020, are not necessarily all of the important factors that could caus</w:t>
      </w:r>
      <w:r>
        <w:rPr>
          <w:rFonts w:eastAsia="Times New Roman"/>
          <w:color w:val="000000"/>
          <w:sz w:val="20"/>
          <w:szCs w:val="20"/>
        </w:rPr>
        <w:t>e actual results to differ materially from those expressed in any of our forward-looking statements. Other unknown or unpredictable factors could also have material adverse effects on future results. We undertake no obligation to update publicly any forwar</w:t>
      </w:r>
      <w:r>
        <w:rPr>
          <w:rFonts w:eastAsia="Times New Roman"/>
          <w:color w:val="000000"/>
          <w:sz w:val="20"/>
          <w:szCs w:val="20"/>
        </w:rPr>
        <w:t>d-looking statement whether as a result of new information or future events except as required by the federal securities laws</w:t>
      </w:r>
      <w:r>
        <w:rPr>
          <w:rFonts w:eastAsia="Times New Roman"/>
          <w:color w:val="000000"/>
          <w:sz w:val="20"/>
          <w:szCs w:val="20"/>
        </w:rPr>
        <w:t>.</w:t>
      </w:r>
    </w:p>
    <w:p w:rsidR="00000000" w:rsidRDefault="00A270CC">
      <w:pPr>
        <w:jc w:val="both"/>
        <w:rPr>
          <w:rFonts w:eastAsia="Times New Roman"/>
        </w:rPr>
      </w:pPr>
    </w:p>
    <w:p w:rsidR="00000000" w:rsidRDefault="00A270CC">
      <w:pPr>
        <w:jc w:val="center"/>
        <w:rPr>
          <w:rFonts w:eastAsia="Times New Roman"/>
        </w:rPr>
      </w:pPr>
      <w:r>
        <w:rPr>
          <w:rFonts w:eastAsia="Times New Roman"/>
          <w:b/>
          <w:bCs/>
          <w:color w:val="000000"/>
          <w:sz w:val="20"/>
          <w:szCs w:val="20"/>
          <w:u w:val="single"/>
        </w:rPr>
        <w:t>ANALYSIS OF RESULTS OF OPERATION</w:t>
      </w:r>
      <w:r>
        <w:rPr>
          <w:rFonts w:eastAsia="Times New Roman"/>
          <w:b/>
          <w:bCs/>
          <w:color w:val="000000"/>
          <w:sz w:val="20"/>
          <w:szCs w:val="20"/>
          <w:u w:val="single"/>
        </w:rPr>
        <w:t>S</w:t>
      </w:r>
    </w:p>
    <w:p w:rsidR="00000000" w:rsidRDefault="00A270CC">
      <w:pPr>
        <w:jc w:val="center"/>
        <w:rPr>
          <w:rFonts w:eastAsia="Times New Roman"/>
        </w:rPr>
      </w:pPr>
    </w:p>
    <w:p w:rsidR="00000000" w:rsidRDefault="00A270CC">
      <w:pPr>
        <w:jc w:val="both"/>
        <w:rPr>
          <w:rFonts w:eastAsia="Times New Roman"/>
        </w:rPr>
      </w:pPr>
      <w:r>
        <w:rPr>
          <w:rFonts w:eastAsia="Times New Roman"/>
          <w:color w:val="000000"/>
          <w:sz w:val="20"/>
          <w:szCs w:val="20"/>
        </w:rPr>
        <w:t>The following analyses compare the Company’s results of operations for the 2020 three-month</w:t>
      </w:r>
      <w:r>
        <w:rPr>
          <w:rFonts w:eastAsia="Times New Roman"/>
          <w:color w:val="000000"/>
          <w:sz w:val="20"/>
          <w:szCs w:val="20"/>
        </w:rPr>
        <w:t xml:space="preserve"> period with the 2019 three-month period and the 2020 nine-month period with the 2019 nine-month period. Our analyses of results of operations should be read in conjunction with the segment information included in Note 16 to Condensed Consolidated Financia</w:t>
      </w:r>
      <w:r>
        <w:rPr>
          <w:rFonts w:eastAsia="Times New Roman"/>
          <w:color w:val="000000"/>
          <w:sz w:val="20"/>
          <w:szCs w:val="20"/>
        </w:rPr>
        <w:t>l Statements.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Because most of our businesses sell or distribute energy products used in large part for heating purposes, our results are significantly influenced by temperatures in our service territories, particularly during the heating-season months o</w:t>
      </w:r>
      <w:r>
        <w:rPr>
          <w:rFonts w:eastAsia="Times New Roman"/>
          <w:color w:val="000000"/>
          <w:sz w:val="20"/>
          <w:szCs w:val="20"/>
        </w:rPr>
        <w:t>f October through March. As a result, our operating results, excluding the effects of gains and losses on commodity derivative instruments not associated with current-period transactions as further discussed below, are significantly higher in our first and</w:t>
      </w:r>
      <w:r>
        <w:rPr>
          <w:rFonts w:eastAsia="Times New Roman"/>
          <w:color w:val="000000"/>
          <w:sz w:val="20"/>
          <w:szCs w:val="20"/>
        </w:rPr>
        <w:t xml:space="preserve"> second fiscal quarters</w:t>
      </w:r>
      <w:r>
        <w:rPr>
          <w:rFonts w:eastAsia="Times New Roman"/>
          <w:color w:val="000000"/>
          <w:sz w:val="20"/>
          <w:szCs w:val="20"/>
        </w:rPr>
        <w:t>.</w:t>
      </w:r>
    </w:p>
    <w:p w:rsidR="00000000" w:rsidRDefault="00A270CC">
      <w:pPr>
        <w:divId w:val="1351756214"/>
        <w:rPr>
          <w:rFonts w:eastAsia="Times New Roman"/>
        </w:rPr>
      </w:pPr>
    </w:p>
    <w:p w:rsidR="00000000" w:rsidRDefault="00A270CC">
      <w:pPr>
        <w:jc w:val="center"/>
        <w:divId w:val="1350108093"/>
        <w:rPr>
          <w:rFonts w:eastAsia="Times New Roman"/>
        </w:rPr>
      </w:pPr>
      <w:r>
        <w:rPr>
          <w:rFonts w:eastAsia="Times New Roman"/>
          <w:color w:val="000000"/>
          <w:sz w:val="20"/>
          <w:szCs w:val="20"/>
        </w:rPr>
        <w:t>4</w:t>
      </w:r>
      <w:r>
        <w:rPr>
          <w:rFonts w:eastAsia="Times New Roman"/>
          <w:color w:val="000000"/>
          <w:sz w:val="20"/>
          <w:szCs w:val="20"/>
        </w:rPr>
        <w:t>2</w:t>
      </w:r>
    </w:p>
    <w:p w:rsidR="00000000" w:rsidRDefault="00A270CC">
      <w:pPr>
        <w:rPr>
          <w:rFonts w:eastAsia="Times New Roman"/>
        </w:rPr>
      </w:pPr>
      <w:r>
        <w:rPr>
          <w:rFonts w:eastAsia="Times New Roman"/>
        </w:rPr>
        <w:pict>
          <v:rect id="_x0000_i1068" style="width:0;height:1.5pt" o:hralign="center" o:hrstd="t" o:hr="t" fillcolor="#a0a0a0" stroked="f"/>
        </w:pict>
      </w:r>
    </w:p>
    <w:p w:rsidR="00000000" w:rsidRDefault="00A270CC">
      <w:pPr>
        <w:divId w:val="1753549796"/>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9733259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color w:val="000000"/>
          <w:sz w:val="20"/>
          <w:szCs w:val="20"/>
        </w:rPr>
        <w:t>Recent Development</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divId w:val="1013536670"/>
        <w:rPr>
          <w:rFonts w:eastAsia="Times New Roman"/>
        </w:rPr>
      </w:pPr>
      <w:r>
        <w:rPr>
          <w:rFonts w:eastAsia="Times New Roman"/>
          <w:color w:val="000000"/>
          <w:sz w:val="20"/>
          <w:szCs w:val="20"/>
        </w:rPr>
        <w:t>In March 2020, the WHO declared a global pandemic attributable to the outbreak and contin</w:t>
      </w:r>
      <w:r>
        <w:rPr>
          <w:rFonts w:eastAsia="Times New Roman"/>
          <w:color w:val="000000"/>
          <w:sz w:val="20"/>
          <w:szCs w:val="20"/>
        </w:rPr>
        <w:t>ued spread of COVID-19 that has had a significant impact throughout the global economy. In connection with the mitigation and containment procedures recommended by the WHO, the CDC, and as imposed by federal, state, and local governmental authorities, incl</w:t>
      </w:r>
      <w:r>
        <w:rPr>
          <w:rFonts w:eastAsia="Times New Roman"/>
          <w:color w:val="000000"/>
          <w:sz w:val="20"/>
          <w:szCs w:val="20"/>
        </w:rPr>
        <w:t>uding shelter-in-place orders, quarantines and similar restrictions, we implemented a variety of procedures to protect our employees, third-party business partners, and customers worldwide. Although our results for Fiscal 2020 have been negatively impacted</w:t>
      </w:r>
      <w:r>
        <w:rPr>
          <w:rFonts w:eastAsia="Times New Roman"/>
          <w:color w:val="000000"/>
          <w:sz w:val="20"/>
          <w:szCs w:val="20"/>
        </w:rPr>
        <w:t xml:space="preserve"> by COVID-19, we continue to provide essential products and services to our global customers in a safe and reliable manner and will continue to do so in compliance with mandated restrictions presented by each of the markets we serve. We continue to evaluat</w:t>
      </w:r>
      <w:r>
        <w:rPr>
          <w:rFonts w:eastAsia="Times New Roman"/>
          <w:color w:val="000000"/>
          <w:sz w:val="20"/>
          <w:szCs w:val="20"/>
        </w:rPr>
        <w:t>e and react to the potential effects of a prolonged disruption and the continued impact on our results of operations. These items may include, but are not limited to: the financial condition of our customers; decreased availability and demand for our produ</w:t>
      </w:r>
      <w:r>
        <w:rPr>
          <w:rFonts w:eastAsia="Times New Roman"/>
          <w:color w:val="000000"/>
          <w:sz w:val="20"/>
          <w:szCs w:val="20"/>
        </w:rPr>
        <w:t>cts and services; realization of accounts receivable; impairment considerations related to certain current assets, long-lived assets and goodwill; delays related to current and future projects; and the effects of government stimulus efforts including tax l</w:t>
      </w:r>
      <w:r>
        <w:rPr>
          <w:rFonts w:eastAsia="Times New Roman"/>
          <w:color w:val="000000"/>
          <w:sz w:val="20"/>
          <w:szCs w:val="20"/>
        </w:rPr>
        <w:t>egislation in response to COVID-19. We also remain focused on managing our financial condition and liquidity throughout this global crisis.</w:t>
      </w:r>
      <w:r>
        <w:rPr>
          <w:rFonts w:eastAsia="Times New Roman"/>
          <w:color w:val="000000"/>
          <w:sz w:val="20"/>
          <w:szCs w:val="20"/>
        </w:rPr>
        <w:t xml:space="preserve"> </w:t>
      </w:r>
    </w:p>
    <w:p w:rsidR="00000000" w:rsidRDefault="00A270CC">
      <w:pPr>
        <w:jc w:val="both"/>
        <w:divId w:val="1478498508"/>
        <w:rPr>
          <w:rFonts w:eastAsia="Times New Roman"/>
        </w:rPr>
      </w:pPr>
      <w:r>
        <w:rPr>
          <w:rFonts w:eastAsia="Times New Roman"/>
          <w:color w:val="000000"/>
          <w:sz w:val="20"/>
          <w:szCs w:val="20"/>
          <w:shd w:val="clear" w:color="auto" w:fill="FFFFFF"/>
        </w:rPr>
        <w:t>On March 27, 2020, the CARES Act was enacted in response to the COVID-19 pandemic. Among other things, the CARES Ac</w:t>
      </w:r>
      <w:r>
        <w:rPr>
          <w:rFonts w:eastAsia="Times New Roman"/>
          <w:color w:val="000000"/>
          <w:sz w:val="20"/>
          <w:szCs w:val="20"/>
          <w:shd w:val="clear" w:color="auto" w:fill="FFFFFF"/>
        </w:rPr>
        <w:t xml:space="preserve">t includes provisions which modify the NOL limitation and carryback rules including a five-year carryback for NOLs and the temporary removal of the 80 percent limitation on NOL utilization for taxable years beginning before January 1, 2021. </w:t>
      </w:r>
    </w:p>
    <w:p w:rsidR="00000000" w:rsidRDefault="00A270CC">
      <w:pPr>
        <w:jc w:val="both"/>
        <w:divId w:val="1396857138"/>
        <w:rPr>
          <w:rFonts w:eastAsia="Times New Roman"/>
        </w:rPr>
      </w:pPr>
      <w:r>
        <w:rPr>
          <w:rFonts w:eastAsia="Times New Roman"/>
          <w:color w:val="000000"/>
          <w:sz w:val="20"/>
          <w:szCs w:val="20"/>
        </w:rPr>
        <w:t>On July 20, 20</w:t>
      </w:r>
      <w:r>
        <w:rPr>
          <w:rFonts w:eastAsia="Times New Roman"/>
          <w:color w:val="000000"/>
          <w:sz w:val="20"/>
          <w:szCs w:val="20"/>
        </w:rPr>
        <w:t>20, the U.S. Department of the Treasury and the IRS released regulations which modify the GILTI provisions of the IRC, as well as proposed regulations related to other IRC provisions. The Company is evaluating the elections available under these revised an</w:t>
      </w:r>
      <w:r>
        <w:rPr>
          <w:rFonts w:eastAsia="Times New Roman"/>
          <w:color w:val="000000"/>
          <w:sz w:val="20"/>
          <w:szCs w:val="20"/>
        </w:rPr>
        <w:t>d proposed regulations, including any impact on anticipated benefits under the CARES Act, and expects the effects of these changes to provide a significant tax benefit in the fourth quarter of Fiscal 2020.</w:t>
      </w:r>
      <w:r>
        <w:rPr>
          <w:rFonts w:eastAsia="Times New Roman"/>
          <w:color w:val="000000"/>
          <w:sz w:val="20"/>
          <w:szCs w:val="20"/>
        </w:rPr>
        <w:t xml:space="preserve"> </w:t>
      </w:r>
    </w:p>
    <w:p w:rsidR="00000000" w:rsidRDefault="00A270CC">
      <w:pPr>
        <w:jc w:val="both"/>
        <w:divId w:val="1959946087"/>
        <w:rPr>
          <w:rFonts w:eastAsia="Times New Roman"/>
        </w:rPr>
      </w:pPr>
      <w:r>
        <w:rPr>
          <w:rFonts w:eastAsia="Times New Roman"/>
          <w:color w:val="000000"/>
          <w:sz w:val="20"/>
          <w:szCs w:val="20"/>
          <w:shd w:val="clear" w:color="auto" w:fill="FFFFFF"/>
        </w:rPr>
        <w:t>For additional information related to the CARES A</w:t>
      </w:r>
      <w:r>
        <w:rPr>
          <w:rFonts w:eastAsia="Times New Roman"/>
          <w:color w:val="000000"/>
          <w:sz w:val="20"/>
          <w:szCs w:val="20"/>
          <w:shd w:val="clear" w:color="auto" w:fill="FFFFFF"/>
        </w:rPr>
        <w:t xml:space="preserve">ct and its impact on our results of operations, see “Interest Expense and Income Taxes” below. </w:t>
      </w:r>
    </w:p>
    <w:p w:rsidR="00000000" w:rsidRDefault="00A270CC">
      <w:pPr>
        <w:jc w:val="both"/>
        <w:divId w:val="2078505907"/>
        <w:rPr>
          <w:rFonts w:eastAsia="Times New Roman"/>
        </w:rPr>
      </w:pPr>
      <w:r>
        <w:rPr>
          <w:rFonts w:eastAsia="Times New Roman"/>
          <w:color w:val="000000"/>
          <w:sz w:val="20"/>
          <w:szCs w:val="20"/>
        </w:rPr>
        <w:t>While our operational and financial performance have been significantly impacted by COVID-19 in Fiscal 2020, we cannot predict the duration or total magnitude o</w:t>
      </w:r>
      <w:r>
        <w:rPr>
          <w:rFonts w:eastAsia="Times New Roman"/>
          <w:color w:val="000000"/>
          <w:sz w:val="20"/>
          <w:szCs w:val="20"/>
        </w:rPr>
        <w:t>f the pandemic and the total effects on our business, financial position, results of operations, liquidity or cash flows at this time</w:t>
      </w:r>
      <w:r>
        <w:rPr>
          <w:rFonts w:eastAsia="Times New Roman"/>
          <w:color w:val="000000"/>
          <w:sz w:val="20"/>
          <w:szCs w:val="20"/>
        </w:rPr>
        <w:t>.</w:t>
      </w:r>
    </w:p>
    <w:p w:rsidR="00000000" w:rsidRDefault="00A270CC">
      <w:pPr>
        <w:jc w:val="both"/>
        <w:rPr>
          <w:rFonts w:eastAsia="Times New Roman"/>
        </w:rPr>
      </w:pPr>
      <w:r>
        <w:rPr>
          <w:rFonts w:eastAsia="Times New Roman"/>
          <w:b/>
          <w:bCs/>
          <w:color w:val="000000"/>
          <w:sz w:val="20"/>
          <w:szCs w:val="20"/>
        </w:rPr>
        <w:t>Impact of Strategic Initiative</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Our Fiscal 2020 results reflect the impacts of two strategic transactions completed in </w:t>
      </w:r>
      <w:r>
        <w:rPr>
          <w:rFonts w:eastAsia="Times New Roman"/>
          <w:color w:val="000000"/>
          <w:sz w:val="20"/>
          <w:szCs w:val="20"/>
        </w:rPr>
        <w:t>late Fiscal 2019. The larger of these transactions was the purchase of all of the public’s ownership interest in AmeriGas Partners for 34.6 million shares of UGI Common Stock and $529 million in cash, resulting in UGI owning 100% of the Partnership effecti</w:t>
      </w:r>
      <w:r>
        <w:rPr>
          <w:rFonts w:eastAsia="Times New Roman"/>
          <w:color w:val="000000"/>
          <w:sz w:val="20"/>
          <w:szCs w:val="20"/>
        </w:rPr>
        <w:t>ve August 21, 2019. The second significant strategic transaction was the acquisition of CMG from TC Energy on August 1, 2019, resulting in a substantial increase in our natural gas gathering assets as well as the acquisition of important gas processing ass</w:t>
      </w:r>
      <w:r>
        <w:rPr>
          <w:rFonts w:eastAsia="Times New Roman"/>
          <w:color w:val="000000"/>
          <w:sz w:val="20"/>
          <w:szCs w:val="20"/>
        </w:rPr>
        <w:t>ets in the Marcellus and Utica Shale formations. We anticipate executing on a number of future system expansion projects associated with the CMG assets. We refer to CMG and its equity interest in Pennant as “UGI Appalachia.”</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Also in Fiscal 2019, we bega</w:t>
      </w:r>
      <w:r>
        <w:rPr>
          <w:rFonts w:eastAsia="Times New Roman"/>
          <w:color w:val="000000"/>
          <w:sz w:val="20"/>
          <w:szCs w:val="20"/>
        </w:rPr>
        <w:t>n executing on our Global LPG Business Transformation Initiatives at AmeriGas Propane and UGI International. These initiatives are designed to drive operational efficiencies, increase profitability and provide for an enhanced customer experience at both of</w:t>
      </w:r>
      <w:r>
        <w:rPr>
          <w:rFonts w:eastAsia="Times New Roman"/>
          <w:color w:val="000000"/>
          <w:sz w:val="20"/>
          <w:szCs w:val="20"/>
        </w:rPr>
        <w:t xml:space="preserve"> our global LPG businesses. We have engaged strategic partners to assist us in the identification and execution of these initiatives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At AmeriGas Propane, we are focused on efficiency and effectiveness initiatives in the following key areas: customer dig</w:t>
      </w:r>
      <w:r>
        <w:rPr>
          <w:rFonts w:eastAsia="Times New Roman"/>
          <w:color w:val="000000"/>
          <w:sz w:val="20"/>
          <w:szCs w:val="20"/>
        </w:rPr>
        <w:t>ital experience; customer relationship management; operating process redesign and specialization; distribution and routing optimization; sales and marketing effectiveness; purchasing and general and administrative efficiencies; and supply and logistics. Th</w:t>
      </w:r>
      <w:r>
        <w:rPr>
          <w:rFonts w:eastAsia="Times New Roman"/>
          <w:color w:val="000000"/>
          <w:sz w:val="20"/>
          <w:szCs w:val="20"/>
        </w:rPr>
        <w:t>e business activities will be carried out over the next two years and, once completed, are expected to provide more than</w:t>
      </w:r>
      <w:r>
        <w:rPr>
          <w:rFonts w:eastAsia="Times New Roman"/>
          <w:color w:val="000000"/>
          <w:sz w:val="20"/>
          <w:szCs w:val="20"/>
        </w:rPr>
        <w:t xml:space="preserve"> </w:t>
      </w:r>
      <w:r>
        <w:rPr>
          <w:rFonts w:eastAsia="Times New Roman"/>
          <w:color w:val="000000"/>
          <w:sz w:val="20"/>
          <w:szCs w:val="20"/>
          <w:shd w:val="clear" w:color="auto" w:fill="FFFFFF"/>
        </w:rPr>
        <w:t>$120</w:t>
      </w:r>
      <w:r>
        <w:rPr>
          <w:rFonts w:eastAsia="Times New Roman"/>
          <w:color w:val="000000"/>
          <w:sz w:val="20"/>
          <w:szCs w:val="20"/>
          <w:shd w:val="clear" w:color="auto" w:fill="FFFFFF"/>
        </w:rPr>
        <w:t xml:space="preserve"> </w:t>
      </w:r>
      <w:r>
        <w:rPr>
          <w:rFonts w:eastAsia="Times New Roman"/>
          <w:color w:val="000000"/>
          <w:sz w:val="20"/>
          <w:szCs w:val="20"/>
        </w:rPr>
        <w:t>million of annual savings that will allow us to improve profitability and cash flow through operational efficiencies and expense r</w:t>
      </w:r>
      <w:r>
        <w:rPr>
          <w:rFonts w:eastAsia="Times New Roman"/>
          <w:color w:val="000000"/>
          <w:sz w:val="20"/>
          <w:szCs w:val="20"/>
        </w:rPr>
        <w:t>eductions and enable increased investment into base business customer retention and growth initiatives, including the reduction of margins in select segments of our base business. We estimate the total cost of executing on these initiatives, including appr</w:t>
      </w:r>
      <w:r>
        <w:rPr>
          <w:rFonts w:eastAsia="Times New Roman"/>
          <w:color w:val="000000"/>
          <w:sz w:val="20"/>
          <w:szCs w:val="20"/>
        </w:rPr>
        <w:t>oximatel</w:t>
      </w:r>
      <w:r>
        <w:rPr>
          <w:rFonts w:eastAsia="Times New Roman"/>
          <w:color w:val="000000"/>
          <w:sz w:val="20"/>
          <w:szCs w:val="20"/>
        </w:rPr>
        <w:t>y</w:t>
      </w:r>
      <w:r>
        <w:rPr>
          <w:rFonts w:eastAsia="Times New Roman"/>
          <w:color w:val="000000"/>
          <w:sz w:val="20"/>
          <w:szCs w:val="20"/>
          <w:shd w:val="clear" w:color="auto" w:fill="FFFFFF"/>
        </w:rPr>
        <w:t xml:space="preserve"> $100</w:t>
      </w:r>
      <w:r>
        <w:rPr>
          <w:rFonts w:eastAsia="Times New Roman"/>
          <w:color w:val="000000"/>
          <w:sz w:val="20"/>
          <w:szCs w:val="20"/>
          <w:shd w:val="clear" w:color="auto" w:fill="FFFFFF"/>
        </w:rPr>
        <w:t xml:space="preserve"> </w:t>
      </w:r>
      <w:r>
        <w:rPr>
          <w:rFonts w:eastAsia="Times New Roman"/>
          <w:color w:val="000000"/>
          <w:sz w:val="20"/>
          <w:szCs w:val="20"/>
        </w:rPr>
        <w:t>million of related capital expenditures, to be approximatel</w:t>
      </w:r>
      <w:r>
        <w:rPr>
          <w:rFonts w:eastAsia="Times New Roman"/>
          <w:color w:val="000000"/>
          <w:sz w:val="20"/>
          <w:szCs w:val="20"/>
        </w:rPr>
        <w:t>y</w:t>
      </w:r>
      <w:r>
        <w:rPr>
          <w:rFonts w:eastAsia="Times New Roman"/>
          <w:color w:val="000000"/>
          <w:sz w:val="20"/>
          <w:szCs w:val="20"/>
          <w:shd w:val="clear" w:color="auto" w:fill="FFFFFF"/>
        </w:rPr>
        <w:t xml:space="preserve"> $175 million.</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At our UGI International LPG business, we launched an initiative in Fiscal 2019 and embarked on a process of identifying operational synergies across all 17 countri</w:t>
      </w:r>
      <w:r>
        <w:rPr>
          <w:rFonts w:eastAsia="Times New Roman"/>
          <w:color w:val="000000"/>
          <w:sz w:val="20"/>
          <w:szCs w:val="20"/>
        </w:rPr>
        <w:t>es in which we currently do business. We call this initiative Project Alliance, the goal of which is to focus attention on enhanced customer service and safe and efficient operations through the establishment of two centers of excellence. One such center w</w:t>
      </w:r>
      <w:r>
        <w:rPr>
          <w:rFonts w:eastAsia="Times New Roman"/>
          <w:color w:val="000000"/>
          <w:sz w:val="20"/>
          <w:szCs w:val="20"/>
        </w:rPr>
        <w:t>ill be focused on commercial excellence to identify and execute projects that improve</w:t>
      </w:r>
      <w:r>
        <w:rPr>
          <w:rFonts w:eastAsia="Times New Roman"/>
          <w:color w:val="000000"/>
          <w:sz w:val="20"/>
          <w:szCs w:val="20"/>
        </w:rPr>
        <w:t xml:space="preserve"> </w:t>
      </w:r>
    </w:p>
    <w:p w:rsidR="00000000" w:rsidRDefault="00A270CC">
      <w:pPr>
        <w:jc w:val="center"/>
        <w:divId w:val="983125340"/>
        <w:rPr>
          <w:rFonts w:eastAsia="Times New Roman"/>
        </w:rPr>
      </w:pPr>
      <w:r>
        <w:rPr>
          <w:rFonts w:eastAsia="Times New Roman"/>
          <w:color w:val="000000"/>
          <w:sz w:val="20"/>
          <w:szCs w:val="20"/>
        </w:rPr>
        <w:t>4</w:t>
      </w:r>
      <w:r>
        <w:rPr>
          <w:rFonts w:eastAsia="Times New Roman"/>
          <w:color w:val="000000"/>
          <w:sz w:val="20"/>
          <w:szCs w:val="20"/>
        </w:rPr>
        <w:t>3</w:t>
      </w:r>
    </w:p>
    <w:p w:rsidR="00000000" w:rsidRDefault="00A270CC">
      <w:pPr>
        <w:rPr>
          <w:rFonts w:eastAsia="Times New Roman"/>
        </w:rPr>
      </w:pPr>
      <w:r>
        <w:rPr>
          <w:rFonts w:eastAsia="Times New Roman"/>
        </w:rPr>
        <w:pict>
          <v:rect id="_x0000_i1069" style="width:0;height:1.5pt" o:hralign="center" o:hrstd="t" o:hr="t" fillcolor="#a0a0a0" stroked="f"/>
        </w:pict>
      </w:r>
    </w:p>
    <w:p w:rsidR="00000000" w:rsidRDefault="00A270CC">
      <w:pPr>
        <w:divId w:val="837187263"/>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8207045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the customer’s experi</w:t>
      </w:r>
      <w:r>
        <w:rPr>
          <w:rFonts w:eastAsia="Times New Roman"/>
          <w:color w:val="000000"/>
          <w:sz w:val="20"/>
          <w:szCs w:val="20"/>
        </w:rPr>
        <w:t>ence. The second center will be focused on operational excellence across our distribution network and our filling centers. These efforts will be executed primarily over the next two years and, once completed, are expected to generate over €30 million of an</w:t>
      </w:r>
      <w:r>
        <w:rPr>
          <w:rFonts w:eastAsia="Times New Roman"/>
          <w:color w:val="000000"/>
          <w:sz w:val="20"/>
          <w:szCs w:val="20"/>
        </w:rPr>
        <w:t>nual savings. We estimate the total cumulative cost of executing on these Project Alliance initiatives, including approximately €20 million related to IT capital expenditures, to be approximately €55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divId w:val="2082825151"/>
        <w:rPr>
          <w:rFonts w:eastAsia="Times New Roman"/>
        </w:rPr>
      </w:pPr>
      <w:r>
        <w:rPr>
          <w:rFonts w:eastAsia="Times New Roman"/>
          <w:b/>
          <w:bCs/>
          <w:color w:val="000000"/>
          <w:sz w:val="20"/>
          <w:szCs w:val="20"/>
          <w:u w:val="single"/>
        </w:rPr>
        <w:t>Non-GAAP Financial Measure</w:t>
      </w:r>
      <w:r>
        <w:rPr>
          <w:rFonts w:eastAsia="Times New Roman"/>
          <w:b/>
          <w:bCs/>
          <w:color w:val="000000"/>
          <w:sz w:val="20"/>
          <w:szCs w:val="20"/>
          <w:u w:val="single"/>
        </w:rPr>
        <w:t>s</w:t>
      </w:r>
    </w:p>
    <w:p w:rsidR="00000000" w:rsidRDefault="00A270CC">
      <w:pPr>
        <w:jc w:val="both"/>
        <w:divId w:val="1091776761"/>
        <w:rPr>
          <w:rFonts w:eastAsia="Times New Roman"/>
        </w:rPr>
      </w:pPr>
      <w:r>
        <w:rPr>
          <w:rFonts w:eastAsia="Times New Roman"/>
          <w:color w:val="000000"/>
          <w:sz w:val="20"/>
          <w:szCs w:val="20"/>
        </w:rPr>
        <w:t xml:space="preserve">UGI management uses “adjusted net income attributable to UGI Corporation” and “adjusted diluted earnings per share,” both of which are non-GAAP financial measures, when evaluating UGI’s overall performance. Management believes that these non-GAAP measures </w:t>
      </w:r>
      <w:r>
        <w:rPr>
          <w:rFonts w:eastAsia="Times New Roman"/>
          <w:color w:val="000000"/>
          <w:sz w:val="20"/>
          <w:szCs w:val="20"/>
        </w:rPr>
        <w:t>provide meaningful information to investors about UGI’s performance because they eliminate gains and losses on commodity and certain foreign currency derivative instruments not associated with current-period transactions and other significant discrete item</w:t>
      </w:r>
      <w:r>
        <w:rPr>
          <w:rFonts w:eastAsia="Times New Roman"/>
          <w:color w:val="000000"/>
          <w:sz w:val="20"/>
          <w:szCs w:val="20"/>
        </w:rPr>
        <w:t>s that can affect the comparison of period-over-period results</w:t>
      </w:r>
      <w:r>
        <w:rPr>
          <w:rFonts w:eastAsia="Times New Roman"/>
          <w:color w:val="000000"/>
          <w:sz w:val="20"/>
          <w:szCs w:val="20"/>
        </w:rPr>
        <w:t>.</w:t>
      </w:r>
    </w:p>
    <w:p w:rsidR="00000000" w:rsidRDefault="00A270CC">
      <w:pPr>
        <w:jc w:val="both"/>
        <w:divId w:val="1221861089"/>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attributable to UGI Corporation as determined in accorda</w:t>
      </w:r>
      <w:r>
        <w:rPr>
          <w:rFonts w:eastAsia="Times New Roman"/>
          <w:color w:val="000000"/>
          <w:sz w:val="20"/>
          <w:szCs w:val="20"/>
        </w:rPr>
        <w:t>nce with GAAP can occur as a result of gains and losses on commodity and certain foreign currency derivative instruments not associated with current-period transactions. These gains and losses result principally from recording changes in unrealized gains a</w:t>
      </w:r>
      <w:r>
        <w:rPr>
          <w:rFonts w:eastAsia="Times New Roman"/>
          <w:color w:val="000000"/>
          <w:sz w:val="20"/>
          <w:szCs w:val="20"/>
        </w:rPr>
        <w:t>nd losses on unsettled commodity and certain foreign currency derivative instruments and, to a much lesser extent, certain realized gains and losses on settled commodity derivative instruments that are not associated with current-period transactions. Howev</w:t>
      </w:r>
      <w:r>
        <w:rPr>
          <w:rFonts w:eastAsia="Times New Roman"/>
          <w:color w:val="000000"/>
          <w:sz w:val="20"/>
          <w:szCs w:val="20"/>
        </w:rPr>
        <w:t>er, because these derivative instruments economically hedge anticipated future purchases or sales of energy commodities, or in the case of certain foreign currency derivatives reduce volatility in anticipated future earnings associated with our foreign ope</w:t>
      </w:r>
      <w:r>
        <w:rPr>
          <w:rFonts w:eastAsia="Times New Roman"/>
          <w:color w:val="000000"/>
          <w:sz w:val="20"/>
          <w:szCs w:val="20"/>
        </w:rPr>
        <w:t xml:space="preserve">rations, we expect that such gains or losses will be largely offset by gains or losses on anticipated future energy commodity transactions or mitigate volatility in anticipated future earnings. Non-GAAP financial measures are not in accordance with, or an </w:t>
      </w:r>
      <w:r>
        <w:rPr>
          <w:rFonts w:eastAsia="Times New Roman"/>
          <w:color w:val="000000"/>
          <w:sz w:val="20"/>
          <w:szCs w:val="20"/>
        </w:rPr>
        <w:t>alternative to, GAAP and should be considered in addition to, and not as a substitute for, the comparable GAAP measures</w:t>
      </w:r>
      <w:r>
        <w:rPr>
          <w:rFonts w:eastAsia="Times New Roman"/>
          <w:color w:val="000000"/>
          <w:sz w:val="20"/>
          <w:szCs w:val="20"/>
        </w:rPr>
        <w:t>.</w:t>
      </w:r>
    </w:p>
    <w:p w:rsidR="00000000" w:rsidRDefault="00A270CC">
      <w:pPr>
        <w:jc w:val="both"/>
        <w:divId w:val="660693216"/>
        <w:rPr>
          <w:rFonts w:eastAsia="Times New Roman"/>
        </w:rPr>
      </w:pPr>
      <w:r>
        <w:rPr>
          <w:rFonts w:eastAsia="Times New Roman"/>
          <w:color w:val="000000"/>
          <w:sz w:val="20"/>
          <w:szCs w:val="20"/>
        </w:rPr>
        <w:t>The following tables reconcile net income attributable to UGI Corporation, the most directly comparable GAAP measure, to adjusted net income attributable to UGI Corporation, and reconcile diluted earnings per share, the most comparable GAAP measure, to adj</w:t>
      </w:r>
      <w:r>
        <w:rPr>
          <w:rFonts w:eastAsia="Times New Roman"/>
          <w:color w:val="000000"/>
          <w:sz w:val="20"/>
          <w:szCs w:val="20"/>
        </w:rPr>
        <w:t>usted diluted earnings per share, to reflect the adjustments referred to above</w:t>
      </w:r>
      <w:r>
        <w:rPr>
          <w:rFonts w:eastAsia="Times New Roman"/>
          <w:color w:val="000000"/>
          <w:sz w:val="20"/>
          <w:szCs w:val="20"/>
        </w:rPr>
        <w:t>:</w:t>
      </w:r>
    </w:p>
    <w:p w:rsidR="00000000" w:rsidRDefault="00A270CC">
      <w:pPr>
        <w:jc w:val="center"/>
        <w:divId w:val="583493141"/>
        <w:rPr>
          <w:rFonts w:eastAsia="Times New Roman"/>
        </w:rPr>
      </w:pPr>
      <w:r>
        <w:rPr>
          <w:rFonts w:eastAsia="Times New Roman"/>
          <w:color w:val="000000"/>
          <w:sz w:val="20"/>
          <w:szCs w:val="20"/>
        </w:rPr>
        <w:t>4</w:t>
      </w:r>
      <w:r>
        <w:rPr>
          <w:rFonts w:eastAsia="Times New Roman"/>
          <w:color w:val="000000"/>
          <w:sz w:val="20"/>
          <w:szCs w:val="20"/>
        </w:rPr>
        <w:t>4</w:t>
      </w:r>
    </w:p>
    <w:p w:rsidR="00000000" w:rsidRDefault="00A270CC">
      <w:pPr>
        <w:rPr>
          <w:rFonts w:eastAsia="Times New Roman"/>
        </w:rPr>
      </w:pPr>
      <w:r>
        <w:rPr>
          <w:rFonts w:eastAsia="Times New Roman"/>
        </w:rPr>
        <w:pict>
          <v:rect id="_x0000_i1070" style="width:0;height:1.5pt" o:hralign="center" o:hrstd="t" o:hr="t" fillcolor="#a0a0a0" stroked="f"/>
        </w:pict>
      </w:r>
    </w:p>
    <w:p w:rsidR="00000000" w:rsidRDefault="00A270CC">
      <w:pPr>
        <w:divId w:val="33817892"/>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2694061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tbl>
      <w:tblPr>
        <w:tblW w:w="4992" w:type="pct"/>
        <w:tblCellMar>
          <w:top w:w="15" w:type="dxa"/>
          <w:left w:w="15" w:type="dxa"/>
          <w:bottom w:w="15" w:type="dxa"/>
          <w:right w:w="15" w:type="dxa"/>
        </w:tblCellMar>
        <w:tblLook w:val="04A0" w:firstRow="1" w:lastRow="0" w:firstColumn="1" w:lastColumn="0" w:noHBand="0" w:noVBand="1"/>
      </w:tblPr>
      <w:tblGrid>
        <w:gridCol w:w="39"/>
        <w:gridCol w:w="3561"/>
        <w:gridCol w:w="38"/>
        <w:gridCol w:w="36"/>
        <w:gridCol w:w="36"/>
        <w:gridCol w:w="36"/>
        <w:gridCol w:w="135"/>
        <w:gridCol w:w="725"/>
        <w:gridCol w:w="85"/>
        <w:gridCol w:w="36"/>
        <w:gridCol w:w="36"/>
        <w:gridCol w:w="36"/>
        <w:gridCol w:w="135"/>
        <w:gridCol w:w="728"/>
        <w:gridCol w:w="85"/>
        <w:gridCol w:w="36"/>
        <w:gridCol w:w="36"/>
        <w:gridCol w:w="36"/>
        <w:gridCol w:w="135"/>
        <w:gridCol w:w="728"/>
        <w:gridCol w:w="85"/>
        <w:gridCol w:w="36"/>
        <w:gridCol w:w="36"/>
        <w:gridCol w:w="36"/>
        <w:gridCol w:w="135"/>
        <w:gridCol w:w="730"/>
        <w:gridCol w:w="85"/>
        <w:gridCol w:w="36"/>
        <w:gridCol w:w="36"/>
        <w:gridCol w:w="36"/>
        <w:gridCol w:w="36"/>
        <w:gridCol w:w="36"/>
        <w:gridCol w:w="36"/>
        <w:gridCol w:w="36"/>
        <w:gridCol w:w="36"/>
        <w:gridCol w:w="36"/>
        <w:gridCol w:w="36"/>
        <w:gridCol w:w="36"/>
        <w:gridCol w:w="36"/>
      </w:tblGrid>
      <w:tr w:rsidR="00000000">
        <w:trPr>
          <w:gridAfter w:val="12"/>
          <w:divId w:val="882138188"/>
        </w:trPr>
        <w:tc>
          <w:tcPr>
            <w:tcW w:w="50" w:type="pct"/>
            <w:vAlign w:val="center"/>
            <w:hideMark/>
          </w:tcPr>
          <w:p w:rsidR="00000000" w:rsidRDefault="00A270CC">
            <w:pPr>
              <w:jc w:val="center"/>
              <w:rPr>
                <w:rFonts w:eastAsia="Times New Roman"/>
              </w:rPr>
            </w:pPr>
          </w:p>
        </w:tc>
        <w:tc>
          <w:tcPr>
            <w:tcW w:w="229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4"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88213818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Adjusted net income attributable to UGI Corporatio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88213818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Propan</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Internationa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Midstream &amp; Marketin</w:t>
            </w:r>
            <w:r>
              <w:rPr>
                <w:rFonts w:eastAsia="Times New Roman"/>
                <w:color w:val="000000"/>
                <w:sz w:val="20"/>
                <w:szCs w:val="20"/>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Corporate &amp; Other (a</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Net income (loss) attributable to UGI Corporatio</w:t>
            </w:r>
            <w:r>
              <w:rPr>
                <w:rFonts w:eastAsia="Times New Roman"/>
                <w:b/>
                <w:bCs/>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(gains) losses on commodity derivative instruments not associated with current-period transactions (net of tax of $46.8, $(11.1), $5.2, and $(47.5), respectively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Unrealized losses (gains) on foreign currency derivative instruments (net of tax of $(1.9), $(0.3), $(5.7), and $3.4, respectively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Loss on extinguishments of debt (net of tax of $0, $0, $0, and $(1.9), respectively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Merger expenses (net of tax of $0, $(0.1), $0, and $(0.2), respectively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Acquisition and integration expenses associated with the CMG Acquisition (net of tax of $0, $0, $(0.5), and $0, respectively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LPG business transformation expenses (net of tax of $(1.9), $0, $(12.2), and $0, respectively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Impairment of assets held-for-sale (net of tax of $(14.9), $0, $(14.9), and $0, respectively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adjustments (a)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(69.4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Adjusted net income attributable to UGI Corporatio</w:t>
            </w:r>
            <w:r>
              <w:rPr>
                <w:rFonts w:eastAsia="Times New Roman"/>
                <w:b/>
                <w:bCs/>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Height w:val="300"/>
        </w:trPr>
        <w:tc>
          <w:tcPr>
            <w:tcW w:w="0" w:type="auto"/>
            <w:gridSpan w:val="3"/>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88213818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Adjusted diluted earnings (loss) 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Propan</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Internationa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Midstream &amp; Marketin</w:t>
            </w:r>
            <w:r>
              <w:rPr>
                <w:rFonts w:eastAsia="Times New Roman"/>
                <w:color w:val="000000"/>
                <w:sz w:val="20"/>
                <w:szCs w:val="20"/>
              </w:rPr>
              <w:t>g</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Corporate &amp; Other (a</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Earnings (loss) per share - diluted (c</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Net (gains) losses on commodity derivative instruments not associated with current-period transactions (d</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Unrealized losses (gains) on foreign currency derivative instrument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Loss on extinguishments of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Merger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Acquisition and integration expenses associated with the CMG Acquisitio</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LPG business transformation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Impairment of assets held-for-sal</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adjustments (a) (c</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882138188"/>
        </w:trPr>
        <w:tc>
          <w:tcPr>
            <w:tcW w:w="0" w:type="auto"/>
            <w:gridSpan w:val="3"/>
            <w:shd w:val="clear" w:color="auto" w:fill="CCEEFF"/>
            <w:tcMar>
              <w:top w:w="30" w:type="dxa"/>
              <w:left w:w="20" w:type="dxa"/>
              <w:bottom w:w="30" w:type="dxa"/>
              <w:right w:w="20" w:type="dxa"/>
            </w:tcMar>
            <w:vAlign w:val="bottom"/>
            <w:hideMark/>
          </w:tcPr>
          <w:p w:rsidR="00000000" w:rsidRDefault="00A270CC">
            <w:pPr>
              <w:divId w:val="1468939187"/>
              <w:rPr>
                <w:rFonts w:eastAsia="Times New Roman"/>
              </w:rPr>
            </w:pPr>
            <w:r>
              <w:rPr>
                <w:rFonts w:eastAsia="Times New Roman"/>
                <w:b/>
                <w:bCs/>
                <w:color w:val="000000"/>
                <w:sz w:val="20"/>
                <w:szCs w:val="20"/>
              </w:rPr>
              <w:t>Adjusted earnings per share - dilute</w:t>
            </w:r>
            <w:r>
              <w:rPr>
                <w:rFonts w:eastAsia="Times New Roman"/>
                <w:b/>
                <w:bCs/>
                <w:color w:val="000000"/>
                <w:sz w:val="20"/>
                <w:szCs w:val="20"/>
              </w:rPr>
              <w:t>d</w:t>
            </w:r>
            <w:r>
              <w:rPr>
                <w:rFonts w:eastAsia="Times New Roman"/>
                <w:color w:val="000000"/>
                <w:sz w:val="20"/>
                <w:szCs w:val="20"/>
              </w:rPr>
              <w:t xml:space="preserve"> (c</w:t>
            </w:r>
            <w:r>
              <w:rPr>
                <w:rFonts w:eastAsia="Times New Roman"/>
                <w:color w:val="000000"/>
                <w:sz w:val="20"/>
                <w:szCs w:val="20"/>
              </w:rPr>
              <w:t>)</w:t>
            </w:r>
            <w:r>
              <w:rPr>
                <w:rFonts w:ascii="Arial" w:eastAsia="Times New Roman" w:hAnsi="Arial" w:cs="Arial"/>
                <w:color w:val="000000"/>
              </w:rPr>
              <w:t xml:space="preserve"> </w:t>
            </w:r>
            <w:r>
              <w:rPr>
                <w:rFonts w:eastAsia="Times New Roman"/>
                <w:color w:val="000000"/>
                <w:sz w:val="20"/>
                <w:szCs w:val="20"/>
              </w:rPr>
              <w:t>(e</w:t>
            </w:r>
            <w:r>
              <w:rPr>
                <w:rFonts w:eastAsia="Times New Roman"/>
                <w:color w:val="000000"/>
                <w:sz w:val="20"/>
                <w:szCs w:val="20"/>
              </w:rPr>
              <w:t>)</w:t>
            </w:r>
            <w:r>
              <w:rPr>
                <w:rFonts w:ascii="Arial" w:eastAsia="Times New Roman" w:hAnsi="Arial" w:cs="Arial"/>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center"/>
        <w:divId w:val="59838216"/>
        <w:rPr>
          <w:rFonts w:eastAsia="Times New Roman"/>
        </w:rPr>
      </w:pPr>
      <w:r>
        <w:rPr>
          <w:rFonts w:eastAsia="Times New Roman"/>
          <w:color w:val="000000"/>
          <w:sz w:val="20"/>
          <w:szCs w:val="20"/>
        </w:rPr>
        <w:t>4</w:t>
      </w:r>
      <w:r>
        <w:rPr>
          <w:rFonts w:eastAsia="Times New Roman"/>
          <w:color w:val="000000"/>
          <w:sz w:val="20"/>
          <w:szCs w:val="20"/>
        </w:rPr>
        <w:t>5</w:t>
      </w:r>
    </w:p>
    <w:p w:rsidR="00000000" w:rsidRDefault="00A270CC">
      <w:pPr>
        <w:rPr>
          <w:rFonts w:eastAsia="Times New Roman"/>
        </w:rPr>
      </w:pPr>
      <w:r>
        <w:rPr>
          <w:rFonts w:eastAsia="Times New Roman"/>
        </w:rPr>
        <w:pict>
          <v:rect id="_x0000_i1071" style="width:0;height:1.5pt" o:hralign="center" o:hrstd="t" o:hr="t" fillcolor="#a0a0a0" stroked="f"/>
        </w:pict>
      </w:r>
    </w:p>
    <w:p w:rsidR="00000000" w:rsidRDefault="00A270CC">
      <w:pPr>
        <w:divId w:val="118817534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33086160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Corporate &amp; Other includes certain adjustments made to our reporting segments in arriving at net income attributable to UGI Corporation, including the impact of the anticipated tax benefits re</w:t>
      </w:r>
      <w:r>
        <w:rPr>
          <w:rFonts w:eastAsia="Times New Roman"/>
          <w:color w:val="000000"/>
          <w:sz w:val="20"/>
          <w:szCs w:val="20"/>
        </w:rPr>
        <w:t>sulting from the carryback of an NOL for Fiscal 2020 pursuant to the provisions of the CARES Act.  These adjustments have been excluded from the segment results to align with the measure used by our CODM in assessing segment performance and allocating reso</w:t>
      </w:r>
      <w:r>
        <w:rPr>
          <w:rFonts w:eastAsia="Times New Roman"/>
          <w:color w:val="000000"/>
          <w:sz w:val="20"/>
          <w:szCs w:val="20"/>
        </w:rPr>
        <w:t>urces.  See “Interest Expense and Income Taxes” below and Note 16 to Condensed Consolidated Financial Statements for additional information related to these adjustments, as well as other items included within Corporate &amp; Other</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Income taxes associated w</w:t>
      </w:r>
      <w:r>
        <w:rPr>
          <w:rFonts w:eastAsia="Times New Roman"/>
          <w:color w:val="000000"/>
          <w:sz w:val="20"/>
          <w:szCs w:val="20"/>
        </w:rPr>
        <w:t>ith pre-tax adjustments determined using statutory business unit tax rates</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(c</w:t>
      </w:r>
      <w:r>
        <w:rPr>
          <w:rFonts w:eastAsia="Times New Roman"/>
          <w:color w:val="000000"/>
          <w:sz w:val="20"/>
          <w:szCs w:val="20"/>
        </w:rPr>
        <w:t>)</w:t>
      </w:r>
      <w:r>
        <w:rPr>
          <w:rFonts w:eastAsia="Times New Roman"/>
          <w:color w:val="000000"/>
          <w:sz w:val="20"/>
          <w:szCs w:val="20"/>
        </w:rPr>
        <w:t>Earnings per share for the 2020 three- and nine-month periods reflect 34.6 million incremental shares of UGI Common Stock issued in conjunction with the AmeriGas Merger</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(d</w:t>
      </w:r>
      <w:r>
        <w:rPr>
          <w:rFonts w:eastAsia="Times New Roman"/>
          <w:color w:val="000000"/>
          <w:sz w:val="20"/>
          <w:szCs w:val="20"/>
        </w:rPr>
        <w:t>)</w:t>
      </w:r>
      <w:r>
        <w:rPr>
          <w:rFonts w:eastAsia="Times New Roman"/>
          <w:color w:val="000000"/>
          <w:sz w:val="20"/>
          <w:szCs w:val="20"/>
        </w:rPr>
        <w:t>Incl</w:t>
      </w:r>
      <w:r>
        <w:rPr>
          <w:rFonts w:eastAsia="Times New Roman"/>
          <w:color w:val="000000"/>
          <w:sz w:val="20"/>
          <w:szCs w:val="20"/>
        </w:rPr>
        <w:t>udes the effects of rounding</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(e</w:t>
      </w:r>
      <w:r>
        <w:rPr>
          <w:rFonts w:eastAsia="Times New Roman"/>
          <w:color w:val="000000"/>
          <w:sz w:val="20"/>
          <w:szCs w:val="20"/>
        </w:rPr>
        <w:t>)</w:t>
      </w:r>
      <w:r>
        <w:rPr>
          <w:rFonts w:eastAsia="Times New Roman"/>
          <w:color w:val="000000"/>
          <w:sz w:val="20"/>
          <w:szCs w:val="20"/>
        </w:rPr>
        <w:t>Adjusted earnings per share for the three months ended June 30, 2019, is based upon fully diluted shares of 177.336 million</w:t>
      </w:r>
      <w:r>
        <w:rPr>
          <w:rFonts w:eastAsia="Times New Roman"/>
          <w:color w:val="000000"/>
          <w:sz w:val="20"/>
          <w:szCs w:val="20"/>
        </w:rPr>
        <w:t>.</w:t>
      </w:r>
    </w:p>
    <w:p w:rsidR="00000000" w:rsidRDefault="00A270CC">
      <w:pPr>
        <w:jc w:val="both"/>
        <w:rPr>
          <w:rFonts w:eastAsia="Times New Roman"/>
        </w:rPr>
      </w:pPr>
    </w:p>
    <w:p w:rsidR="00000000" w:rsidRDefault="00A270CC">
      <w:pPr>
        <w:divId w:val="366563394"/>
        <w:rPr>
          <w:rFonts w:eastAsia="Times New Roman"/>
        </w:rPr>
      </w:pPr>
      <w:r>
        <w:rPr>
          <w:rFonts w:eastAsia="Times New Roman"/>
          <w:b/>
          <w:bCs/>
          <w:color w:val="000000"/>
          <w:sz w:val="20"/>
          <w:szCs w:val="20"/>
          <w:u w:val="single"/>
        </w:rPr>
        <w:t>EXECUTIVE OVERVIE</w:t>
      </w:r>
      <w:r>
        <w:rPr>
          <w:rFonts w:eastAsia="Times New Roman"/>
          <w:b/>
          <w:bCs/>
          <w:color w:val="000000"/>
          <w:sz w:val="20"/>
          <w:szCs w:val="20"/>
          <w:u w:val="single"/>
        </w:rPr>
        <w:t>W</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u w:val="single"/>
        </w:rPr>
        <w:t>Three months ended June 30, 2020 and 201</w:t>
      </w:r>
      <w:r>
        <w:rPr>
          <w:rFonts w:eastAsia="Times New Roman"/>
          <w:b/>
          <w:bCs/>
          <w:color w:val="000000"/>
          <w:sz w:val="20"/>
          <w:szCs w:val="20"/>
          <w:u w:val="single"/>
        </w:rPr>
        <w:t>9</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Net income attributable to UGI Corporation in accordance with GAAP for the 2020 three-month period was $85.3 million (equal to $0.41 per diluted share) compared to net loss attributable to UGI Corporation for the 2019 three-month period of $1.9 million (eq</w:t>
      </w:r>
      <w:r>
        <w:rPr>
          <w:rFonts w:eastAsia="Times New Roman"/>
          <w:color w:val="000000"/>
          <w:sz w:val="20"/>
          <w:szCs w:val="20"/>
          <w:shd w:val="clear" w:color="auto" w:fill="FFFFFF"/>
        </w:rPr>
        <w:t>ual to $(0.01) per diluted share). GAAP net income in the 2020 three-month period reflects higher net gains from changes in unrealized gains and losses on commodity derivative instruments and a tax benefit resulting from the carryback of an NOL under the C</w:t>
      </w:r>
      <w:r>
        <w:rPr>
          <w:rFonts w:eastAsia="Times New Roman"/>
          <w:color w:val="000000"/>
          <w:sz w:val="20"/>
          <w:szCs w:val="20"/>
          <w:shd w:val="clear" w:color="auto" w:fill="FFFFFF"/>
        </w:rPr>
        <w:t xml:space="preserve">ARES Act. The effect of these items was partially offset by an impairment charge related to assets held for sale, the impacts of COVID-19 on business unit operating results, LPG business transformation expenses recorded in the 2020 three-month period, and </w:t>
      </w:r>
      <w:r>
        <w:rPr>
          <w:rFonts w:eastAsia="Times New Roman"/>
          <w:color w:val="000000"/>
          <w:sz w:val="20"/>
          <w:szCs w:val="20"/>
          <w:shd w:val="clear" w:color="auto" w:fill="FFFFFF"/>
        </w:rPr>
        <w:t>higher interest and depreciation and amortization expense compared to the prior-year period. Fiscal 2020 results also reflect the full ownership of AmeriGas Partners as a result of the AmeriGas Merger completed in August 2019, as well as the earnings per s</w:t>
      </w:r>
      <w:r>
        <w:rPr>
          <w:rFonts w:eastAsia="Times New Roman"/>
          <w:color w:val="000000"/>
          <w:sz w:val="20"/>
          <w:szCs w:val="20"/>
          <w:shd w:val="clear" w:color="auto" w:fill="FFFFFF"/>
        </w:rPr>
        <w:t xml:space="preserve">hare impact of 34.6 million shares of UGI Common Stock issued in connection with this transaction. </w:t>
      </w:r>
    </w:p>
    <w:p w:rsidR="00000000" w:rsidRDefault="00A270CC">
      <w:pPr>
        <w:divId w:val="499739542"/>
        <w:rPr>
          <w:rFonts w:eastAsia="Times New Roman"/>
        </w:rPr>
      </w:pPr>
    </w:p>
    <w:p w:rsidR="00000000" w:rsidRDefault="00A270CC">
      <w:pPr>
        <w:jc w:val="both"/>
        <w:divId w:val="277374850"/>
        <w:rPr>
          <w:rFonts w:eastAsia="Times New Roman"/>
        </w:rPr>
      </w:pPr>
      <w:r>
        <w:rPr>
          <w:rFonts w:eastAsia="Times New Roman"/>
          <w:color w:val="000000"/>
          <w:sz w:val="20"/>
          <w:szCs w:val="20"/>
          <w:shd w:val="clear" w:color="auto" w:fill="FFFFFF"/>
        </w:rPr>
        <w:t>Adjusted net income attributable to UGI Corporation for the 2020 three-month period was $15.9 million (equal to $0.08 per diluted share) compared to adjus</w:t>
      </w:r>
      <w:r>
        <w:rPr>
          <w:rFonts w:eastAsia="Times New Roman"/>
          <w:color w:val="000000"/>
          <w:sz w:val="20"/>
          <w:szCs w:val="20"/>
          <w:shd w:val="clear" w:color="auto" w:fill="FFFFFF"/>
        </w:rPr>
        <w:t xml:space="preserve">ted net income attributable to UGI Corporation for the 2019 three-month period of $23.9 million (equal to $0.13 per diluted share). The decrease in adjusted net income attributable to UGI Corporation during the 2020 three-month period principally reflects </w:t>
      </w:r>
      <w:r>
        <w:rPr>
          <w:rFonts w:eastAsia="Times New Roman"/>
          <w:color w:val="000000"/>
          <w:sz w:val="20"/>
          <w:szCs w:val="20"/>
          <w:shd w:val="clear" w:color="auto" w:fill="FFFFFF"/>
        </w:rPr>
        <w:t>a larger net loss attributable to the full ownership of AmeriGas Partners, the effects of COVID-19 on volumes and business unit operating results, and higher interest and depreciation and amortization expense compared to the prior-year period. These factor</w:t>
      </w:r>
      <w:r>
        <w:rPr>
          <w:rFonts w:eastAsia="Times New Roman"/>
          <w:color w:val="000000"/>
          <w:sz w:val="20"/>
          <w:szCs w:val="20"/>
          <w:shd w:val="clear" w:color="auto" w:fill="FFFFFF"/>
        </w:rPr>
        <w:t>s were partially offset by incremental net income related to UGI Appalachia, the effects of significantly colder weather in the U.S. compared to the prior-year period, and a lower effective income tax rate in the 2020 three-month period which includes a cu</w:t>
      </w:r>
      <w:r>
        <w:rPr>
          <w:rFonts w:eastAsia="Times New Roman"/>
          <w:color w:val="000000"/>
          <w:sz w:val="20"/>
          <w:szCs w:val="20"/>
          <w:shd w:val="clear" w:color="auto" w:fill="FFFFFF"/>
        </w:rPr>
        <w:t>rrent-year NOL benefit resulting from the CARES Act partially offset by higher taxes on foreign source income related to lower anticipated utilization of foreign tax attributes.</w:t>
      </w:r>
    </w:p>
    <w:p w:rsidR="00000000" w:rsidRDefault="00A270CC">
      <w:pPr>
        <w:jc w:val="both"/>
        <w:divId w:val="111292589"/>
        <w:rPr>
          <w:rFonts w:eastAsia="Times New Roman"/>
        </w:rPr>
      </w:pPr>
      <w:r>
        <w:rPr>
          <w:rFonts w:eastAsia="Times New Roman"/>
          <w:color w:val="000000"/>
          <w:sz w:val="20"/>
          <w:szCs w:val="20"/>
        </w:rPr>
        <w:t>While our results for the three months ended June 30, 2020, reflect average te</w:t>
      </w:r>
      <w:r>
        <w:rPr>
          <w:rFonts w:eastAsia="Times New Roman"/>
          <w:color w:val="000000"/>
          <w:sz w:val="20"/>
          <w:szCs w:val="20"/>
        </w:rPr>
        <w:t>mperatures that were significantly colder than the prior year at our domestic reportable segments, there are significantly fewer heating degree days in our fiscal third quarter than in our fiscal first and second quarters. As a result, year-over-year varia</w:t>
      </w:r>
      <w:r>
        <w:rPr>
          <w:rFonts w:eastAsia="Times New Roman"/>
          <w:color w:val="000000"/>
          <w:sz w:val="20"/>
          <w:szCs w:val="20"/>
        </w:rPr>
        <w:t>nces in temperatures during the three months ended June 30 have less of an impact on the comparison of our results than variances in temperatures during the fiscal first and second quarters.</w:t>
      </w:r>
      <w:r>
        <w:rPr>
          <w:rFonts w:eastAsia="Times New Roman"/>
          <w:color w:val="000000"/>
          <w:sz w:val="20"/>
          <w:szCs w:val="20"/>
        </w:rPr>
        <w:t xml:space="preserve"> </w:t>
      </w:r>
    </w:p>
    <w:p w:rsidR="00000000" w:rsidRDefault="00A270CC">
      <w:pPr>
        <w:jc w:val="both"/>
        <w:divId w:val="1640723456"/>
        <w:rPr>
          <w:rFonts w:eastAsia="Times New Roman"/>
        </w:rPr>
      </w:pPr>
      <w:r>
        <w:rPr>
          <w:rFonts w:eastAsia="Times New Roman"/>
          <w:color w:val="000000"/>
          <w:sz w:val="20"/>
          <w:szCs w:val="20"/>
          <w:shd w:val="clear" w:color="auto" w:fill="FFFFFF"/>
        </w:rPr>
        <w:t>The increase in adjusted net loss from AmeriGas Propane in the 2</w:t>
      </w:r>
      <w:r>
        <w:rPr>
          <w:rFonts w:eastAsia="Times New Roman"/>
          <w:color w:val="000000"/>
          <w:sz w:val="20"/>
          <w:szCs w:val="20"/>
          <w:shd w:val="clear" w:color="auto" w:fill="FFFFFF"/>
        </w:rPr>
        <w:t>020 three-month period reflects the inclusion of 100% of AmeriGas Propane’s seasonal loss in the current-year period as a result of the AmeriGas Merger. Operating results for the Partnership improved principally reflecting lower operating and administrativ</w:t>
      </w:r>
      <w:r>
        <w:rPr>
          <w:rFonts w:eastAsia="Times New Roman"/>
          <w:color w:val="000000"/>
          <w:sz w:val="20"/>
          <w:szCs w:val="20"/>
          <w:shd w:val="clear" w:color="auto" w:fill="FFFFFF"/>
        </w:rPr>
        <w:t xml:space="preserve">e expenses and a slight improvement in total margin. </w:t>
      </w:r>
    </w:p>
    <w:p w:rsidR="00000000" w:rsidRDefault="00A270CC">
      <w:pPr>
        <w:jc w:val="both"/>
        <w:rPr>
          <w:rFonts w:eastAsia="Times New Roman"/>
        </w:rPr>
      </w:pPr>
      <w:r>
        <w:rPr>
          <w:rFonts w:eastAsia="Times New Roman"/>
          <w:color w:val="000000"/>
          <w:sz w:val="20"/>
          <w:szCs w:val="20"/>
          <w:shd w:val="clear" w:color="auto" w:fill="FFFFFF"/>
        </w:rPr>
        <w:t>UGI International adjusted net loss was $11.3 million in the 2020 three month period as compared to adjusted net income of $14.8 million in the 2019 three-month period reflecting the effects of signific</w:t>
      </w:r>
      <w:r>
        <w:rPr>
          <w:rFonts w:eastAsia="Times New Roman"/>
          <w:color w:val="000000"/>
          <w:sz w:val="20"/>
          <w:szCs w:val="20"/>
          <w:shd w:val="clear" w:color="auto" w:fill="FFFFFF"/>
        </w:rPr>
        <w:t>antly warmer weather and</w:t>
      </w:r>
      <w:r>
        <w:rPr>
          <w:rFonts w:eastAsia="Times New Roman"/>
          <w:color w:val="000000"/>
          <w:sz w:val="20"/>
          <w:szCs w:val="20"/>
          <w:shd w:val="clear" w:color="auto" w:fill="FFFFFF"/>
        </w:rPr>
        <w:t xml:space="preserve"> </w:t>
      </w:r>
      <w:r>
        <w:rPr>
          <w:rFonts w:eastAsia="Times New Roman"/>
          <w:color w:val="000000"/>
          <w:sz w:val="20"/>
          <w:szCs w:val="20"/>
        </w:rPr>
        <w:t xml:space="preserve">the impacts of COVID-19 </w:t>
      </w:r>
      <w:r>
        <w:rPr>
          <w:rFonts w:eastAsia="Times New Roman"/>
          <w:color w:val="000000"/>
          <w:sz w:val="20"/>
          <w:szCs w:val="20"/>
        </w:rPr>
        <w:t>o</w:t>
      </w:r>
      <w:r>
        <w:rPr>
          <w:rFonts w:eastAsia="Times New Roman"/>
          <w:color w:val="000000"/>
          <w:sz w:val="20"/>
          <w:szCs w:val="20"/>
          <w:shd w:val="clear" w:color="auto" w:fill="FFFFFF"/>
        </w:rPr>
        <w:t xml:space="preserve">n margin during the current-year period, partially offset by lower operating and administrative expenses. </w:t>
      </w:r>
    </w:p>
    <w:p w:rsidR="00000000" w:rsidRDefault="00A270CC">
      <w:pPr>
        <w:jc w:val="both"/>
        <w:rPr>
          <w:rFonts w:eastAsia="Times New Roman"/>
        </w:rPr>
      </w:pPr>
    </w:p>
    <w:p w:rsidR="00000000" w:rsidRDefault="00A270CC">
      <w:pPr>
        <w:jc w:val="both"/>
        <w:divId w:val="1203634974"/>
        <w:rPr>
          <w:rFonts w:eastAsia="Times New Roman"/>
        </w:rPr>
      </w:pPr>
      <w:r>
        <w:rPr>
          <w:rFonts w:eastAsia="Times New Roman"/>
          <w:color w:val="000000"/>
          <w:sz w:val="20"/>
          <w:szCs w:val="20"/>
          <w:shd w:val="clear" w:color="auto" w:fill="FFFFFF"/>
        </w:rPr>
        <w:t>Midstream &amp; Marketing adjusted net income in the 2020 three-month period increased $4.5 million c</w:t>
      </w:r>
      <w:r>
        <w:rPr>
          <w:rFonts w:eastAsia="Times New Roman"/>
          <w:color w:val="000000"/>
          <w:sz w:val="20"/>
          <w:szCs w:val="20"/>
          <w:shd w:val="clear" w:color="auto" w:fill="FFFFFF"/>
        </w:rPr>
        <w:t xml:space="preserve">ompared to the prior-year period. This increase principally reflects incremental net income from UGI Appalachia, which includes the effects of increased depreciation and amortization expense and interest expense related to debt issued to finance a portion </w:t>
      </w:r>
      <w:r>
        <w:rPr>
          <w:rFonts w:eastAsia="Times New Roman"/>
          <w:color w:val="000000"/>
          <w:sz w:val="20"/>
          <w:szCs w:val="20"/>
          <w:shd w:val="clear" w:color="auto" w:fill="FFFFFF"/>
        </w:rPr>
        <w:t xml:space="preserve">of its acquisition. </w:t>
      </w:r>
    </w:p>
    <w:p w:rsidR="00000000" w:rsidRDefault="00A270CC">
      <w:pPr>
        <w:jc w:val="both"/>
        <w:divId w:val="677855739"/>
        <w:rPr>
          <w:rFonts w:eastAsia="Times New Roman"/>
        </w:rPr>
      </w:pPr>
      <w:r>
        <w:rPr>
          <w:rFonts w:eastAsia="Times New Roman"/>
          <w:color w:val="000000"/>
          <w:sz w:val="20"/>
          <w:szCs w:val="20"/>
          <w:shd w:val="clear" w:color="auto" w:fill="FFFFFF"/>
        </w:rPr>
        <w:t xml:space="preserve">UGI Utilities 2020 three-month period adjusted net income decreased $2.6 million compared to the prior-year period. Increases in depreciation expense, operating and administrative expenses, and interest expense in the 2020 three-month </w:t>
      </w:r>
      <w:r>
        <w:rPr>
          <w:rFonts w:eastAsia="Times New Roman"/>
          <w:color w:val="000000"/>
          <w:sz w:val="20"/>
          <w:szCs w:val="20"/>
          <w:shd w:val="clear" w:color="auto" w:fill="FFFFFF"/>
        </w:rPr>
        <w:t xml:space="preserve">period were largely offset by higher total margin which benefited from colder weather compared to the prior-year period. </w:t>
      </w:r>
    </w:p>
    <w:p w:rsidR="00000000" w:rsidRDefault="00A270CC">
      <w:pPr>
        <w:jc w:val="center"/>
        <w:divId w:val="1158421231"/>
        <w:rPr>
          <w:rFonts w:eastAsia="Times New Roman"/>
        </w:rPr>
      </w:pPr>
      <w:r>
        <w:rPr>
          <w:rFonts w:eastAsia="Times New Roman"/>
          <w:color w:val="000000"/>
          <w:sz w:val="20"/>
          <w:szCs w:val="20"/>
        </w:rPr>
        <w:t>4</w:t>
      </w:r>
      <w:r>
        <w:rPr>
          <w:rFonts w:eastAsia="Times New Roman"/>
          <w:color w:val="000000"/>
          <w:sz w:val="20"/>
          <w:szCs w:val="20"/>
        </w:rPr>
        <w:t>6</w:t>
      </w:r>
    </w:p>
    <w:p w:rsidR="00000000" w:rsidRDefault="00A270CC">
      <w:pPr>
        <w:rPr>
          <w:rFonts w:eastAsia="Times New Roman"/>
        </w:rPr>
      </w:pPr>
      <w:r>
        <w:rPr>
          <w:rFonts w:eastAsia="Times New Roman"/>
        </w:rPr>
        <w:pict>
          <v:rect id="_x0000_i1072" style="width:0;height:1.5pt" o:hralign="center" o:hrstd="t" o:hr="t" fillcolor="#a0a0a0" stroked="f"/>
        </w:pict>
      </w:r>
    </w:p>
    <w:p w:rsidR="00000000" w:rsidRDefault="00A270CC">
      <w:pPr>
        <w:divId w:val="1907371971"/>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02172282"/>
        <w:rPr>
          <w:rFonts w:eastAsia="Times New Roman"/>
        </w:rPr>
      </w:pPr>
      <w:r>
        <w:rPr>
          <w:rFonts w:eastAsia="Times New Roman"/>
          <w:b/>
          <w:bCs/>
          <w:color w:val="000000"/>
          <w:sz w:val="20"/>
          <w:szCs w:val="20"/>
        </w:rPr>
        <w:t>UGI CORPORATION AN</w:t>
      </w:r>
      <w:r>
        <w:rPr>
          <w:rFonts w:eastAsia="Times New Roman"/>
          <w:b/>
          <w:bCs/>
          <w:color w:val="000000"/>
          <w:sz w:val="20"/>
          <w:szCs w:val="20"/>
        </w:rPr>
        <w:t>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color w:val="000000"/>
          <w:sz w:val="20"/>
          <w:szCs w:val="20"/>
          <w:u w:val="single"/>
        </w:rPr>
        <w:t>Nine months ended June 30, 2020 and 201</w:t>
      </w:r>
      <w:r>
        <w:rPr>
          <w:rFonts w:eastAsia="Times New Roman"/>
          <w:b/>
          <w:bCs/>
          <w:color w:val="000000"/>
          <w:sz w:val="20"/>
          <w:szCs w:val="20"/>
          <w:u w:val="single"/>
        </w:rPr>
        <w:t>9</w:t>
      </w:r>
    </w:p>
    <w:p w:rsidR="00000000" w:rsidRDefault="00A270CC">
      <w:pPr>
        <w:divId w:val="1689717042"/>
        <w:rPr>
          <w:rFonts w:eastAsia="Times New Roman"/>
        </w:rPr>
      </w:pPr>
    </w:p>
    <w:p w:rsidR="00000000" w:rsidRDefault="00A270CC">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in accordance with GAAP for the 2020 nine-month period was $522.8 million (equal to $2.49 per diluted share) compared to net income attributabl</w:t>
      </w:r>
      <w:r>
        <w:rPr>
          <w:rFonts w:eastAsia="Times New Roman"/>
          <w:color w:val="000000"/>
          <w:sz w:val="20"/>
          <w:szCs w:val="20"/>
          <w:shd w:val="clear" w:color="auto" w:fill="FFFFFF"/>
        </w:rPr>
        <w:t>e to UGI Corporation for the 2019 nine-month period of $307.7 million (equal to $1.73 per diluted share). GAAP net income in the 2020 nine-month period reflects lower net losses from changes in unrealized gains and losses on commodity derivative instrument</w:t>
      </w:r>
      <w:r>
        <w:rPr>
          <w:rFonts w:eastAsia="Times New Roman"/>
          <w:color w:val="000000"/>
          <w:sz w:val="20"/>
          <w:szCs w:val="20"/>
          <w:shd w:val="clear" w:color="auto" w:fill="FFFFFF"/>
        </w:rPr>
        <w:t>s and certain foreign currency derivative instruments, the full ownership of AmeriGas Partners as a result of the AmeriGas Merger completed in August 2019, and a tax benefit resulting from the carryback of an NOL under the CARES Act. These factors were par</w:t>
      </w:r>
      <w:r>
        <w:rPr>
          <w:rFonts w:eastAsia="Times New Roman"/>
          <w:color w:val="000000"/>
          <w:sz w:val="20"/>
          <w:szCs w:val="20"/>
          <w:shd w:val="clear" w:color="auto" w:fill="FFFFFF"/>
        </w:rPr>
        <w:t>tially offset by an impairment charge related to assets held for sale, higher interest and depreciation and amortization expense compared to the prior-year period, and the effects of LPG business transformation expenses in the 2020 nine-month period. Fisca</w:t>
      </w:r>
      <w:r>
        <w:rPr>
          <w:rFonts w:eastAsia="Times New Roman"/>
          <w:color w:val="000000"/>
          <w:sz w:val="20"/>
          <w:szCs w:val="20"/>
          <w:shd w:val="clear" w:color="auto" w:fill="FFFFFF"/>
        </w:rPr>
        <w:t xml:space="preserve">l 2020 earnings per share amounts include the impact of 34.6 million shares of UGI Common Stock issued in connection with the AmeriGas Merger transaction. </w:t>
      </w:r>
    </w:p>
    <w:p w:rsidR="00000000" w:rsidRDefault="00A270CC">
      <w:pPr>
        <w:divId w:val="1488207935"/>
        <w:rPr>
          <w:rFonts w:eastAsia="Times New Roman"/>
        </w:rPr>
      </w:pPr>
    </w:p>
    <w:p w:rsidR="00000000" w:rsidRDefault="00A270CC">
      <w:pPr>
        <w:jc w:val="both"/>
        <w:divId w:val="1377896772"/>
        <w:rPr>
          <w:rFonts w:eastAsia="Times New Roman"/>
        </w:rPr>
      </w:pPr>
      <w:r>
        <w:rPr>
          <w:rFonts w:eastAsia="Times New Roman"/>
          <w:color w:val="000000"/>
          <w:sz w:val="20"/>
          <w:szCs w:val="20"/>
          <w:shd w:val="clear" w:color="auto" w:fill="FFFFFF"/>
        </w:rPr>
        <w:t>Adjusted net income attributable to UGI Corporation for the 2020 nine-month period was $589.7 mill</w:t>
      </w:r>
      <w:r>
        <w:rPr>
          <w:rFonts w:eastAsia="Times New Roman"/>
          <w:color w:val="000000"/>
          <w:sz w:val="20"/>
          <w:szCs w:val="20"/>
          <w:shd w:val="clear" w:color="auto" w:fill="FFFFFF"/>
        </w:rPr>
        <w:t xml:space="preserve">ion (equal to $2.81 per diluted share) compared to adjusted net income attributable to UGI Corporation for the 2019 nine-month period of $421.6 million (equal to $2.38 per diluted share). The increase in adjusted net income attributable to UGI Corporation </w:t>
      </w:r>
      <w:r>
        <w:rPr>
          <w:rFonts w:eastAsia="Times New Roman"/>
          <w:color w:val="000000"/>
          <w:sz w:val="20"/>
          <w:szCs w:val="20"/>
          <w:shd w:val="clear" w:color="auto" w:fill="FFFFFF"/>
        </w:rPr>
        <w:t xml:space="preserve">during the 2020 nine-month period reflects higher earnings contributions from our domestic business segments despite the effects of warmer weather and COVID-19 on business unit operating results. The higher adjusted net income attributable to UGI includes </w:t>
      </w:r>
      <w:r>
        <w:rPr>
          <w:rFonts w:eastAsia="Times New Roman"/>
          <w:color w:val="000000"/>
          <w:sz w:val="20"/>
          <w:szCs w:val="20"/>
          <w:shd w:val="clear" w:color="auto" w:fill="FFFFFF"/>
        </w:rPr>
        <w:t>the effects of the previously mentioned AmeriGas Merger and incremental earnings from UGI Appalachia, including increased interest expense from debt issued in conjunction with these transactions. Adjusted net income in the 2020 nine-month period also refle</w:t>
      </w:r>
      <w:r>
        <w:rPr>
          <w:rFonts w:eastAsia="Times New Roman"/>
          <w:color w:val="000000"/>
          <w:sz w:val="20"/>
          <w:szCs w:val="20"/>
          <w:shd w:val="clear" w:color="auto" w:fill="FFFFFF"/>
        </w:rPr>
        <w:t xml:space="preserve">cts an NOL benefit resulting from the CARES Act partially offset by higher taxes on foreign source income related to lower anticipated utilization of foreign tax attributes. </w:t>
      </w:r>
    </w:p>
    <w:p w:rsidR="00000000" w:rsidRDefault="00A270CC">
      <w:pPr>
        <w:jc w:val="both"/>
        <w:divId w:val="217058657"/>
        <w:rPr>
          <w:rFonts w:eastAsia="Times New Roman"/>
        </w:rPr>
      </w:pPr>
      <w:r>
        <w:rPr>
          <w:rFonts w:eastAsia="Times New Roman"/>
          <w:color w:val="000000"/>
          <w:sz w:val="20"/>
          <w:szCs w:val="20"/>
          <w:shd w:val="clear" w:color="auto" w:fill="FFFFFF"/>
        </w:rPr>
        <w:t>The significant increase in adjusted net income attributable to UGI from AmeriGas</w:t>
      </w:r>
      <w:r>
        <w:rPr>
          <w:rFonts w:eastAsia="Times New Roman"/>
          <w:color w:val="000000"/>
          <w:sz w:val="20"/>
          <w:szCs w:val="20"/>
          <w:shd w:val="clear" w:color="auto" w:fill="FFFFFF"/>
        </w:rPr>
        <w:t xml:space="preserve"> Propane in the 2020 nine-month period reflects the inclusion of 100% of AmeriGas Propane’s results in the current-year period as a result of the AmeriGas Merger and lower operating and administrative expenses. These positive factors were partially offset </w:t>
      </w:r>
      <w:r>
        <w:rPr>
          <w:rFonts w:eastAsia="Times New Roman"/>
          <w:color w:val="000000"/>
          <w:sz w:val="20"/>
          <w:szCs w:val="20"/>
          <w:shd w:val="clear" w:color="auto" w:fill="FFFFFF"/>
        </w:rPr>
        <w:t xml:space="preserve">by lower total margin. </w:t>
      </w:r>
    </w:p>
    <w:p w:rsidR="00000000" w:rsidRDefault="00A270CC">
      <w:pPr>
        <w:jc w:val="both"/>
        <w:divId w:val="1249272716"/>
        <w:rPr>
          <w:rFonts w:eastAsia="Times New Roman"/>
        </w:rPr>
      </w:pPr>
      <w:r>
        <w:rPr>
          <w:rFonts w:eastAsia="Times New Roman"/>
          <w:color w:val="000000"/>
          <w:sz w:val="20"/>
          <w:szCs w:val="20"/>
          <w:shd w:val="clear" w:color="auto" w:fill="FFFFFF"/>
        </w:rPr>
        <w:t>UGI International adjusted net income was $4.2 million lower in the 2020 nine-month period reflecting higher income taxes, the effects of significantly warmer weather and</w:t>
      </w:r>
      <w:r>
        <w:rPr>
          <w:rFonts w:eastAsia="Times New Roman"/>
          <w:color w:val="000000"/>
          <w:sz w:val="20"/>
          <w:szCs w:val="20"/>
          <w:shd w:val="clear" w:color="auto" w:fill="FFFFFF"/>
        </w:rPr>
        <w:t xml:space="preserve"> </w:t>
      </w:r>
      <w:r>
        <w:rPr>
          <w:rFonts w:eastAsia="Times New Roman"/>
          <w:color w:val="000000"/>
          <w:sz w:val="20"/>
          <w:szCs w:val="20"/>
        </w:rPr>
        <w:t xml:space="preserve">the impacts of COVID-19 </w:t>
      </w:r>
      <w:r>
        <w:rPr>
          <w:rFonts w:eastAsia="Times New Roman"/>
          <w:color w:val="000000"/>
          <w:sz w:val="20"/>
          <w:szCs w:val="20"/>
        </w:rPr>
        <w:t>o</w:t>
      </w:r>
      <w:r>
        <w:rPr>
          <w:rFonts w:eastAsia="Times New Roman"/>
          <w:color w:val="000000"/>
          <w:sz w:val="20"/>
          <w:szCs w:val="20"/>
          <w:shd w:val="clear" w:color="auto" w:fill="FFFFFF"/>
        </w:rPr>
        <w:t>n margin, and higher interest expens</w:t>
      </w:r>
      <w:r>
        <w:rPr>
          <w:rFonts w:eastAsia="Times New Roman"/>
          <w:color w:val="000000"/>
          <w:sz w:val="20"/>
          <w:szCs w:val="20"/>
          <w:shd w:val="clear" w:color="auto" w:fill="FFFFFF"/>
        </w:rPr>
        <w:t>e during the current-year period, partially offset by decreased operating and administrative expenses. Although UGI International 2020 nine-month period adjusted net income was impacted by a weaker euro compared to the prior-year period, adjusted net incom</w:t>
      </w:r>
      <w:r>
        <w:rPr>
          <w:rFonts w:eastAsia="Times New Roman"/>
          <w:color w:val="000000"/>
          <w:sz w:val="20"/>
          <w:szCs w:val="20"/>
          <w:shd w:val="clear" w:color="auto" w:fill="FFFFFF"/>
        </w:rPr>
        <w:t>e also benefited from higher realized gains on foreign currency exchange contracts.</w:t>
      </w:r>
    </w:p>
    <w:p w:rsidR="00000000" w:rsidRDefault="00A270CC">
      <w:pPr>
        <w:jc w:val="both"/>
        <w:divId w:val="317927081"/>
        <w:rPr>
          <w:rFonts w:eastAsia="Times New Roman"/>
        </w:rPr>
      </w:pPr>
      <w:r>
        <w:rPr>
          <w:rFonts w:eastAsia="Times New Roman"/>
          <w:color w:val="000000"/>
          <w:sz w:val="20"/>
          <w:szCs w:val="20"/>
          <w:shd w:val="clear" w:color="auto" w:fill="FFFFFF"/>
        </w:rPr>
        <w:t xml:space="preserve">Midstream &amp; Marketing adjusted net income in the 2020 nine-month period was $21.4 million higher than the prior-year period. This increase principally reflects incremental </w:t>
      </w:r>
      <w:r>
        <w:rPr>
          <w:rFonts w:eastAsia="Times New Roman"/>
          <w:color w:val="000000"/>
          <w:sz w:val="20"/>
          <w:szCs w:val="20"/>
          <w:shd w:val="clear" w:color="auto" w:fill="FFFFFF"/>
        </w:rPr>
        <w:t xml:space="preserve">net income from UGI Appalachia, which includes the effects of increased depreciation and amortization expense and interest expense related to debt issued to finance a portion of its acquisition. </w:t>
      </w:r>
    </w:p>
    <w:p w:rsidR="00000000" w:rsidRDefault="00A270CC">
      <w:pPr>
        <w:divId w:val="813761989"/>
        <w:rPr>
          <w:rFonts w:eastAsia="Times New Roman"/>
        </w:rPr>
      </w:pPr>
      <w:r>
        <w:rPr>
          <w:rFonts w:eastAsia="Times New Roman"/>
          <w:color w:val="000000"/>
          <w:sz w:val="20"/>
          <w:szCs w:val="20"/>
          <w:shd w:val="clear" w:color="auto" w:fill="FFFFFF"/>
        </w:rPr>
        <w:t>UGI Utilities 2020 nine-month period adjusted net income inc</w:t>
      </w:r>
      <w:r>
        <w:rPr>
          <w:rFonts w:eastAsia="Times New Roman"/>
          <w:color w:val="000000"/>
          <w:sz w:val="20"/>
          <w:szCs w:val="20"/>
          <w:shd w:val="clear" w:color="auto" w:fill="FFFFFF"/>
        </w:rPr>
        <w:t>reased $7.9 million compared to the prior-year period principally attributable to an increase in total margin, reflecting incremental margin from an increase in Gas Utility base rates effective October 11, 2019, and lower operating and administrative expen</w:t>
      </w:r>
      <w:r>
        <w:rPr>
          <w:rFonts w:eastAsia="Times New Roman"/>
          <w:color w:val="000000"/>
          <w:sz w:val="20"/>
          <w:szCs w:val="20"/>
          <w:shd w:val="clear" w:color="auto" w:fill="FFFFFF"/>
        </w:rPr>
        <w:t>ses. The increase in total margin resulting from the increase in Gas Utility base rates was partially offset by the effects of</w:t>
      </w:r>
      <w:r>
        <w:rPr>
          <w:rFonts w:eastAsia="Times New Roman"/>
          <w:color w:val="000000"/>
          <w:sz w:val="20"/>
          <w:szCs w:val="20"/>
          <w:shd w:val="clear" w:color="auto" w:fill="FFFFFF"/>
        </w:rPr>
        <w:t xml:space="preserve"> </w:t>
      </w:r>
      <w:r>
        <w:rPr>
          <w:rFonts w:eastAsia="Times New Roman"/>
          <w:color w:val="000000"/>
          <w:sz w:val="20"/>
          <w:szCs w:val="20"/>
        </w:rPr>
        <w:t>warmer weather compared to the prior-year and reduced volumes attributable to COVID-19</w:t>
      </w:r>
      <w:r>
        <w:rPr>
          <w:rFonts w:eastAsia="Times New Roman"/>
          <w:color w:val="000000"/>
          <w:sz w:val="20"/>
          <w:szCs w:val="20"/>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Depreciation and interest expense also increased during the current-year period. </w:t>
      </w:r>
    </w:p>
    <w:p w:rsidR="00000000" w:rsidRDefault="00A270CC">
      <w:pPr>
        <w:jc w:val="both"/>
        <w:rPr>
          <w:rFonts w:eastAsia="Times New Roman"/>
        </w:rPr>
      </w:pPr>
    </w:p>
    <w:p w:rsidR="00000000" w:rsidRDefault="00A270CC">
      <w:pPr>
        <w:jc w:val="center"/>
        <w:divId w:val="1913932581"/>
        <w:rPr>
          <w:rFonts w:eastAsia="Times New Roman"/>
        </w:rPr>
      </w:pPr>
      <w:r>
        <w:rPr>
          <w:rFonts w:eastAsia="Times New Roman"/>
          <w:color w:val="000000"/>
          <w:sz w:val="20"/>
          <w:szCs w:val="20"/>
        </w:rPr>
        <w:t>4</w:t>
      </w:r>
      <w:r>
        <w:rPr>
          <w:rFonts w:eastAsia="Times New Roman"/>
          <w:color w:val="000000"/>
          <w:sz w:val="20"/>
          <w:szCs w:val="20"/>
        </w:rPr>
        <w:t>7</w:t>
      </w:r>
    </w:p>
    <w:p w:rsidR="00000000" w:rsidRDefault="00A270CC">
      <w:pPr>
        <w:rPr>
          <w:rFonts w:eastAsia="Times New Roman"/>
        </w:rPr>
      </w:pPr>
      <w:r>
        <w:rPr>
          <w:rFonts w:eastAsia="Times New Roman"/>
        </w:rPr>
        <w:pict>
          <v:rect id="_x0000_i1073" style="width:0;height:1.5pt" o:hralign="center" o:hrstd="t" o:hr="t" fillcolor="#a0a0a0" stroked="f"/>
        </w:pict>
      </w:r>
    </w:p>
    <w:p w:rsidR="00000000" w:rsidRDefault="00A270CC">
      <w:pPr>
        <w:divId w:val="23593742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832478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divId w:val="833912050"/>
        <w:rPr>
          <w:rFonts w:eastAsia="Times New Roman"/>
        </w:rPr>
      </w:pPr>
      <w:r>
        <w:rPr>
          <w:rFonts w:eastAsia="Times New Roman"/>
          <w:b/>
          <w:bCs/>
          <w:color w:val="000000"/>
          <w:sz w:val="20"/>
          <w:szCs w:val="20"/>
          <w:u w:val="single"/>
        </w:rPr>
        <w:t>SEGMENT RESULTS OF OPERATION</w:t>
      </w:r>
      <w:r>
        <w:rPr>
          <w:rFonts w:eastAsia="Times New Roman"/>
          <w:b/>
          <w:bCs/>
          <w:color w:val="000000"/>
          <w:sz w:val="20"/>
          <w:szCs w:val="20"/>
          <w:u w:val="single"/>
        </w:rPr>
        <w:t>S</w:t>
      </w:r>
    </w:p>
    <w:p w:rsidR="00000000" w:rsidRDefault="00A270CC">
      <w:pPr>
        <w:jc w:val="center"/>
        <w:rPr>
          <w:rFonts w:eastAsia="Times New Roman"/>
        </w:rPr>
      </w:pPr>
    </w:p>
    <w:p w:rsidR="00000000" w:rsidRDefault="00A270CC">
      <w:pPr>
        <w:jc w:val="both"/>
        <w:divId w:val="88039351"/>
        <w:rPr>
          <w:rFonts w:eastAsia="Times New Roman"/>
        </w:rPr>
      </w:pPr>
      <w:r>
        <w:rPr>
          <w:rFonts w:eastAsia="Times New Roman"/>
          <w:b/>
          <w:bCs/>
          <w:color w:val="000000"/>
          <w:sz w:val="20"/>
          <w:szCs w:val="20"/>
        </w:rPr>
        <w:t>2020 Three-Month Period Compared to the 2019 Three-Month Perio</w:t>
      </w:r>
      <w:r>
        <w:rPr>
          <w:rFonts w:eastAsia="Times New Roman"/>
          <w:b/>
          <w:bCs/>
          <w:color w:val="000000"/>
          <w:sz w:val="20"/>
          <w:szCs w:val="20"/>
        </w:rPr>
        <w:t>d</w:t>
      </w:r>
    </w:p>
    <w:p w:rsidR="00000000" w:rsidRDefault="00A270CC">
      <w:pPr>
        <w:divId w:val="493106865"/>
        <w:rPr>
          <w:rFonts w:eastAsia="Times New Roman"/>
        </w:rPr>
      </w:pPr>
      <w:r>
        <w:rPr>
          <w:rFonts w:eastAsia="Times New Roman"/>
          <w:b/>
          <w:bCs/>
          <w:i/>
          <w:iCs/>
          <w:color w:val="000000"/>
          <w:sz w:val="20"/>
          <w:szCs w:val="20"/>
        </w:rPr>
        <w:t>AmeriGas Propan</w:t>
      </w:r>
      <w:r>
        <w:rPr>
          <w:rFonts w:eastAsia="Times New Roman"/>
          <w:b/>
          <w:bCs/>
          <w:i/>
          <w:iCs/>
          <w:color w:val="000000"/>
          <w:sz w:val="20"/>
          <w:szCs w:val="20"/>
        </w:rPr>
        <w:t>e</w:t>
      </w:r>
    </w:p>
    <w:tbl>
      <w:tblPr>
        <w:tblW w:w="4992" w:type="pct"/>
        <w:tblCellMar>
          <w:top w:w="15" w:type="dxa"/>
          <w:left w:w="15" w:type="dxa"/>
          <w:bottom w:w="15" w:type="dxa"/>
          <w:right w:w="15" w:type="dxa"/>
        </w:tblCellMar>
        <w:tblLook w:val="04A0" w:firstRow="1" w:lastRow="0" w:firstColumn="1" w:lastColumn="0" w:noHBand="0" w:noVBand="1"/>
      </w:tblPr>
      <w:tblGrid>
        <w:gridCol w:w="41"/>
        <w:gridCol w:w="3599"/>
        <w:gridCol w:w="40"/>
        <w:gridCol w:w="36"/>
        <w:gridCol w:w="36"/>
        <w:gridCol w:w="36"/>
        <w:gridCol w:w="135"/>
        <w:gridCol w:w="724"/>
        <w:gridCol w:w="202"/>
        <w:gridCol w:w="36"/>
        <w:gridCol w:w="36"/>
        <w:gridCol w:w="36"/>
        <w:gridCol w:w="135"/>
        <w:gridCol w:w="747"/>
        <w:gridCol w:w="202"/>
        <w:gridCol w:w="36"/>
        <w:gridCol w:w="36"/>
        <w:gridCol w:w="36"/>
        <w:gridCol w:w="135"/>
        <w:gridCol w:w="629"/>
        <w:gridCol w:w="85"/>
        <w:gridCol w:w="36"/>
        <w:gridCol w:w="36"/>
        <w:gridCol w:w="36"/>
        <w:gridCol w:w="37"/>
        <w:gridCol w:w="732"/>
        <w:gridCol w:w="202"/>
        <w:gridCol w:w="36"/>
        <w:gridCol w:w="36"/>
        <w:gridCol w:w="36"/>
        <w:gridCol w:w="36"/>
        <w:gridCol w:w="36"/>
        <w:gridCol w:w="36"/>
      </w:tblGrid>
      <w:tr w:rsidR="00000000">
        <w:trPr>
          <w:gridAfter w:val="6"/>
          <w:divId w:val="916090982"/>
        </w:trPr>
        <w:tc>
          <w:tcPr>
            <w:tcW w:w="50" w:type="pct"/>
            <w:vAlign w:val="center"/>
            <w:hideMark/>
          </w:tcPr>
          <w:p w:rsidR="00000000" w:rsidRDefault="00A270CC">
            <w:pPr>
              <w:rPr>
                <w:rFonts w:eastAsia="Times New Roman"/>
              </w:rPr>
            </w:pPr>
          </w:p>
        </w:tc>
        <w:tc>
          <w:tcPr>
            <w:tcW w:w="227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6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916090982"/>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three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Increase (Decrease</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91609098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income (loss)/earnings (loss) before interest expense and income taxe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N.M</w:t>
            </w: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Retail gallons sold (millions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916090982"/>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Heating degree days—% colder than normal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total revenues less total cost of sales</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 xml:space="preserve">Deviation from average heating degree days for the 15-year period 2002-2016 based upon national weather statistics provided by NOAA for </w:t>
      </w:r>
      <w:r>
        <w:rPr>
          <w:rFonts w:eastAsia="Times New Roman"/>
          <w:color w:val="000000"/>
          <w:sz w:val="20"/>
          <w:szCs w:val="20"/>
        </w:rPr>
        <w:t>344 Geo Regions in the United States, excluding Alaska and Hawaii</w:t>
      </w:r>
      <w:r>
        <w:rPr>
          <w:rFonts w:eastAsia="Times New Roman"/>
          <w:color w:val="000000"/>
          <w:sz w:val="20"/>
          <w:szCs w:val="20"/>
        </w:rPr>
        <w:t>.</w:t>
      </w:r>
    </w:p>
    <w:p w:rsidR="00000000" w:rsidRDefault="00A270CC">
      <w:pPr>
        <w:ind w:firstLine="360"/>
        <w:jc w:val="both"/>
        <w:rPr>
          <w:rFonts w:eastAsia="Times New Roman"/>
        </w:rPr>
      </w:pPr>
      <w:r>
        <w:rPr>
          <w:rFonts w:eastAsia="Times New Roman"/>
          <w:color w:val="000000"/>
          <w:sz w:val="20"/>
          <w:szCs w:val="20"/>
        </w:rPr>
        <w:t>N.M. – Variance is not meaningfu</w:t>
      </w:r>
      <w:r>
        <w:rPr>
          <w:rFonts w:eastAsia="Times New Roman"/>
          <w:color w:val="000000"/>
          <w:sz w:val="20"/>
          <w:szCs w:val="20"/>
        </w:rPr>
        <w:t>l</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Average temperatures during the 2020 three-month period were 14.5% colder than normal and the prior-year period. Total retail gallons sold during the 202</w:t>
      </w:r>
      <w:r>
        <w:rPr>
          <w:rFonts w:eastAsia="Times New Roman"/>
          <w:color w:val="000000"/>
          <w:sz w:val="20"/>
          <w:szCs w:val="20"/>
        </w:rPr>
        <w:t xml:space="preserve">0 three-month period were 3.2% lower than the prior-year period principally reflecting the effects of COVID-19, structural conservation and other residual volume loss. These decreases were partially offset by increased cylinder exchange volumes and higher </w:t>
      </w:r>
      <w:r>
        <w:rPr>
          <w:rFonts w:eastAsia="Times New Roman"/>
          <w:color w:val="000000"/>
          <w:sz w:val="20"/>
          <w:szCs w:val="20"/>
        </w:rPr>
        <w:t>volumes related to colder weather compared to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Total revenues decreased $27.8 million during the 2020 three-month period reflecting lower retail propane revenues ($34.4 million) compared to the prior-year period, partially offset b</w:t>
      </w:r>
      <w:r>
        <w:rPr>
          <w:rFonts w:eastAsia="Times New Roman"/>
          <w:color w:val="000000"/>
          <w:sz w:val="20"/>
          <w:szCs w:val="20"/>
        </w:rPr>
        <w:t>y higher other revenues related primarily to new cylinder tank sales ($5.0 million) and higher wholesale propane revenues ($1.6 million). The decrease in retail propane revenues reflects lower average retail selling prices ($21.6 million) and the lower tot</w:t>
      </w:r>
      <w:r>
        <w:rPr>
          <w:rFonts w:eastAsia="Times New Roman"/>
          <w:color w:val="000000"/>
          <w:sz w:val="20"/>
          <w:szCs w:val="20"/>
        </w:rPr>
        <w:t>al retail volumes sold ($12.9 million) compared to the prior-year period. Average daily wholesale propane commodity prices during the 2020 three-month period at Mont Belvieu, Texas, one of the major supply points in the U.S., were approximately 26% lower t</w:t>
      </w:r>
      <w:r>
        <w:rPr>
          <w:rFonts w:eastAsia="Times New Roman"/>
          <w:color w:val="000000"/>
          <w:sz w:val="20"/>
          <w:szCs w:val="20"/>
        </w:rPr>
        <w:t>han such prices during the 2019 three-month period. Total cost of sales decreased $32.4 million during the 2020 three-month period principally reflecting the effects of the lower average propane product costs ($35.5 million) partially offset by higher whol</w:t>
      </w:r>
      <w:r>
        <w:rPr>
          <w:rFonts w:eastAsia="Times New Roman"/>
          <w:color w:val="000000"/>
          <w:sz w:val="20"/>
          <w:szCs w:val="20"/>
        </w:rPr>
        <w:t>esale propane volumes ($2.9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AmeriGas Propane total margin increased $4.6 million in the 2020 three-month period primarily attributable to higher average retail unit margins ($11.9 million), including higher margin from the cylinder exchange pr</w:t>
      </w:r>
      <w:r>
        <w:rPr>
          <w:rFonts w:eastAsia="Times New Roman"/>
          <w:color w:val="000000"/>
          <w:sz w:val="20"/>
          <w:szCs w:val="20"/>
        </w:rPr>
        <w:t>ogram, partially offset by the previously mentioned decrease in total retail volumes sold ($7.2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Operating income and earnings before interest expense and income taxes each increased $20.0 million in the 2020 three-month period reflecting the p</w:t>
      </w:r>
      <w:r>
        <w:rPr>
          <w:rFonts w:eastAsia="Times New Roman"/>
          <w:color w:val="000000"/>
          <w:sz w:val="20"/>
          <w:szCs w:val="20"/>
        </w:rPr>
        <w:t>reviously mentioned increase in total margin and lower operating and administrative expenses ($22.6 million) compared to the prior-year period, partially offset by lower other income attributable to the suspension of customer late payment fees as part of o</w:t>
      </w:r>
      <w:r>
        <w:rPr>
          <w:rFonts w:eastAsia="Times New Roman"/>
          <w:color w:val="000000"/>
          <w:sz w:val="20"/>
          <w:szCs w:val="20"/>
        </w:rPr>
        <w:t>ur response to COVID-19. The decrease in operating and administrative expenses in the 2020 three-month period reflects, among other things, lower litigation expense ($10.0 million), lower employee compensation and benefits-related costs ($7.8 million), and</w:t>
      </w:r>
      <w:r>
        <w:rPr>
          <w:rFonts w:eastAsia="Times New Roman"/>
          <w:color w:val="000000"/>
          <w:sz w:val="20"/>
          <w:szCs w:val="20"/>
        </w:rPr>
        <w:t xml:space="preserve"> decreased vehicle operating and maintenance expenses ($3.5 million). The lower operating and administrative expenses reflect the partial benefits related to the previously mentioned ongoing LPG transformation initiatives.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275799361"/>
        <w:rPr>
          <w:rFonts w:eastAsia="Times New Roman"/>
        </w:rPr>
      </w:pPr>
      <w:r>
        <w:rPr>
          <w:rFonts w:eastAsia="Times New Roman"/>
          <w:color w:val="000000"/>
          <w:sz w:val="20"/>
          <w:szCs w:val="20"/>
        </w:rPr>
        <w:t>4</w:t>
      </w:r>
      <w:r>
        <w:rPr>
          <w:rFonts w:eastAsia="Times New Roman"/>
          <w:color w:val="000000"/>
          <w:sz w:val="20"/>
          <w:szCs w:val="20"/>
        </w:rPr>
        <w:t>8</w:t>
      </w:r>
    </w:p>
    <w:p w:rsidR="00000000" w:rsidRDefault="00A270CC">
      <w:pPr>
        <w:rPr>
          <w:rFonts w:eastAsia="Times New Roman"/>
        </w:rPr>
      </w:pPr>
      <w:r>
        <w:rPr>
          <w:rFonts w:eastAsia="Times New Roman"/>
        </w:rPr>
        <w:pict>
          <v:rect id="_x0000_i1074" style="width:0;height:1.5pt" o:hralign="center" o:hrstd="t" o:hr="t" fillcolor="#a0a0a0" stroked="f"/>
        </w:pict>
      </w:r>
    </w:p>
    <w:p w:rsidR="00000000" w:rsidRDefault="00A270CC">
      <w:pPr>
        <w:divId w:val="93867372"/>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28695904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i/>
          <w:iCs/>
          <w:color w:val="000000"/>
          <w:sz w:val="20"/>
          <w:szCs w:val="20"/>
        </w:rPr>
        <w:t>UGI Internationa</w:t>
      </w:r>
      <w:r>
        <w:rPr>
          <w:rFonts w:eastAsia="Times New Roman"/>
          <w:b/>
          <w:bCs/>
          <w:i/>
          <w:iCs/>
          <w:color w:val="000000"/>
          <w:sz w:val="20"/>
          <w:szCs w:val="20"/>
        </w:rPr>
        <w:t>l</w:t>
      </w:r>
    </w:p>
    <w:tbl>
      <w:tblPr>
        <w:tblW w:w="5000" w:type="pct"/>
        <w:tblCellMar>
          <w:top w:w="15" w:type="dxa"/>
          <w:left w:w="15" w:type="dxa"/>
          <w:bottom w:w="15" w:type="dxa"/>
          <w:right w:w="15" w:type="dxa"/>
        </w:tblCellMar>
        <w:tblLook w:val="04A0" w:firstRow="1" w:lastRow="0" w:firstColumn="1" w:lastColumn="0" w:noHBand="0" w:noVBand="1"/>
      </w:tblPr>
      <w:tblGrid>
        <w:gridCol w:w="40"/>
        <w:gridCol w:w="3814"/>
        <w:gridCol w:w="39"/>
        <w:gridCol w:w="36"/>
        <w:gridCol w:w="36"/>
        <w:gridCol w:w="36"/>
        <w:gridCol w:w="135"/>
        <w:gridCol w:w="726"/>
        <w:gridCol w:w="202"/>
        <w:gridCol w:w="36"/>
        <w:gridCol w:w="36"/>
        <w:gridCol w:w="36"/>
        <w:gridCol w:w="135"/>
        <w:gridCol w:w="747"/>
        <w:gridCol w:w="202"/>
        <w:gridCol w:w="36"/>
        <w:gridCol w:w="36"/>
        <w:gridCol w:w="36"/>
        <w:gridCol w:w="135"/>
        <w:gridCol w:w="606"/>
        <w:gridCol w:w="85"/>
        <w:gridCol w:w="36"/>
        <w:gridCol w:w="36"/>
        <w:gridCol w:w="36"/>
        <w:gridCol w:w="53"/>
        <w:gridCol w:w="537"/>
        <w:gridCol w:w="202"/>
        <w:gridCol w:w="36"/>
        <w:gridCol w:w="36"/>
        <w:gridCol w:w="36"/>
        <w:gridCol w:w="36"/>
        <w:gridCol w:w="36"/>
        <w:gridCol w:w="36"/>
      </w:tblGrid>
      <w:tr w:rsidR="00000000">
        <w:trPr>
          <w:gridAfter w:val="6"/>
          <w:divId w:val="1302727586"/>
        </w:trPr>
        <w:tc>
          <w:tcPr>
            <w:tcW w:w="50" w:type="pct"/>
            <w:vAlign w:val="center"/>
            <w:hideMark/>
          </w:tcPr>
          <w:p w:rsidR="00000000" w:rsidRDefault="00A270CC">
            <w:pPr>
              <w:jc w:val="both"/>
              <w:rPr>
                <w:rFonts w:eastAsia="Times New Roman"/>
              </w:rPr>
            </w:pPr>
          </w:p>
        </w:tc>
        <w:tc>
          <w:tcPr>
            <w:tcW w:w="24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4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302727586"/>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three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Decreas</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30272758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486.6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income</w:t>
            </w:r>
            <w:r>
              <w:rPr>
                <w:rFonts w:eastAsia="Times New Roman"/>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LPG retail gallons sold (millions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302727586"/>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Heating degree days—</w:t>
            </w:r>
            <w:r>
              <w:rPr>
                <w:rFonts w:eastAsia="Times New Roman"/>
                <w:color w:val="000000"/>
                <w:sz w:val="20"/>
                <w:szCs w:val="20"/>
              </w:rPr>
              <w:t>% (warmer) than normal (b</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of sales and, in the 2019 three-month period, French energy certificate costs of $5.0 million. For financial statement purposes, French energy certificate costs in the 2019 three-month period are included in “Oper</w:t>
      </w:r>
      <w:r>
        <w:rPr>
          <w:rFonts w:eastAsia="Times New Roman"/>
          <w:color w:val="000000"/>
          <w:sz w:val="20"/>
          <w:szCs w:val="20"/>
        </w:rPr>
        <w:t>ating and administrative expenses” on the Condensed Consolidated Statements of Income (but are excluded from operating and administrative expenses presented above). In the 2020 three-month period, French energy certificate costs are included in “Cost of sa</w:t>
      </w:r>
      <w:r>
        <w:rPr>
          <w:rFonts w:eastAsia="Times New Roman"/>
          <w:color w:val="000000"/>
          <w:sz w:val="20"/>
          <w:szCs w:val="20"/>
        </w:rPr>
        <w:t>les” on the Condensed Consolidated Statements of Income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Deviation from average heating degree days for the 15-year period 2002-2016 at locations in our UGI International service territories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Average temperatures during the 2020 three-month period wer</w:t>
      </w:r>
      <w:r>
        <w:rPr>
          <w:rFonts w:eastAsia="Times New Roman"/>
          <w:color w:val="000000"/>
          <w:sz w:val="20"/>
          <w:szCs w:val="20"/>
        </w:rPr>
        <w:t>e 12.3% warmer than normal and 20.8% warmer than the prior-year period. Total LPG retail gallons sold during the 2020 three-month period were 22.0% lower principally reflecting the effects of the warmer weather on heating-related bulk sales, the impacts of</w:t>
      </w:r>
      <w:r>
        <w:rPr>
          <w:rFonts w:eastAsia="Times New Roman"/>
          <w:color w:val="000000"/>
          <w:sz w:val="20"/>
          <w:szCs w:val="20"/>
        </w:rPr>
        <w:t xml:space="preserve"> COVID-19 on commercial and industrial volumes, and the termination of a low-margin autogas contract in Italy. During the 2020 three-month period, average wholesale prices for propane and butane in northwest Europe were approximately 34% and 37% lower, res</w:t>
      </w:r>
      <w:r>
        <w:rPr>
          <w:rFonts w:eastAsia="Times New Roman"/>
          <w:color w:val="000000"/>
          <w:sz w:val="20"/>
          <w:szCs w:val="20"/>
        </w:rPr>
        <w:t>pectively, compared with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UGI International base-currency results are translated into U.S. dollars based upon exchange rates experienced during the reporting periods. Differences in these translation rates affect the comparison of </w:t>
      </w:r>
      <w:r>
        <w:rPr>
          <w:rFonts w:eastAsia="Times New Roman"/>
          <w:color w:val="000000"/>
          <w:sz w:val="20"/>
          <w:szCs w:val="20"/>
        </w:rPr>
        <w:t>line item amounts presented in the table above. The functional currency of a significant portion of our UGI International results is the euro and, to a much lesser extent, the British pound sterling. During the 2020 and 2019 three-month periods, the averag</w:t>
      </w:r>
      <w:r>
        <w:rPr>
          <w:rFonts w:eastAsia="Times New Roman"/>
          <w:color w:val="000000"/>
          <w:sz w:val="20"/>
          <w:szCs w:val="20"/>
        </w:rPr>
        <w:t>e unweighted euro-to-dollar translation rates were approximately $1.10 and $1.12, respectively, and the average unweighted British pound sterling-to-dollar translation rates were approximately $1.24 and $1.28, respectively.</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shd w:val="clear" w:color="auto" w:fill="FFFFFF"/>
        </w:rPr>
        <w:t>UGI International revenues an</w:t>
      </w:r>
      <w:r>
        <w:rPr>
          <w:rFonts w:eastAsia="Times New Roman"/>
          <w:color w:val="000000"/>
          <w:sz w:val="20"/>
          <w:szCs w:val="20"/>
          <w:shd w:val="clear" w:color="auto" w:fill="FFFFFF"/>
        </w:rPr>
        <w:t>d cost of sales decreased by $115.1 million and $84.9 million, respectively, during the 2020 three-month period compared to the prior year. These decreases to both revenues and cost of sales principally reflect the effects of the lower total retail and who</w:t>
      </w:r>
      <w:r>
        <w:rPr>
          <w:rFonts w:eastAsia="Times New Roman"/>
          <w:color w:val="000000"/>
          <w:sz w:val="20"/>
          <w:szCs w:val="20"/>
          <w:shd w:val="clear" w:color="auto" w:fill="FFFFFF"/>
        </w:rPr>
        <w:t xml:space="preserve">lesale LPG volumes, lower average LPG selling prices and product costs, and the translation effects of the weaker euro (approximately $11 million impact on revenues and $6 million impact on cost of sales, respectively).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International total margin de</w:t>
      </w:r>
      <w:r>
        <w:rPr>
          <w:rFonts w:eastAsia="Times New Roman"/>
          <w:color w:val="000000"/>
          <w:sz w:val="20"/>
          <w:szCs w:val="20"/>
        </w:rPr>
        <w:t>creased $30.2 million during the 2020 three-month period compared to the prior year. This decrease reflects the previously mentioned lower total retail and wholesale LPG volumes, the translation effects of the weaker euro (approximately $5 million), and lo</w:t>
      </w:r>
      <w:r>
        <w:rPr>
          <w:rFonts w:eastAsia="Times New Roman"/>
          <w:color w:val="000000"/>
          <w:sz w:val="20"/>
          <w:szCs w:val="20"/>
        </w:rPr>
        <w:t>wer margins from energy marketing compared to the prior-year period. The effect of these factors was partially offset by higher average LPG unit margins including margin management efforts and lower LPG product costs.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UGI International operating income </w:t>
      </w:r>
      <w:r>
        <w:rPr>
          <w:rFonts w:eastAsia="Times New Roman"/>
          <w:color w:val="000000"/>
          <w:sz w:val="20"/>
          <w:szCs w:val="20"/>
        </w:rPr>
        <w:t>and earnings before interest expense and income taxes decreased $10.0 million and $8.4 million, respectively, during the 2020 three-month period. The decrease in operating income largely reflects the decrease in total margin</w:t>
      </w:r>
      <w:r>
        <w:rPr>
          <w:rFonts w:eastAsia="Times New Roman"/>
          <w:color w:val="000000"/>
          <w:sz w:val="20"/>
          <w:szCs w:val="20"/>
        </w:rPr>
        <w:t xml:space="preserve"> </w:t>
      </w:r>
      <w:r>
        <w:rPr>
          <w:rFonts w:eastAsia="Times New Roman"/>
          <w:color w:val="000000"/>
          <w:sz w:val="20"/>
          <w:szCs w:val="20"/>
          <w:shd w:val="clear" w:color="auto" w:fill="FFFFFF"/>
        </w:rPr>
        <w:t>and the absence of a customer c</w:t>
      </w:r>
      <w:r>
        <w:rPr>
          <w:rFonts w:eastAsia="Times New Roman"/>
          <w:color w:val="000000"/>
          <w:sz w:val="20"/>
          <w:szCs w:val="20"/>
          <w:shd w:val="clear" w:color="auto" w:fill="FFFFFF"/>
        </w:rPr>
        <w:t>ontract settlement recorded in the prior-year period</w:t>
      </w:r>
      <w:r>
        <w:rPr>
          <w:rFonts w:eastAsia="Times New Roman"/>
          <w:color w:val="000000"/>
          <w:sz w:val="20"/>
          <w:szCs w:val="20"/>
          <w:shd w:val="clear" w:color="auto" w:fill="FFFFFF"/>
        </w:rPr>
        <w:t xml:space="preserve"> </w:t>
      </w:r>
      <w:r>
        <w:rPr>
          <w:rFonts w:eastAsia="Times New Roman"/>
          <w:color w:val="000000"/>
          <w:sz w:val="20"/>
          <w:szCs w:val="20"/>
        </w:rPr>
        <w:t>partially offset by lower operating and administrative expenses ($23.4 million) compared to the prior-year period. The decrease in operating and administrative expenses is largely attributable to decreas</w:t>
      </w:r>
      <w:r>
        <w:rPr>
          <w:rFonts w:eastAsia="Times New Roman"/>
          <w:color w:val="000000"/>
          <w:sz w:val="20"/>
          <w:szCs w:val="20"/>
        </w:rPr>
        <w:t>ed distribution and maintenance costs attributable to the reduced LPG volumes, lower compensation and employee benefits-related costs, and the translation effects of the weaker euro (approximately $4 million). The decrease in UGI International earnings bef</w:t>
      </w:r>
      <w:r>
        <w:rPr>
          <w:rFonts w:eastAsia="Times New Roman"/>
          <w:color w:val="000000"/>
          <w:sz w:val="20"/>
          <w:szCs w:val="20"/>
        </w:rPr>
        <w:t>ore interest expense and income taxes in the 2020 three-month period reflects the lower operating income partially offset by a non-service pension benefit compared to the prior-year period</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1465391436"/>
        <w:rPr>
          <w:rFonts w:eastAsia="Times New Roman"/>
        </w:rPr>
      </w:pPr>
      <w:r>
        <w:rPr>
          <w:rFonts w:eastAsia="Times New Roman"/>
          <w:color w:val="000000"/>
          <w:sz w:val="20"/>
          <w:szCs w:val="20"/>
        </w:rPr>
        <w:t>4</w:t>
      </w:r>
      <w:r>
        <w:rPr>
          <w:rFonts w:eastAsia="Times New Roman"/>
          <w:color w:val="000000"/>
          <w:sz w:val="20"/>
          <w:szCs w:val="20"/>
        </w:rPr>
        <w:t>9</w:t>
      </w:r>
    </w:p>
    <w:p w:rsidR="00000000" w:rsidRDefault="00A270CC">
      <w:pPr>
        <w:rPr>
          <w:rFonts w:eastAsia="Times New Roman"/>
        </w:rPr>
      </w:pPr>
      <w:r>
        <w:rPr>
          <w:rFonts w:eastAsia="Times New Roman"/>
        </w:rPr>
        <w:pict>
          <v:rect id="_x0000_i1075" style="width:0;height:1.5pt" o:hralign="center" o:hrstd="t" o:hr="t" fillcolor="#a0a0a0" stroked="f"/>
        </w:pict>
      </w:r>
    </w:p>
    <w:p w:rsidR="00000000" w:rsidRDefault="00A270CC">
      <w:pPr>
        <w:divId w:val="205137032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105370681"/>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i/>
          <w:iCs/>
          <w:color w:val="000000"/>
          <w:sz w:val="20"/>
          <w:szCs w:val="20"/>
        </w:rPr>
        <w:t>Midstream &amp; Marketin</w:t>
      </w:r>
      <w:r>
        <w:rPr>
          <w:rFonts w:eastAsia="Times New Roman"/>
          <w:b/>
          <w:bCs/>
          <w:i/>
          <w:iCs/>
          <w:color w:val="000000"/>
          <w:sz w:val="20"/>
          <w:szCs w:val="20"/>
        </w:rPr>
        <w:t>g</w:t>
      </w:r>
    </w:p>
    <w:tbl>
      <w:tblPr>
        <w:tblW w:w="4992" w:type="pct"/>
        <w:tblCellMar>
          <w:top w:w="15" w:type="dxa"/>
          <w:left w:w="15" w:type="dxa"/>
          <w:bottom w:w="15" w:type="dxa"/>
          <w:right w:w="15" w:type="dxa"/>
        </w:tblCellMar>
        <w:tblLook w:val="04A0" w:firstRow="1" w:lastRow="0" w:firstColumn="1" w:lastColumn="0" w:noHBand="0" w:noVBand="1"/>
      </w:tblPr>
      <w:tblGrid>
        <w:gridCol w:w="40"/>
        <w:gridCol w:w="3521"/>
        <w:gridCol w:w="39"/>
        <w:gridCol w:w="36"/>
        <w:gridCol w:w="36"/>
        <w:gridCol w:w="36"/>
        <w:gridCol w:w="135"/>
        <w:gridCol w:w="785"/>
        <w:gridCol w:w="85"/>
        <w:gridCol w:w="36"/>
        <w:gridCol w:w="36"/>
        <w:gridCol w:w="36"/>
        <w:gridCol w:w="135"/>
        <w:gridCol w:w="786"/>
        <w:gridCol w:w="85"/>
        <w:gridCol w:w="36"/>
        <w:gridCol w:w="36"/>
        <w:gridCol w:w="36"/>
        <w:gridCol w:w="135"/>
        <w:gridCol w:w="786"/>
        <w:gridCol w:w="85"/>
        <w:gridCol w:w="36"/>
        <w:gridCol w:w="36"/>
        <w:gridCol w:w="36"/>
        <w:gridCol w:w="45"/>
        <w:gridCol w:w="781"/>
        <w:gridCol w:w="202"/>
        <w:gridCol w:w="36"/>
        <w:gridCol w:w="36"/>
        <w:gridCol w:w="36"/>
        <w:gridCol w:w="36"/>
        <w:gridCol w:w="36"/>
        <w:gridCol w:w="36"/>
      </w:tblGrid>
      <w:tr w:rsidR="00000000">
        <w:trPr>
          <w:gridAfter w:val="6"/>
          <w:divId w:val="1504660551"/>
        </w:trPr>
        <w:tc>
          <w:tcPr>
            <w:tcW w:w="50" w:type="pct"/>
            <w:vAlign w:val="center"/>
            <w:hideMark/>
          </w:tcPr>
          <w:p w:rsidR="00000000" w:rsidRDefault="00A270CC">
            <w:pPr>
              <w:jc w:val="both"/>
              <w:rPr>
                <w:rFonts w:eastAsia="Times New Roman"/>
              </w:rPr>
            </w:pPr>
          </w:p>
        </w:tc>
        <w:tc>
          <w:tcPr>
            <w:tcW w:w="220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504660551"/>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three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Increase (Decrease</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50466055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504660551"/>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Revenues</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504660551"/>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504660551"/>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504660551"/>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504660551"/>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of sales</w:t>
      </w:r>
      <w:r>
        <w:rPr>
          <w:rFonts w:eastAsia="Times New Roman"/>
          <w:color w:val="000000"/>
          <w:sz w:val="20"/>
          <w:szCs w:val="20"/>
        </w:rPr>
        <w:t>.</w:t>
      </w:r>
    </w:p>
    <w:p w:rsidR="00000000" w:rsidRDefault="00A270CC">
      <w:pPr>
        <w:divId w:val="1322466985"/>
        <w:rPr>
          <w:rFonts w:eastAsia="Times New Roman"/>
        </w:rPr>
      </w:pPr>
    </w:p>
    <w:p w:rsidR="00000000" w:rsidRDefault="00A270CC">
      <w:pPr>
        <w:jc w:val="both"/>
        <w:rPr>
          <w:rFonts w:eastAsia="Times New Roman"/>
        </w:rPr>
      </w:pPr>
      <w:r>
        <w:rPr>
          <w:rFonts w:eastAsia="Times New Roman"/>
          <w:color w:val="000000"/>
          <w:sz w:val="20"/>
          <w:szCs w:val="20"/>
        </w:rPr>
        <w:t>Average temperatures across Midstream &amp; Marketing’</w:t>
      </w:r>
      <w:r>
        <w:rPr>
          <w:rFonts w:eastAsia="Times New Roman"/>
          <w:color w:val="000000"/>
          <w:sz w:val="20"/>
          <w:szCs w:val="20"/>
        </w:rPr>
        <w:t>s energy marketing territory during the three months ended June 30, 2020 were 21.4% colder than normal and 43.0% colder than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Marketing’s 2020 three-month period revenues were $44.8 million lower than the prior-year per</w:t>
      </w:r>
      <w:r>
        <w:rPr>
          <w:rFonts w:eastAsia="Times New Roman"/>
          <w:color w:val="000000"/>
          <w:sz w:val="20"/>
          <w:szCs w:val="20"/>
        </w:rPr>
        <w:t>iod principally reflecting decreased natural gas revenues ($58.3 million) and, to a much lesser extent, lower services-related revenues ($7.4 million) and peaking revenues ($2.9 million). The effect of these factors was partially offset by higher natural g</w:t>
      </w:r>
      <w:r>
        <w:rPr>
          <w:rFonts w:eastAsia="Times New Roman"/>
          <w:color w:val="000000"/>
          <w:sz w:val="20"/>
          <w:szCs w:val="20"/>
        </w:rPr>
        <w:t>as gathering revenues ($24.6 million) primarily attributable to incremental revenues from UGI Appalachia. The significant decrease in natural gas revenues is primarily attributable to significantly lower average natural gas prices during the 2020 three-mon</w:t>
      </w:r>
      <w:r>
        <w:rPr>
          <w:rFonts w:eastAsia="Times New Roman"/>
          <w:color w:val="000000"/>
          <w:sz w:val="20"/>
          <w:szCs w:val="20"/>
        </w:rPr>
        <w:t>th period and, to a much lesser extent, lower natural gas volumes. Midstream &amp; Marketing cost of sales were $159.2 million in the 2020 three-month period compared to $225.4 million in the prior-year period. The $66.2 million decrease in cost of sales princ</w:t>
      </w:r>
      <w:r>
        <w:rPr>
          <w:rFonts w:eastAsia="Times New Roman"/>
          <w:color w:val="000000"/>
          <w:sz w:val="20"/>
          <w:szCs w:val="20"/>
        </w:rPr>
        <w:t>ipally reflects decreased natural gas costs ($57.0 million) largely attributable to lower average natural gas commodity prices and, to a much lesser extent, lower services-related costs ($5.4 million) and peaking costs ($2.0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w:t>
      </w:r>
      <w:r>
        <w:rPr>
          <w:rFonts w:eastAsia="Times New Roman"/>
          <w:color w:val="000000"/>
          <w:sz w:val="20"/>
          <w:szCs w:val="20"/>
        </w:rPr>
        <w:t>ing total margin increased $21.4 million in the 2020 three-month period principally reflecting higher natural gas gathering total margin ($24.6 million) largely attributable to incremental margin from UGI Appalachia and, to a much lesser extent, higher cap</w:t>
      </w:r>
      <w:r>
        <w:rPr>
          <w:rFonts w:eastAsia="Times New Roman"/>
          <w:color w:val="000000"/>
          <w:sz w:val="20"/>
          <w:szCs w:val="20"/>
        </w:rPr>
        <w:t>acity management margin ($2.4 million). The effect of these increases was partially offset by decreased retail commodity margin ($2.3 million) largely related to lower commercial volumes attributable to COVID-19, lower services-related margin ($2.0 million</w:t>
      </w:r>
      <w:r>
        <w:rPr>
          <w:rFonts w:eastAsia="Times New Roman"/>
          <w:color w:val="000000"/>
          <w:sz w:val="20"/>
          <w:szCs w:val="20"/>
        </w:rPr>
        <w:t>) and decreased electric generation margin ($1.5 million) compared to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 operating income and earnings before interest expense and income taxes increased $10.1 million and $16.1 million, respectively, during the</w:t>
      </w:r>
      <w:r>
        <w:rPr>
          <w:rFonts w:eastAsia="Times New Roman"/>
          <w:color w:val="000000"/>
          <w:sz w:val="20"/>
          <w:szCs w:val="20"/>
        </w:rPr>
        <w:t xml:space="preserve"> 2020 three-month period. The increase in operating income principally reflects the previously mentioned increase in total margin partially offset by higher depreciation and amortization expense ($7.6 million) and increased operating and administrative exp</w:t>
      </w:r>
      <w:r>
        <w:rPr>
          <w:rFonts w:eastAsia="Times New Roman"/>
          <w:color w:val="000000"/>
          <w:sz w:val="20"/>
          <w:szCs w:val="20"/>
        </w:rPr>
        <w:t>enses ($3.8 million). The higher depreciation and amortization expense and operating and administrative expenses are largely attributable to UGI Appalachia. The increase in earnings before interest expense and income taxes principally reflects the increase</w:t>
      </w:r>
      <w:r>
        <w:rPr>
          <w:rFonts w:eastAsia="Times New Roman"/>
          <w:color w:val="000000"/>
          <w:sz w:val="20"/>
          <w:szCs w:val="20"/>
        </w:rPr>
        <w:t xml:space="preserve"> in operating income ($10.1 million) and equity income from Pennant, a natural gas gathering and processing equity interest that was acquired as part of UGI Appalachia.</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1881361558"/>
        <w:rPr>
          <w:rFonts w:eastAsia="Times New Roman"/>
        </w:rPr>
      </w:pPr>
      <w:r>
        <w:rPr>
          <w:rFonts w:eastAsia="Times New Roman"/>
          <w:color w:val="000000"/>
          <w:sz w:val="20"/>
          <w:szCs w:val="20"/>
        </w:rPr>
        <w:t>5</w:t>
      </w:r>
      <w:r>
        <w:rPr>
          <w:rFonts w:eastAsia="Times New Roman"/>
          <w:color w:val="000000"/>
          <w:sz w:val="20"/>
          <w:szCs w:val="20"/>
        </w:rPr>
        <w:t>0</w:t>
      </w:r>
    </w:p>
    <w:p w:rsidR="00000000" w:rsidRDefault="00A270CC">
      <w:pPr>
        <w:rPr>
          <w:rFonts w:eastAsia="Times New Roman"/>
        </w:rPr>
      </w:pPr>
      <w:r>
        <w:rPr>
          <w:rFonts w:eastAsia="Times New Roman"/>
        </w:rPr>
        <w:pict>
          <v:rect id="_x0000_i1076" style="width:0;height:1.5pt" o:hralign="center" o:hrstd="t" o:hr="t" fillcolor="#a0a0a0" stroked="f"/>
        </w:pict>
      </w:r>
    </w:p>
    <w:p w:rsidR="00000000" w:rsidRDefault="00A270CC">
      <w:pPr>
        <w:divId w:val="117329903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778214176"/>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i/>
          <w:iCs/>
          <w:color w:val="000000"/>
          <w:sz w:val="20"/>
          <w:szCs w:val="20"/>
        </w:rPr>
        <w:t>UGI Utilitie</w:t>
      </w:r>
      <w:r>
        <w:rPr>
          <w:rFonts w:eastAsia="Times New Roman"/>
          <w:b/>
          <w:bCs/>
          <w:i/>
          <w:i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40"/>
        <w:gridCol w:w="3920"/>
        <w:gridCol w:w="39"/>
        <w:gridCol w:w="36"/>
        <w:gridCol w:w="36"/>
        <w:gridCol w:w="36"/>
        <w:gridCol w:w="135"/>
        <w:gridCol w:w="643"/>
        <w:gridCol w:w="202"/>
        <w:gridCol w:w="36"/>
        <w:gridCol w:w="36"/>
        <w:gridCol w:w="36"/>
        <w:gridCol w:w="135"/>
        <w:gridCol w:w="676"/>
        <w:gridCol w:w="202"/>
        <w:gridCol w:w="36"/>
        <w:gridCol w:w="36"/>
        <w:gridCol w:w="36"/>
        <w:gridCol w:w="135"/>
        <w:gridCol w:w="618"/>
        <w:gridCol w:w="85"/>
        <w:gridCol w:w="36"/>
        <w:gridCol w:w="36"/>
        <w:gridCol w:w="36"/>
        <w:gridCol w:w="44"/>
        <w:gridCol w:w="557"/>
        <w:gridCol w:w="202"/>
        <w:gridCol w:w="36"/>
        <w:gridCol w:w="36"/>
        <w:gridCol w:w="36"/>
        <w:gridCol w:w="36"/>
        <w:gridCol w:w="36"/>
        <w:gridCol w:w="36"/>
      </w:tblGrid>
      <w:tr w:rsidR="00000000">
        <w:trPr>
          <w:gridAfter w:val="6"/>
        </w:trPr>
        <w:tc>
          <w:tcPr>
            <w:tcW w:w="50" w:type="pct"/>
            <w:vAlign w:val="center"/>
            <w:hideMark/>
          </w:tcPr>
          <w:p w:rsidR="00000000" w:rsidRDefault="00A270CC">
            <w:pPr>
              <w:jc w:val="both"/>
              <w:rPr>
                <w:rFonts w:eastAsia="Times New Roman"/>
              </w:rPr>
            </w:pPr>
          </w:p>
        </w:tc>
        <w:tc>
          <w:tcPr>
            <w:tcW w:w="248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5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three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expenses (a</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Gas Utility system throughput—bc</w:t>
            </w: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Core marke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Electric Utility distribution sales - gw</w:t>
            </w:r>
            <w:r>
              <w:rPr>
                <w:rFonts w:eastAsia="Times New Roman"/>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Gas Utility heating degree days—% colder (warmer) than normal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w:t>
      </w:r>
      <w:r>
        <w:rPr>
          <w:rFonts w:eastAsia="Times New Roman"/>
          <w:color w:val="000000"/>
          <w:sz w:val="20"/>
          <w:szCs w:val="20"/>
        </w:rPr>
        <w:t>f sales and revenue-related taxes (i.e., Electric Utility gross receipts taxes) of $1.0 million and $0.9 million during the three months ended June 30, 2020 and 2019, respectively. For financial statement purposes, revenue-related taxes are included in “Op</w:t>
      </w:r>
      <w:r>
        <w:rPr>
          <w:rFonts w:eastAsia="Times New Roman"/>
          <w:color w:val="000000"/>
          <w:sz w:val="20"/>
          <w:szCs w:val="20"/>
        </w:rPr>
        <w:t>erating and administrative expenses” on the Condensed Consolidated Statements of Income (but are excluded from operating and administrative expenses presented above)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Deviation from average heating degree days for the 15-year period 2000-2014 based upon</w:t>
      </w:r>
      <w:r>
        <w:rPr>
          <w:rFonts w:eastAsia="Times New Roman"/>
          <w:color w:val="000000"/>
          <w:sz w:val="20"/>
          <w:szCs w:val="20"/>
        </w:rPr>
        <w:t xml:space="preserve"> weather statistics provided by NOAA for airports located within Gas Utility’s service territory</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944730807"/>
        <w:rPr>
          <w:rFonts w:eastAsia="Times New Roman"/>
        </w:rPr>
      </w:pPr>
      <w:r>
        <w:rPr>
          <w:rFonts w:eastAsia="Times New Roman"/>
          <w:color w:val="000000"/>
          <w:sz w:val="20"/>
          <w:szCs w:val="20"/>
        </w:rPr>
        <w:t>Temperatures in Gas Utility’</w:t>
      </w:r>
      <w:r>
        <w:rPr>
          <w:rFonts w:eastAsia="Times New Roman"/>
          <w:color w:val="000000"/>
          <w:sz w:val="20"/>
          <w:szCs w:val="20"/>
        </w:rPr>
        <w:t>s service territory during the 2020 three-month period were 12.6% colder than normal and 54.4% colder than the prior-year period. Gas Utility core market volumes increased during the 2020 three-month period (2.5 bcf) reflecting the effects of the colder we</w:t>
      </w:r>
      <w:r>
        <w:rPr>
          <w:rFonts w:eastAsia="Times New Roman"/>
          <w:color w:val="000000"/>
          <w:sz w:val="20"/>
          <w:szCs w:val="20"/>
        </w:rPr>
        <w:t xml:space="preserve">ather, growth in the number of core market customers and higher average use per customer, partially offset by volume reductions attributable to COVID-19. Total Gas Utility distribution system throughput increased 1.5 bcf during the 2020 three-month period </w:t>
      </w:r>
      <w:r>
        <w:rPr>
          <w:rFonts w:eastAsia="Times New Roman"/>
          <w:color w:val="000000"/>
          <w:sz w:val="20"/>
          <w:szCs w:val="20"/>
        </w:rPr>
        <w:t>reflecting the higher core market volumes and higher large firm delivery service volumes (1.8 bcf), partially offset by lower interruptible delivery service volumes (2.8 bcf). Electric Utility distribution sales volumes were higher than the prior-year peri</w:t>
      </w:r>
      <w:r>
        <w:rPr>
          <w:rFonts w:eastAsia="Times New Roman"/>
          <w:color w:val="000000"/>
          <w:sz w:val="20"/>
          <w:szCs w:val="20"/>
        </w:rPr>
        <w:t>od principally reflecting the impact of colder weather.</w:t>
      </w:r>
      <w:r>
        <w:rPr>
          <w:rFonts w:eastAsia="Times New Roman"/>
          <w:color w:val="000000"/>
          <w:sz w:val="20"/>
          <w:szCs w:val="20"/>
        </w:rPr>
        <w:t xml:space="preserve"> </w:t>
      </w:r>
    </w:p>
    <w:p w:rsidR="00000000" w:rsidRDefault="00A270CC">
      <w:pPr>
        <w:jc w:val="both"/>
        <w:rPr>
          <w:rFonts w:eastAsia="Times New Roman"/>
        </w:rPr>
      </w:pPr>
      <w:r>
        <w:rPr>
          <w:rFonts w:eastAsia="Times New Roman"/>
          <w:color w:val="000000"/>
          <w:sz w:val="20"/>
          <w:szCs w:val="20"/>
        </w:rPr>
        <w:t>UGI Utilities revenues increased $15.2 million in the 2020 three-month period compared to the prior-year period primarily attributable to increased Gas Utility revenues. Higher Gas Utility core marke</w:t>
      </w:r>
      <w:r>
        <w:rPr>
          <w:rFonts w:eastAsia="Times New Roman"/>
          <w:color w:val="000000"/>
          <w:sz w:val="20"/>
          <w:szCs w:val="20"/>
        </w:rPr>
        <w:t>t revenues ($20.3 million), which reflect the increase in base rates which became effective October 11, 2019 and the higher core market throughput, were partially offset by lower revenues associated with off-system sales ($2.8 million) and the effects of a</w:t>
      </w:r>
      <w:r>
        <w:rPr>
          <w:rFonts w:eastAsia="Times New Roman"/>
          <w:color w:val="000000"/>
          <w:sz w:val="20"/>
          <w:szCs w:val="20"/>
        </w:rPr>
        <w:t>n adjustment in the 2019 three-month period ($3.3 million) related to credits provided to customers in connection with the TCJA.</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cost of sales was $67.9 million in the 2020 three-month period compared with $61.0 million in the three months</w:t>
      </w:r>
      <w:r>
        <w:rPr>
          <w:rFonts w:eastAsia="Times New Roman"/>
          <w:color w:val="000000"/>
          <w:sz w:val="20"/>
          <w:szCs w:val="20"/>
        </w:rPr>
        <w:t xml:space="preserve"> ended June 30, 2019, principally reflecting an increase in Gas Utility cost of sales ($6.8 million). The higher Gas Utility cost of sales is largely attributable to the effects of the increased core market volumes ($10.2 million) partially offset by lower</w:t>
      </w:r>
      <w:r>
        <w:rPr>
          <w:rFonts w:eastAsia="Times New Roman"/>
          <w:color w:val="000000"/>
          <w:sz w:val="20"/>
          <w:szCs w:val="20"/>
        </w:rPr>
        <w:t xml:space="preserve"> PGC rates.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total margin increased $8.2 million during the 2020 three-month period primarily attributable to higher total margin from Gas Utility core market customers ($14.6 million) partially offset by the previously mentioned customer c</w:t>
      </w:r>
      <w:r>
        <w:rPr>
          <w:rFonts w:eastAsia="Times New Roman"/>
          <w:color w:val="000000"/>
          <w:sz w:val="20"/>
          <w:szCs w:val="20"/>
        </w:rPr>
        <w:t>redit adjustment ($3.3 mill</w:t>
      </w:r>
      <w:r>
        <w:rPr>
          <w:rFonts w:eastAsia="Times New Roman"/>
          <w:color w:val="000000"/>
          <w:sz w:val="20"/>
          <w:szCs w:val="20"/>
        </w:rPr>
        <w:t>i</w:t>
      </w:r>
      <w:r>
        <w:rPr>
          <w:rFonts w:eastAsia="Times New Roman"/>
          <w:color w:val="000000"/>
          <w:sz w:val="20"/>
          <w:szCs w:val="20"/>
          <w:shd w:val="clear" w:color="auto" w:fill="FFFFFF"/>
        </w:rPr>
        <w:t>on) reflected in the 2019 three-month period and lower revenues from customer account fees in response to COVID-19.</w:t>
      </w:r>
      <w:r>
        <w:rPr>
          <w:rFonts w:eastAsia="Times New Roman"/>
          <w:color w:val="000000"/>
          <w:sz w:val="20"/>
          <w:szCs w:val="20"/>
          <w:shd w:val="clear" w:color="auto" w:fill="FFFFFF"/>
        </w:rPr>
        <w:t xml:space="preserve"> </w:t>
      </w:r>
      <w:r>
        <w:rPr>
          <w:rFonts w:eastAsia="Times New Roman"/>
          <w:color w:val="000000"/>
          <w:sz w:val="20"/>
          <w:szCs w:val="20"/>
        </w:rPr>
        <w:t>The increased margin attributable to core market customers was largely related to the previously mentioned incre</w:t>
      </w:r>
      <w:r>
        <w:rPr>
          <w:rFonts w:eastAsia="Times New Roman"/>
          <w:color w:val="000000"/>
          <w:sz w:val="20"/>
          <w:szCs w:val="20"/>
        </w:rPr>
        <w:t>ases in core market volumes and base rates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operating income and earnings before interest expense and income taxes increased $0.5 million and $0.1 million, respectively, during the 2020 three-month period. The slight improvement in operatin</w:t>
      </w:r>
      <w:r>
        <w:rPr>
          <w:rFonts w:eastAsia="Times New Roman"/>
          <w:color w:val="000000"/>
          <w:sz w:val="20"/>
          <w:szCs w:val="20"/>
        </w:rPr>
        <w:t xml:space="preserve">g income largely reflects the previously mentioned increase in total margin largely offset by higher depreciation expense ($3.4 million) and higher operating and administrative expenses ($3.2 million). The increased depreciation expense is attributable to </w:t>
      </w:r>
      <w:r>
        <w:rPr>
          <w:rFonts w:eastAsia="Times New Roman"/>
          <w:color w:val="000000"/>
          <w:sz w:val="20"/>
          <w:szCs w:val="20"/>
        </w:rPr>
        <w:t>continued IT and distribution system capital expenditure activity. The higher operating and administrative expenses reflect, among other things, increases in uncollectible accounts expense related to the effects of COVID-19, IT maintenance and consulting e</w:t>
      </w:r>
      <w:r>
        <w:rPr>
          <w:rFonts w:eastAsia="Times New Roman"/>
          <w:color w:val="000000"/>
          <w:sz w:val="20"/>
          <w:szCs w:val="20"/>
        </w:rPr>
        <w:t>xpenses, and employee compensation and benefits-related expenses compared to the prior-year period. The slight improvement in earnings before interest expense and income taxes reflects the higher operating income and the absence of a non-service pension be</w:t>
      </w:r>
      <w:r>
        <w:rPr>
          <w:rFonts w:eastAsia="Times New Roman"/>
          <w:color w:val="000000"/>
          <w:sz w:val="20"/>
          <w:szCs w:val="20"/>
        </w:rPr>
        <w:t>nefit compared to the prior-year period.</w:t>
      </w:r>
      <w:r>
        <w:rPr>
          <w:rFonts w:eastAsia="Times New Roman"/>
          <w:color w:val="000000"/>
          <w:sz w:val="20"/>
          <w:szCs w:val="20"/>
        </w:rPr>
        <w:t xml:space="preserve"> </w:t>
      </w:r>
    </w:p>
    <w:p w:rsidR="00000000" w:rsidRDefault="00A270CC">
      <w:pPr>
        <w:jc w:val="center"/>
        <w:divId w:val="247352578"/>
        <w:rPr>
          <w:rFonts w:eastAsia="Times New Roman"/>
        </w:rPr>
      </w:pPr>
      <w:r>
        <w:rPr>
          <w:rFonts w:eastAsia="Times New Roman"/>
          <w:color w:val="000000"/>
          <w:sz w:val="20"/>
          <w:szCs w:val="20"/>
        </w:rPr>
        <w:t>5</w:t>
      </w:r>
      <w:r>
        <w:rPr>
          <w:rFonts w:eastAsia="Times New Roman"/>
          <w:color w:val="000000"/>
          <w:sz w:val="20"/>
          <w:szCs w:val="20"/>
        </w:rPr>
        <w:t>1</w:t>
      </w:r>
    </w:p>
    <w:p w:rsidR="00000000" w:rsidRDefault="00A270CC">
      <w:pPr>
        <w:rPr>
          <w:rFonts w:eastAsia="Times New Roman"/>
        </w:rPr>
      </w:pPr>
      <w:r>
        <w:rPr>
          <w:rFonts w:eastAsia="Times New Roman"/>
        </w:rPr>
        <w:pict>
          <v:rect id="_x0000_i1077" style="width:0;height:1.5pt" o:hralign="center" o:hrstd="t" o:hr="t" fillcolor="#a0a0a0" stroked="f"/>
        </w:pict>
      </w:r>
    </w:p>
    <w:p w:rsidR="00000000" w:rsidRDefault="00A270CC">
      <w:pPr>
        <w:divId w:val="179891657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941181646"/>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Interest Expense and Income Taxe</w:t>
      </w:r>
      <w:r>
        <w:rPr>
          <w:rFonts w:eastAsia="Times New Roman"/>
          <w:b/>
          <w:bCs/>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Our consolidated interest expense during the 2020 three-month period was $80.8 million, compared to $60.5 million during the 2019 three-month period. The significant increase in interest expense principally reflects high</w:t>
      </w:r>
      <w:r>
        <w:rPr>
          <w:rFonts w:eastAsia="Times New Roman"/>
          <w:color w:val="000000"/>
          <w:sz w:val="20"/>
          <w:szCs w:val="20"/>
        </w:rPr>
        <w:t>er interest expense on long-term debt outstanding including debt incurred by UGI Corporation and Energy Services to fund a portion of the CMG Acquisition and the cash portion of the AmeriGas Merger, as well as interest on the $150 million Senior Notes issu</w:t>
      </w:r>
      <w:r>
        <w:rPr>
          <w:rFonts w:eastAsia="Times New Roman"/>
          <w:color w:val="000000"/>
          <w:sz w:val="20"/>
          <w:szCs w:val="20"/>
        </w:rPr>
        <w:t>ed by UGI Utilities in April 2020.</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divId w:val="761225251"/>
        <w:rPr>
          <w:rFonts w:eastAsia="Times New Roman"/>
        </w:rPr>
      </w:pPr>
      <w:r>
        <w:rPr>
          <w:rFonts w:eastAsia="Times New Roman"/>
          <w:color w:val="000000"/>
          <w:sz w:val="20"/>
          <w:szCs w:val="20"/>
        </w:rPr>
        <w:t>Income tax expense for the 2020 three-month period reflects a tax benefit resulting from the carryback of an NOL under the CARES Act ($16.1 million) and the impact on income taxes of our 100% ownership of the Partnersh</w:t>
      </w:r>
      <w:r>
        <w:rPr>
          <w:rFonts w:eastAsia="Times New Roman"/>
          <w:color w:val="000000"/>
          <w:sz w:val="20"/>
          <w:szCs w:val="20"/>
        </w:rPr>
        <w:t xml:space="preserve">ip in the current-year period compared to our approximately </w:t>
      </w:r>
      <w:r>
        <w:rPr>
          <w:rFonts w:eastAsia="Times New Roman"/>
          <w:color w:val="000000"/>
          <w:sz w:val="20"/>
          <w:szCs w:val="20"/>
        </w:rPr>
        <w:t>2</w:t>
      </w:r>
      <w:r>
        <w:rPr>
          <w:rFonts w:eastAsia="Times New Roman"/>
          <w:color w:val="000000"/>
          <w:sz w:val="20"/>
          <w:szCs w:val="20"/>
          <w:shd w:val="clear" w:color="auto" w:fill="FFFFFF"/>
        </w:rPr>
        <w:t xml:space="preserve">6% ownership interest in the 2019 three-month period. This increase in the effective tax rate for the 2020 three-month period compared to the prior-year period was affected by the impacts of the </w:t>
      </w:r>
      <w:r>
        <w:rPr>
          <w:rFonts w:eastAsia="Times New Roman"/>
          <w:color w:val="000000"/>
          <w:sz w:val="20"/>
          <w:szCs w:val="20"/>
          <w:shd w:val="clear" w:color="auto" w:fill="FFFFFF"/>
        </w:rPr>
        <w:t xml:space="preserve">CARES Act and discrete tax items on lower pre-tax income (loss) during the respective periods. </w:t>
      </w:r>
    </w:p>
    <w:p w:rsidR="00000000" w:rsidRDefault="00A270CC">
      <w:pPr>
        <w:jc w:val="both"/>
        <w:divId w:val="956646551"/>
        <w:rPr>
          <w:rFonts w:eastAsia="Times New Roman"/>
        </w:rPr>
      </w:pPr>
      <w:r>
        <w:rPr>
          <w:rFonts w:eastAsia="Times New Roman"/>
          <w:color w:val="000000"/>
          <w:sz w:val="20"/>
          <w:szCs w:val="20"/>
        </w:rPr>
        <w:t>On July 20, 2020, the U.S. Department of the Treasury and the IRS released regulations which modify the GILTI provisions of the IRC, as well as proposed regulat</w:t>
      </w:r>
      <w:r>
        <w:rPr>
          <w:rFonts w:eastAsia="Times New Roman"/>
          <w:color w:val="000000"/>
          <w:sz w:val="20"/>
          <w:szCs w:val="20"/>
        </w:rPr>
        <w:t>ions related to other IRC provisions. The Company is evaluating the elections available under these revised and proposed regulations, including any impact on anticipated benefits under the CARES Act, and expects the effects of these changes to provide a si</w:t>
      </w:r>
      <w:r>
        <w:rPr>
          <w:rFonts w:eastAsia="Times New Roman"/>
          <w:color w:val="000000"/>
          <w:sz w:val="20"/>
          <w:szCs w:val="20"/>
        </w:rPr>
        <w:t>gnificant tax benefit in the fourth quarter of Fiscal 2020. However, the Company has not yet filed its income tax return for Fiscal 2020, and continues to evaluate other tax positions or strategies that could affect taxable income or loss.  Accordingly, th</w:t>
      </w:r>
      <w:r>
        <w:rPr>
          <w:rFonts w:eastAsia="Times New Roman"/>
          <w:color w:val="000000"/>
          <w:sz w:val="20"/>
          <w:szCs w:val="20"/>
        </w:rPr>
        <w:t>e impacts on the Company’s income tax provisions and taxes payable or refundable related to the CARES Act and the GILTI provisions are subject to change</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1656058974"/>
        <w:rPr>
          <w:rFonts w:eastAsia="Times New Roman"/>
        </w:rPr>
      </w:pPr>
      <w:r>
        <w:rPr>
          <w:rFonts w:eastAsia="Times New Roman"/>
          <w:b/>
          <w:bCs/>
          <w:color w:val="000000"/>
          <w:sz w:val="20"/>
          <w:szCs w:val="20"/>
        </w:rPr>
        <w:t>2020 Nine-Month Period Compared to the 2019 Nine-Month Perio</w:t>
      </w:r>
      <w:r>
        <w:rPr>
          <w:rFonts w:eastAsia="Times New Roman"/>
          <w:b/>
          <w:bCs/>
          <w:color w:val="000000"/>
          <w:sz w:val="20"/>
          <w:szCs w:val="20"/>
        </w:rPr>
        <w:t>d</w:t>
      </w:r>
    </w:p>
    <w:p w:rsidR="00000000" w:rsidRDefault="00A270CC">
      <w:pPr>
        <w:divId w:val="1964146429"/>
        <w:rPr>
          <w:rFonts w:eastAsia="Times New Roman"/>
        </w:rPr>
      </w:pPr>
      <w:r>
        <w:rPr>
          <w:rFonts w:eastAsia="Times New Roman"/>
          <w:b/>
          <w:bCs/>
          <w:i/>
          <w:iCs/>
          <w:color w:val="000000"/>
          <w:sz w:val="20"/>
          <w:szCs w:val="20"/>
        </w:rPr>
        <w:t>AmeriGas Propan</w:t>
      </w:r>
      <w:r>
        <w:rPr>
          <w:rFonts w:eastAsia="Times New Roman"/>
          <w:b/>
          <w:bCs/>
          <w:i/>
          <w:iCs/>
          <w:color w:val="000000"/>
          <w:sz w:val="20"/>
          <w:szCs w:val="20"/>
        </w:rPr>
        <w:t>e</w:t>
      </w:r>
    </w:p>
    <w:tbl>
      <w:tblPr>
        <w:tblW w:w="4992" w:type="pct"/>
        <w:tblCellMar>
          <w:top w:w="15" w:type="dxa"/>
          <w:left w:w="15" w:type="dxa"/>
          <w:bottom w:w="15" w:type="dxa"/>
          <w:right w:w="15" w:type="dxa"/>
        </w:tblCellMar>
        <w:tblLook w:val="04A0" w:firstRow="1" w:lastRow="0" w:firstColumn="1" w:lastColumn="0" w:noHBand="0" w:noVBand="1"/>
      </w:tblPr>
      <w:tblGrid>
        <w:gridCol w:w="41"/>
        <w:gridCol w:w="3599"/>
        <w:gridCol w:w="40"/>
        <w:gridCol w:w="36"/>
        <w:gridCol w:w="36"/>
        <w:gridCol w:w="36"/>
        <w:gridCol w:w="135"/>
        <w:gridCol w:w="724"/>
        <w:gridCol w:w="202"/>
        <w:gridCol w:w="36"/>
        <w:gridCol w:w="36"/>
        <w:gridCol w:w="36"/>
        <w:gridCol w:w="135"/>
        <w:gridCol w:w="747"/>
        <w:gridCol w:w="202"/>
        <w:gridCol w:w="36"/>
        <w:gridCol w:w="36"/>
        <w:gridCol w:w="36"/>
        <w:gridCol w:w="135"/>
        <w:gridCol w:w="629"/>
        <w:gridCol w:w="85"/>
        <w:gridCol w:w="36"/>
        <w:gridCol w:w="36"/>
        <w:gridCol w:w="36"/>
        <w:gridCol w:w="43"/>
        <w:gridCol w:w="726"/>
        <w:gridCol w:w="202"/>
        <w:gridCol w:w="36"/>
        <w:gridCol w:w="36"/>
        <w:gridCol w:w="36"/>
        <w:gridCol w:w="36"/>
        <w:gridCol w:w="36"/>
        <w:gridCol w:w="36"/>
      </w:tblGrid>
      <w:tr w:rsidR="00000000">
        <w:trPr>
          <w:gridAfter w:val="6"/>
        </w:trPr>
        <w:tc>
          <w:tcPr>
            <w:tcW w:w="50" w:type="pct"/>
            <w:vAlign w:val="center"/>
            <w:hideMark/>
          </w:tcPr>
          <w:p w:rsidR="00000000" w:rsidRDefault="00A270CC">
            <w:pPr>
              <w:rPr>
                <w:rFonts w:eastAsia="Times New Roman"/>
              </w:rPr>
            </w:pPr>
          </w:p>
        </w:tc>
        <w:tc>
          <w:tcPr>
            <w:tcW w:w="227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6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nine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Decreas</w:t>
            </w:r>
            <w:r>
              <w:rPr>
                <w:rFonts w:eastAsia="Times New Roman"/>
                <w:color w:val="000000"/>
                <w:sz w:val="20"/>
                <w:szCs w:val="20"/>
              </w:rPr>
              <w:t>e</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1,983.3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2,270.5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(287.2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1,190.6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1,246.5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679.9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income/earnings before interest expense and income taxe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Retail gallons sold (millions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Heating degree days—% (warmer) colder than normal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total revenues less total cost of sales</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 xml:space="preserve">Deviation from average heating degree days for the 15-year period 2002-2016 based upon national weather statistics provided by NOAA for </w:t>
      </w:r>
      <w:r>
        <w:rPr>
          <w:rFonts w:eastAsia="Times New Roman"/>
          <w:color w:val="000000"/>
          <w:sz w:val="20"/>
          <w:szCs w:val="20"/>
        </w:rPr>
        <w:t>344 Geo Regions in the United States, excluding Alaska and Hawaii</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Average temperatures during the 2020 nine-month period were 1.5% warmer than normal and 5.3% warmer than the prior-year period. Total retail gallons sold during the 2020 nine-month period</w:t>
      </w:r>
      <w:r>
        <w:rPr>
          <w:rFonts w:eastAsia="Times New Roman"/>
          <w:color w:val="000000"/>
          <w:sz w:val="20"/>
          <w:szCs w:val="20"/>
        </w:rPr>
        <w:t xml:space="preserve"> were 6.3% lower than the prior-year period reflecting the effects of COVID-19, structural conservation and other residual volume loss, and the effects of the warmer weather on heating-related sales. The decrease in total retail volumes was partially offse</w:t>
      </w:r>
      <w:r>
        <w:rPr>
          <w:rFonts w:eastAsia="Times New Roman"/>
          <w:color w:val="000000"/>
          <w:sz w:val="20"/>
          <w:szCs w:val="20"/>
        </w:rPr>
        <w:t>t by higher cylinder exchange volumes compared to the prior-year period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Total revenues decreased $287.2 million during the 2020 nine-month period principally related to lower retail propane revenues ($287.6 million) reflecting the effects of lower avera</w:t>
      </w:r>
      <w:r>
        <w:rPr>
          <w:rFonts w:eastAsia="Times New Roman"/>
          <w:color w:val="000000"/>
          <w:sz w:val="20"/>
          <w:szCs w:val="20"/>
        </w:rPr>
        <w:t>ge retail selling prices ($161.4 million) and the lower retail volumes sold ($126.2 million). Average daily wholesale propane commodity prices during the 2020 nine-month period at Mont Belvieu, Texas, one of the major supply points in the U.S., were approx</w:t>
      </w:r>
      <w:r>
        <w:rPr>
          <w:rFonts w:eastAsia="Times New Roman"/>
          <w:color w:val="000000"/>
          <w:sz w:val="20"/>
          <w:szCs w:val="20"/>
        </w:rPr>
        <w:t>imately 37% lower than such prices during the prior-year period. Total cost of sales decreased $231.3 million during the 2020 nine-month period principally reflecting the effects of lower average retail product costs ($174.5 million) and the lower retail p</w:t>
      </w:r>
      <w:r>
        <w:rPr>
          <w:rFonts w:eastAsia="Times New Roman"/>
          <w:color w:val="000000"/>
          <w:sz w:val="20"/>
          <w:szCs w:val="20"/>
        </w:rPr>
        <w:t>ropane volumes sold ($57.3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AmeriGas Propane total margin decreased $55.9 million in the 2020 nine-month period largely attributable to the previously mentioned lower retail volumes sold ($68.9 million) partially offset by slightly higher avera</w:t>
      </w:r>
      <w:r>
        <w:rPr>
          <w:rFonts w:eastAsia="Times New Roman"/>
          <w:color w:val="000000"/>
          <w:sz w:val="20"/>
          <w:szCs w:val="20"/>
        </w:rPr>
        <w:t>ge retail unit margins ($13.1 million) compared to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1377121745"/>
        <w:rPr>
          <w:rFonts w:eastAsia="Times New Roman"/>
        </w:rPr>
      </w:pPr>
      <w:r>
        <w:rPr>
          <w:rFonts w:eastAsia="Times New Roman"/>
          <w:color w:val="000000"/>
          <w:sz w:val="20"/>
          <w:szCs w:val="20"/>
        </w:rPr>
        <w:t>5</w:t>
      </w:r>
      <w:r>
        <w:rPr>
          <w:rFonts w:eastAsia="Times New Roman"/>
          <w:color w:val="000000"/>
          <w:sz w:val="20"/>
          <w:szCs w:val="20"/>
        </w:rPr>
        <w:t>2</w:t>
      </w:r>
    </w:p>
    <w:p w:rsidR="00000000" w:rsidRDefault="00A270CC">
      <w:pPr>
        <w:rPr>
          <w:rFonts w:eastAsia="Times New Roman"/>
        </w:rPr>
      </w:pPr>
      <w:r>
        <w:rPr>
          <w:rFonts w:eastAsia="Times New Roman"/>
        </w:rPr>
        <w:pict>
          <v:rect id="_x0000_i1078" style="width:0;height:1.5pt" o:hralign="center" o:hrstd="t" o:hr="t" fillcolor="#a0a0a0" stroked="f"/>
        </w:pict>
      </w:r>
    </w:p>
    <w:p w:rsidR="00000000" w:rsidRDefault="00A270CC">
      <w:pPr>
        <w:divId w:val="26511529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33237252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 xml:space="preserve">Operating income and earnings before interest expense and income taxes decreased $22.6 million during the 2020 nine-month period principally reflecting the previously mentioned decrease in total margin and lower other income ($4.6 million) attributable to </w:t>
      </w:r>
      <w:r>
        <w:rPr>
          <w:rFonts w:eastAsia="Times New Roman"/>
          <w:color w:val="000000"/>
          <w:sz w:val="20"/>
          <w:szCs w:val="20"/>
        </w:rPr>
        <w:t>the suspension of customer late payment fees as part of our response to COVID-19, partially offset by lower operating and administrative expenses ($37.7 million). The decrease in operating and administrative expenses in the 2020 nine-month period reflects,</w:t>
      </w:r>
      <w:r>
        <w:rPr>
          <w:rFonts w:eastAsia="Times New Roman"/>
          <w:color w:val="000000"/>
          <w:sz w:val="20"/>
          <w:szCs w:val="20"/>
        </w:rPr>
        <w:t xml:space="preserve"> among other things, lower employee compensation and benefits-related costs ($17.6 million), lower litigation expense ($10.0 million), decreased vehicle operating and maintenance expenses ($7.2 million) and lower business travel expenses ($4.1 million). Th</w:t>
      </w:r>
      <w:r>
        <w:rPr>
          <w:rFonts w:eastAsia="Times New Roman"/>
          <w:color w:val="000000"/>
          <w:sz w:val="20"/>
          <w:szCs w:val="20"/>
        </w:rPr>
        <w:t>e lower operating and administrative expenses reflect the partial benefits related to the previously mentioned ongoing LPG transformation initiatives.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Internationa</w:t>
      </w:r>
      <w:r>
        <w:rPr>
          <w:rFonts w:eastAsia="Times New Roman"/>
          <w:b/>
          <w:bCs/>
          <w:i/>
          <w:iCs/>
          <w:color w:val="000000"/>
          <w:sz w:val="20"/>
          <w:szCs w:val="20"/>
        </w:rPr>
        <w:t>l</w:t>
      </w:r>
    </w:p>
    <w:tbl>
      <w:tblPr>
        <w:tblW w:w="5000" w:type="pct"/>
        <w:tblCellMar>
          <w:top w:w="15" w:type="dxa"/>
          <w:left w:w="15" w:type="dxa"/>
          <w:bottom w:w="15" w:type="dxa"/>
          <w:right w:w="15" w:type="dxa"/>
        </w:tblCellMar>
        <w:tblLook w:val="04A0" w:firstRow="1" w:lastRow="0" w:firstColumn="1" w:lastColumn="0" w:noHBand="0" w:noVBand="1"/>
      </w:tblPr>
      <w:tblGrid>
        <w:gridCol w:w="40"/>
        <w:gridCol w:w="3814"/>
        <w:gridCol w:w="39"/>
        <w:gridCol w:w="36"/>
        <w:gridCol w:w="36"/>
        <w:gridCol w:w="36"/>
        <w:gridCol w:w="135"/>
        <w:gridCol w:w="726"/>
        <w:gridCol w:w="202"/>
        <w:gridCol w:w="36"/>
        <w:gridCol w:w="36"/>
        <w:gridCol w:w="36"/>
        <w:gridCol w:w="135"/>
        <w:gridCol w:w="747"/>
        <w:gridCol w:w="202"/>
        <w:gridCol w:w="36"/>
        <w:gridCol w:w="36"/>
        <w:gridCol w:w="36"/>
        <w:gridCol w:w="135"/>
        <w:gridCol w:w="606"/>
        <w:gridCol w:w="85"/>
        <w:gridCol w:w="36"/>
        <w:gridCol w:w="36"/>
        <w:gridCol w:w="36"/>
        <w:gridCol w:w="53"/>
        <w:gridCol w:w="537"/>
        <w:gridCol w:w="202"/>
        <w:gridCol w:w="36"/>
        <w:gridCol w:w="36"/>
        <w:gridCol w:w="36"/>
        <w:gridCol w:w="36"/>
        <w:gridCol w:w="36"/>
        <w:gridCol w:w="36"/>
      </w:tblGrid>
      <w:tr w:rsidR="00000000">
        <w:trPr>
          <w:gridAfter w:val="6"/>
          <w:divId w:val="480538167"/>
        </w:trPr>
        <w:tc>
          <w:tcPr>
            <w:tcW w:w="50" w:type="pct"/>
            <w:vAlign w:val="center"/>
            <w:hideMark/>
          </w:tcPr>
          <w:p w:rsidR="00000000" w:rsidRDefault="00A270CC">
            <w:pPr>
              <w:jc w:val="both"/>
              <w:rPr>
                <w:rFonts w:eastAsia="Times New Roman"/>
              </w:rPr>
            </w:pPr>
          </w:p>
        </w:tc>
        <w:tc>
          <w:tcPr>
            <w:tcW w:w="24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4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2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480538167"/>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nine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Increase (Decrease</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48053816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1,980.5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757.7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777.5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480.5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income</w:t>
            </w:r>
            <w:r>
              <w:rPr>
                <w:rFonts w:eastAsia="Times New Roman"/>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LPG retail gallons sold (millions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672.0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480538167"/>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Heating degree days—</w:t>
            </w:r>
            <w:r>
              <w:rPr>
                <w:rFonts w:eastAsia="Times New Roman"/>
                <w:color w:val="000000"/>
                <w:sz w:val="20"/>
                <w:szCs w:val="20"/>
              </w:rPr>
              <w:t>% (warmer) than normal (b</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of sales and, in the 2019 nine-month period, French energy certificate costs of $31.2 million. For financial st</w:t>
      </w:r>
      <w:r>
        <w:rPr>
          <w:rFonts w:eastAsia="Times New Roman"/>
          <w:color w:val="000000"/>
          <w:sz w:val="20"/>
          <w:szCs w:val="20"/>
        </w:rPr>
        <w:t>atement purposes, French energy certificate costs in the 2019 nine-month period are included in “Operating and administrative expenses” on the Condensed Consolidated Statements of Income (but are excluded from operating and administrative expenses presente</w:t>
      </w:r>
      <w:r>
        <w:rPr>
          <w:rFonts w:eastAsia="Times New Roman"/>
          <w:color w:val="000000"/>
          <w:sz w:val="20"/>
          <w:szCs w:val="20"/>
        </w:rPr>
        <w:t>d above). In the 2020 nine-month period, French energy certificate costs are included in “Cost of sales” on the Condensed Consolidated Statements of Income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 xml:space="preserve">Deviation from average heating degree days for the 15-year period 2002-2016 at locations in our </w:t>
      </w:r>
      <w:r>
        <w:rPr>
          <w:rFonts w:eastAsia="Times New Roman"/>
          <w:color w:val="000000"/>
          <w:sz w:val="20"/>
          <w:szCs w:val="20"/>
        </w:rPr>
        <w:t>UGI International service territories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shd w:val="clear" w:color="auto" w:fill="FFFFFF"/>
        </w:rPr>
        <w:t>Average temperatures during the 2020 nine-month period were 11.8% warmer than normal and 7.1% warmer than the prior-year period. Total LPG retail gallons sold during the 2020 nine-month period were 8.6% lower princi</w:t>
      </w:r>
      <w:r>
        <w:rPr>
          <w:rFonts w:eastAsia="Times New Roman"/>
          <w:color w:val="000000"/>
          <w:sz w:val="20"/>
          <w:szCs w:val="20"/>
          <w:shd w:val="clear" w:color="auto" w:fill="FFFFFF"/>
        </w:rPr>
        <w:t xml:space="preserve">pally reflecting the </w:t>
      </w:r>
      <w:r>
        <w:rPr>
          <w:rFonts w:eastAsia="Times New Roman"/>
          <w:color w:val="000000"/>
          <w:sz w:val="20"/>
          <w:szCs w:val="20"/>
          <w:shd w:val="clear" w:color="auto" w:fill="FFFFFF"/>
        </w:rPr>
        <w:t>e</w:t>
      </w:r>
      <w:r>
        <w:rPr>
          <w:rFonts w:eastAsia="Times New Roman"/>
          <w:color w:val="000000"/>
          <w:sz w:val="20"/>
          <w:szCs w:val="20"/>
        </w:rPr>
        <w:t>ffects of the warmer weather on heating-related bulk sales, the impacts of COVID-19 on commercial and industrial volumes, and the termination of a low-margin autogas contract in Italy.</w:t>
      </w:r>
      <w:r>
        <w:rPr>
          <w:rFonts w:eastAsia="Times New Roman"/>
          <w:color w:val="000000"/>
          <w:sz w:val="20"/>
          <w:szCs w:val="20"/>
        </w:rPr>
        <w:t xml:space="preserve"> </w:t>
      </w:r>
      <w:r>
        <w:rPr>
          <w:rFonts w:eastAsia="Times New Roman"/>
          <w:color w:val="000000"/>
          <w:sz w:val="20"/>
          <w:szCs w:val="20"/>
          <w:shd w:val="clear" w:color="auto" w:fill="FFFFFF"/>
        </w:rPr>
        <w:t xml:space="preserve">During the 2020 nine-month period, average wholesale prices for propane and butane in northwest Europe were approximately 23% and 13% lower, respectively, compared with the prior-year period.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International base-currency results are translated into U</w:t>
      </w:r>
      <w:r>
        <w:rPr>
          <w:rFonts w:eastAsia="Times New Roman"/>
          <w:color w:val="000000"/>
          <w:sz w:val="20"/>
          <w:szCs w:val="20"/>
        </w:rPr>
        <w:t>.S. dollars based upon exchange rates experienced during the reporting periods. Differences in these translation rates affect the comparison of line item amounts presented in the table above. The functional currency of a significant portion of our UGI Inte</w:t>
      </w:r>
      <w:r>
        <w:rPr>
          <w:rFonts w:eastAsia="Times New Roman"/>
          <w:color w:val="000000"/>
          <w:sz w:val="20"/>
          <w:szCs w:val="20"/>
        </w:rPr>
        <w:t>rnational results is the euro and, to a much lesser extent, the British pound sterling. During the 2020 and 2019 nine-month periods, the average unweighted euro-to-dollar translation rates were approximately $1.10 and $1.14, respectively, and the average u</w:t>
      </w:r>
      <w:r>
        <w:rPr>
          <w:rFonts w:eastAsia="Times New Roman"/>
          <w:color w:val="000000"/>
          <w:sz w:val="20"/>
          <w:szCs w:val="20"/>
        </w:rPr>
        <w:t>nweighted British pound sterling-to-dollar translation rates were approximately $1.27 and $1.29, respectively.</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shd w:val="clear" w:color="auto" w:fill="FFFFFF"/>
        </w:rPr>
        <w:t>UGI International revenues and cost of sales decreased $254.2 million and $234.4 million, respectively, during the 2020 nine-month period comp</w:t>
      </w:r>
      <w:r>
        <w:rPr>
          <w:rFonts w:eastAsia="Times New Roman"/>
          <w:color w:val="000000"/>
          <w:sz w:val="20"/>
          <w:szCs w:val="20"/>
          <w:shd w:val="clear" w:color="auto" w:fill="FFFFFF"/>
        </w:rPr>
        <w:t>ared to the prior year. These decreases to both revenues and cost of sales principally reflect the effects of lower average LPG selling prices and product costs, lower total LPG retail and wholesale volumes, and the translation effects of the weaker euro (</w:t>
      </w:r>
      <w:r>
        <w:rPr>
          <w:rFonts w:eastAsia="Times New Roman"/>
          <w:color w:val="000000"/>
          <w:sz w:val="20"/>
          <w:szCs w:val="20"/>
          <w:shd w:val="clear" w:color="auto" w:fill="FFFFFF"/>
        </w:rPr>
        <w:t>approximately $51 million impact on revenues and $29 million impact on cost of sales, respectively). Energy marketing activities also contributed to the decreased revenues and cost of sales during the current year-period.</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shd w:val="clear" w:color="auto" w:fill="FFFFFF"/>
        </w:rPr>
        <w:t>UGI International total margin d</w:t>
      </w:r>
      <w:r>
        <w:rPr>
          <w:rFonts w:eastAsia="Times New Roman"/>
          <w:color w:val="000000"/>
          <w:sz w:val="20"/>
          <w:szCs w:val="20"/>
          <w:shd w:val="clear" w:color="auto" w:fill="FFFFFF"/>
        </w:rPr>
        <w:t>ecreased $19.8 million during the 2020 nine-month period largely attributable to the previously mentioned lower total volumes and the translation effects of the weaker euro (approximately $22 million) compared to the prior-year period. These decreases were</w:t>
      </w:r>
      <w:r>
        <w:rPr>
          <w:rFonts w:eastAsia="Times New Roman"/>
          <w:color w:val="000000"/>
          <w:sz w:val="20"/>
          <w:szCs w:val="20"/>
          <w:shd w:val="clear" w:color="auto" w:fill="FFFFFF"/>
        </w:rPr>
        <w:t xml:space="preserve"> partially offset by higher average LPG unit margins including the effects of margin management efforts and lower LPG product costs.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International operating income and earnings before interest expense and income taxes increased $17.4 million and $28</w:t>
      </w:r>
      <w:r>
        <w:rPr>
          <w:rFonts w:eastAsia="Times New Roman"/>
          <w:color w:val="000000"/>
          <w:sz w:val="20"/>
          <w:szCs w:val="20"/>
        </w:rPr>
        <w:t>.9 million, respectively, during the 2020 nine-month period compared to the prior year. The increase in operating income principally reflects the lower operating and administrative expenses ($40.5 million) partially offset by the decrease in total</w:t>
      </w:r>
      <w:r>
        <w:rPr>
          <w:rFonts w:eastAsia="Times New Roman"/>
          <w:color w:val="000000"/>
          <w:sz w:val="20"/>
          <w:szCs w:val="20"/>
        </w:rPr>
        <w:t xml:space="preserve"> </w:t>
      </w:r>
    </w:p>
    <w:p w:rsidR="00000000" w:rsidRDefault="00A270CC">
      <w:pPr>
        <w:jc w:val="center"/>
        <w:divId w:val="1307509371"/>
        <w:rPr>
          <w:rFonts w:eastAsia="Times New Roman"/>
        </w:rPr>
      </w:pPr>
      <w:r>
        <w:rPr>
          <w:rFonts w:eastAsia="Times New Roman"/>
          <w:color w:val="000000"/>
          <w:sz w:val="20"/>
          <w:szCs w:val="20"/>
        </w:rPr>
        <w:t>5</w:t>
      </w:r>
      <w:r>
        <w:rPr>
          <w:rFonts w:eastAsia="Times New Roman"/>
          <w:color w:val="000000"/>
          <w:sz w:val="20"/>
          <w:szCs w:val="20"/>
        </w:rPr>
        <w:t>3</w:t>
      </w:r>
    </w:p>
    <w:p w:rsidR="00000000" w:rsidRDefault="00A270CC">
      <w:pPr>
        <w:rPr>
          <w:rFonts w:eastAsia="Times New Roman"/>
        </w:rPr>
      </w:pPr>
      <w:r>
        <w:rPr>
          <w:rFonts w:eastAsia="Times New Roman"/>
        </w:rPr>
        <w:pict>
          <v:rect id="_x0000_i1079" style="width:0;height:1.5pt" o:hralign="center" o:hrstd="t" o:hr="t" fillcolor="#a0a0a0" stroked="f"/>
        </w:pict>
      </w:r>
    </w:p>
    <w:p w:rsidR="00000000" w:rsidRDefault="00A270CC">
      <w:pPr>
        <w:divId w:val="1336956119"/>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50505054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margin and the absence of a customer contract settlement recorded in the 2019 nine-month period. The decrease in op</w:t>
      </w:r>
      <w:r>
        <w:rPr>
          <w:rFonts w:eastAsia="Times New Roman"/>
          <w:color w:val="000000"/>
          <w:sz w:val="20"/>
          <w:szCs w:val="20"/>
        </w:rPr>
        <w:t>erating and administrative expenses is largely attributable to</w:t>
      </w:r>
      <w:r>
        <w:rPr>
          <w:rFonts w:eastAsia="Times New Roman"/>
          <w:color w:val="000000"/>
          <w:sz w:val="20"/>
          <w:szCs w:val="20"/>
        </w:rPr>
        <w:t xml:space="preserve"> </w:t>
      </w:r>
      <w:r>
        <w:rPr>
          <w:rFonts w:eastAsia="Times New Roman"/>
          <w:color w:val="000000"/>
          <w:sz w:val="20"/>
          <w:szCs w:val="20"/>
          <w:shd w:val="clear" w:color="auto" w:fill="FFFFFF"/>
        </w:rPr>
        <w:t>lower outside services, maintenance and distribution costs compared to the prior-year period and</w:t>
      </w:r>
      <w:r>
        <w:rPr>
          <w:rFonts w:eastAsia="Times New Roman"/>
          <w:color w:val="000000"/>
          <w:sz w:val="20"/>
          <w:szCs w:val="20"/>
          <w:shd w:val="clear" w:color="auto" w:fill="FFFFFF"/>
        </w:rPr>
        <w:t xml:space="preserve"> </w:t>
      </w:r>
      <w:r>
        <w:rPr>
          <w:rFonts w:eastAsia="Times New Roman"/>
          <w:color w:val="000000"/>
          <w:sz w:val="20"/>
          <w:szCs w:val="20"/>
        </w:rPr>
        <w:t>the translation effects of the weaker euro (approximately $13 million</w:t>
      </w:r>
      <w:r>
        <w:rPr>
          <w:rFonts w:eastAsia="Times New Roman"/>
          <w:color w:val="000000"/>
          <w:sz w:val="20"/>
          <w:szCs w:val="20"/>
        </w:rPr>
        <w:t>)</w:t>
      </w:r>
      <w:r>
        <w:rPr>
          <w:rFonts w:eastAsia="Times New Roman"/>
          <w:color w:val="000000"/>
          <w:sz w:val="20"/>
          <w:szCs w:val="20"/>
          <w:shd w:val="clear" w:color="auto" w:fill="FFFFFF"/>
        </w:rPr>
        <w:t>. T</w:t>
      </w:r>
      <w:r>
        <w:rPr>
          <w:rFonts w:eastAsia="Times New Roman"/>
          <w:color w:val="000000"/>
          <w:sz w:val="20"/>
          <w:szCs w:val="20"/>
          <w:shd w:val="clear" w:color="auto" w:fill="FFFFFF"/>
        </w:rPr>
        <w:t>h</w:t>
      </w:r>
      <w:r>
        <w:rPr>
          <w:rFonts w:eastAsia="Times New Roman"/>
          <w:color w:val="000000"/>
          <w:sz w:val="20"/>
          <w:szCs w:val="20"/>
        </w:rPr>
        <w:t>e increase in earnings</w:t>
      </w:r>
      <w:r>
        <w:rPr>
          <w:rFonts w:eastAsia="Times New Roman"/>
          <w:color w:val="000000"/>
          <w:sz w:val="20"/>
          <w:szCs w:val="20"/>
        </w:rPr>
        <w:t xml:space="preserve"> before interest expense and income taxes in the 2020 nine-month period largely reflects the higher operating income, increased pre-tax realized gains on foreign currency exchange contracts entered into in order to reduce volatility in UGI International ne</w:t>
      </w:r>
      <w:r>
        <w:rPr>
          <w:rFonts w:eastAsia="Times New Roman"/>
          <w:color w:val="000000"/>
          <w:sz w:val="20"/>
          <w:szCs w:val="20"/>
        </w:rPr>
        <w:t>t income resulting from the translation effects of changes in foreign currency exchange rates ($10.2 million) and a non-service pension benefit compared to the prior-year period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Midstream &amp; Marketin</w:t>
      </w:r>
      <w:r>
        <w:rPr>
          <w:rFonts w:eastAsia="Times New Roman"/>
          <w:b/>
          <w:bCs/>
          <w:i/>
          <w:iCs/>
          <w:color w:val="000000"/>
          <w:sz w:val="20"/>
          <w:szCs w:val="20"/>
        </w:rPr>
        <w:t>g</w:t>
      </w:r>
    </w:p>
    <w:tbl>
      <w:tblPr>
        <w:tblW w:w="4992" w:type="pct"/>
        <w:tblCellMar>
          <w:top w:w="15" w:type="dxa"/>
          <w:left w:w="15" w:type="dxa"/>
          <w:bottom w:w="15" w:type="dxa"/>
          <w:right w:w="15" w:type="dxa"/>
        </w:tblCellMar>
        <w:tblLook w:val="04A0" w:firstRow="1" w:lastRow="0" w:firstColumn="1" w:lastColumn="0" w:noHBand="0" w:noVBand="1"/>
      </w:tblPr>
      <w:tblGrid>
        <w:gridCol w:w="40"/>
        <w:gridCol w:w="3521"/>
        <w:gridCol w:w="39"/>
        <w:gridCol w:w="36"/>
        <w:gridCol w:w="36"/>
        <w:gridCol w:w="36"/>
        <w:gridCol w:w="135"/>
        <w:gridCol w:w="785"/>
        <w:gridCol w:w="85"/>
        <w:gridCol w:w="36"/>
        <w:gridCol w:w="36"/>
        <w:gridCol w:w="36"/>
        <w:gridCol w:w="135"/>
        <w:gridCol w:w="786"/>
        <w:gridCol w:w="85"/>
        <w:gridCol w:w="36"/>
        <w:gridCol w:w="36"/>
        <w:gridCol w:w="36"/>
        <w:gridCol w:w="135"/>
        <w:gridCol w:w="786"/>
        <w:gridCol w:w="85"/>
        <w:gridCol w:w="36"/>
        <w:gridCol w:w="36"/>
        <w:gridCol w:w="36"/>
        <w:gridCol w:w="43"/>
        <w:gridCol w:w="783"/>
        <w:gridCol w:w="202"/>
        <w:gridCol w:w="36"/>
        <w:gridCol w:w="36"/>
        <w:gridCol w:w="36"/>
        <w:gridCol w:w="36"/>
        <w:gridCol w:w="36"/>
        <w:gridCol w:w="36"/>
      </w:tblGrid>
      <w:tr w:rsidR="00000000">
        <w:trPr>
          <w:gridAfter w:val="6"/>
          <w:divId w:val="677460648"/>
        </w:trPr>
        <w:tc>
          <w:tcPr>
            <w:tcW w:w="50" w:type="pct"/>
            <w:vAlign w:val="center"/>
            <w:hideMark/>
          </w:tcPr>
          <w:p w:rsidR="00000000" w:rsidRDefault="00A270CC">
            <w:pPr>
              <w:jc w:val="both"/>
              <w:rPr>
                <w:rFonts w:eastAsia="Times New Roman"/>
              </w:rPr>
            </w:pPr>
          </w:p>
        </w:tc>
        <w:tc>
          <w:tcPr>
            <w:tcW w:w="220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77460648"/>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nine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Increase (Decrease</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67746064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77460648"/>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Revenues</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1,017.2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77460648"/>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295.5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77460648"/>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77460648"/>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77460648"/>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of sales</w:t>
      </w:r>
      <w:r>
        <w:rPr>
          <w:rFonts w:eastAsia="Times New Roman"/>
          <w:color w:val="000000"/>
          <w:sz w:val="20"/>
          <w:szCs w:val="20"/>
        </w:rPr>
        <w:t>.</w:t>
      </w:r>
    </w:p>
    <w:p w:rsidR="00000000" w:rsidRDefault="00A270CC">
      <w:pPr>
        <w:divId w:val="1210725137"/>
        <w:rPr>
          <w:rFonts w:eastAsia="Times New Roman"/>
        </w:rPr>
      </w:pPr>
    </w:p>
    <w:p w:rsidR="00000000" w:rsidRDefault="00A270CC">
      <w:pPr>
        <w:jc w:val="both"/>
        <w:rPr>
          <w:rFonts w:eastAsia="Times New Roman"/>
        </w:rPr>
      </w:pPr>
      <w:r>
        <w:rPr>
          <w:rFonts w:eastAsia="Times New Roman"/>
          <w:color w:val="000000"/>
          <w:sz w:val="20"/>
          <w:szCs w:val="20"/>
        </w:rPr>
        <w:t>Average temperatures across Midstream &amp; Marketing’</w:t>
      </w:r>
      <w:r>
        <w:rPr>
          <w:rFonts w:eastAsia="Times New Roman"/>
          <w:color w:val="000000"/>
          <w:sz w:val="20"/>
          <w:szCs w:val="20"/>
        </w:rPr>
        <w:t>s energy marketing territory during the nine months ended June 30, 2020 were 8.0% warmer than normal and 7.4% warmer than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Marketing’s revenues for the 2020 nine-month period were $251.9 million lower than the prior-yea</w:t>
      </w:r>
      <w:r>
        <w:rPr>
          <w:rFonts w:eastAsia="Times New Roman"/>
          <w:color w:val="000000"/>
          <w:sz w:val="20"/>
          <w:szCs w:val="20"/>
        </w:rPr>
        <w:t>r period principally reflecting decreased natural gas revenues ($305.2 million) and, to a much lesser extent, lower services-related revenues ($11.4 million) and electric generation revenues ($8.3 million). The effect of these revenue decreases was partial</w:t>
      </w:r>
      <w:r>
        <w:rPr>
          <w:rFonts w:eastAsia="Times New Roman"/>
          <w:color w:val="000000"/>
          <w:sz w:val="20"/>
          <w:szCs w:val="20"/>
        </w:rPr>
        <w:t>ly offset by higher natural gas gathering revenues ($76.6 million) largely attributable to incremental revenues from UGI Appalachia. Midstream &amp; Marketing cost of sales were $721.7 million in the 2020 nine-month period compared to $1,052.2 million in the p</w:t>
      </w:r>
      <w:r>
        <w:rPr>
          <w:rFonts w:eastAsia="Times New Roman"/>
          <w:color w:val="000000"/>
          <w:sz w:val="20"/>
          <w:szCs w:val="20"/>
        </w:rPr>
        <w:t>rior-year period. The $330.5 million decrease in cost of sales principally reflects decreased natural gas costs ($302.8 million), lower peaking costs ($11.6 million) and lower services-related costs ($8.9 million). The significant decreases in both natural</w:t>
      </w:r>
      <w:r>
        <w:rPr>
          <w:rFonts w:eastAsia="Times New Roman"/>
          <w:color w:val="000000"/>
          <w:sz w:val="20"/>
          <w:szCs w:val="20"/>
        </w:rPr>
        <w:t xml:space="preserve"> gas revenues and cost of sales is largely attributable to lower average natural gas prices during the 2020 nine-month period and, to a much lesser extent, lower natural gas volumes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Midstream &amp; Marketing total margin increased $78.6 million in the 2020 </w:t>
      </w:r>
      <w:r>
        <w:rPr>
          <w:rFonts w:eastAsia="Times New Roman"/>
          <w:color w:val="000000"/>
          <w:sz w:val="20"/>
          <w:szCs w:val="20"/>
        </w:rPr>
        <w:t>nine-month period reflecting higher natural gas gathering total margin ($76.6 million) largely attributable to incremental margin from UGI Appalachia and, to a much lesser extent, increased peaking and capacity management margins ($11.2 million). The effec</w:t>
      </w:r>
      <w:r>
        <w:rPr>
          <w:rFonts w:eastAsia="Times New Roman"/>
          <w:color w:val="000000"/>
          <w:sz w:val="20"/>
          <w:szCs w:val="20"/>
        </w:rPr>
        <w:t>t of these increases was partially offset by lower electric generation margin ($4.4 million) largely related to lower volumes at the Hunlock generating facility compared to the prior-year period and lower retail commodity margin ($2.9 million) largely rela</w:t>
      </w:r>
      <w:r>
        <w:rPr>
          <w:rFonts w:eastAsia="Times New Roman"/>
          <w:color w:val="000000"/>
          <w:sz w:val="20"/>
          <w:szCs w:val="20"/>
        </w:rPr>
        <w:t>ted to lower volumes attributable to COVID-19.</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 operating income and earnings before interest expense and income taxes during the 2020 nine-month period increased $44.1 million and $61.5 million, respectively, compared to the prior-</w:t>
      </w:r>
      <w:r>
        <w:rPr>
          <w:rFonts w:eastAsia="Times New Roman"/>
          <w:color w:val="000000"/>
          <w:sz w:val="20"/>
          <w:szCs w:val="20"/>
        </w:rPr>
        <w:t>year period. The increase in operating income principally reflects the increase in total margin partially offset by higher depreciation and amortization expense ($22.0 million) and increased operating and administrative expenses ($11.8 million). The higher</w:t>
      </w:r>
      <w:r>
        <w:rPr>
          <w:rFonts w:eastAsia="Times New Roman"/>
          <w:color w:val="000000"/>
          <w:sz w:val="20"/>
          <w:szCs w:val="20"/>
        </w:rPr>
        <w:t xml:space="preserve"> depreciation and amortization expense and operating and administrative expenses are largely attributable to UGI Appalachia. The increase in earnings before interest expense and income taxes largely reflects the previously mentioned increase in operating i</w:t>
      </w:r>
      <w:r>
        <w:rPr>
          <w:rFonts w:eastAsia="Times New Roman"/>
          <w:color w:val="000000"/>
          <w:sz w:val="20"/>
          <w:szCs w:val="20"/>
        </w:rPr>
        <w:t>ncome ($44.1 million) and equity income from Pennant, a natural gas gathering and processing equity interest that was acquired as part of UGI Appalachia.</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center"/>
        <w:divId w:val="437482863"/>
        <w:rPr>
          <w:rFonts w:eastAsia="Times New Roman"/>
        </w:rPr>
      </w:pPr>
      <w:r>
        <w:rPr>
          <w:rFonts w:eastAsia="Times New Roman"/>
          <w:color w:val="000000"/>
          <w:sz w:val="20"/>
          <w:szCs w:val="20"/>
        </w:rPr>
        <w:t>5</w:t>
      </w:r>
      <w:r>
        <w:rPr>
          <w:rFonts w:eastAsia="Times New Roman"/>
          <w:color w:val="000000"/>
          <w:sz w:val="20"/>
          <w:szCs w:val="20"/>
        </w:rPr>
        <w:t>4</w:t>
      </w:r>
    </w:p>
    <w:p w:rsidR="00000000" w:rsidRDefault="00A270CC">
      <w:pPr>
        <w:rPr>
          <w:rFonts w:eastAsia="Times New Roman"/>
        </w:rPr>
      </w:pPr>
      <w:r>
        <w:rPr>
          <w:rFonts w:eastAsia="Times New Roman"/>
        </w:rPr>
        <w:pict>
          <v:rect id="_x0000_i1080" style="width:0;height:1.5pt" o:hralign="center" o:hrstd="t" o:hr="t" fillcolor="#a0a0a0" stroked="f"/>
        </w:pict>
      </w:r>
    </w:p>
    <w:p w:rsidR="00000000" w:rsidRDefault="00A270CC">
      <w:pPr>
        <w:divId w:val="96582041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949508072"/>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i/>
          <w:iCs/>
          <w:color w:val="000000"/>
          <w:sz w:val="20"/>
          <w:szCs w:val="20"/>
        </w:rPr>
        <w:t>UGI Utilitie</w:t>
      </w:r>
      <w:r>
        <w:rPr>
          <w:rFonts w:eastAsia="Times New Roman"/>
          <w:b/>
          <w:bCs/>
          <w:i/>
          <w:i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40"/>
        <w:gridCol w:w="3920"/>
        <w:gridCol w:w="39"/>
        <w:gridCol w:w="36"/>
        <w:gridCol w:w="36"/>
        <w:gridCol w:w="36"/>
        <w:gridCol w:w="135"/>
        <w:gridCol w:w="643"/>
        <w:gridCol w:w="202"/>
        <w:gridCol w:w="36"/>
        <w:gridCol w:w="36"/>
        <w:gridCol w:w="36"/>
        <w:gridCol w:w="135"/>
        <w:gridCol w:w="676"/>
        <w:gridCol w:w="202"/>
        <w:gridCol w:w="36"/>
        <w:gridCol w:w="36"/>
        <w:gridCol w:w="36"/>
        <w:gridCol w:w="135"/>
        <w:gridCol w:w="618"/>
        <w:gridCol w:w="85"/>
        <w:gridCol w:w="36"/>
        <w:gridCol w:w="36"/>
        <w:gridCol w:w="36"/>
        <w:gridCol w:w="42"/>
        <w:gridCol w:w="559"/>
        <w:gridCol w:w="202"/>
        <w:gridCol w:w="36"/>
        <w:gridCol w:w="36"/>
        <w:gridCol w:w="36"/>
        <w:gridCol w:w="36"/>
        <w:gridCol w:w="36"/>
        <w:gridCol w:w="36"/>
      </w:tblGrid>
      <w:tr w:rsidR="00000000">
        <w:trPr>
          <w:gridAfter w:val="6"/>
          <w:divId w:val="1267347334"/>
        </w:trPr>
        <w:tc>
          <w:tcPr>
            <w:tcW w:w="50" w:type="pct"/>
            <w:vAlign w:val="center"/>
            <w:hideMark/>
          </w:tcPr>
          <w:p w:rsidR="00000000" w:rsidRDefault="00A270CC">
            <w:pPr>
              <w:jc w:val="both"/>
              <w:rPr>
                <w:rFonts w:eastAsia="Times New Roman"/>
              </w:rPr>
            </w:pPr>
          </w:p>
        </w:tc>
        <w:tc>
          <w:tcPr>
            <w:tcW w:w="248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9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5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267347334"/>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 the nine months ended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Increase (Decrease</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126734733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(Dollars in millions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Revenue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901.0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Total margin (a</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474.1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and administrative expenses (a</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Earnings before interest expense and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228.5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FFFF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Gas Utility system throughput—bc</w:t>
            </w: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CCEE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Core marke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FFFFFF"/>
            <w:tcMar>
              <w:top w:w="30" w:type="dxa"/>
              <w:left w:w="360" w:type="dxa"/>
              <w:bottom w:w="30" w:type="dxa"/>
              <w:right w:w="20" w:type="dxa"/>
            </w:tcMar>
            <w:hideMark/>
          </w:tcPr>
          <w:p w:rsidR="00000000" w:rsidRDefault="00A270C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231.4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CCEEFF"/>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Electric Utility distribution sales - gw</w:t>
            </w:r>
            <w:r>
              <w:rPr>
                <w:rFonts w:eastAsia="Times New Roman"/>
                <w:color w:val="000000"/>
                <w:sz w:val="20"/>
                <w:szCs w:val="20"/>
              </w:rPr>
              <w:t>h</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737.8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67347334"/>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Gas Utility heating degree days—% (warmer) than normal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Total margin represents revenues less cost o</w:t>
      </w:r>
      <w:r>
        <w:rPr>
          <w:rFonts w:eastAsia="Times New Roman"/>
          <w:color w:val="000000"/>
          <w:sz w:val="20"/>
          <w:szCs w:val="20"/>
        </w:rPr>
        <w:t>f sales and revenue-related taxes (i.e., Electric Utility gross receipts taxes) of $3.4 million and $3.6 million during the nine months ended June 30, 2020 and 2019, respectively. For financial statement purposes, revenue-related taxes are included in “Ope</w:t>
      </w:r>
      <w:r>
        <w:rPr>
          <w:rFonts w:eastAsia="Times New Roman"/>
          <w:color w:val="000000"/>
          <w:sz w:val="20"/>
          <w:szCs w:val="20"/>
        </w:rPr>
        <w:t>rating and administrative expenses” on the Condensed Consolidated Statements of Income (but are excluded from operating and administrative expenses presented above)</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 xml:space="preserve">Deviation from average heating degree days for the 15-year period 2000-2014 based upon </w:t>
      </w:r>
      <w:r>
        <w:rPr>
          <w:rFonts w:eastAsia="Times New Roman"/>
          <w:color w:val="000000"/>
          <w:sz w:val="20"/>
          <w:szCs w:val="20"/>
        </w:rPr>
        <w:t>weather statistics provided by NOAA for airports located within Gas Utility’s service territory</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896553787"/>
        <w:rPr>
          <w:rFonts w:eastAsia="Times New Roman"/>
        </w:rPr>
      </w:pPr>
      <w:r>
        <w:rPr>
          <w:rFonts w:eastAsia="Times New Roman"/>
          <w:color w:val="000000"/>
          <w:sz w:val="20"/>
          <w:szCs w:val="20"/>
        </w:rPr>
        <w:t>Temperatures in Gas Utility’</w:t>
      </w:r>
      <w:r>
        <w:rPr>
          <w:rFonts w:eastAsia="Times New Roman"/>
          <w:color w:val="000000"/>
          <w:sz w:val="20"/>
          <w:szCs w:val="20"/>
        </w:rPr>
        <w:t>s service territory during the nine months ended June 30, 2020, were 10.8% warmer than normal and 6.8% warmer than the prior-year period. Gas Utility core market volumes decreased during the 2020 nine-month period (4.9 bcf) reflecting the effects of the wa</w:t>
      </w:r>
      <w:r>
        <w:rPr>
          <w:rFonts w:eastAsia="Times New Roman"/>
          <w:color w:val="000000"/>
          <w:sz w:val="20"/>
          <w:szCs w:val="20"/>
        </w:rPr>
        <w:t>rmer weather and reduced volumes attributable to COVID-19, partially offset by growth in the number of core market customers and higher average use per customer. Total Gas Utility distribution system throughput increased 11.6 bcf during the 2020 nine-month</w:t>
      </w:r>
      <w:r>
        <w:rPr>
          <w:rFonts w:eastAsia="Times New Roman"/>
          <w:color w:val="000000"/>
          <w:sz w:val="20"/>
          <w:szCs w:val="20"/>
        </w:rPr>
        <w:t xml:space="preserve"> period reflecting higher interruptible delivery service volumes (8.3 bcf) and higher large firm delivery service volumes (8.2 bcf) partially offset by the lower core market volumes. Electric Utility distribution sales volumes were lower than the prior-yea</w:t>
      </w:r>
      <w:r>
        <w:rPr>
          <w:rFonts w:eastAsia="Times New Roman"/>
          <w:color w:val="000000"/>
          <w:sz w:val="20"/>
          <w:szCs w:val="20"/>
        </w:rPr>
        <w:t>r period principally reflecting the impact of warmer weather.</w:t>
      </w:r>
      <w:r>
        <w:rPr>
          <w:rFonts w:eastAsia="Times New Roman"/>
          <w:color w:val="000000"/>
          <w:sz w:val="20"/>
          <w:szCs w:val="20"/>
        </w:rPr>
        <w:t xml:space="preserve"> </w:t>
      </w:r>
    </w:p>
    <w:p w:rsidR="00000000" w:rsidRDefault="00A270CC">
      <w:pPr>
        <w:jc w:val="both"/>
        <w:rPr>
          <w:rFonts w:eastAsia="Times New Roman"/>
        </w:rPr>
      </w:pPr>
      <w:r>
        <w:rPr>
          <w:rFonts w:eastAsia="Times New Roman"/>
          <w:color w:val="000000"/>
          <w:sz w:val="20"/>
          <w:szCs w:val="20"/>
        </w:rPr>
        <w:t>UGI Utilities revenues decreased $15.2 million in the 2020 nine-month period reflecting a $9.1 million decrease in Gas Utility revenues and $6.1 million decrease in Electric Utility revenues. T</w:t>
      </w:r>
      <w:r>
        <w:rPr>
          <w:rFonts w:eastAsia="Times New Roman"/>
          <w:color w:val="000000"/>
          <w:sz w:val="20"/>
          <w:szCs w:val="20"/>
        </w:rPr>
        <w:t>he decrease in Gas Utility revenues principally reflects lower off-system sales</w:t>
      </w:r>
      <w:r>
        <w:rPr>
          <w:rFonts w:eastAsia="Times New Roman"/>
          <w:color w:val="000000"/>
          <w:sz w:val="20"/>
          <w:szCs w:val="20"/>
        </w:rPr>
        <w:t xml:space="preserve"> </w:t>
      </w:r>
      <w:r>
        <w:rPr>
          <w:rFonts w:eastAsia="Times New Roman"/>
          <w:color w:val="000000"/>
          <w:sz w:val="20"/>
          <w:szCs w:val="20"/>
          <w:shd w:val="clear" w:color="auto" w:fill="FFFFFF"/>
        </w:rPr>
        <w:t>and capacity release revenue</w:t>
      </w:r>
      <w:r>
        <w:rPr>
          <w:rFonts w:eastAsia="Times New Roman"/>
          <w:color w:val="000000"/>
          <w:sz w:val="20"/>
          <w:szCs w:val="20"/>
          <w:shd w:val="clear" w:color="auto" w:fill="FFFFFF"/>
        </w:rPr>
        <w:t>s</w:t>
      </w:r>
      <w:r>
        <w:rPr>
          <w:rFonts w:eastAsia="Times New Roman"/>
          <w:color w:val="000000"/>
          <w:sz w:val="20"/>
          <w:szCs w:val="20"/>
        </w:rPr>
        <w:t xml:space="preserve"> ($20.4 million) partially offset by the effects of an adjustment in the 2019 nine-month period ($11.3 million) related to credits provided to cust</w:t>
      </w:r>
      <w:r>
        <w:rPr>
          <w:rFonts w:eastAsia="Times New Roman"/>
          <w:color w:val="000000"/>
          <w:sz w:val="20"/>
          <w:szCs w:val="20"/>
        </w:rPr>
        <w:t>omers in connection with the TCJA. Gas Utility core market revenues increased slightly during the 2020 nine-month period as the effects of the increase in base rates effective October 11, 2019 were largely offset by the decrease in core market volumes. The</w:t>
      </w:r>
      <w:r>
        <w:rPr>
          <w:rFonts w:eastAsia="Times New Roman"/>
          <w:color w:val="000000"/>
          <w:sz w:val="20"/>
          <w:szCs w:val="20"/>
        </w:rPr>
        <w:t xml:space="preserve"> decrease in Electric Utility revenues during the 2020 nine-month period is largely attributable to the lower distribution sales volumes and lower DS rates.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cost of sales was $403.5 million in the 2020 nine-month period compared with $438.</w:t>
      </w:r>
      <w:r>
        <w:rPr>
          <w:rFonts w:eastAsia="Times New Roman"/>
          <w:color w:val="000000"/>
          <w:sz w:val="20"/>
          <w:szCs w:val="20"/>
        </w:rPr>
        <w:t>5 million in the prior-year period reflecting lower Gas Utility cost of sales</w:t>
      </w:r>
      <w:r>
        <w:rPr>
          <w:rFonts w:eastAsia="Times New Roman"/>
          <w:color w:val="000000"/>
          <w:sz w:val="20"/>
          <w:szCs w:val="20"/>
        </w:rPr>
        <w:t xml:space="preserve"> </w:t>
      </w:r>
      <w:r>
        <w:rPr>
          <w:rFonts w:eastAsia="Times New Roman"/>
          <w:color w:val="000000"/>
          <w:sz w:val="20"/>
          <w:szCs w:val="20"/>
          <w:shd w:val="clear" w:color="auto" w:fill="FFFFFF"/>
        </w:rPr>
        <w:t>($29.3 million)</w:t>
      </w:r>
      <w:r>
        <w:rPr>
          <w:rFonts w:eastAsia="Times New Roman"/>
          <w:color w:val="000000"/>
          <w:sz w:val="20"/>
          <w:szCs w:val="20"/>
          <w:shd w:val="clear" w:color="auto" w:fill="FFFFFF"/>
        </w:rPr>
        <w:t xml:space="preserve"> </w:t>
      </w:r>
      <w:r>
        <w:rPr>
          <w:rFonts w:eastAsia="Times New Roman"/>
          <w:color w:val="000000"/>
          <w:sz w:val="20"/>
          <w:szCs w:val="20"/>
        </w:rPr>
        <w:t>and lower Electric Utility cost of sales</w:t>
      </w:r>
      <w:r>
        <w:rPr>
          <w:rFonts w:eastAsia="Times New Roman"/>
          <w:color w:val="000000"/>
          <w:sz w:val="20"/>
          <w:szCs w:val="20"/>
        </w:rPr>
        <w:t xml:space="preserve"> </w:t>
      </w:r>
      <w:r>
        <w:rPr>
          <w:rFonts w:eastAsia="Times New Roman"/>
          <w:color w:val="000000"/>
          <w:sz w:val="20"/>
          <w:szCs w:val="20"/>
          <w:shd w:val="clear" w:color="auto" w:fill="FFFFFF"/>
        </w:rPr>
        <w:t>($5.7 million).</w:t>
      </w:r>
      <w:r>
        <w:rPr>
          <w:rFonts w:eastAsia="Times New Roman"/>
          <w:color w:val="000000"/>
          <w:sz w:val="20"/>
          <w:szCs w:val="20"/>
          <w:shd w:val="clear" w:color="auto" w:fill="FFFFFF"/>
        </w:rPr>
        <w:t xml:space="preserve"> </w:t>
      </w:r>
      <w:r>
        <w:rPr>
          <w:rFonts w:eastAsia="Times New Roman"/>
          <w:color w:val="000000"/>
          <w:sz w:val="20"/>
          <w:szCs w:val="20"/>
        </w:rPr>
        <w:t>The lower Gas Utility cost of sales is largely attributable to the effect of decreased core market volume</w:t>
      </w:r>
      <w:r>
        <w:rPr>
          <w:rFonts w:eastAsia="Times New Roman"/>
          <w:color w:val="000000"/>
          <w:sz w:val="20"/>
          <w:szCs w:val="20"/>
        </w:rPr>
        <w:t>s ($18.3 million) and lower cost of sales associated with off-system sales ($19.8 million), partially offset by higher PGC rates. The decrease in Electric Utility cost of sales is largely attributable to the lower distribution sales volumes and lower avera</w:t>
      </w:r>
      <w:r>
        <w:rPr>
          <w:rFonts w:eastAsia="Times New Roman"/>
          <w:color w:val="000000"/>
          <w:sz w:val="20"/>
          <w:szCs w:val="20"/>
        </w:rPr>
        <w:t>ge DS rates.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total margin increased $20.0 million during the 2020 nine-month period primarily reflecting higher margin from Gas Utility. The increase in total Gas Utility margin reflects higher core market margin ($14.1 million) and the ef</w:t>
      </w:r>
      <w:r>
        <w:rPr>
          <w:rFonts w:eastAsia="Times New Roman"/>
          <w:color w:val="000000"/>
          <w:sz w:val="20"/>
          <w:szCs w:val="20"/>
        </w:rPr>
        <w:t xml:space="preserve">fects of the previously mentioned customer credit adjustment in the 2019 nine-month period ($11.3 million), partially offset by lower margin from large firm and interruptible delivery service ($2.1 million). The increase in core market margin reflects the </w:t>
      </w:r>
      <w:r>
        <w:rPr>
          <w:rFonts w:eastAsia="Times New Roman"/>
          <w:color w:val="000000"/>
          <w:sz w:val="20"/>
          <w:szCs w:val="20"/>
        </w:rPr>
        <w:t>increase in base rates which became effective October 11, 2019 partially offset by the lower core market volumes.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UGI Utilities operating income and earnings before interest expense and income taxes increased $11.4 million and $10.0 million, respectivel</w:t>
      </w:r>
      <w:r>
        <w:rPr>
          <w:rFonts w:eastAsia="Times New Roman"/>
          <w:color w:val="000000"/>
          <w:sz w:val="20"/>
          <w:szCs w:val="20"/>
        </w:rPr>
        <w:t>y, during the 2020 nine-month period. The increase in operating income reflects the previously mentioned increase in total margin and lower operating and administrative expenses ($2.3 million), partially offset by higher depreciation expense ($10.1 million</w:t>
      </w:r>
      <w:r>
        <w:rPr>
          <w:rFonts w:eastAsia="Times New Roman"/>
          <w:color w:val="000000"/>
          <w:sz w:val="20"/>
          <w:szCs w:val="20"/>
        </w:rPr>
        <w:t>). The lower operating and administrative expenses reflect, among other things, decreases in contractor costs and transportation expenses, partially offset by higher IT maintenance and consulting expenses. The increase in depreciation expense relates to co</w:t>
      </w:r>
      <w:r>
        <w:rPr>
          <w:rFonts w:eastAsia="Times New Roman"/>
          <w:color w:val="000000"/>
          <w:sz w:val="20"/>
          <w:szCs w:val="20"/>
        </w:rPr>
        <w:t>ntinued IT and distribution system capital expenditure activity. The increase in earnings</w:t>
      </w:r>
      <w:r>
        <w:rPr>
          <w:rFonts w:eastAsia="Times New Roman"/>
          <w:color w:val="000000"/>
          <w:sz w:val="20"/>
          <w:szCs w:val="20"/>
        </w:rPr>
        <w:t xml:space="preserve"> </w:t>
      </w:r>
    </w:p>
    <w:p w:rsidR="00000000" w:rsidRDefault="00A270CC">
      <w:pPr>
        <w:jc w:val="center"/>
        <w:divId w:val="561524423"/>
        <w:rPr>
          <w:rFonts w:eastAsia="Times New Roman"/>
        </w:rPr>
      </w:pPr>
      <w:r>
        <w:rPr>
          <w:rFonts w:eastAsia="Times New Roman"/>
          <w:color w:val="000000"/>
          <w:sz w:val="20"/>
          <w:szCs w:val="20"/>
        </w:rPr>
        <w:t>5</w:t>
      </w:r>
      <w:r>
        <w:rPr>
          <w:rFonts w:eastAsia="Times New Roman"/>
          <w:color w:val="000000"/>
          <w:sz w:val="20"/>
          <w:szCs w:val="20"/>
        </w:rPr>
        <w:t>5</w:t>
      </w:r>
    </w:p>
    <w:p w:rsidR="00000000" w:rsidRDefault="00A270CC">
      <w:pPr>
        <w:rPr>
          <w:rFonts w:eastAsia="Times New Roman"/>
        </w:rPr>
      </w:pPr>
      <w:r>
        <w:rPr>
          <w:rFonts w:eastAsia="Times New Roman"/>
        </w:rPr>
        <w:pict>
          <v:rect id="_x0000_i1081" style="width:0;height:1.5pt" o:hralign="center" o:hrstd="t" o:hr="t" fillcolor="#a0a0a0" stroked="f"/>
        </w:pict>
      </w:r>
    </w:p>
    <w:p w:rsidR="00000000" w:rsidRDefault="00A270CC">
      <w:pPr>
        <w:divId w:val="51119082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72418406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before interest expense and income taxes largely reflects the increase in operating income partially offset by the absence of a non-service pension benefit reflected in the prior-year period.</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 xml:space="preserve">Interest Expense and Income </w:t>
      </w:r>
      <w:r>
        <w:rPr>
          <w:rFonts w:eastAsia="Times New Roman"/>
          <w:b/>
          <w:bCs/>
          <w:i/>
          <w:iCs/>
          <w:color w:val="000000"/>
          <w:sz w:val="20"/>
          <w:szCs w:val="20"/>
        </w:rPr>
        <w:t>Taxe</w:t>
      </w:r>
      <w:r>
        <w:rPr>
          <w:rFonts w:eastAsia="Times New Roman"/>
          <w:b/>
          <w:bCs/>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Our consolidated interest expense during the 2020 nine-month period was $247.3 million, compared to $181.7 million during the 2019 nine-month period. The significant increase in interest expense principally reflects higher interest expense on long-</w:t>
      </w:r>
      <w:r>
        <w:rPr>
          <w:rFonts w:eastAsia="Times New Roman"/>
          <w:color w:val="000000"/>
          <w:sz w:val="20"/>
          <w:szCs w:val="20"/>
        </w:rPr>
        <w:t>term debt outstanding including debt incurred by UGI Corporation and Energy Services to fund a portion of the CMG Acquisition and the cash portion of the AmeriGas Merger, and higher interest on short-term borrowings.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divId w:val="1762070051"/>
        <w:rPr>
          <w:rFonts w:eastAsia="Times New Roman"/>
        </w:rPr>
      </w:pPr>
      <w:r>
        <w:rPr>
          <w:rFonts w:eastAsia="Times New Roman"/>
          <w:color w:val="000000"/>
          <w:sz w:val="20"/>
          <w:szCs w:val="20"/>
        </w:rPr>
        <w:t>The higher effective income tax rate</w:t>
      </w:r>
      <w:r>
        <w:rPr>
          <w:rFonts w:eastAsia="Times New Roman"/>
          <w:color w:val="000000"/>
          <w:sz w:val="20"/>
          <w:szCs w:val="20"/>
        </w:rPr>
        <w:t xml:space="preserve"> for the 2020 nine-month period reflects the impact on income taxes of our 100% ownership of the Partnership in the current-year period compared to our approximately 26% ownership interest in the 2019 nine-month period and higher U.S. taxes on foreign sour</w:t>
      </w:r>
      <w:r>
        <w:rPr>
          <w:rFonts w:eastAsia="Times New Roman"/>
          <w:color w:val="000000"/>
          <w:sz w:val="20"/>
          <w:szCs w:val="20"/>
        </w:rPr>
        <w:t>ce income ($22.6 million) due to lower anticipated utilization of foreign tax attributes. These increases were partially offset by a tax benefit resulting from the carryback of an NOL under the CARES Act ($35.3 million) and incremental discrete tax benefit</w:t>
      </w:r>
      <w:r>
        <w:rPr>
          <w:rFonts w:eastAsia="Times New Roman"/>
          <w:color w:val="000000"/>
          <w:sz w:val="20"/>
          <w:szCs w:val="20"/>
        </w:rPr>
        <w:t>s ($8.0 million) compared to the prior-year period largely related to the release of reserves in connection with the closure of prior-period tax audits and the lapse of statutes of limitation.</w:t>
      </w:r>
      <w:r>
        <w:rPr>
          <w:rFonts w:eastAsia="Times New Roman"/>
          <w:color w:val="000000"/>
          <w:sz w:val="20"/>
          <w:szCs w:val="20"/>
        </w:rPr>
        <w:t xml:space="preserve"> </w:t>
      </w:r>
    </w:p>
    <w:p w:rsidR="00000000" w:rsidRDefault="00A270CC">
      <w:pPr>
        <w:jc w:val="both"/>
        <w:rPr>
          <w:rFonts w:eastAsia="Times New Roman"/>
        </w:rPr>
      </w:pPr>
      <w:r>
        <w:rPr>
          <w:rFonts w:eastAsia="Times New Roman"/>
          <w:color w:val="000000"/>
          <w:sz w:val="20"/>
          <w:szCs w:val="20"/>
        </w:rPr>
        <w:t xml:space="preserve">On July 20, 2020, the U.S. Department of the Treasury and the </w:t>
      </w:r>
      <w:r>
        <w:rPr>
          <w:rFonts w:eastAsia="Times New Roman"/>
          <w:color w:val="000000"/>
          <w:sz w:val="20"/>
          <w:szCs w:val="20"/>
        </w:rPr>
        <w:t xml:space="preserve">IRS released regulations which modify the GILTI provisions of the IRC, as well as proposed regulations related to other IRC provisions. The Company is evaluating the elections available under these revised and proposed regulations, including any impact on </w:t>
      </w:r>
      <w:r>
        <w:rPr>
          <w:rFonts w:eastAsia="Times New Roman"/>
          <w:color w:val="000000"/>
          <w:sz w:val="20"/>
          <w:szCs w:val="20"/>
        </w:rPr>
        <w:t>anticipated benefits under the CARES Act, and expects the effects of these changes to provide a significant tax benefit in the fourth quarter of Fiscal 2020. However, the Company has not yet filed its income tax return for Fiscal 2020, and continues to eva</w:t>
      </w:r>
      <w:r>
        <w:rPr>
          <w:rFonts w:eastAsia="Times New Roman"/>
          <w:color w:val="000000"/>
          <w:sz w:val="20"/>
          <w:szCs w:val="20"/>
        </w:rPr>
        <w:t>luate other tax positions or strategies that could affect taxable income or loss.  Accordingly, the impacts on the Company’s income tax provisions and taxes payable or refundable related to the CARES Act and the GILTI provisions are subject to change</w:t>
      </w:r>
      <w:r>
        <w:rPr>
          <w:rFonts w:eastAsia="Times New Roman"/>
          <w:color w:val="000000"/>
          <w:sz w:val="20"/>
          <w:szCs w:val="20"/>
        </w:rPr>
        <w:t>.</w:t>
      </w:r>
    </w:p>
    <w:p w:rsidR="00000000" w:rsidRDefault="00A270CC">
      <w:pPr>
        <w:jc w:val="both"/>
        <w:rPr>
          <w:rFonts w:eastAsia="Times New Roman"/>
        </w:rPr>
      </w:pPr>
    </w:p>
    <w:p w:rsidR="00000000" w:rsidRDefault="00A270CC">
      <w:pPr>
        <w:jc w:val="center"/>
        <w:rPr>
          <w:rFonts w:eastAsia="Times New Roman"/>
        </w:rPr>
      </w:pPr>
      <w:r>
        <w:rPr>
          <w:rFonts w:eastAsia="Times New Roman"/>
          <w:b/>
          <w:bCs/>
          <w:color w:val="000000"/>
          <w:sz w:val="20"/>
          <w:szCs w:val="20"/>
          <w:u w:val="single"/>
        </w:rPr>
        <w:t>FI</w:t>
      </w:r>
      <w:r>
        <w:rPr>
          <w:rFonts w:eastAsia="Times New Roman"/>
          <w:b/>
          <w:bCs/>
          <w:color w:val="000000"/>
          <w:sz w:val="20"/>
          <w:szCs w:val="20"/>
          <w:u w:val="single"/>
        </w:rPr>
        <w:t>NANCIAL CONDITION AND LIQUIDIT</w:t>
      </w:r>
      <w:r>
        <w:rPr>
          <w:rFonts w:eastAsia="Times New Roman"/>
          <w:b/>
          <w:bCs/>
          <w:color w:val="000000"/>
          <w:sz w:val="20"/>
          <w:szCs w:val="20"/>
          <w:u w:val="single"/>
        </w:rPr>
        <w:t>Y</w:t>
      </w:r>
    </w:p>
    <w:p w:rsidR="00000000" w:rsidRDefault="00A270CC">
      <w:pPr>
        <w:jc w:val="center"/>
        <w:rPr>
          <w:rFonts w:eastAsia="Times New Roman"/>
        </w:rPr>
      </w:pPr>
    </w:p>
    <w:p w:rsidR="00000000" w:rsidRDefault="00A270CC">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long-term commitments and ongoing operations despite uncertainties associated with the outbrea</w:t>
      </w:r>
      <w:r>
        <w:rPr>
          <w:rFonts w:eastAsia="Times New Roman"/>
          <w:color w:val="000000"/>
          <w:sz w:val="20"/>
          <w:szCs w:val="20"/>
        </w:rPr>
        <w:t>k and continued spread of COVID-19. Our total available liquidity balance, comprising cash and cash equivalents and available borrowing capacity on our revolving credit facilities, totaled approximately $1.6 billion and $1.1 billion at June 30, 2020 and Se</w:t>
      </w:r>
      <w:r>
        <w:rPr>
          <w:rFonts w:eastAsia="Times New Roman"/>
          <w:color w:val="000000"/>
          <w:sz w:val="20"/>
          <w:szCs w:val="20"/>
        </w:rPr>
        <w:t>ptember 30, 2019, respectively. The Company's liquidity has been positively influenced by continued low commodity prices experienced during the nine months ended June 30, 2020, overall decreased margin calls and collateral deposits associated with derivati</w:t>
      </w:r>
      <w:r>
        <w:rPr>
          <w:rFonts w:eastAsia="Times New Roman"/>
          <w:color w:val="000000"/>
          <w:sz w:val="20"/>
          <w:szCs w:val="20"/>
        </w:rPr>
        <w:t>ve instruments, and anticipates continued lower working capital requirements that typically occurs in the second half of the Company's fiscal year. In addition, the Company does not have any near-term senior note or term loan maturities. While the Company’</w:t>
      </w:r>
      <w:r>
        <w:rPr>
          <w:rFonts w:eastAsia="Times New Roman"/>
          <w:color w:val="000000"/>
          <w:sz w:val="20"/>
          <w:szCs w:val="20"/>
        </w:rPr>
        <w:t>s operational and financial performance has been significantly impacted by COVID-19 in Fiscal 2020, it is a rapidly evolving situation and the Company cannot predict the ultimate impact that COVID-19 will have on its liquidity, debt covenants, financial co</w:t>
      </w:r>
      <w:r>
        <w:rPr>
          <w:rFonts w:eastAsia="Times New Roman"/>
          <w:color w:val="000000"/>
          <w:sz w:val="20"/>
          <w:szCs w:val="20"/>
        </w:rPr>
        <w:t>ndition or the timing of capital expenditures. UGI and its subsidiaries were in compliance with all debt covenants as of June 30, 2020</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 xml:space="preserve">We depend on both internal and external sources of liquidity to provide funds for working capital and to fund capital </w:t>
      </w:r>
      <w:r>
        <w:rPr>
          <w:rFonts w:eastAsia="Times New Roman"/>
          <w:color w:val="000000"/>
          <w:sz w:val="20"/>
          <w:szCs w:val="20"/>
        </w:rPr>
        <w:t>requirements. Our short-term cash requirements not met by cash from operations are generally satisfied with borrowings under credit facilities and, in the case of Midstream &amp; Marketing, also from a Receivables Facility. Long-term cash requirements are gene</w:t>
      </w:r>
      <w:r>
        <w:rPr>
          <w:rFonts w:eastAsia="Times New Roman"/>
          <w:color w:val="000000"/>
          <w:sz w:val="20"/>
          <w:szCs w:val="20"/>
        </w:rPr>
        <w:t>rally met through the issuance of long-term debt or equity securities. We believe that each of our business units has sufficient liquidity in the forms of cash and cash equivalents on hand; cash expected to be generated from operations; credit facility and</w:t>
      </w:r>
      <w:r>
        <w:rPr>
          <w:rFonts w:eastAsia="Times New Roman"/>
          <w:color w:val="000000"/>
          <w:sz w:val="20"/>
          <w:szCs w:val="20"/>
        </w:rPr>
        <w:t xml:space="preserve"> Receivables Facility borrowing capacity; and the ability to obtain long-term financing to meet anticipated contractual and projected cash commitments. Issuances of debt and equity securities in the capital markets and additional credit facilities may not,</w:t>
      </w:r>
      <w:r>
        <w:rPr>
          <w:rFonts w:eastAsia="Times New Roman"/>
          <w:color w:val="000000"/>
          <w:sz w:val="20"/>
          <w:szCs w:val="20"/>
        </w:rPr>
        <w:t xml:space="preserve"> however, be available to us on acceptable terms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primary sources of UGI’</w:t>
      </w:r>
      <w:r>
        <w:rPr>
          <w:rFonts w:eastAsia="Times New Roman"/>
          <w:color w:val="000000"/>
          <w:sz w:val="20"/>
          <w:szCs w:val="20"/>
        </w:rPr>
        <w:t>s cash and cash equivalents are the dividends and other cash payments made to UGI or its corporate subsidiaries by its principal business units. Our cash and cash equivalents totaled $487.3 million at June 30, 2020, compared with $447.1 million at Septembe</w:t>
      </w:r>
      <w:r>
        <w:rPr>
          <w:rFonts w:eastAsia="Times New Roman"/>
          <w:color w:val="000000"/>
          <w:sz w:val="20"/>
          <w:szCs w:val="20"/>
        </w:rPr>
        <w:t>r 30, 2019. Excluding cash and cash equivalents that reside at UGI’s operating subsidiaries, at June 30, 2020 and September 30, 2019, UGI had $223.1 million and $224.9 million of cash and cash equivalents, respectively. Such cash is available to pay divide</w:t>
      </w:r>
      <w:r>
        <w:rPr>
          <w:rFonts w:eastAsia="Times New Roman"/>
          <w:color w:val="000000"/>
          <w:sz w:val="20"/>
          <w:szCs w:val="20"/>
        </w:rPr>
        <w:t>nds on UGI Common Stock and for investment purposes</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1637249097"/>
        <w:rPr>
          <w:rFonts w:eastAsia="Times New Roman"/>
        </w:rPr>
      </w:pPr>
      <w:r>
        <w:rPr>
          <w:rFonts w:eastAsia="Times New Roman"/>
          <w:color w:val="000000"/>
          <w:sz w:val="20"/>
          <w:szCs w:val="20"/>
        </w:rPr>
        <w:t>5</w:t>
      </w:r>
      <w:r>
        <w:rPr>
          <w:rFonts w:eastAsia="Times New Roman"/>
          <w:color w:val="000000"/>
          <w:sz w:val="20"/>
          <w:szCs w:val="20"/>
        </w:rPr>
        <w:t>6</w:t>
      </w:r>
    </w:p>
    <w:p w:rsidR="00000000" w:rsidRDefault="00A270CC">
      <w:pPr>
        <w:rPr>
          <w:rFonts w:eastAsia="Times New Roman"/>
        </w:rPr>
      </w:pPr>
      <w:r>
        <w:rPr>
          <w:rFonts w:eastAsia="Times New Roman"/>
        </w:rPr>
        <w:pict>
          <v:rect id="_x0000_i1082" style="width:0;height:1.5pt" o:hralign="center" o:hrstd="t" o:hr="t" fillcolor="#a0a0a0" stroked="f"/>
        </w:pict>
      </w:r>
    </w:p>
    <w:p w:rsidR="00000000" w:rsidRDefault="00A270CC">
      <w:pPr>
        <w:divId w:val="592595865"/>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042904747"/>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b/>
          <w:bCs/>
          <w:color w:val="000000"/>
          <w:sz w:val="20"/>
          <w:szCs w:val="20"/>
        </w:rPr>
        <w:t>Long-term Debt and Credit Facilitie</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Long-term Deb</w:t>
      </w:r>
      <w:r>
        <w:rPr>
          <w:rFonts w:eastAsia="Times New Roman"/>
          <w:b/>
          <w:bCs/>
          <w:i/>
          <w:iCs/>
          <w:color w:val="000000"/>
          <w:sz w:val="20"/>
          <w:szCs w:val="20"/>
        </w:rPr>
        <w:t>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The Company’s debt outstanding at June 30, 2020 and September 30, 2019, comprises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9"/>
        <w:gridCol w:w="1174"/>
        <w:gridCol w:w="59"/>
        <w:gridCol w:w="135"/>
        <w:gridCol w:w="665"/>
        <w:gridCol w:w="85"/>
        <w:gridCol w:w="36"/>
        <w:gridCol w:w="36"/>
        <w:gridCol w:w="36"/>
        <w:gridCol w:w="136"/>
        <w:gridCol w:w="879"/>
        <w:gridCol w:w="91"/>
        <w:gridCol w:w="36"/>
        <w:gridCol w:w="36"/>
        <w:gridCol w:w="36"/>
        <w:gridCol w:w="136"/>
        <w:gridCol w:w="750"/>
        <w:gridCol w:w="85"/>
        <w:gridCol w:w="75"/>
        <w:gridCol w:w="113"/>
        <w:gridCol w:w="74"/>
        <w:gridCol w:w="135"/>
        <w:gridCol w:w="665"/>
        <w:gridCol w:w="85"/>
        <w:gridCol w:w="36"/>
        <w:gridCol w:w="36"/>
        <w:gridCol w:w="36"/>
        <w:gridCol w:w="135"/>
        <w:gridCol w:w="515"/>
        <w:gridCol w:w="85"/>
        <w:gridCol w:w="36"/>
        <w:gridCol w:w="36"/>
        <w:gridCol w:w="36"/>
        <w:gridCol w:w="135"/>
        <w:gridCol w:w="665"/>
        <w:gridCol w:w="85"/>
        <w:gridCol w:w="36"/>
        <w:gridCol w:w="36"/>
        <w:gridCol w:w="36"/>
        <w:gridCol w:w="135"/>
        <w:gridCol w:w="6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886"/>
      </w:tblGrid>
      <w:tr w:rsidR="00000000">
        <w:trPr>
          <w:gridAfter w:val="21"/>
          <w:divId w:val="1292439189"/>
          <w:jc w:val="center"/>
        </w:trPr>
        <w:tc>
          <w:tcPr>
            <w:tcW w:w="50" w:type="pct"/>
            <w:vAlign w:val="center"/>
            <w:hideMark/>
          </w:tcPr>
          <w:p w:rsidR="00000000" w:rsidRDefault="00A270CC">
            <w:pPr>
              <w:jc w:val="both"/>
              <w:rPr>
                <w:rFonts w:eastAsia="Times New Roman"/>
              </w:rPr>
            </w:pPr>
          </w:p>
        </w:tc>
        <w:tc>
          <w:tcPr>
            <w:tcW w:w="10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7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7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7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6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5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39"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38"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292439189"/>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June 30, 202</w:t>
            </w:r>
            <w:r>
              <w:rPr>
                <w:rFonts w:eastAsia="Times New Roman"/>
                <w:color w:val="000000"/>
                <w:sz w:val="20"/>
                <w:szCs w:val="20"/>
              </w:rPr>
              <w:t>0</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2"/>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r>
              <w:rPr>
                <w:rFonts w:eastAsia="Times New Roman"/>
                <w:color w:val="000000"/>
                <w:sz w:val="20"/>
                <w:szCs w:val="20"/>
              </w:rPr>
              <w:t>September 30, 201</w:t>
            </w:r>
            <w:r>
              <w:rPr>
                <w:rFonts w:eastAsia="Times New Roman"/>
                <w:color w:val="000000"/>
                <w:sz w:val="20"/>
                <w:szCs w:val="20"/>
              </w:rPr>
              <w:t>9</w:t>
            </w:r>
          </w:p>
        </w:tc>
      </w:tr>
      <w:tr w:rsidR="00000000">
        <w:trPr>
          <w:divId w:val="1292439189"/>
          <w:jc w:val="center"/>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(Millions of dollars</w:t>
            </w: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AmeriGas Propan</w:t>
            </w:r>
            <w:r>
              <w:rPr>
                <w:rFonts w:eastAsia="Times New Roman"/>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UGI Internationa</w:t>
            </w:r>
            <w:r>
              <w:rPr>
                <w:rFonts w:eastAsia="Times New Roman"/>
                <w:color w:val="000000"/>
                <w:sz w:val="20"/>
                <w:szCs w:val="20"/>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Midstream &amp; Marketin</w:t>
            </w:r>
            <w:r>
              <w:rPr>
                <w:rFonts w:eastAsia="Times New Roman"/>
                <w:color w:val="000000"/>
                <w:sz w:val="20"/>
                <w:szCs w:val="20"/>
              </w:rPr>
              <w:t>g</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Corp &amp; Othe</w:t>
            </w:r>
            <w:r>
              <w:rPr>
                <w:rFonts w:eastAsia="Times New Roman"/>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A270CC">
        <w:trPr>
          <w:divId w:val="129243918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Short-term borrowing</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796.3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92439189"/>
          <w:trHeight w:val="300"/>
          <w:jc w:val="center"/>
        </w:trPr>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9243918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Long-term debt (including current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A270CC">
        <w:trPr>
          <w:divId w:val="1292439189"/>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2,575.0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975.0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3,943.2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3,781.5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92439189"/>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Term loan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337.0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693.0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149.4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1,729.4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92439189"/>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Other long-term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363.6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345.7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1292439189"/>
          <w:jc w:val="center"/>
        </w:trPr>
        <w:tc>
          <w:tcPr>
            <w:tcW w:w="0" w:type="auto"/>
            <w:gridSpan w:val="3"/>
            <w:shd w:val="clear" w:color="auto" w:fill="CCEE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Unamortized debt issuance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A270CC">
        <w:trPr>
          <w:divId w:val="1292439189"/>
          <w:jc w:val="center"/>
        </w:trPr>
        <w:tc>
          <w:tcPr>
            <w:tcW w:w="0" w:type="auto"/>
            <w:gridSpan w:val="3"/>
            <w:shd w:val="clear" w:color="auto" w:fill="FFFFFF"/>
            <w:tcMar>
              <w:top w:w="30" w:type="dxa"/>
              <w:left w:w="225"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long-term deb</w:t>
            </w:r>
            <w:r>
              <w:rPr>
                <w:rFonts w:eastAsia="Times New Roman"/>
                <w:color w:val="000000"/>
                <w:sz w:val="20"/>
                <w:szCs w:val="20"/>
              </w:rPr>
              <w:t>t</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2,564.2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744.9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721.5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1,122.3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834.3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5,987.2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5,804.0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A270CC">
        <w:trPr>
          <w:divId w:val="1292439189"/>
          <w:jc w:val="center"/>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Total deb</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2,726.2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1,162.3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834.3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6,410.3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6,600.3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Midstream &amp; Marketing includes finance leas</w:t>
      </w:r>
      <w:r>
        <w:rPr>
          <w:rFonts w:eastAsia="Times New Roman"/>
          <w:color w:val="000000"/>
          <w:sz w:val="20"/>
          <w:szCs w:val="20"/>
        </w:rPr>
        <w:t>e liabilities recognized as a result of the adoption of ASU 2016-02. For additional information, see Notes 2 and 9 to Condensed Consolidated Financial Statements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Significant Financing Activitie</w:t>
      </w:r>
      <w:r>
        <w:rPr>
          <w:rFonts w:eastAsia="Times New Roman"/>
          <w:b/>
          <w:bCs/>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UGI Utilities.</w:t>
      </w:r>
      <w:r>
        <w:rPr>
          <w:rFonts w:eastAsia="Times New Roman"/>
          <w:b/>
          <w:bCs/>
          <w:i/>
          <w:iCs/>
          <w:color w:val="000000"/>
          <w:sz w:val="20"/>
          <w:szCs w:val="20"/>
        </w:rPr>
        <w:t xml:space="preserve"> </w:t>
      </w:r>
      <w:r>
        <w:rPr>
          <w:rFonts w:eastAsia="Times New Roman"/>
          <w:color w:val="000000"/>
          <w:sz w:val="20"/>
          <w:szCs w:val="20"/>
        </w:rPr>
        <w:t>On April 16, 2020, UGI Utilities issued in a private placement $150 million of UGI Utilities 3.12% Senior Notes due April 16, 2050 pursuant to a Note Purchase Agreement dated March 19, 2020, between UGI Utilities and certain note purchasers. The UGI Utilit</w:t>
      </w:r>
      <w:r>
        <w:rPr>
          <w:rFonts w:eastAsia="Times New Roman"/>
          <w:color w:val="000000"/>
          <w:sz w:val="20"/>
          <w:szCs w:val="20"/>
        </w:rPr>
        <w:t>ies 3.12% Senior Notes are unsecured and rank equally with UGI Utilities’ existing outstanding senior debt. The net proceeds from the issuance of the UGI Utilities 3.12% Senior Notes were used to reduce short-term borrowings and for general corporate purpo</w:t>
      </w:r>
      <w:r>
        <w:rPr>
          <w:rFonts w:eastAsia="Times New Roman"/>
          <w:color w:val="000000"/>
          <w:sz w:val="20"/>
          <w:szCs w:val="20"/>
        </w:rPr>
        <w:t>ses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Credit Facilitie</w:t>
      </w:r>
      <w:r>
        <w:rPr>
          <w:rFonts w:eastAsia="Times New Roman"/>
          <w:b/>
          <w:bCs/>
          <w:i/>
          <w:i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Energy Services.</w:t>
      </w:r>
      <w:r>
        <w:rPr>
          <w:rFonts w:eastAsia="Times New Roman"/>
          <w:b/>
          <w:bCs/>
          <w:i/>
          <w:iCs/>
          <w:color w:val="000000"/>
          <w:sz w:val="20"/>
          <w:szCs w:val="20"/>
        </w:rPr>
        <w:t xml:space="preserve"> </w:t>
      </w:r>
      <w:r>
        <w:rPr>
          <w:rFonts w:eastAsia="Times New Roman"/>
          <w:color w:val="000000"/>
          <w:sz w:val="20"/>
          <w:szCs w:val="20"/>
        </w:rPr>
        <w:t>On March 6, 2020, Energy Services entered into the Energy Services 2020 Credit Agreement, as borrower, with a group of lenders. The Energy Services 2020 Credit Agreement amends and restates the Energy Services Cr</w:t>
      </w:r>
      <w:r>
        <w:rPr>
          <w:rFonts w:eastAsia="Times New Roman"/>
          <w:color w:val="000000"/>
          <w:sz w:val="20"/>
          <w:szCs w:val="20"/>
        </w:rPr>
        <w:t>edit Agreement. The Energy Services 2020 Credit Agreement provides for borrowings up to $260 million, including a $50 million sublimit for letters of credit. Energy Services may request an increase in the amount of loan commitments under the Energy Service</w:t>
      </w:r>
      <w:r>
        <w:rPr>
          <w:rFonts w:eastAsia="Times New Roman"/>
          <w:color w:val="000000"/>
          <w:sz w:val="20"/>
          <w:szCs w:val="20"/>
        </w:rPr>
        <w:t xml:space="preserve">s 2020 Credit Agreement to a maximum aggregate amount of $325 million, subject to certain terms and conditions. Borrowings under the Energy Services 2020 Credit Agreement can be used to fund acquisitions and investments and for general corporate purposes. </w:t>
      </w:r>
      <w:r>
        <w:rPr>
          <w:rFonts w:eastAsia="Times New Roman"/>
          <w:color w:val="000000"/>
          <w:sz w:val="20"/>
          <w:szCs w:val="20"/>
        </w:rPr>
        <w:t>The Energy Services 2020 Credit Agreement is scheduled to expire in March 2025</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Additional information related to the Company’s credit agreements can be found in Item 7, “Management’s Discussion and Analysis of Financial Condition and Results of Operatio</w:t>
      </w:r>
      <w:r>
        <w:rPr>
          <w:rFonts w:eastAsia="Times New Roman"/>
          <w:color w:val="000000"/>
          <w:sz w:val="20"/>
          <w:szCs w:val="20"/>
        </w:rPr>
        <w:t>ns,” and Note 6 to Consolidated Financial Statements in the Company’s 2019 Annual Report</w:t>
      </w:r>
      <w:r>
        <w:rPr>
          <w:rFonts w:eastAsia="Times New Roman"/>
          <w:color w:val="000000"/>
          <w:sz w:val="20"/>
          <w:szCs w:val="20"/>
        </w:rPr>
        <w:t>.</w:t>
      </w:r>
    </w:p>
    <w:p w:rsidR="00000000" w:rsidRDefault="00A270CC">
      <w:pPr>
        <w:jc w:val="both"/>
        <w:rPr>
          <w:rFonts w:eastAsia="Times New Roman"/>
        </w:rPr>
      </w:pPr>
    </w:p>
    <w:p w:rsidR="00000000" w:rsidRDefault="00A270CC">
      <w:pPr>
        <w:jc w:val="center"/>
        <w:divId w:val="1867063709"/>
        <w:rPr>
          <w:rFonts w:eastAsia="Times New Roman"/>
        </w:rPr>
      </w:pPr>
      <w:r>
        <w:rPr>
          <w:rFonts w:eastAsia="Times New Roman"/>
          <w:color w:val="000000"/>
          <w:sz w:val="20"/>
          <w:szCs w:val="20"/>
        </w:rPr>
        <w:t>5</w:t>
      </w:r>
      <w:r>
        <w:rPr>
          <w:rFonts w:eastAsia="Times New Roman"/>
          <w:color w:val="000000"/>
          <w:sz w:val="20"/>
          <w:szCs w:val="20"/>
        </w:rPr>
        <w:t>7</w:t>
      </w:r>
    </w:p>
    <w:p w:rsidR="00000000" w:rsidRDefault="00A270CC">
      <w:pPr>
        <w:rPr>
          <w:rFonts w:eastAsia="Times New Roman"/>
        </w:rPr>
      </w:pPr>
      <w:r>
        <w:rPr>
          <w:rFonts w:eastAsia="Times New Roman"/>
        </w:rPr>
        <w:pict>
          <v:rect id="_x0000_i1083" style="width:0;height:1.5pt" o:hralign="center" o:hrstd="t" o:hr="t" fillcolor="#a0a0a0" stroked="f"/>
        </w:pict>
      </w:r>
    </w:p>
    <w:p w:rsidR="00000000" w:rsidRDefault="00A270CC">
      <w:pPr>
        <w:divId w:val="115769476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30569508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Information abo</w:t>
      </w:r>
      <w:r>
        <w:rPr>
          <w:rFonts w:eastAsia="Times New Roman"/>
          <w:color w:val="000000"/>
          <w:sz w:val="20"/>
          <w:szCs w:val="20"/>
        </w:rPr>
        <w:t>ut the Company’s principal credit agreements (excluding the Energy Services Receivables Facility discussed below) as of June 30, 2020 and 2019, is presented in the table below</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2"/>
        <w:gridCol w:w="3815"/>
        <w:gridCol w:w="42"/>
        <w:gridCol w:w="36"/>
        <w:gridCol w:w="36"/>
        <w:gridCol w:w="36"/>
        <w:gridCol w:w="135"/>
        <w:gridCol w:w="769"/>
        <w:gridCol w:w="85"/>
        <w:gridCol w:w="36"/>
        <w:gridCol w:w="36"/>
        <w:gridCol w:w="36"/>
        <w:gridCol w:w="136"/>
        <w:gridCol w:w="770"/>
        <w:gridCol w:w="85"/>
        <w:gridCol w:w="36"/>
        <w:gridCol w:w="36"/>
        <w:gridCol w:w="36"/>
        <w:gridCol w:w="136"/>
        <w:gridCol w:w="770"/>
        <w:gridCol w:w="85"/>
        <w:gridCol w:w="36"/>
        <w:gridCol w:w="36"/>
        <w:gridCol w:w="36"/>
        <w:gridCol w:w="136"/>
        <w:gridCol w:w="770"/>
        <w:gridCol w:w="85"/>
      </w:tblGrid>
      <w:tr w:rsidR="00000000">
        <w:trPr>
          <w:divId w:val="1538278883"/>
        </w:trPr>
        <w:tc>
          <w:tcPr>
            <w:tcW w:w="50" w:type="pct"/>
            <w:vAlign w:val="center"/>
            <w:hideMark/>
          </w:tcPr>
          <w:p w:rsidR="00000000" w:rsidRDefault="00A270CC">
            <w:pPr>
              <w:jc w:val="both"/>
              <w:rPr>
                <w:rFonts w:eastAsia="Times New Roman"/>
              </w:rPr>
            </w:pPr>
          </w:p>
        </w:tc>
        <w:tc>
          <w:tcPr>
            <w:tcW w:w="232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1538278883"/>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(Currency in millions</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Total Capacit</w:t>
            </w:r>
            <w:r>
              <w:rPr>
                <w:rFonts w:eastAsia="Times New Roman"/>
                <w:color w:val="000000"/>
                <w:sz w:val="18"/>
                <w:szCs w:val="18"/>
              </w:rPr>
              <w:t>y</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Borrowings Outstandin</w:t>
            </w:r>
            <w:r>
              <w:rPr>
                <w:rFonts w:eastAsia="Times New Roman"/>
                <w:color w:val="000000"/>
                <w:sz w:val="18"/>
                <w:szCs w:val="18"/>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Letters of Credit and Guarantees Outstandin</w:t>
            </w:r>
            <w:r>
              <w:rPr>
                <w:rFonts w:eastAsia="Times New Roman"/>
                <w:color w:val="000000"/>
                <w:sz w:val="18"/>
                <w:szCs w:val="18"/>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Available Borrowing Capacit</w:t>
            </w:r>
            <w:r>
              <w:rPr>
                <w:rFonts w:eastAsia="Times New Roman"/>
                <w:color w:val="000000"/>
                <w:sz w:val="18"/>
                <w:szCs w:val="18"/>
              </w:rPr>
              <w:t>y</w:t>
            </w:r>
          </w:p>
        </w:tc>
      </w:tr>
      <w:tr w:rsidR="00000000">
        <w:trPr>
          <w:divId w:val="15382788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As of June 30, 202</w:t>
            </w:r>
            <w:r>
              <w:rPr>
                <w:rFonts w:eastAsia="Times New Roman"/>
                <w:b/>
                <w:bCs/>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jc w:val="cente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5382788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OL</w:t>
            </w:r>
            <w:r>
              <w:rPr>
                <w:rFonts w:eastAsia="Times New Roman"/>
                <w:color w:val="000000"/>
                <w:sz w:val="20"/>
                <w:szCs w:val="20"/>
              </w:rPr>
              <w:t>P</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375.3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International, LLC (a</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Energy Service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Corporation (b</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As of June 30, 201</w:t>
            </w:r>
            <w:r>
              <w:rPr>
                <w:rFonts w:eastAsia="Times New Roman"/>
                <w:b/>
                <w:bCs/>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15382788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OL</w:t>
            </w:r>
            <w:r>
              <w:rPr>
                <w:rFonts w:eastAsia="Times New Roman"/>
                <w:color w:val="000000"/>
                <w:sz w:val="20"/>
                <w:szCs w:val="20"/>
              </w:rPr>
              <w:t>P</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62.8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International, LL</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538278883"/>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r>
      <w:tr w:rsidR="00000000">
        <w:trPr>
          <w:divId w:val="1538278883"/>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Energy Service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r w:rsidR="00000000">
        <w:trPr>
          <w:divId w:val="1538278883"/>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r>
    </w:tbl>
    <w:p w:rsidR="00000000" w:rsidRDefault="00A270CC">
      <w:pPr>
        <w:ind w:hanging="360"/>
        <w:jc w:val="both"/>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The 2018 UGI International Credit Facilities Agreement permits UGI International, LLC to borrow in euros or dollars. At June</w:t>
      </w:r>
      <w:r>
        <w:rPr>
          <w:rFonts w:eastAsia="Times New Roman"/>
          <w:color w:val="000000"/>
          <w:sz w:val="20"/>
          <w:szCs w:val="20"/>
        </w:rPr>
        <w:t> 30, 2020, the amount borrowed comprised USD-denominated borrowings of $180.0 million, equal to €160.2 million</w:t>
      </w:r>
      <w:r>
        <w:rPr>
          <w:rFonts w:eastAsia="Times New Roman"/>
          <w:color w:val="000000"/>
          <w:sz w:val="20"/>
          <w:szCs w:val="20"/>
        </w:rPr>
        <w:t>.</w:t>
      </w:r>
    </w:p>
    <w:p w:rsidR="00000000" w:rsidRDefault="00A270CC">
      <w:pPr>
        <w:ind w:hanging="360"/>
        <w:jc w:val="both"/>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Borrowings outstanding have been classified as “Long-term debt” on the Condensed Consolidated Balance Sheets</w:t>
      </w:r>
      <w:r>
        <w:rPr>
          <w:rFonts w:eastAsia="Times New Roman"/>
          <w:color w:val="000000"/>
          <w:sz w:val="20"/>
          <w:szCs w:val="20"/>
        </w:rPr>
        <w:t>.</w:t>
      </w:r>
    </w:p>
    <w:p w:rsidR="00000000" w:rsidRDefault="00A270CC">
      <w:pPr>
        <w:divId w:val="718750571"/>
        <w:rPr>
          <w:rFonts w:eastAsia="Times New Roman"/>
        </w:rPr>
      </w:pPr>
    </w:p>
    <w:p w:rsidR="00000000" w:rsidRDefault="00A270CC">
      <w:pPr>
        <w:jc w:val="both"/>
        <w:rPr>
          <w:rFonts w:eastAsia="Times New Roman"/>
        </w:rPr>
      </w:pPr>
      <w:r>
        <w:rPr>
          <w:rFonts w:eastAsia="Times New Roman"/>
          <w:color w:val="000000"/>
          <w:sz w:val="20"/>
          <w:szCs w:val="20"/>
        </w:rPr>
        <w:t>The average daily and peak short-term borrowings under the Company’s principal credit agreements during the nine months ended June 30, 2020 and 2019 are as follows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3607"/>
        <w:gridCol w:w="38"/>
        <w:gridCol w:w="36"/>
        <w:gridCol w:w="36"/>
        <w:gridCol w:w="36"/>
        <w:gridCol w:w="135"/>
        <w:gridCol w:w="714"/>
        <w:gridCol w:w="85"/>
        <w:gridCol w:w="36"/>
        <w:gridCol w:w="36"/>
        <w:gridCol w:w="36"/>
        <w:gridCol w:w="135"/>
        <w:gridCol w:w="717"/>
        <w:gridCol w:w="85"/>
        <w:gridCol w:w="36"/>
        <w:gridCol w:w="36"/>
        <w:gridCol w:w="36"/>
        <w:gridCol w:w="135"/>
        <w:gridCol w:w="717"/>
        <w:gridCol w:w="85"/>
        <w:gridCol w:w="36"/>
        <w:gridCol w:w="36"/>
        <w:gridCol w:w="36"/>
        <w:gridCol w:w="135"/>
        <w:gridCol w:w="717"/>
        <w:gridCol w:w="85"/>
        <w:gridCol w:w="36"/>
        <w:gridCol w:w="36"/>
        <w:gridCol w:w="36"/>
        <w:gridCol w:w="36"/>
        <w:gridCol w:w="36"/>
        <w:gridCol w:w="36"/>
        <w:gridCol w:w="36"/>
        <w:gridCol w:w="36"/>
        <w:gridCol w:w="36"/>
        <w:gridCol w:w="36"/>
        <w:gridCol w:w="36"/>
        <w:gridCol w:w="36"/>
      </w:tblGrid>
      <w:tr w:rsidR="00000000">
        <w:trPr>
          <w:gridAfter w:val="12"/>
          <w:divId w:val="725031786"/>
        </w:trPr>
        <w:tc>
          <w:tcPr>
            <w:tcW w:w="50" w:type="pct"/>
            <w:vAlign w:val="center"/>
            <w:hideMark/>
          </w:tcPr>
          <w:p w:rsidR="00000000" w:rsidRDefault="00A270CC">
            <w:pPr>
              <w:jc w:val="both"/>
              <w:rPr>
                <w:rFonts w:eastAsia="Times New Roman"/>
              </w:rPr>
            </w:pPr>
          </w:p>
        </w:tc>
        <w:tc>
          <w:tcPr>
            <w:tcW w:w="232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725031786"/>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18"/>
                <w:szCs w:val="18"/>
              </w:rPr>
              <w:t>For the nine months ended</w:t>
            </w:r>
            <w:r>
              <w:rPr>
                <w:rFonts w:eastAsia="Times New Roman"/>
                <w:color w:val="000000"/>
                <w:sz w:val="18"/>
                <w:szCs w:val="18"/>
              </w:rPr>
              <w:t xml:space="preserve"> </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18"/>
                <w:szCs w:val="18"/>
              </w:rPr>
              <w:t>For the nine months ended</w:t>
            </w:r>
            <w:r>
              <w:rPr>
                <w:rFonts w:eastAsia="Times New Roman"/>
                <w:color w:val="000000"/>
                <w:sz w:val="18"/>
                <w:szCs w:val="18"/>
              </w:rPr>
              <w:t xml:space="preserve"> </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725031786"/>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18"/>
                <w:szCs w:val="18"/>
              </w:rPr>
              <w:t>June 30, 202</w:t>
            </w:r>
            <w:r>
              <w:rPr>
                <w:rFonts w:eastAsia="Times New Roman"/>
                <w:color w:val="000000"/>
                <w:sz w:val="18"/>
                <w:szCs w:val="18"/>
              </w:rPr>
              <w:t>0</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270CC">
            <w:pPr>
              <w:jc w:val="center"/>
              <w:rPr>
                <w:rFonts w:eastAsia="Times New Roman"/>
              </w:rPr>
            </w:pPr>
            <w:r>
              <w:rPr>
                <w:rFonts w:eastAsia="Times New Roman"/>
                <w:color w:val="000000"/>
                <w:sz w:val="18"/>
                <w:szCs w:val="18"/>
              </w:rPr>
              <w:t>June 30, 201</w:t>
            </w:r>
            <w:r>
              <w:rPr>
                <w:rFonts w:eastAsia="Times New Roman"/>
                <w:color w:val="000000"/>
                <w:sz w:val="18"/>
                <w:szCs w:val="18"/>
              </w:rPr>
              <w:t>9</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725031786"/>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8"/>
                <w:szCs w:val="18"/>
              </w:rPr>
              <w:t>(Millions of dollars or euros</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Averag</w:t>
            </w:r>
            <w:r>
              <w:rPr>
                <w:rFonts w:eastAsia="Times New Roman"/>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Pea</w:t>
            </w:r>
            <w:r>
              <w:rPr>
                <w:rFonts w:eastAsia="Times New Roman"/>
                <w:color w:val="000000"/>
                <w:sz w:val="18"/>
                <w:szCs w:val="18"/>
              </w:rPr>
              <w:t>k</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Averag</w:t>
            </w:r>
            <w:r>
              <w:rPr>
                <w:rFonts w:eastAsia="Times New Roman"/>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18"/>
                <w:szCs w:val="18"/>
              </w:rPr>
              <w:t>Pea</w:t>
            </w:r>
            <w:r>
              <w:rPr>
                <w:rFonts w:eastAsia="Times New Roman"/>
                <w:color w:val="000000"/>
                <w:sz w:val="18"/>
                <w:szCs w:val="18"/>
              </w:rPr>
              <w:t>k</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AmeriGas OL</w:t>
            </w:r>
            <w:r>
              <w:rPr>
                <w:rFonts w:eastAsia="Times New Roman"/>
                <w:color w:val="000000"/>
                <w:sz w:val="20"/>
                <w:szCs w:val="20"/>
              </w:rPr>
              <w:t>P</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265.5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359.0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International, LL</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186.9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vAlign w:val="center"/>
            <w:hideMark/>
          </w:tcPr>
          <w:p w:rsidR="00000000" w:rsidRDefault="00A270CC">
            <w:pPr>
              <w:jc w:val="right"/>
              <w:rPr>
                <w:rFonts w:eastAsia="Times New Roman"/>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gridSpan w:val="3"/>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Energy Service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76.5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Utilitie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324.0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311.0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725031786"/>
        </w:trPr>
        <w:tc>
          <w:tcPr>
            <w:tcW w:w="0" w:type="auto"/>
            <w:gridSpan w:val="3"/>
            <w:shd w:val="clear" w:color="auto" w:fill="FFFF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UGI Corporatio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286.6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Receivables Facility.</w:t>
      </w:r>
      <w:r>
        <w:rPr>
          <w:rFonts w:eastAsia="Times New Roman"/>
          <w:b/>
          <w:bCs/>
          <w:i/>
          <w:iCs/>
          <w:color w:val="000000"/>
          <w:sz w:val="20"/>
          <w:szCs w:val="20"/>
        </w:rPr>
        <w:t xml:space="preserve"> </w:t>
      </w:r>
      <w:r>
        <w:rPr>
          <w:rFonts w:eastAsia="Times New Roman"/>
          <w:color w:val="000000"/>
          <w:sz w:val="20"/>
          <w:szCs w:val="20"/>
        </w:rPr>
        <w:t>Energy Services has a Receivables Facility with an issuer of receivables</w:t>
      </w:r>
      <w:r>
        <w:rPr>
          <w:rFonts w:eastAsia="Times New Roman"/>
          <w:color w:val="000000"/>
          <w:sz w:val="20"/>
          <w:szCs w:val="20"/>
        </w:rPr>
        <w:t>-backed commercial paper currently scheduled to expire on October 23, 2020. Energy Services intends to extend the Receivables Facility prior to its scheduled expiration. At June 30, 2020, the outstanding balance of ESFC trade receivables was $50.1 million,</w:t>
      </w:r>
      <w:r>
        <w:rPr>
          <w:rFonts w:eastAsia="Times New Roman"/>
          <w:color w:val="000000"/>
          <w:sz w:val="20"/>
          <w:szCs w:val="20"/>
        </w:rPr>
        <w:t xml:space="preserve"> of which $40.0 million was sold to the bank. At June 30, 2019, the outstanding balance of ESFC trade receivables was $74.2 million, of which $55.0 million was sold to the bank. Amounts sold to the bank are reflected as “Short-term borrowings” on the Conde</w:t>
      </w:r>
      <w:r>
        <w:rPr>
          <w:rFonts w:eastAsia="Times New Roman"/>
          <w:color w:val="000000"/>
          <w:sz w:val="20"/>
          <w:szCs w:val="20"/>
        </w:rPr>
        <w:t>nsed Consolidated Balance Sheets. During the nine months ended June 30, 2020 and 2019, peak sales of receivables were $97.0 million and $68.0 million, respectively, and average daily amounts sold were $50.0 million and $10.7 million, respectively</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Divide</w:t>
      </w:r>
      <w:r>
        <w:rPr>
          <w:rFonts w:eastAsia="Times New Roman"/>
          <w:b/>
          <w:bCs/>
          <w:color w:val="000000"/>
          <w:sz w:val="20"/>
          <w:szCs w:val="20"/>
        </w:rPr>
        <w:t>nd</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April 21, 2020, UGI’s Board of Directors approved an increase in the quarterly dividend rate on UGI Common Stock to $0.33 per Common Share, or $1.32 on an annual basis, reflecting, an approximate 1.5% increase from the previous quarterly rate of $</w:t>
      </w:r>
      <w:r>
        <w:rPr>
          <w:rFonts w:eastAsia="Times New Roman"/>
          <w:color w:val="000000"/>
          <w:sz w:val="20"/>
          <w:szCs w:val="20"/>
        </w:rPr>
        <w:t>0.325. The dividend was paid on July 1, 2020, to shareholders of record on June 15, 2020. On July 21, 2020, UGI’s Board of Directors declared a quarterly dividend of $0.33 per common share. The dividend is payable October 1, 2020, to shareholders of record</w:t>
      </w:r>
      <w:r>
        <w:rPr>
          <w:rFonts w:eastAsia="Times New Roman"/>
          <w:color w:val="000000"/>
          <w:sz w:val="20"/>
          <w:szCs w:val="20"/>
        </w:rPr>
        <w:t xml:space="preserve"> on September 15, 2020</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Cash Flows</w:t>
      </w:r>
      <w:r>
        <w:rPr>
          <w:rFonts w:eastAsia="Times New Roman"/>
          <w:b/>
          <w:bCs/>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fiscal quarters when customers pay for natural gas, LPG, electricity an</w:t>
      </w:r>
      <w:r>
        <w:rPr>
          <w:rFonts w:eastAsia="Times New Roman"/>
          <w:color w:val="000000"/>
          <w:sz w:val="20"/>
          <w:szCs w:val="20"/>
        </w:rPr>
        <w:t>d other energy products and services consumed during the peak heating season months. Conversely, operating cash flows are generally at their lowest levels during</w:t>
      </w:r>
      <w:r>
        <w:rPr>
          <w:rFonts w:eastAsia="Times New Roman"/>
          <w:color w:val="000000"/>
          <w:sz w:val="20"/>
          <w:szCs w:val="20"/>
        </w:rPr>
        <w:t xml:space="preserve"> </w:t>
      </w:r>
    </w:p>
    <w:p w:rsidR="00000000" w:rsidRDefault="00A270CC">
      <w:pPr>
        <w:jc w:val="center"/>
        <w:divId w:val="902520248"/>
        <w:rPr>
          <w:rFonts w:eastAsia="Times New Roman"/>
        </w:rPr>
      </w:pPr>
      <w:r>
        <w:rPr>
          <w:rFonts w:eastAsia="Times New Roman"/>
          <w:color w:val="000000"/>
          <w:sz w:val="20"/>
          <w:szCs w:val="20"/>
        </w:rPr>
        <w:t>5</w:t>
      </w:r>
      <w:r>
        <w:rPr>
          <w:rFonts w:eastAsia="Times New Roman"/>
          <w:color w:val="000000"/>
          <w:sz w:val="20"/>
          <w:szCs w:val="20"/>
        </w:rPr>
        <w:t>8</w:t>
      </w:r>
    </w:p>
    <w:p w:rsidR="00000000" w:rsidRDefault="00A270CC">
      <w:pPr>
        <w:rPr>
          <w:rFonts w:eastAsia="Times New Roman"/>
        </w:rPr>
      </w:pPr>
      <w:r>
        <w:rPr>
          <w:rFonts w:eastAsia="Times New Roman"/>
        </w:rPr>
        <w:pict>
          <v:rect id="_x0000_i1084" style="width:0;height:1.5pt" o:hralign="center" o:hrstd="t" o:hr="t" fillcolor="#a0a0a0" stroked="f"/>
        </w:pict>
      </w:r>
    </w:p>
    <w:p w:rsidR="00000000" w:rsidRDefault="00A270CC">
      <w:pPr>
        <w:divId w:val="585576824"/>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819607523"/>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the fourth and first fiscal quarters when the Company’</w:t>
      </w:r>
      <w:r>
        <w:rPr>
          <w:rFonts w:eastAsia="Times New Roman"/>
          <w:color w:val="000000"/>
          <w:sz w:val="20"/>
          <w:szCs w:val="20"/>
        </w:rPr>
        <w:t>s investment in working capital, principally inventories and accounts receivable, is generally greatest</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Operating Activities</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Year-to-year variations in our cash flows from operating activities can be significantly affected by changes in operating worki</w:t>
      </w:r>
      <w:r>
        <w:rPr>
          <w:rFonts w:eastAsia="Times New Roman"/>
          <w:color w:val="000000"/>
          <w:sz w:val="20"/>
          <w:szCs w:val="20"/>
        </w:rPr>
        <w:t>ng capital especially during periods with significant changes in energy commodity prices. Cash flow provided by operating activities was $962.8 million in the 2020 nine-month period compared to $924.6 million in the 2019 nine-month period. Cash flow from o</w:t>
      </w:r>
      <w:r>
        <w:rPr>
          <w:rFonts w:eastAsia="Times New Roman"/>
          <w:color w:val="000000"/>
          <w:sz w:val="20"/>
          <w:szCs w:val="20"/>
        </w:rPr>
        <w:t>perating activities before changes in operating working capital was $927.0 million in the 2020 nine-month period compared to $964.8 million in the prio</w:t>
      </w:r>
      <w:r>
        <w:rPr>
          <w:rFonts w:eastAsia="Times New Roman"/>
          <w:color w:val="000000"/>
          <w:sz w:val="20"/>
          <w:szCs w:val="20"/>
        </w:rPr>
        <w:t>r</w:t>
      </w:r>
      <w:r>
        <w:rPr>
          <w:rFonts w:eastAsia="Times New Roman"/>
          <w:color w:val="000000"/>
          <w:sz w:val="20"/>
          <w:szCs w:val="20"/>
          <w:shd w:val="clear" w:color="auto" w:fill="FFFFFF"/>
        </w:rPr>
        <w:t xml:space="preserve">-year period. The lower cash flow from operating activities before changes in operating working capital </w:t>
      </w:r>
      <w:r>
        <w:rPr>
          <w:rFonts w:eastAsia="Times New Roman"/>
          <w:color w:val="000000"/>
          <w:sz w:val="20"/>
          <w:szCs w:val="20"/>
          <w:shd w:val="clear" w:color="auto" w:fill="FFFFFF"/>
        </w:rPr>
        <w:t>reflects, in large part, lower cash contributions from AmeriGas Propane, partially offset by incremental cash flow from UGI Appalachia. Cash provided by changes in</w:t>
      </w:r>
      <w:r>
        <w:rPr>
          <w:rFonts w:eastAsia="Times New Roman"/>
          <w:color w:val="000000"/>
          <w:sz w:val="20"/>
          <w:szCs w:val="20"/>
          <w:shd w:val="clear" w:color="auto" w:fill="FFFFFF"/>
        </w:rPr>
        <w:t xml:space="preserve"> </w:t>
      </w:r>
      <w:r>
        <w:rPr>
          <w:rFonts w:eastAsia="Times New Roman"/>
          <w:color w:val="000000"/>
          <w:sz w:val="20"/>
          <w:szCs w:val="20"/>
        </w:rPr>
        <w:t>operating working capital totaled $35.8 million in the 2020 nine-month period compared to $4</w:t>
      </w:r>
      <w:r>
        <w:rPr>
          <w:rFonts w:eastAsia="Times New Roman"/>
          <w:color w:val="000000"/>
          <w:sz w:val="20"/>
          <w:szCs w:val="20"/>
        </w:rPr>
        <w:t>0.2 million of cash used to fund changes in operating working capital in the prior-year period. Changes in operating working capital during the 2020 nine-month period reflects, among other things, net recoveries of deferred fuel and power costs compared to</w:t>
      </w:r>
      <w:r>
        <w:rPr>
          <w:rFonts w:eastAsia="Times New Roman"/>
          <w:color w:val="000000"/>
          <w:sz w:val="20"/>
          <w:szCs w:val="20"/>
        </w:rPr>
        <w:t xml:space="preserve"> net refunds during the prior-year period, net cash collateral deposits received as compared to net cash collateral paid in the prior-year period and less cash used to fund changes in accounts payable and other current liabilities as compared to the prior-</w:t>
      </w:r>
      <w:r>
        <w:rPr>
          <w:rFonts w:eastAsia="Times New Roman"/>
          <w:color w:val="000000"/>
          <w:sz w:val="20"/>
          <w:szCs w:val="20"/>
        </w:rPr>
        <w:t>year period. This increase in cash provided by changes in operating working capital were partially offset by an increase in cash required to fund changes in accounts receivable and inventories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Investing Activities</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Cash flow used by investing activities</w:t>
      </w:r>
      <w:r>
        <w:rPr>
          <w:rFonts w:eastAsia="Times New Roman"/>
          <w:color w:val="000000"/>
          <w:sz w:val="20"/>
          <w:szCs w:val="20"/>
        </w:rPr>
        <w:t xml:space="preserve"> was $450.0 million in the 2020 nine-month period compared with $563.5 million in the prior-year period. Investing activity cash flow is principally affected by cash expenditures for property, plant and equipment; cash paid for acquisitions of businesses a</w:t>
      </w:r>
      <w:r>
        <w:rPr>
          <w:rFonts w:eastAsia="Times New Roman"/>
          <w:color w:val="000000"/>
          <w:sz w:val="20"/>
          <w:szCs w:val="20"/>
        </w:rPr>
        <w:t xml:space="preserve">nd assets; investments in investees; and proceeds from sales of assets and businesses. Cash expenditures for property, plant and equipment were $471.1 million in the 2020 nine-month period compared to $510.2 million in the prior-year period. Cash used for </w:t>
      </w:r>
      <w:r>
        <w:rPr>
          <w:rFonts w:eastAsia="Times New Roman"/>
          <w:color w:val="000000"/>
          <w:sz w:val="20"/>
          <w:szCs w:val="20"/>
        </w:rPr>
        <w:t>acquisitions of businesses and assets in the 2019 nine-month period reflects Energy Services’ acquisition of South Jersey Energy Company’s natural gas marketing business and natural gas gathering assets in Pennsylvania, and UGI International’s acquisitions</w:t>
      </w:r>
      <w:r>
        <w:rPr>
          <w:rFonts w:eastAsia="Times New Roman"/>
          <w:color w:val="000000"/>
          <w:sz w:val="20"/>
          <w:szCs w:val="20"/>
        </w:rPr>
        <w:t xml:space="preserve"> of several smaller LPG retail businesses in Europe</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Financing Activities</w:t>
      </w:r>
      <w:r>
        <w:rPr>
          <w:rFonts w:eastAsia="Times New Roman"/>
          <w:b/>
          <w:bCs/>
          <w:i/>
          <w:iCs/>
          <w:color w:val="000000"/>
          <w:sz w:val="20"/>
          <w:szCs w:val="20"/>
        </w:rPr>
        <w:t>.</w:t>
      </w:r>
      <w:r>
        <w:rPr>
          <w:rFonts w:eastAsia="Times New Roman"/>
          <w:color w:val="000000"/>
          <w:sz w:val="20"/>
          <w:szCs w:val="20"/>
        </w:rPr>
        <w:t xml:space="preserve"> Cash flow used by financing activities was $501.3 million in the 2020 nine-month period compared with $241.6 million in the prior-year period. Changes in cash flow from financing </w:t>
      </w:r>
      <w:r>
        <w:rPr>
          <w:rFonts w:eastAsia="Times New Roman"/>
          <w:color w:val="000000"/>
          <w:sz w:val="20"/>
          <w:szCs w:val="20"/>
        </w:rPr>
        <w:t>activities are primarily due to issuances and repayments of long-term debt; net short-term borrowings/repayments; dividends and distributions on UGI Common Stock and, in the 2019 nine-month period, AmeriGas Partners publicly held Common Units; and issuance</w:t>
      </w:r>
      <w:r>
        <w:rPr>
          <w:rFonts w:eastAsia="Times New Roman"/>
          <w:color w:val="000000"/>
          <w:sz w:val="20"/>
          <w:szCs w:val="20"/>
        </w:rPr>
        <w:t>s and repurchases of UGI Common Stock. Cash flows used by financing activities in the 2020 nine-month period include $366.8 million of net repayments of short-term borrowings as compared to $99.6 million in the 2019 nine-month period, principally reflectin</w:t>
      </w:r>
      <w:r>
        <w:rPr>
          <w:rFonts w:eastAsia="Times New Roman"/>
          <w:color w:val="000000"/>
          <w:sz w:val="20"/>
          <w:szCs w:val="20"/>
        </w:rPr>
        <w:t>g greater repayments at AmeriGas Partners and UGI Utilities. Cash flow from financing activities in the 2020 nine-month period also reflects dividends on UGI Common Stock of $204.4 million compared to combined dividends and distributions on UGI Common Stoc</w:t>
      </w:r>
      <w:r>
        <w:rPr>
          <w:rFonts w:eastAsia="Times New Roman"/>
          <w:color w:val="000000"/>
          <w:sz w:val="20"/>
          <w:szCs w:val="20"/>
        </w:rPr>
        <w:t>k and AmeriGas Common Units of $340.9 million in the prior-year period</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both the 2020 and 2019 nine-month periods, UGI Utilities issued, in separate private placements, $150 million of senior notes due in April 2050 and February 2049, respectively. Ca</w:t>
      </w:r>
      <w:r>
        <w:rPr>
          <w:rFonts w:eastAsia="Times New Roman"/>
          <w:color w:val="000000"/>
          <w:sz w:val="20"/>
          <w:szCs w:val="20"/>
        </w:rPr>
        <w:t>sh flows from financing activities in the 2019 nine-month period reflect significant UGI International refinancing transactions during the month of October 2018 including €300 million borrowed under a variable-rate term loan facility and €350 million princ</w:t>
      </w:r>
      <w:r>
        <w:rPr>
          <w:rFonts w:eastAsia="Times New Roman"/>
          <w:color w:val="000000"/>
          <w:sz w:val="20"/>
          <w:szCs w:val="20"/>
        </w:rPr>
        <w:t>ipal amount of 3.25% senior unsecured notes issued in an underwritten private placement. The net proceeds from these borrowings plus cash on hand were used principally to repay €540 million outstanding principal of UGI France’s variable-rate term loan; €45</w:t>
      </w:r>
      <w:r>
        <w:rPr>
          <w:rFonts w:eastAsia="Times New Roman"/>
          <w:color w:val="000000"/>
          <w:sz w:val="20"/>
          <w:szCs w:val="20"/>
        </w:rPr>
        <w:t>.8 million of outstanding principal of Flaga’s variable-rate term loan; and $49.9 million of outstanding principal of Flaga’s U.S. Dollar Term loan, plus accrued and unpaid interest</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b/>
          <w:bCs/>
          <w:color w:val="000000"/>
          <w:sz w:val="20"/>
          <w:szCs w:val="20"/>
        </w:rPr>
        <w:t>UTILITY REGULATORY MATTER</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b/>
          <w:bCs/>
          <w:i/>
          <w:iCs/>
          <w:color w:val="000000"/>
          <w:sz w:val="20"/>
          <w:szCs w:val="20"/>
        </w:rPr>
        <w:t>Base Rate Filings</w:t>
      </w:r>
      <w:r>
        <w:rPr>
          <w:rFonts w:eastAsia="Times New Roman"/>
          <w:b/>
          <w:bCs/>
          <w:i/>
          <w:iCs/>
          <w:color w:val="000000"/>
          <w:sz w:val="20"/>
          <w:szCs w:val="20"/>
        </w:rPr>
        <w:t>.</w:t>
      </w:r>
      <w:r>
        <w:rPr>
          <w:rFonts w:eastAsia="Times New Roman"/>
          <w:color w:val="000000"/>
          <w:sz w:val="20"/>
          <w:szCs w:val="20"/>
        </w:rPr>
        <w:t> </w:t>
      </w:r>
      <w:r>
        <w:rPr>
          <w:rFonts w:eastAsia="Times New Roman"/>
          <w:color w:val="000000"/>
          <w:sz w:val="20"/>
          <w:szCs w:val="20"/>
        </w:rPr>
        <w:t xml:space="preserve">On January 28, 2020, Gas Utility filed a request with the PAPUC to increase its annual base distribution operating revenues by $74.6 million annually, which was suspended by the PAPUC for a period extending to October 28, 2020, in accordance with standard </w:t>
      </w:r>
      <w:r>
        <w:rPr>
          <w:rFonts w:eastAsia="Times New Roman"/>
          <w:color w:val="000000"/>
          <w:sz w:val="20"/>
          <w:szCs w:val="20"/>
        </w:rPr>
        <w:t>regulatory practice. Thereafter, in response to a COVID-19 related motion to extend the suspension period indefinitely, the Company voluntarily extended the end of the suspension period to November 19, 2020. On August 3, 2020, a joint petition for settleme</w:t>
      </w:r>
      <w:r>
        <w:rPr>
          <w:rFonts w:eastAsia="Times New Roman"/>
          <w:color w:val="000000"/>
          <w:sz w:val="20"/>
          <w:szCs w:val="20"/>
        </w:rPr>
        <w:t>nt of all issues supported, or not opposed by all active parties, was filed with the PAPUC. Under the terms of the Joint Petition, Gas Utility will be permitted to increase its annual base distribution rates by $20.0 million, through a phased approach, wit</w:t>
      </w:r>
      <w:r>
        <w:rPr>
          <w:rFonts w:eastAsia="Times New Roman"/>
          <w:color w:val="000000"/>
          <w:sz w:val="20"/>
          <w:szCs w:val="20"/>
        </w:rPr>
        <w:t>h $10.0 million beginning January 1, 2021 and an additional $10.0 million beginning July 1, 2021. Additionally, Gas Utility will be authorized to implement a DSIC once Gas Utility total property, plant and equipment less accumulated depreciation reaches $2</w:t>
      </w:r>
      <w:r>
        <w:rPr>
          <w:rFonts w:eastAsia="Times New Roman"/>
          <w:color w:val="000000"/>
          <w:sz w:val="20"/>
          <w:szCs w:val="20"/>
        </w:rPr>
        <w:t>,875.0 million, with this threshold being unchanged from Gas Utility’s 2019 base rate case. The Joint Petition also includes enhanced COVID-19 customer assistance measures, including the establishment of an Emergency Relief Program for a defined set of pay</w:t>
      </w:r>
      <w:r>
        <w:rPr>
          <w:rFonts w:eastAsia="Times New Roman"/>
          <w:color w:val="000000"/>
          <w:sz w:val="20"/>
          <w:szCs w:val="20"/>
        </w:rPr>
        <w:t>ment troubled customers. Additionally, the Joint Petition would permit the Gas Utility to establish a regulatory asset for certain incremental expenses attributable to the ongoing COVID-19 pandemic, most notably expenses related to the ERP and uncollectibl</w:t>
      </w:r>
      <w:r>
        <w:rPr>
          <w:rFonts w:eastAsia="Times New Roman"/>
          <w:color w:val="000000"/>
          <w:sz w:val="20"/>
          <w:szCs w:val="20"/>
        </w:rPr>
        <w:t>e accounts expense, through the effective date</w:t>
      </w:r>
      <w:r>
        <w:rPr>
          <w:rFonts w:eastAsia="Times New Roman"/>
          <w:color w:val="000000"/>
          <w:sz w:val="20"/>
          <w:szCs w:val="20"/>
        </w:rPr>
        <w:t xml:space="preserve"> </w:t>
      </w:r>
    </w:p>
    <w:p w:rsidR="00000000" w:rsidRDefault="00A270CC">
      <w:pPr>
        <w:jc w:val="center"/>
        <w:divId w:val="1508403695"/>
        <w:rPr>
          <w:rFonts w:eastAsia="Times New Roman"/>
        </w:rPr>
      </w:pPr>
      <w:r>
        <w:rPr>
          <w:rFonts w:eastAsia="Times New Roman"/>
          <w:color w:val="000000"/>
          <w:sz w:val="20"/>
          <w:szCs w:val="20"/>
        </w:rPr>
        <w:t>5</w:t>
      </w:r>
      <w:r>
        <w:rPr>
          <w:rFonts w:eastAsia="Times New Roman"/>
          <w:color w:val="000000"/>
          <w:sz w:val="20"/>
          <w:szCs w:val="20"/>
        </w:rPr>
        <w:t>9</w:t>
      </w:r>
    </w:p>
    <w:p w:rsidR="00000000" w:rsidRDefault="00A270CC">
      <w:pPr>
        <w:rPr>
          <w:rFonts w:eastAsia="Times New Roman"/>
        </w:rPr>
      </w:pPr>
      <w:r>
        <w:rPr>
          <w:rFonts w:eastAsia="Times New Roman"/>
        </w:rPr>
        <w:pict>
          <v:rect id="_x0000_i1085" style="width:0;height:1.5pt" o:hralign="center" o:hrstd="t" o:hr="t" fillcolor="#a0a0a0" stroked="f"/>
        </w:pict>
      </w:r>
    </w:p>
    <w:p w:rsidR="00000000" w:rsidRDefault="00A270CC">
      <w:pPr>
        <w:divId w:val="69377542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89438729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of rates in the next Gas Utility base rate case, to be reco</w:t>
      </w:r>
      <w:r>
        <w:rPr>
          <w:rFonts w:eastAsia="Times New Roman"/>
          <w:color w:val="000000"/>
          <w:sz w:val="20"/>
          <w:szCs w:val="20"/>
        </w:rPr>
        <w:t>vered and amortized over a 10-year period. The Joint Petition is subject to receipt of a recommended decision by a PAPUC administrative law judge and an order of the PAPUC approving the settlement. The Company cannot predict the timing or the ultimate outc</w:t>
      </w:r>
      <w:r>
        <w:rPr>
          <w:rFonts w:eastAsia="Times New Roman"/>
          <w:color w:val="000000"/>
          <w:sz w:val="20"/>
          <w:szCs w:val="20"/>
        </w:rPr>
        <w:t>ome of the rate case review process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January 28, 2019, Gas Utility filed a rate request with the PAPUC to increase the base operating revenues for residential, commercial, and industrial customers throughout its Pennsylvania service territory by an ag</w:t>
      </w:r>
      <w:r>
        <w:rPr>
          <w:rFonts w:eastAsia="Times New Roman"/>
          <w:color w:val="000000"/>
          <w:sz w:val="20"/>
          <w:szCs w:val="20"/>
        </w:rPr>
        <w:t>gregate $71.1 million. On October 4, 2019, the PAPUC issued a final Order approving a settlement that permitted Gas Utility, effective October 11, 2019, to increase its base distribution revenues by $30.0 million under a single consolidated tariff, approve</w:t>
      </w:r>
      <w:r>
        <w:rPr>
          <w:rFonts w:eastAsia="Times New Roman"/>
          <w:color w:val="000000"/>
          <w:sz w:val="20"/>
          <w:szCs w:val="20"/>
        </w:rPr>
        <w:t>d a plan for uniform class rates, and permitted Gas Utility to extend its Energy Efficiency and Conservation and Growth Extension Tariff programs by an additional term of five years. The PAPUC’s final Order approved a negative surcharge, to return to custo</w:t>
      </w:r>
      <w:r>
        <w:rPr>
          <w:rFonts w:eastAsia="Times New Roman"/>
          <w:color w:val="000000"/>
          <w:sz w:val="20"/>
          <w:szCs w:val="20"/>
        </w:rPr>
        <w:t>mers $24.0 million of tax benefits experienced by Gas Utility over the period January 1, 2018 to June 30, 2018, plus applicable interest, in accordance with the May 17, 2018 PAPUC Order, which became effective for a twelve-month period beginning on October</w:t>
      </w:r>
      <w:r>
        <w:rPr>
          <w:rFonts w:eastAsia="Times New Roman"/>
          <w:color w:val="000000"/>
          <w:sz w:val="20"/>
          <w:szCs w:val="20"/>
        </w:rPr>
        <w:t xml:space="preserve"> 11, 2019, the effective date of Gas Utility’s new base rates.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On October 25, 2018, the PAPUC approved a final order providing for a $3.2 million annual base distribution rate increase for Electric Utility, effective October 27, 2018. As part of the fin</w:t>
      </w:r>
      <w:r>
        <w:rPr>
          <w:rFonts w:eastAsia="Times New Roman"/>
          <w:color w:val="000000"/>
          <w:sz w:val="20"/>
          <w:szCs w:val="20"/>
        </w:rPr>
        <w:t>al PAPUC Order, Electric Utility provided customers with a one-time $0.2 million billing credit associated with 2018 TCJA tax benefits. On November 26, 2018, the Pennsylvania Office of Consumer Advocate filed an appeal to the Pennsylvania Commonwealth Cour</w:t>
      </w:r>
      <w:r>
        <w:rPr>
          <w:rFonts w:eastAsia="Times New Roman"/>
          <w:color w:val="000000"/>
          <w:sz w:val="20"/>
          <w:szCs w:val="20"/>
        </w:rPr>
        <w:t xml:space="preserve">t challenging the PAPUC’s acceptance of UGI Utilities’ use of a fully projected future test year and handling of consolidated federal income tax benefits. On January 15, 2020, the Pennsylvania Commonwealth Court issued a decision affirming the PAPUC Order </w:t>
      </w:r>
      <w:r>
        <w:rPr>
          <w:rFonts w:eastAsia="Times New Roman"/>
          <w:color w:val="000000"/>
          <w:sz w:val="20"/>
          <w:szCs w:val="20"/>
        </w:rPr>
        <w:t>adopting UGI Utilities’ position on both issues. No party exercised their right to seek an appeal of the Commonwealth Court decision</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p>
    <w:p w:rsidR="00000000" w:rsidRDefault="00A270CC">
      <w:pPr>
        <w:jc w:val="both"/>
        <w:rPr>
          <w:rFonts w:eastAsia="Times New Roman"/>
        </w:rPr>
      </w:pPr>
    </w:p>
    <w:p w:rsidR="00000000" w:rsidRDefault="00A270CC">
      <w:pPr>
        <w:jc w:val="both"/>
        <w:rPr>
          <w:rFonts w:eastAsia="Times New Roman"/>
        </w:rPr>
      </w:pPr>
    </w:p>
    <w:p w:rsidR="00000000" w:rsidRDefault="00A270CC">
      <w:pPr>
        <w:jc w:val="center"/>
        <w:divId w:val="199050943"/>
        <w:rPr>
          <w:rFonts w:eastAsia="Times New Roman"/>
        </w:rPr>
      </w:pPr>
      <w:r>
        <w:rPr>
          <w:rFonts w:eastAsia="Times New Roman"/>
          <w:color w:val="000000"/>
          <w:sz w:val="20"/>
          <w:szCs w:val="20"/>
        </w:rPr>
        <w:t>6</w:t>
      </w:r>
      <w:r>
        <w:rPr>
          <w:rFonts w:eastAsia="Times New Roman"/>
          <w:color w:val="000000"/>
          <w:sz w:val="20"/>
          <w:szCs w:val="20"/>
        </w:rPr>
        <w:t>0</w:t>
      </w:r>
    </w:p>
    <w:p w:rsidR="00000000" w:rsidRDefault="00A270CC">
      <w:pPr>
        <w:rPr>
          <w:rFonts w:eastAsia="Times New Roman"/>
        </w:rPr>
      </w:pPr>
      <w:r>
        <w:rPr>
          <w:rFonts w:eastAsia="Times New Roman"/>
        </w:rPr>
        <w:pict>
          <v:rect id="_x0000_i1086" style="width:0;height:1.5pt" o:hralign="center" o:hrstd="t" o:hr="t" fillcolor="#a0a0a0" stroked="f"/>
        </w:pict>
      </w:r>
    </w:p>
    <w:p w:rsidR="00000000" w:rsidRDefault="00A270CC">
      <w:pPr>
        <w:divId w:val="2055108592"/>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402823915"/>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divId w:val="989938292"/>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Our primary market risk exposures are (1) </w:t>
      </w:r>
      <w:r>
        <w:rPr>
          <w:rFonts w:eastAsia="Times New Roman"/>
          <w:color w:val="000000"/>
          <w:sz w:val="20"/>
          <w:szCs w:val="20"/>
        </w:rPr>
        <w:t>commodity price risk; (2) interest rate risk; and (3) foreign currency exchange rate risk. Although we use derivative financial and commodity instruments to reduce market price risk associated with forecasted transactions, we do not use derivative financia</w:t>
      </w:r>
      <w:r>
        <w:rPr>
          <w:rFonts w:eastAsia="Times New Roman"/>
          <w:color w:val="000000"/>
          <w:sz w:val="20"/>
          <w:szCs w:val="20"/>
        </w:rPr>
        <w:t>l and commodity instruments for speculative or trading purposes</w:t>
      </w:r>
      <w:r>
        <w:rPr>
          <w:rFonts w:eastAsia="Times New Roman"/>
          <w:color w:val="000000"/>
          <w:sz w:val="20"/>
          <w:szCs w:val="20"/>
        </w:rPr>
        <w:t>.</w:t>
      </w:r>
    </w:p>
    <w:p w:rsidR="00000000" w:rsidRDefault="00A270CC">
      <w:pPr>
        <w:divId w:val="1778872057"/>
        <w:rPr>
          <w:rFonts w:eastAsia="Times New Roman"/>
        </w:rPr>
      </w:pPr>
    </w:p>
    <w:p w:rsidR="00000000" w:rsidRDefault="00A270CC">
      <w:pPr>
        <w:jc w:val="both"/>
        <w:divId w:val="1616983207"/>
        <w:rPr>
          <w:rFonts w:eastAsia="Times New Roman"/>
        </w:rPr>
      </w:pPr>
      <w:r>
        <w:rPr>
          <w:rFonts w:eastAsia="Times New Roman"/>
          <w:b/>
          <w:bCs/>
          <w:color w:val="000000"/>
          <w:sz w:val="20"/>
          <w:szCs w:val="20"/>
        </w:rPr>
        <w:t>Commodity Price Ris</w:t>
      </w:r>
      <w:r>
        <w:rPr>
          <w:rFonts w:eastAsia="Times New Roman"/>
          <w:b/>
          <w:bCs/>
          <w:color w:val="000000"/>
          <w:sz w:val="20"/>
          <w:szCs w:val="20"/>
        </w:rPr>
        <w:t>k</w:t>
      </w:r>
    </w:p>
    <w:p w:rsidR="00000000" w:rsidRDefault="00A270CC">
      <w:pPr>
        <w:jc w:val="both"/>
        <w:rPr>
          <w:rFonts w:eastAsia="Times New Roman"/>
        </w:rPr>
      </w:pPr>
      <w:r>
        <w:rPr>
          <w:rFonts w:eastAsia="Times New Roman"/>
          <w:color w:val="000000"/>
          <w:sz w:val="20"/>
          <w:szCs w:val="20"/>
        </w:rPr>
        <w:t>The risk associated with fluctuations in the prices the Partnership and our UGI International operations pay for LPG is principally a result of market forces reflecting</w:t>
      </w:r>
      <w:r>
        <w:rPr>
          <w:rFonts w:eastAsia="Times New Roman"/>
          <w:color w:val="000000"/>
          <w:sz w:val="20"/>
          <w:szCs w:val="20"/>
        </w:rPr>
        <w:t xml:space="preserve"> changes in supply and demand for LPG and other energy commodities. Their profitability is sensitive to changes in LPG supply costs. Increases in supply costs are generally passed on to customers. The Partnership and UGI International may not, however, alw</w:t>
      </w:r>
      <w:r>
        <w:rPr>
          <w:rFonts w:eastAsia="Times New Roman"/>
          <w:color w:val="000000"/>
          <w:sz w:val="20"/>
          <w:szCs w:val="20"/>
        </w:rPr>
        <w:t>ays be able to pass through product cost increases fully or on a timely basis, particularly when product costs rise rapidly. In order to reduce the volatility of LPG market price risk, the Partnership uses contracts for the forward purchase or sale of prop</w:t>
      </w:r>
      <w:r>
        <w:rPr>
          <w:rFonts w:eastAsia="Times New Roman"/>
          <w:color w:val="000000"/>
          <w:sz w:val="20"/>
          <w:szCs w:val="20"/>
        </w:rPr>
        <w:t>ane, propane fixed-price supply agreements and over-the-counter derivative commodity instruments including price swap contracts. Our UGI International operations use over-the-counter derivative commodity instruments and may from time to time enter into oth</w:t>
      </w:r>
      <w:r>
        <w:rPr>
          <w:rFonts w:eastAsia="Times New Roman"/>
          <w:color w:val="000000"/>
          <w:sz w:val="20"/>
          <w:szCs w:val="20"/>
        </w:rPr>
        <w:t>er derivative contracts, similar to those used by the Partnership, to reduce market risk associated with a portion of their LPG purchases. Over-the-counter derivative commodity instruments used to economically hedge forecasted purchases of LPG are generall</w:t>
      </w:r>
      <w:r>
        <w:rPr>
          <w:rFonts w:eastAsia="Times New Roman"/>
          <w:color w:val="000000"/>
          <w:sz w:val="20"/>
          <w:szCs w:val="20"/>
        </w:rPr>
        <w:t>y settled at expiration of the contract.</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Gas Utility's tariffs contain clauses that permit recovery of all prudently incurred costs of natural gas it sells to its retail core-market customers, including the cost of financial instruments used to hedge pu</w:t>
      </w:r>
      <w:r>
        <w:rPr>
          <w:rFonts w:eastAsia="Times New Roman"/>
          <w:color w:val="000000"/>
          <w:sz w:val="20"/>
          <w:szCs w:val="20"/>
        </w:rPr>
        <w:t>rchased gas costs. The recovery clauses provide for periodic adjustments for the difference between the total amounts actually collected from customers through PGC rates and the recoverable costs incurred. Because of this ratemaking mechanism, there is lim</w:t>
      </w:r>
      <w:r>
        <w:rPr>
          <w:rFonts w:eastAsia="Times New Roman"/>
          <w:color w:val="000000"/>
          <w:sz w:val="20"/>
          <w:szCs w:val="20"/>
        </w:rPr>
        <w:t>ited commodity price risk associated with our Gas Utility operations. Gas Utility uses derivative financial instruments, including natural gas futures and option contracts traded on the NYMEX, to reduce volatility in the cost of gas it purchases for its re</w:t>
      </w:r>
      <w:r>
        <w:rPr>
          <w:rFonts w:eastAsia="Times New Roman"/>
          <w:color w:val="000000"/>
          <w:sz w:val="20"/>
          <w:szCs w:val="20"/>
        </w:rPr>
        <w:t>tail core-market customers. The cost of these derivative financial instruments, net of any associated gains or losses, is included in Gas Utility's PGC recovery mechanism.</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addition, Gas Utility and Electric Utility from time to time enter into exchan</w:t>
      </w:r>
      <w:r>
        <w:rPr>
          <w:rFonts w:eastAsia="Times New Roman"/>
          <w:color w:val="000000"/>
          <w:sz w:val="20"/>
          <w:szCs w:val="20"/>
        </w:rPr>
        <w:t>ge-traded gasoline futures contracts for a portion of gasoline volumes expected to be used in their operations. These gasoline futures contracts are recorded at fair value with changes in fair value reflected in “Operating and administrative expenses” on t</w:t>
      </w:r>
      <w:r>
        <w:rPr>
          <w:rFonts w:eastAsia="Times New Roman"/>
          <w:color w:val="000000"/>
          <w:sz w:val="20"/>
          <w:szCs w:val="20"/>
        </w:rPr>
        <w:t>he Condensed Consolidated Statements of Income.</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electricity, Midstream &amp; Marketing enters into NYMEX, I</w:t>
      </w:r>
      <w:r>
        <w:rPr>
          <w:rFonts w:eastAsia="Times New Roman"/>
          <w:color w:val="000000"/>
          <w:sz w:val="20"/>
          <w:szCs w:val="20"/>
        </w:rPr>
        <w:t xml:space="preserve">CE and over-the-counter natural gas and electricity futures and option contracts, and natural gas basis swap contracts or enters into fixed-price supply arrangements. Midstream &amp; Marketing also uses NYMEX and over-the-counter electricity futures contracts </w:t>
      </w:r>
      <w:r>
        <w:rPr>
          <w:rFonts w:eastAsia="Times New Roman"/>
          <w:color w:val="000000"/>
          <w:sz w:val="20"/>
          <w:szCs w:val="20"/>
        </w:rPr>
        <w:t>to economically hedge a portion of its anticipated sales of electricity from its electricity generation facilities. Although Midstream &amp; Marketing’s fixed-price supply arrangements mitigate most risks associated with its fixed-price sales contracts, should</w:t>
      </w:r>
      <w:r>
        <w:rPr>
          <w:rFonts w:eastAsia="Times New Roman"/>
          <w:color w:val="000000"/>
          <w:sz w:val="20"/>
          <w:szCs w:val="20"/>
        </w:rPr>
        <w:t xml:space="preserve"> any of the suppliers under these arrangements fail to perform, increases, if any, in the cost of replacement natural gas or electricity would adversely impact Midstream &amp; Marketing’s results. In order to reduce this risk of supplier nonperformance, Midstr</w:t>
      </w:r>
      <w:r>
        <w:rPr>
          <w:rFonts w:eastAsia="Times New Roman"/>
          <w:color w:val="000000"/>
          <w:sz w:val="20"/>
          <w:szCs w:val="20"/>
        </w:rPr>
        <w:t>eam &amp; Marketing has diversified its purchases across a number of suppliers. UGI International’s natural gas and electricity marketing businesses also use natural gas and electricity futures and forward contracts to economically hedge market risk associated</w:t>
      </w:r>
      <w:r>
        <w:rPr>
          <w:rFonts w:eastAsia="Times New Roman"/>
          <w:color w:val="000000"/>
          <w:sz w:val="20"/>
          <w:szCs w:val="20"/>
        </w:rPr>
        <w:t xml:space="preserve"> with fixed-price sales and purchase contracts</w:t>
      </w:r>
      <w:r>
        <w:rPr>
          <w:rFonts w:eastAsia="Times New Roman"/>
          <w:color w:val="000000"/>
          <w:sz w:val="20"/>
          <w:szCs w:val="20"/>
        </w:rPr>
        <w:t>.</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 also uses NYMEX and over-the-counter futures and options contracts to economically hedge price volatility associated with the gross margin derived from the purchase and anticipated lat</w:t>
      </w:r>
      <w:r>
        <w:rPr>
          <w:rFonts w:eastAsia="Times New Roman"/>
          <w:color w:val="000000"/>
          <w:sz w:val="20"/>
          <w:szCs w:val="20"/>
        </w:rPr>
        <w:t>er near-term sale of natural gas storage inventories.</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Midstream &amp; Marketing has entered into fixed-price sales agreements for a portion of the electricity expected to be generated by its electric generation assets. In the event that these generation ass</w:t>
      </w:r>
      <w:r>
        <w:rPr>
          <w:rFonts w:eastAsia="Times New Roman"/>
          <w:color w:val="000000"/>
          <w:sz w:val="20"/>
          <w:szCs w:val="20"/>
        </w:rPr>
        <w:t>ets would not be able to produce all of the electricity needed to supply electricity under these agreements, Midstream &amp; Marketing would be required to purchase electricity on the spot market or under contract with other electricity suppliers. Accordingly,</w:t>
      </w:r>
      <w:r>
        <w:rPr>
          <w:rFonts w:eastAsia="Times New Roman"/>
          <w:color w:val="000000"/>
          <w:sz w:val="20"/>
          <w:szCs w:val="20"/>
        </w:rPr>
        <w:t xml:space="preserve"> increases in the cost of replacement power could negatively impact Midstream &amp; Marketing’s results</w:t>
      </w:r>
      <w:r>
        <w:rPr>
          <w:rFonts w:eastAsia="Times New Roman"/>
          <w:color w:val="000000"/>
          <w:sz w:val="20"/>
          <w:szCs w:val="20"/>
        </w:rPr>
        <w:t>.</w:t>
      </w:r>
    </w:p>
    <w:p w:rsidR="00000000" w:rsidRDefault="00A270CC">
      <w:pPr>
        <w:jc w:val="both"/>
        <w:rPr>
          <w:rFonts w:eastAsia="Times New Roman"/>
        </w:rPr>
      </w:pPr>
    </w:p>
    <w:p w:rsidR="00000000" w:rsidRDefault="00A270CC">
      <w:pPr>
        <w:jc w:val="both"/>
        <w:divId w:val="15623025"/>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A270CC">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w:t>
      </w:r>
      <w:r>
        <w:rPr>
          <w:rFonts w:eastAsia="Times New Roman"/>
          <w:color w:val="000000"/>
          <w:sz w:val="20"/>
          <w:szCs w:val="20"/>
        </w:rPr>
        <w:t xml:space="preserve"> not impact their fair value. Conversely, changes in interest rates impact the fair value of fixed-rate debt but do not impact their cash flows</w:t>
      </w:r>
      <w:r>
        <w:rPr>
          <w:rFonts w:eastAsia="Times New Roman"/>
          <w:color w:val="000000"/>
          <w:sz w:val="20"/>
          <w:szCs w:val="20"/>
        </w:rPr>
        <w:t>.</w:t>
      </w:r>
    </w:p>
    <w:p w:rsidR="00000000" w:rsidRDefault="00A270CC">
      <w:pPr>
        <w:jc w:val="center"/>
        <w:divId w:val="315496114"/>
        <w:rPr>
          <w:rFonts w:eastAsia="Times New Roman"/>
        </w:rPr>
      </w:pPr>
      <w:r>
        <w:rPr>
          <w:rFonts w:eastAsia="Times New Roman"/>
          <w:color w:val="000000"/>
          <w:sz w:val="20"/>
          <w:szCs w:val="20"/>
        </w:rPr>
        <w:t>6</w:t>
      </w:r>
      <w:r>
        <w:rPr>
          <w:rFonts w:eastAsia="Times New Roman"/>
          <w:color w:val="000000"/>
          <w:sz w:val="20"/>
          <w:szCs w:val="20"/>
        </w:rPr>
        <w:t>1</w:t>
      </w:r>
    </w:p>
    <w:p w:rsidR="00000000" w:rsidRDefault="00A270CC">
      <w:pPr>
        <w:rPr>
          <w:rFonts w:eastAsia="Times New Roman"/>
        </w:rPr>
      </w:pPr>
      <w:r>
        <w:rPr>
          <w:rFonts w:eastAsia="Times New Roman"/>
        </w:rPr>
        <w:pict>
          <v:rect id="_x0000_i1087" style="width:0;height:1.5pt" o:hralign="center" o:hrstd="t" o:hr="t" fillcolor="#a0a0a0" stroked="f"/>
        </w:pict>
      </w:r>
    </w:p>
    <w:p w:rsidR="00000000" w:rsidRDefault="00A270CC">
      <w:pPr>
        <w:divId w:val="153645649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143085466"/>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Our variable-rate debt at June 30, 2020, includes revolving credit facility borrowings and variable-rate term loans at UGI International, LLC, UGI Utilities, Energy Services and UGI Corporation. These de</w:t>
      </w:r>
      <w:r>
        <w:rPr>
          <w:rFonts w:eastAsia="Times New Roman"/>
          <w:color w:val="000000"/>
          <w:sz w:val="20"/>
          <w:szCs w:val="20"/>
        </w:rPr>
        <w:t>bt agreements have interest rates that are generally indexed to short-term market interest rates. We have entered into pay-fixed, receive-variable interest rate swap agreements on all or a significant portion of the term loans’ principal balances and all o</w:t>
      </w:r>
      <w:r>
        <w:rPr>
          <w:rFonts w:eastAsia="Times New Roman"/>
          <w:color w:val="000000"/>
          <w:sz w:val="20"/>
          <w:szCs w:val="20"/>
        </w:rPr>
        <w:t>r a significant portion of the term loans’ tenor. We have designated these interest rate swaps as cash flow hedges. At June 30, 2020, combined borrowings outstanding under variable-rate debt agreements, excluding the previously mentioned effectively fixed-</w:t>
      </w:r>
      <w:r>
        <w:rPr>
          <w:rFonts w:eastAsia="Times New Roman"/>
          <w:color w:val="000000"/>
          <w:sz w:val="20"/>
          <w:szCs w:val="20"/>
        </w:rPr>
        <w:t>rate debt, totaled $653.1 million.</w:t>
      </w:r>
      <w:r>
        <w:rPr>
          <w:rFonts w:eastAsia="Times New Roman"/>
          <w:color w:val="000000"/>
          <w:sz w:val="20"/>
          <w:szCs w:val="20"/>
        </w:rPr>
        <w:t xml:space="preserve"> </w:t>
      </w:r>
    </w:p>
    <w:p w:rsidR="00000000" w:rsidRDefault="00A270CC">
      <w:pPr>
        <w:jc w:val="both"/>
        <w:rPr>
          <w:rFonts w:eastAsia="Times New Roman"/>
        </w:rPr>
      </w:pPr>
    </w:p>
    <w:p w:rsidR="00000000" w:rsidRDefault="00A270CC">
      <w:pPr>
        <w:jc w:val="both"/>
        <w:rPr>
          <w:rFonts w:eastAsia="Times New Roman"/>
        </w:rPr>
      </w:pPr>
      <w:r>
        <w:rPr>
          <w:rFonts w:eastAsia="Times New Roman"/>
          <w:color w:val="000000"/>
          <w:sz w:val="20"/>
          <w:szCs w:val="20"/>
        </w:rPr>
        <w:t>Long-term debt associated with our domestic businesses is typically issued at fixed rates of interest based upon market rates for debt with similar terms and credit ratings. As these long-term debt issues mature, we may refinance such debt with new debt ha</w:t>
      </w:r>
      <w:r>
        <w:rPr>
          <w:rFonts w:eastAsia="Times New Roman"/>
          <w:color w:val="000000"/>
          <w:sz w:val="20"/>
          <w:szCs w:val="20"/>
        </w:rPr>
        <w:t>ving interest rates reflecting then-current market conditions. In order to reduce interest rate risk associated with near- to medium-term forecasted issuances of fixed rate debt, from time to time we enter into IRPAs</w:t>
      </w:r>
      <w:r>
        <w:rPr>
          <w:rFonts w:eastAsia="Times New Roman"/>
          <w:color w:val="000000"/>
          <w:sz w:val="20"/>
          <w:szCs w:val="20"/>
        </w:rPr>
        <w:t>.</w:t>
      </w:r>
    </w:p>
    <w:p w:rsidR="00000000" w:rsidRDefault="00A270CC">
      <w:pPr>
        <w:jc w:val="both"/>
        <w:divId w:val="887491276"/>
        <w:rPr>
          <w:rFonts w:eastAsia="Times New Roman"/>
        </w:rPr>
      </w:pPr>
      <w:r>
        <w:rPr>
          <w:rFonts w:eastAsia="Times New Roman"/>
          <w:b/>
          <w:bCs/>
          <w:color w:val="000000"/>
          <w:sz w:val="20"/>
          <w:szCs w:val="20"/>
        </w:rPr>
        <w:t>Foreign Currency Exchange Rate Ris</w:t>
      </w:r>
      <w:r>
        <w:rPr>
          <w:rFonts w:eastAsia="Times New Roman"/>
          <w:b/>
          <w:bCs/>
          <w:color w:val="000000"/>
          <w:sz w:val="20"/>
          <w:szCs w:val="20"/>
        </w:rPr>
        <w:t>k</w:t>
      </w:r>
    </w:p>
    <w:p w:rsidR="00000000" w:rsidRDefault="00A270CC">
      <w:pPr>
        <w:jc w:val="both"/>
        <w:divId w:val="878471923"/>
        <w:rPr>
          <w:rFonts w:eastAsia="Times New Roman"/>
        </w:rPr>
      </w:pPr>
      <w:r>
        <w:rPr>
          <w:rFonts w:eastAsia="Times New Roman"/>
          <w:color w:val="000000"/>
          <w:sz w:val="20"/>
          <w:szCs w:val="20"/>
        </w:rPr>
        <w:t>Ou</w:t>
      </w:r>
      <w:r>
        <w:rPr>
          <w:rFonts w:eastAsia="Times New Roman"/>
          <w:color w:val="000000"/>
          <w:sz w:val="20"/>
          <w:szCs w:val="20"/>
        </w:rPr>
        <w:t>r primary currency exchange rate risk is associated with the U.S. dollar versus the euro and, to a lesser extent, the U.S. dollar versus the British pound sterling. The U.S. dollar value of our foreign currency denominated assets and liabilities will fluct</w:t>
      </w:r>
      <w:r>
        <w:rPr>
          <w:rFonts w:eastAsia="Times New Roman"/>
          <w:color w:val="000000"/>
          <w:sz w:val="20"/>
          <w:szCs w:val="20"/>
        </w:rPr>
        <w:t>uate with changes in the associated foreign currency exchange rates. From time to time, we use derivative instruments to hedge portions of our net investments in foreign subsidiaries. Gains or losses on these net investment hedges remain in AOCI until such</w:t>
      </w:r>
      <w:r>
        <w:rPr>
          <w:rFonts w:eastAsia="Times New Roman"/>
          <w:color w:val="000000"/>
          <w:sz w:val="20"/>
          <w:szCs w:val="20"/>
        </w:rPr>
        <w:t xml:space="preserve"> foreign operations are sold or liquidated. With respect to our net investments in our UGI International operations, a 10% decline in the value of the associated foreign currencies versus the U.S. dollar would reduce their aggregate net book value at June </w:t>
      </w:r>
      <w:r>
        <w:rPr>
          <w:rFonts w:eastAsia="Times New Roman"/>
          <w:color w:val="000000"/>
          <w:sz w:val="20"/>
          <w:szCs w:val="20"/>
        </w:rPr>
        <w:t>30, 2020, by approximately $110 million, which amount would be reflected in other comprehensive income. We have designated euro-denominated borrowings under the 2018 UGI International Credit Facilities Agreement and the UGI International 3.25% Senior Notes</w:t>
      </w:r>
      <w:r>
        <w:rPr>
          <w:rFonts w:eastAsia="Times New Roman"/>
          <w:color w:val="000000"/>
          <w:sz w:val="20"/>
          <w:szCs w:val="20"/>
        </w:rPr>
        <w:t xml:space="preserve"> as net investment hedges.</w:t>
      </w:r>
      <w:r>
        <w:rPr>
          <w:rFonts w:eastAsia="Times New Roman"/>
          <w:color w:val="000000"/>
          <w:sz w:val="20"/>
          <w:szCs w:val="20"/>
        </w:rPr>
        <w:t xml:space="preserve"> </w:t>
      </w:r>
    </w:p>
    <w:p w:rsidR="00000000" w:rsidRDefault="00A270CC">
      <w:pPr>
        <w:jc w:val="both"/>
        <w:divId w:val="438644921"/>
        <w:rPr>
          <w:rFonts w:eastAsia="Times New Roman"/>
        </w:rPr>
      </w:pPr>
      <w:r>
        <w:rPr>
          <w:rFonts w:eastAsia="Times New Roman"/>
          <w:color w:val="000000"/>
          <w:sz w:val="20"/>
          <w:szCs w:val="20"/>
        </w:rPr>
        <w:t>In order to reduce the volatility in net income associated with our foreign operations, principally as a result of changes in the U.S. dollar exchange rate between the euro and British pound sterling, we enter into forward forei</w:t>
      </w:r>
      <w:r>
        <w:rPr>
          <w:rFonts w:eastAsia="Times New Roman"/>
          <w:color w:val="000000"/>
          <w:sz w:val="20"/>
          <w:szCs w:val="20"/>
        </w:rPr>
        <w:t>gn currency exchange contracts. We layer in these foreign currency exchange contracts over a multi-year period to eventually equal approximately 90% of anticipated UGI International local currency earnings before income taxes</w:t>
      </w:r>
      <w:r>
        <w:rPr>
          <w:rFonts w:eastAsia="Times New Roman"/>
          <w:color w:val="000000"/>
          <w:sz w:val="20"/>
          <w:szCs w:val="20"/>
        </w:rPr>
        <w:t>.</w:t>
      </w:r>
    </w:p>
    <w:p w:rsidR="00000000" w:rsidRDefault="00A270CC">
      <w:pPr>
        <w:jc w:val="both"/>
        <w:divId w:val="841972080"/>
        <w:rPr>
          <w:rFonts w:eastAsia="Times New Roman"/>
        </w:rPr>
      </w:pPr>
      <w:r>
        <w:rPr>
          <w:rFonts w:eastAsia="Times New Roman"/>
          <w:b/>
          <w:bCs/>
          <w:color w:val="000000"/>
          <w:sz w:val="20"/>
          <w:szCs w:val="20"/>
        </w:rPr>
        <w:t xml:space="preserve">Derivative Instrument Credit </w:t>
      </w:r>
      <w:r>
        <w:rPr>
          <w:rFonts w:eastAsia="Times New Roman"/>
          <w:b/>
          <w:bCs/>
          <w:color w:val="000000"/>
          <w:sz w:val="20"/>
          <w:szCs w:val="20"/>
        </w:rPr>
        <w:t>Ris</w:t>
      </w:r>
      <w:r>
        <w:rPr>
          <w:rFonts w:eastAsia="Times New Roman"/>
          <w:b/>
          <w:bCs/>
          <w:color w:val="000000"/>
          <w:sz w:val="20"/>
          <w:szCs w:val="20"/>
        </w:rPr>
        <w:t>k</w:t>
      </w:r>
    </w:p>
    <w:p w:rsidR="00000000" w:rsidRDefault="00A270CC">
      <w:pPr>
        <w:jc w:val="both"/>
        <w:divId w:val="1848786936"/>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w:t>
      </w:r>
      <w:r>
        <w:rPr>
          <w:rFonts w:eastAsia="Times New Roman"/>
          <w:color w:val="000000"/>
          <w:sz w:val="20"/>
          <w:szCs w:val="20"/>
        </w:rPr>
        <w:t xml:space="preserve"> maintain credit policies with regard to our counterparties that we believe reduce overall credit risk. These policies include evaluating and monitoring our counterparties’ financial condition, including their credit ratings, and entering into agreements w</w:t>
      </w:r>
      <w:r>
        <w:rPr>
          <w:rFonts w:eastAsia="Times New Roman"/>
          <w:color w:val="000000"/>
          <w:sz w:val="20"/>
          <w:szCs w:val="20"/>
        </w:rPr>
        <w:t>ith counterparties that govern credit limits or entering into netting agreements that allow for offsetting counterparty receivable and payable balances for certain financial transactions, as deemed appropriate.</w:t>
      </w:r>
      <w:r>
        <w:rPr>
          <w:rFonts w:eastAsia="Times New Roman"/>
          <w:color w:val="000000"/>
          <w:sz w:val="20"/>
          <w:szCs w:val="20"/>
        </w:rPr>
        <w:t xml:space="preserve"> </w:t>
      </w:r>
    </w:p>
    <w:p w:rsidR="00000000" w:rsidRDefault="00A270CC">
      <w:pPr>
        <w:jc w:val="both"/>
        <w:divId w:val="610480266"/>
        <w:rPr>
          <w:rFonts w:eastAsia="Times New Roman"/>
        </w:rPr>
      </w:pPr>
      <w:r>
        <w:rPr>
          <w:rFonts w:eastAsia="Times New Roman"/>
          <w:color w:val="000000"/>
          <w:sz w:val="20"/>
          <w:szCs w:val="20"/>
        </w:rPr>
        <w:t>Certain of these derivative instrument agree</w:t>
      </w:r>
      <w:r>
        <w:rPr>
          <w:rFonts w:eastAsia="Times New Roman"/>
          <w:color w:val="000000"/>
          <w:sz w:val="20"/>
          <w:szCs w:val="20"/>
        </w:rPr>
        <w:t>ments call for the posting of collateral by the counterparty or by the Company in the forms of letters of credit, parental guarantees or cash. At June 30, 2020, we had pledged net cash collateral with derivative instrument counterparties totaling $20.7 mil</w:t>
      </w:r>
      <w:r>
        <w:rPr>
          <w:rFonts w:eastAsia="Times New Roman"/>
          <w:color w:val="000000"/>
          <w:sz w:val="20"/>
          <w:szCs w:val="20"/>
        </w:rPr>
        <w:t>lion. Additionally, our commodity exchange-traded futures contracts generally require cash deposits in margin accounts. At June 30, 2020, restricted cash in brokerage accounts totaled $44.5 million. Although we have concentrations of credit risk associated</w:t>
      </w:r>
      <w:r>
        <w:rPr>
          <w:rFonts w:eastAsia="Times New Roman"/>
          <w:color w:val="000000"/>
          <w:sz w:val="20"/>
          <w:szCs w:val="20"/>
        </w:rPr>
        <w:t xml:space="preserve"> with derivative instruments, the maximum amount of loss, based upon the gross fair values of the derivative instruments, we would incur if these counterparties failed to perform according to the terms of their contracts was not material at June 30, 2020. </w:t>
      </w:r>
      <w:r>
        <w:rPr>
          <w:rFonts w:eastAsia="Times New Roman"/>
          <w:color w:val="000000"/>
          <w:sz w:val="20"/>
          <w:szCs w:val="20"/>
        </w:rPr>
        <w:t xml:space="preserve">Certain of the Partnership’s derivative contracts have credit-risk-related contingent features that may require the posting of additional collateral in the event of a downgrade of the Partnership’s debt rating. At June 30, 2020, if the credit-risk-related </w:t>
      </w:r>
      <w:r>
        <w:rPr>
          <w:rFonts w:eastAsia="Times New Roman"/>
          <w:color w:val="000000"/>
          <w:sz w:val="20"/>
          <w:szCs w:val="20"/>
        </w:rPr>
        <w:t>contingent features were triggered, the amount of collateral required to be posted would not be material</w:t>
      </w:r>
      <w:r>
        <w:rPr>
          <w:rFonts w:eastAsia="Times New Roman"/>
          <w:color w:val="000000"/>
          <w:sz w:val="20"/>
          <w:szCs w:val="20"/>
        </w:rPr>
        <w:t>.</w:t>
      </w:r>
    </w:p>
    <w:p w:rsidR="00000000" w:rsidRDefault="00A270CC">
      <w:pPr>
        <w:jc w:val="center"/>
        <w:divId w:val="999386769"/>
        <w:rPr>
          <w:rFonts w:eastAsia="Times New Roman"/>
        </w:rPr>
      </w:pPr>
      <w:r>
        <w:rPr>
          <w:rFonts w:eastAsia="Times New Roman"/>
          <w:color w:val="000000"/>
          <w:sz w:val="20"/>
          <w:szCs w:val="20"/>
        </w:rPr>
        <w:t>6</w:t>
      </w:r>
      <w:r>
        <w:rPr>
          <w:rFonts w:eastAsia="Times New Roman"/>
          <w:color w:val="000000"/>
          <w:sz w:val="20"/>
          <w:szCs w:val="20"/>
        </w:rPr>
        <w:t>2</w:t>
      </w:r>
    </w:p>
    <w:p w:rsidR="00000000" w:rsidRDefault="00A270CC">
      <w:pPr>
        <w:rPr>
          <w:rFonts w:eastAsia="Times New Roman"/>
        </w:rPr>
      </w:pPr>
      <w:r>
        <w:rPr>
          <w:rFonts w:eastAsia="Times New Roman"/>
        </w:rPr>
        <w:pict>
          <v:rect id="_x0000_i1088" style="width:0;height:1.5pt" o:hralign="center" o:hrstd="t" o:hr="t" fillcolor="#a0a0a0" stroked="f"/>
        </w:pict>
      </w:r>
    </w:p>
    <w:p w:rsidR="00000000" w:rsidRDefault="00A270CC">
      <w:pPr>
        <w:divId w:val="128812669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1088229118"/>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both"/>
        <w:divId w:val="869950049"/>
        <w:rPr>
          <w:rFonts w:eastAsia="Times New Roman"/>
        </w:rPr>
      </w:pPr>
      <w:r>
        <w:rPr>
          <w:rFonts w:eastAsia="Times New Roman"/>
          <w:color w:val="000000"/>
          <w:sz w:val="20"/>
          <w:szCs w:val="20"/>
        </w:rPr>
        <w:t>T</w:t>
      </w:r>
      <w:r>
        <w:rPr>
          <w:rFonts w:eastAsia="Times New Roman"/>
          <w:color w:val="000000"/>
          <w:sz w:val="20"/>
          <w:szCs w:val="20"/>
        </w:rPr>
        <w:t xml:space="preserve">he following table summarizes the fair values of unsettled market risk sensitive derivative instrument assets (liabilities) held at June 30, 2020. The table also includes the changes in fair values of derivative instruments that would result if there were </w:t>
      </w:r>
      <w:r>
        <w:rPr>
          <w:rFonts w:eastAsia="Times New Roman"/>
          <w:color w:val="000000"/>
          <w:sz w:val="20"/>
          <w:szCs w:val="20"/>
        </w:rPr>
        <w:t xml:space="preserve">(1) a 10% adverse change in the market prices of LPG, gasoline, natural gas, electricity and electricity transmission congestion charges; (2) a 50 basis point adverse change in prevailing market interest rates; and (3) a 10% adverse change in the value of </w:t>
      </w:r>
      <w:r>
        <w:rPr>
          <w:rFonts w:eastAsia="Times New Roman"/>
          <w:color w:val="000000"/>
          <w:sz w:val="20"/>
          <w:szCs w:val="20"/>
        </w:rPr>
        <w:t>the euro and the British pound sterling versus the U.S. dollar. Gas Utility’s and Electric Utility’s commodity derivative instruments other than gasoline futures contracts are excluded from the table below because any associated net gains or losses are ref</w:t>
      </w:r>
      <w:r>
        <w:rPr>
          <w:rFonts w:eastAsia="Times New Roman"/>
          <w:color w:val="000000"/>
          <w:sz w:val="20"/>
          <w:szCs w:val="20"/>
        </w:rPr>
        <w:t>undable to or recoverable from customers in accordance with Gas Utility and Electric Utility ratemaking</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8"/>
        <w:gridCol w:w="5863"/>
        <w:gridCol w:w="48"/>
        <w:gridCol w:w="36"/>
        <w:gridCol w:w="36"/>
        <w:gridCol w:w="36"/>
        <w:gridCol w:w="135"/>
        <w:gridCol w:w="724"/>
        <w:gridCol w:w="85"/>
        <w:gridCol w:w="36"/>
        <w:gridCol w:w="36"/>
        <w:gridCol w:w="36"/>
        <w:gridCol w:w="135"/>
        <w:gridCol w:w="726"/>
        <w:gridCol w:w="85"/>
        <w:gridCol w:w="36"/>
        <w:gridCol w:w="36"/>
        <w:gridCol w:w="36"/>
        <w:gridCol w:w="36"/>
        <w:gridCol w:w="36"/>
        <w:gridCol w:w="36"/>
      </w:tblGrid>
      <w:tr w:rsidR="00000000">
        <w:trPr>
          <w:gridAfter w:val="6"/>
          <w:divId w:val="615872405"/>
        </w:trPr>
        <w:tc>
          <w:tcPr>
            <w:tcW w:w="50" w:type="pct"/>
            <w:vAlign w:val="center"/>
            <w:hideMark/>
          </w:tcPr>
          <w:p w:rsidR="00000000" w:rsidRDefault="00A270CC">
            <w:pPr>
              <w:jc w:val="both"/>
              <w:rPr>
                <w:rFonts w:eastAsia="Times New Roman"/>
              </w:rPr>
            </w:pPr>
          </w:p>
        </w:tc>
        <w:tc>
          <w:tcPr>
            <w:tcW w:w="365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8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615872405"/>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Asset (Liability</w:t>
            </w:r>
            <w:r>
              <w:rPr>
                <w:rFonts w:eastAsia="Times New Roman"/>
                <w:color w:val="000000"/>
                <w:sz w:val="20"/>
                <w:szCs w:val="20"/>
              </w:rPr>
              <w:t>)</w:t>
            </w:r>
          </w:p>
        </w:tc>
        <w:tc>
          <w:tcPr>
            <w:tcW w:w="0" w:type="auto"/>
            <w:gridSpan w:val="3"/>
            <w:vAlign w:val="center"/>
            <w:hideMark/>
          </w:tcPr>
          <w:p w:rsidR="00000000" w:rsidRDefault="00A270CC">
            <w:pPr>
              <w:jc w:val="center"/>
              <w:rPr>
                <w:rFonts w:eastAsia="Times New Roman"/>
              </w:rPr>
            </w:pPr>
          </w:p>
        </w:tc>
        <w:tc>
          <w:tcPr>
            <w:tcW w:w="0" w:type="auto"/>
            <w:gridSpan w:val="3"/>
            <w:vAlign w:val="center"/>
            <w:hideMark/>
          </w:tcPr>
          <w:p w:rsidR="00000000" w:rsidRDefault="00A270CC">
            <w:pPr>
              <w:rPr>
                <w:rFonts w:eastAsia="Times New Roman"/>
                <w:sz w:val="20"/>
                <w:szCs w:val="20"/>
              </w:rPr>
            </w:pPr>
          </w:p>
        </w:tc>
      </w:tr>
      <w:tr w:rsidR="00000000">
        <w:trPr>
          <w:divId w:val="615872405"/>
        </w:trPr>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(Millions of dollars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Fair Valu</w:t>
            </w:r>
            <w:r>
              <w:rPr>
                <w:rFonts w:eastAsia="Times New Roman"/>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color w:val="000000"/>
                <w:sz w:val="20"/>
                <w:szCs w:val="20"/>
              </w:rPr>
              <w:t>Change in</w:t>
            </w:r>
            <w:r>
              <w:rPr>
                <w:rFonts w:eastAsia="Times New Roman"/>
                <w:color w:val="000000"/>
                <w:sz w:val="20"/>
                <w:szCs w:val="20"/>
              </w:rPr>
              <w:br/>
              <w:t>Fair Valu</w:t>
            </w:r>
            <w:r>
              <w:rPr>
                <w:rFonts w:eastAsia="Times New Roman"/>
                <w:color w:val="000000"/>
                <w:sz w:val="20"/>
                <w:szCs w:val="20"/>
              </w:rPr>
              <w:t>e</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158724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b/>
                <w:bCs/>
                <w:color w:val="000000"/>
                <w:sz w:val="20"/>
                <w:szCs w:val="20"/>
              </w:rPr>
              <w:t>June 30, 202</w:t>
            </w:r>
            <w:r>
              <w:rPr>
                <w:rFonts w:eastAsia="Times New Roman"/>
                <w:b/>
                <w:bCs/>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15872405"/>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Commodity price ris</w:t>
            </w:r>
            <w:r>
              <w:rPr>
                <w:rFonts w:eastAsia="Times New Roman"/>
                <w:color w:val="000000"/>
                <w:sz w:val="20"/>
                <w:szCs w:val="20"/>
              </w:rPr>
              <w:t>k</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(105.3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(113.6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15872405"/>
        </w:trPr>
        <w:tc>
          <w:tcPr>
            <w:tcW w:w="0" w:type="auto"/>
            <w:gridSpan w:val="3"/>
            <w:shd w:val="clear" w:color="auto" w:fill="CCEE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Interest rate ris</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(59.0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(9.5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615872405"/>
        </w:trPr>
        <w:tc>
          <w:tcPr>
            <w:tcW w:w="0" w:type="auto"/>
            <w:gridSpan w:val="3"/>
            <w:shd w:val="clear" w:color="auto" w:fill="FFFFFF"/>
            <w:tcMar>
              <w:top w:w="30" w:type="dxa"/>
              <w:left w:w="135" w:type="dxa"/>
              <w:bottom w:w="30" w:type="dxa"/>
              <w:right w:w="20" w:type="dxa"/>
            </w:tcMar>
            <w:vAlign w:val="bottom"/>
            <w:hideMark/>
          </w:tcPr>
          <w:p w:rsidR="00000000" w:rsidRDefault="00A270CC">
            <w:pPr>
              <w:rPr>
                <w:rFonts w:eastAsia="Times New Roman"/>
              </w:rPr>
            </w:pPr>
            <w:r>
              <w:rPr>
                <w:rFonts w:eastAsia="Times New Roman"/>
                <w:color w:val="000000"/>
                <w:sz w:val="20"/>
                <w:szCs w:val="20"/>
              </w:rPr>
              <w:t>Foreign currency exchange rate ris</w:t>
            </w:r>
            <w:r>
              <w:rPr>
                <w:rFonts w:eastAsia="Times New Roman"/>
                <w:color w:val="000000"/>
                <w:sz w:val="20"/>
                <w:szCs w:val="20"/>
              </w:rPr>
              <w:t>k</w:t>
            </w:r>
          </w:p>
        </w:tc>
        <w:tc>
          <w:tcPr>
            <w:tcW w:w="0" w:type="auto"/>
            <w:gridSpan w:val="3"/>
            <w:shd w:val="clear" w:color="auto" w:fill="FFFFFF"/>
            <w:tcMar>
              <w:top w:w="15" w:type="dxa"/>
              <w:left w:w="20" w:type="dxa"/>
              <w:bottom w:w="15" w:type="dxa"/>
              <w:right w:w="20" w:type="dxa"/>
            </w:tcMar>
            <w:vAlign w:val="bottom"/>
            <w:hideMark/>
          </w:tcPr>
          <w:p w:rsidR="00000000" w:rsidRDefault="00A270CC">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A270CC">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A270C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A270CC">
            <w:pPr>
              <w:jc w:val="right"/>
              <w:rPr>
                <w:rFonts w:eastAsia="Times New Roman"/>
              </w:rPr>
            </w:pPr>
            <w:r>
              <w:rPr>
                <w:rFonts w:eastAsia="Times New Roman"/>
                <w:color w:val="000000"/>
                <w:sz w:val="20"/>
                <w:szCs w:val="20"/>
              </w:rPr>
              <w:t>(42.2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A270CC">
            <w:pPr>
              <w:jc w:val="right"/>
              <w:rPr>
                <w:rFonts w:eastAsia="Times New Roman"/>
              </w:rPr>
            </w:pPr>
            <w:r>
              <w:rPr>
                <w:rFonts w:eastAsia="Times New Roman"/>
                <w:color w:val="000000"/>
                <w:sz w:val="20"/>
                <w:szCs w:val="20"/>
              </w:rPr>
              <w:t> </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000000" w:rsidRDefault="00A270CC">
      <w:pPr>
        <w:jc w:val="both"/>
        <w:rPr>
          <w:rFonts w:eastAsia="Times New Roman"/>
        </w:rPr>
      </w:pPr>
    </w:p>
    <w:p w:rsidR="00000000" w:rsidRDefault="00A270CC">
      <w:pPr>
        <w:jc w:val="both"/>
        <w:rPr>
          <w:rFonts w:eastAsia="Times New Roman"/>
        </w:rPr>
      </w:pPr>
    </w:p>
    <w:p w:rsidR="00000000" w:rsidRDefault="00A270CC">
      <w:pPr>
        <w:divId w:val="900796316"/>
        <w:rPr>
          <w:rFonts w:eastAsia="Times New Roman"/>
        </w:rPr>
      </w:pPr>
      <w:r>
        <w:rPr>
          <w:rFonts w:eastAsia="Times New Roman"/>
          <w:b/>
          <w:bCs/>
          <w:color w:val="000000"/>
          <w:sz w:val="20"/>
          <w:szCs w:val="20"/>
        </w:rPr>
        <w:t>ITEM </w:t>
      </w:r>
      <w:r>
        <w:rPr>
          <w:rFonts w:eastAsia="Times New Roman"/>
          <w:b/>
          <w:bCs/>
          <w:color w:val="000000"/>
          <w:sz w:val="20"/>
          <w:szCs w:val="20"/>
        </w:rPr>
        <w:t>4. CONTROLS AND PROCEDURE</w:t>
      </w:r>
      <w:r>
        <w:rPr>
          <w:rFonts w:eastAsia="Times New Roman"/>
          <w:b/>
          <w:bCs/>
          <w:color w:val="000000"/>
          <w:sz w:val="20"/>
          <w:szCs w:val="20"/>
        </w:rPr>
        <w:t>S</w:t>
      </w:r>
    </w:p>
    <w:p w:rsidR="00000000" w:rsidRDefault="00A270CC">
      <w:pPr>
        <w:divId w:val="1499426164"/>
        <w:rPr>
          <w:rFonts w:eastAsia="Times New Roman"/>
        </w:rPr>
      </w:pPr>
    </w:p>
    <w:p w:rsidR="00000000" w:rsidRDefault="00A270CC">
      <w:pPr>
        <w:ind w:hanging="540"/>
        <w:divId w:val="442305985"/>
        <w:rPr>
          <w:rFonts w:eastAsia="Times New Roman"/>
        </w:rPr>
      </w:pPr>
      <w:r>
        <w:rPr>
          <w:rFonts w:eastAsia="Times New Roman"/>
          <w:color w:val="000000"/>
          <w:sz w:val="20"/>
          <w:szCs w:val="20"/>
        </w:rPr>
        <w:t>(a</w:t>
      </w:r>
      <w:r>
        <w:rPr>
          <w:rFonts w:eastAsia="Times New Roman"/>
          <w:color w:val="000000"/>
          <w:sz w:val="20"/>
          <w:szCs w:val="20"/>
        </w:rPr>
        <w:t>)</w:t>
      </w:r>
      <w:r>
        <w:rPr>
          <w:rFonts w:eastAsia="Times New Roman"/>
          <w:color w:val="000000"/>
          <w:sz w:val="20"/>
          <w:szCs w:val="20"/>
        </w:rPr>
        <w:t>Evaluation of Disclosure Controls and Procedure</w:t>
      </w:r>
      <w:r>
        <w:rPr>
          <w:rFonts w:eastAsia="Times New Roman"/>
          <w:color w:val="000000"/>
          <w:sz w:val="20"/>
          <w:szCs w:val="20"/>
        </w:rPr>
        <w:t>s</w:t>
      </w:r>
    </w:p>
    <w:p w:rsidR="00000000" w:rsidRDefault="00A270CC">
      <w:pPr>
        <w:jc w:val="both"/>
        <w:divId w:val="667052246"/>
        <w:rPr>
          <w:rFonts w:eastAsia="Times New Roman"/>
        </w:rPr>
      </w:pPr>
      <w:r>
        <w:rPr>
          <w:rFonts w:eastAsia="Times New Roman"/>
          <w:color w:val="000000"/>
          <w:sz w:val="20"/>
          <w:szCs w:val="20"/>
        </w:rPr>
        <w:t xml:space="preserve">The Company's disclosure controls and procedures are designed to provide reasonable assurance that the information required to be disclosed by the Company in reports filed or </w:t>
      </w:r>
      <w:r>
        <w:rPr>
          <w:rFonts w:eastAsia="Times New Roman"/>
          <w:color w:val="000000"/>
          <w:sz w:val="20"/>
          <w:szCs w:val="20"/>
        </w:rPr>
        <w:t>submitted under the Securities Exchange Act of 1934, as amended, is (i) recorded, processed, summarized, and reported within the time periods specified in the SEC’s rules and forms, and (ii) accumulated and communicated to our management, including the Chi</w:t>
      </w:r>
      <w:r>
        <w:rPr>
          <w:rFonts w:eastAsia="Times New Roman"/>
          <w:color w:val="000000"/>
          <w:sz w:val="20"/>
          <w:szCs w:val="20"/>
        </w:rPr>
        <w:t>ef Executive Officer and Chief Financial Officer, as appropriate to allow timely decisions regarding required disclosure. The Company's management, with the participation of the Company’s Chief Executive Officer and Chief Financial Officer, evaluated the e</w:t>
      </w:r>
      <w:r>
        <w:rPr>
          <w:rFonts w:eastAsia="Times New Roman"/>
          <w:color w:val="000000"/>
          <w:sz w:val="20"/>
          <w:szCs w:val="20"/>
        </w:rPr>
        <w:t>ffectiveness of the Company's disclosure controls and procedures as of the end of the period covered by this report. Based on that evaluation, the Chief Executive Officer and Chief Financial Officer concluded that the Company's disclosure controls and proc</w:t>
      </w:r>
      <w:r>
        <w:rPr>
          <w:rFonts w:eastAsia="Times New Roman"/>
          <w:color w:val="000000"/>
          <w:sz w:val="20"/>
          <w:szCs w:val="20"/>
        </w:rPr>
        <w:t>edures, as of the end of the period covered by this Report, were effective at the reasonable assurance level</w:t>
      </w:r>
      <w:r>
        <w:rPr>
          <w:rFonts w:eastAsia="Times New Roman"/>
          <w:color w:val="000000"/>
          <w:sz w:val="20"/>
          <w:szCs w:val="20"/>
        </w:rPr>
        <w:t>.</w:t>
      </w:r>
    </w:p>
    <w:p w:rsidR="00000000" w:rsidRDefault="00A270CC">
      <w:pPr>
        <w:jc w:val="both"/>
        <w:divId w:val="148445282"/>
        <w:rPr>
          <w:rFonts w:eastAsia="Times New Roman"/>
        </w:rPr>
      </w:pPr>
    </w:p>
    <w:p w:rsidR="00000000" w:rsidRDefault="00A270CC">
      <w:pPr>
        <w:ind w:hanging="540"/>
        <w:divId w:val="35203226"/>
        <w:rPr>
          <w:rFonts w:eastAsia="Times New Roman"/>
        </w:rPr>
      </w:pPr>
      <w:r>
        <w:rPr>
          <w:rFonts w:eastAsia="Times New Roman"/>
          <w:color w:val="000000"/>
          <w:sz w:val="20"/>
          <w:szCs w:val="20"/>
        </w:rPr>
        <w:t>(b</w:t>
      </w:r>
      <w:r>
        <w:rPr>
          <w:rFonts w:eastAsia="Times New Roman"/>
          <w:color w:val="000000"/>
          <w:sz w:val="20"/>
          <w:szCs w:val="20"/>
        </w:rPr>
        <w:t>)</w:t>
      </w:r>
      <w:r>
        <w:rPr>
          <w:rFonts w:eastAsia="Times New Roman"/>
          <w:color w:val="000000"/>
          <w:sz w:val="20"/>
          <w:szCs w:val="20"/>
        </w:rPr>
        <w:t>Change in Internal Control over Financial Reportin</w:t>
      </w:r>
      <w:r>
        <w:rPr>
          <w:rFonts w:eastAsia="Times New Roman"/>
          <w:color w:val="000000"/>
          <w:sz w:val="20"/>
          <w:szCs w:val="20"/>
        </w:rPr>
        <w:t>g</w:t>
      </w:r>
    </w:p>
    <w:p w:rsidR="00000000" w:rsidRDefault="00A270CC">
      <w:pPr>
        <w:jc w:val="both"/>
        <w:divId w:val="863635784"/>
        <w:rPr>
          <w:rFonts w:eastAsia="Times New Roman"/>
        </w:rPr>
      </w:pPr>
      <w:r>
        <w:rPr>
          <w:rFonts w:eastAsia="Times New Roman"/>
          <w:color w:val="000000"/>
          <w:sz w:val="20"/>
          <w:szCs w:val="20"/>
        </w:rPr>
        <w:t xml:space="preserve">No change in the Company’s internal control over financial reporting occurred during the </w:t>
      </w:r>
      <w:r>
        <w:rPr>
          <w:rFonts w:eastAsia="Times New Roman"/>
          <w:color w:val="000000"/>
          <w:sz w:val="20"/>
          <w:szCs w:val="20"/>
        </w:rPr>
        <w:t>Company’s most recent fiscal quarter that has materially affected, or is reasonably likely to materially affect, the Company’s internal control over financial reporting</w:t>
      </w:r>
      <w:r>
        <w:rPr>
          <w:rFonts w:eastAsia="Times New Roman"/>
          <w:color w:val="000000"/>
          <w:sz w:val="20"/>
          <w:szCs w:val="20"/>
        </w:rPr>
        <w:t>.</w:t>
      </w:r>
    </w:p>
    <w:p w:rsidR="00000000" w:rsidRDefault="00A270CC">
      <w:pPr>
        <w:jc w:val="both"/>
        <w:divId w:val="263344862"/>
        <w:rPr>
          <w:rFonts w:eastAsia="Times New Roman"/>
        </w:rPr>
      </w:pPr>
    </w:p>
    <w:p w:rsidR="00000000" w:rsidRDefault="00A270CC">
      <w:pPr>
        <w:divId w:val="1089813690"/>
        <w:rPr>
          <w:rFonts w:eastAsia="Times New Roman"/>
        </w:rPr>
      </w:pPr>
      <w:r>
        <w:rPr>
          <w:rFonts w:eastAsia="Times New Roman"/>
          <w:color w:val="000000"/>
          <w:sz w:val="16"/>
          <w:szCs w:val="16"/>
        </w:rPr>
        <w:t> </w:t>
      </w:r>
    </w:p>
    <w:p w:rsidR="00000000" w:rsidRDefault="00A270CC">
      <w:pPr>
        <w:jc w:val="center"/>
        <w:divId w:val="938291755"/>
        <w:rPr>
          <w:rFonts w:eastAsia="Times New Roman"/>
        </w:rPr>
      </w:pPr>
      <w:r>
        <w:rPr>
          <w:rFonts w:eastAsia="Times New Roman"/>
          <w:color w:val="000000"/>
          <w:sz w:val="20"/>
          <w:szCs w:val="20"/>
        </w:rPr>
        <w:t>6</w:t>
      </w:r>
      <w:r>
        <w:rPr>
          <w:rFonts w:eastAsia="Times New Roman"/>
          <w:color w:val="000000"/>
          <w:sz w:val="20"/>
          <w:szCs w:val="20"/>
        </w:rPr>
        <w:t>3</w:t>
      </w:r>
    </w:p>
    <w:p w:rsidR="00000000" w:rsidRDefault="00A270CC">
      <w:pPr>
        <w:rPr>
          <w:rFonts w:eastAsia="Times New Roman"/>
        </w:rPr>
      </w:pPr>
      <w:r>
        <w:rPr>
          <w:rFonts w:eastAsia="Times New Roman"/>
        </w:rPr>
        <w:pict>
          <v:rect id="_x0000_i1089" style="width:0;height:1.5pt" o:hralign="center" o:hrstd="t" o:hr="t" fillcolor="#a0a0a0" stroked="f"/>
        </w:pict>
      </w:r>
    </w:p>
    <w:p w:rsidR="00000000" w:rsidRDefault="00A270CC">
      <w:pPr>
        <w:divId w:val="54353016"/>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355892779"/>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A270CC">
      <w:pPr>
        <w:jc w:val="center"/>
        <w:rPr>
          <w:rFonts w:eastAsia="Times New Roman"/>
        </w:rPr>
      </w:pPr>
    </w:p>
    <w:p w:rsidR="00000000" w:rsidRDefault="00A270CC">
      <w:pPr>
        <w:divId w:val="1795518730"/>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A270CC">
      <w:pPr>
        <w:jc w:val="both"/>
        <w:rPr>
          <w:rFonts w:eastAsia="Times New Roman"/>
        </w:rPr>
      </w:pPr>
      <w:r>
        <w:rPr>
          <w:rFonts w:eastAsia="Times New Roman"/>
          <w:color w:val="000000"/>
          <w:sz w:val="20"/>
          <w:szCs w:val="20"/>
        </w:rPr>
        <w:t>In addition to the information presented in this report, you should carefully consider the factors discussed in Part I, “Item 1A. Risk Factors” in our 2019 Annual Report and the Quarterly Report on Form 10-Q for the fiscal quarter ended March 31, 2020, whi</w:t>
      </w:r>
      <w:r>
        <w:rPr>
          <w:rFonts w:eastAsia="Times New Roman"/>
          <w:color w:val="000000"/>
          <w:sz w:val="20"/>
          <w:szCs w:val="20"/>
        </w:rPr>
        <w:t>ch could materially affect our business, financial condition or future results. The risks described in our 2019 Annual Report or in the Quarterly Report on Form 10-Q for the fiscal quarter ended March 31, 2020 are not the only risks facing the Company. Oth</w:t>
      </w:r>
      <w:r>
        <w:rPr>
          <w:rFonts w:eastAsia="Times New Roman"/>
          <w:color w:val="000000"/>
          <w:sz w:val="20"/>
          <w:szCs w:val="20"/>
        </w:rPr>
        <w:t>er unknown or unpredictable factors could also have material adverse effects on future results</w:t>
      </w:r>
      <w:r>
        <w:rPr>
          <w:rFonts w:eastAsia="Times New Roman"/>
          <w:color w:val="000000"/>
          <w:sz w:val="20"/>
          <w:szCs w:val="20"/>
        </w:rPr>
        <w:t>.</w:t>
      </w:r>
    </w:p>
    <w:p w:rsidR="00000000" w:rsidRDefault="00A270CC">
      <w:pPr>
        <w:jc w:val="both"/>
        <w:rPr>
          <w:rFonts w:eastAsia="Times New Roman"/>
        </w:rPr>
      </w:pPr>
    </w:p>
    <w:p w:rsidR="00000000" w:rsidRDefault="00A270CC">
      <w:pPr>
        <w:divId w:val="908266276"/>
        <w:rPr>
          <w:rFonts w:eastAsia="Times New Roman"/>
        </w:rPr>
      </w:pPr>
      <w:r>
        <w:rPr>
          <w:rFonts w:eastAsia="Times New Roman"/>
          <w:b/>
          <w:bCs/>
          <w:color w:val="000000"/>
          <w:sz w:val="20"/>
          <w:szCs w:val="20"/>
        </w:rPr>
        <w:t>ITEM 6. EXHIBIT</w:t>
      </w:r>
      <w:r>
        <w:rPr>
          <w:rFonts w:eastAsia="Times New Roman"/>
          <w:b/>
          <w:bCs/>
          <w:color w:val="000000"/>
          <w:sz w:val="20"/>
          <w:szCs w:val="20"/>
        </w:rPr>
        <w:t>S</w:t>
      </w:r>
    </w:p>
    <w:p w:rsidR="00000000" w:rsidRDefault="00A270CC">
      <w:pPr>
        <w:jc w:val="both"/>
        <w:divId w:val="1848934375"/>
        <w:rPr>
          <w:rFonts w:eastAsia="Times New Roman"/>
        </w:rPr>
      </w:pPr>
      <w:r>
        <w:rPr>
          <w:rFonts w:eastAsia="Times New Roman"/>
          <w:color w:val="000000"/>
          <w:sz w:val="20"/>
          <w:szCs w:val="20"/>
        </w:rPr>
        <w:t>The exhibits filed as part of this report are as follows (exhibits incorporated by reference are set forth with the name of the registrant, t</w:t>
      </w:r>
      <w:r>
        <w:rPr>
          <w:rFonts w:eastAsia="Times New Roman"/>
          <w:color w:val="000000"/>
          <w:sz w:val="20"/>
          <w:szCs w:val="20"/>
        </w:rPr>
        <w:t>he type of report and last date of the period for which it was filed, and the exhibit number in such filing)</w:t>
      </w:r>
      <w:r>
        <w:rPr>
          <w:rFonts w:eastAsia="Times New Roman"/>
          <w:color w:val="000000"/>
          <w:sz w:val="20"/>
          <w:szCs w:val="20"/>
        </w:rPr>
        <w:t>:</w:t>
      </w:r>
    </w:p>
    <w:p w:rsidR="00000000" w:rsidRDefault="00A270CC">
      <w:pPr>
        <w:jc w:val="center"/>
        <w:divId w:val="2094819000"/>
        <w:rPr>
          <w:rFonts w:eastAsia="Times New Roman"/>
        </w:rPr>
      </w:pPr>
      <w:r>
        <w:rPr>
          <w:rFonts w:eastAsia="Times New Roman"/>
          <w:b/>
          <w:bCs/>
          <w:color w:val="000000"/>
          <w:sz w:val="20"/>
          <w:szCs w:val="20"/>
        </w:rPr>
        <w:t>Incorporation by Referenc</w:t>
      </w:r>
      <w:r>
        <w:rPr>
          <w:rFonts w:eastAsia="Times New Roman"/>
          <w:b/>
          <w:bCs/>
          <w:color w:val="000000"/>
          <w:sz w:val="20"/>
          <w:szCs w:val="20"/>
        </w:rPr>
        <w:t>e</w:t>
      </w:r>
    </w:p>
    <w:tbl>
      <w:tblPr>
        <w:tblW w:w="4978" w:type="pct"/>
        <w:jc w:val="center"/>
        <w:tblCellMar>
          <w:top w:w="15" w:type="dxa"/>
          <w:left w:w="15" w:type="dxa"/>
          <w:bottom w:w="15" w:type="dxa"/>
          <w:right w:w="15" w:type="dxa"/>
        </w:tblCellMar>
        <w:tblLook w:val="04A0" w:firstRow="1" w:lastRow="0" w:firstColumn="1" w:lastColumn="0" w:noHBand="0" w:noVBand="1"/>
      </w:tblPr>
      <w:tblGrid>
        <w:gridCol w:w="90"/>
        <w:gridCol w:w="611"/>
        <w:gridCol w:w="89"/>
        <w:gridCol w:w="36"/>
        <w:gridCol w:w="36"/>
        <w:gridCol w:w="36"/>
        <w:gridCol w:w="46"/>
        <w:gridCol w:w="4730"/>
        <w:gridCol w:w="58"/>
        <w:gridCol w:w="36"/>
        <w:gridCol w:w="36"/>
        <w:gridCol w:w="36"/>
        <w:gridCol w:w="80"/>
        <w:gridCol w:w="601"/>
        <w:gridCol w:w="79"/>
        <w:gridCol w:w="36"/>
        <w:gridCol w:w="36"/>
        <w:gridCol w:w="36"/>
        <w:gridCol w:w="37"/>
        <w:gridCol w:w="811"/>
        <w:gridCol w:w="58"/>
        <w:gridCol w:w="36"/>
        <w:gridCol w:w="36"/>
        <w:gridCol w:w="36"/>
        <w:gridCol w:w="80"/>
        <w:gridCol w:w="388"/>
        <w:gridCol w:w="79"/>
      </w:tblGrid>
      <w:tr w:rsidR="00000000">
        <w:trPr>
          <w:divId w:val="278101999"/>
          <w:jc w:val="center"/>
        </w:trPr>
        <w:tc>
          <w:tcPr>
            <w:tcW w:w="50" w:type="pct"/>
            <w:vAlign w:val="center"/>
            <w:hideMark/>
          </w:tcPr>
          <w:p w:rsidR="00000000" w:rsidRDefault="00A270CC">
            <w:pPr>
              <w:jc w:val="center"/>
              <w:rPr>
                <w:rFonts w:eastAsia="Times New Roman"/>
              </w:rPr>
            </w:pPr>
          </w:p>
        </w:tc>
        <w:tc>
          <w:tcPr>
            <w:tcW w:w="34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873"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37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16"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4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vAlign w:val="bottom"/>
            <w:hideMark/>
          </w:tcPr>
          <w:p w:rsidR="00000000" w:rsidRDefault="00A270CC">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16"/>
                <w:szCs w:val="16"/>
              </w:rPr>
              <w:t>Exhibi</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16"/>
                <w:szCs w:val="16"/>
              </w:rPr>
              <w:t>Registran</w:t>
            </w:r>
            <w:r>
              <w:rPr>
                <w:rFonts w:eastAsia="Times New Roman"/>
                <w:b/>
                <w:bCs/>
                <w:color w:val="000000"/>
                <w:sz w:val="16"/>
                <w:szCs w:val="16"/>
              </w:rPr>
              <w:t>t</w:t>
            </w:r>
          </w:p>
        </w:tc>
        <w:tc>
          <w:tcPr>
            <w:tcW w:w="0" w:type="auto"/>
            <w:gridSpan w:val="3"/>
            <w:tcMar>
              <w:top w:w="15" w:type="dxa"/>
              <w:left w:w="20" w:type="dxa"/>
              <w:bottom w:w="15" w:type="dxa"/>
              <w:right w:w="20" w:type="dxa"/>
            </w:tcMar>
            <w:hideMark/>
          </w:tcPr>
          <w:p w:rsidR="00000000" w:rsidRDefault="00A270CC">
            <w:pPr>
              <w:jc w:val="center"/>
              <w:rPr>
                <w:rFonts w:eastAsia="Times New Roman"/>
              </w:rPr>
            </w:pPr>
          </w:p>
        </w:tc>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16"/>
                <w:szCs w:val="16"/>
              </w:rPr>
              <w:t>Filin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30" w:type="dxa"/>
              <w:left w:w="20" w:type="dxa"/>
              <w:bottom w:w="30" w:type="dxa"/>
              <w:right w:w="20" w:type="dxa"/>
            </w:tcMar>
            <w:hideMark/>
          </w:tcPr>
          <w:p w:rsidR="00000000" w:rsidRDefault="00A270CC">
            <w:pPr>
              <w:jc w:val="center"/>
              <w:rPr>
                <w:rFonts w:eastAsia="Times New Roman"/>
              </w:rPr>
            </w:pPr>
            <w:r>
              <w:rPr>
                <w:rFonts w:eastAsia="Times New Roman"/>
                <w:b/>
                <w:bCs/>
                <w:color w:val="000000"/>
                <w:sz w:val="16"/>
                <w:szCs w:val="16"/>
              </w:rPr>
              <w:t>Exhibi</w:t>
            </w:r>
            <w:r>
              <w:rPr>
                <w:rFonts w:eastAsia="Times New Roman"/>
                <w:b/>
                <w:bCs/>
                <w:color w:val="000000"/>
                <w:sz w:val="16"/>
                <w:szCs w:val="16"/>
              </w:rPr>
              <w:t>t</w:t>
            </w: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1168713832"/>
              <w:rPr>
                <w:rFonts w:eastAsia="Times New Roman"/>
              </w:rPr>
            </w:pPr>
            <w:hyperlink r:id="rId4" w:history="1">
              <w:r>
                <w:rPr>
                  <w:rStyle w:val="a3"/>
                  <w:rFonts w:eastAsia="Times New Roman"/>
                  <w:sz w:val="20"/>
                  <w:szCs w:val="20"/>
                </w:rPr>
                <w:t>Certification by the Chief Executive Officer relating to the Registrant’</w:t>
              </w:r>
              <w:r>
                <w:rPr>
                  <w:rStyle w:val="a3"/>
                  <w:rFonts w:eastAsia="Times New Roman"/>
                  <w:sz w:val="20"/>
                  <w:szCs w:val="20"/>
                </w:rPr>
                <w:t>s Report on Form 10-Q for the quarter ended June 30, 2020,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31.</w:t>
            </w:r>
            <w:r>
              <w:rPr>
                <w:rFonts w:eastAsia="Times New Roman"/>
                <w:color w:val="000000"/>
                <w:sz w:val="20"/>
                <w:szCs w:val="20"/>
              </w:rPr>
              <w:t>2</w:t>
            </w:r>
          </w:p>
        </w:tc>
        <w:tc>
          <w:tcPr>
            <w:tcW w:w="0" w:type="auto"/>
            <w:gridSpan w:val="3"/>
            <w:tcMar>
              <w:top w:w="15" w:type="dxa"/>
              <w:left w:w="20" w:type="dxa"/>
              <w:bottom w:w="15" w:type="dxa"/>
              <w:right w:w="20" w:type="dxa"/>
            </w:tcMar>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652104809"/>
              <w:rPr>
                <w:rFonts w:eastAsia="Times New Roman"/>
              </w:rPr>
            </w:pPr>
            <w:hyperlink r:id="rId5" w:history="1">
              <w:r>
                <w:rPr>
                  <w:rStyle w:val="a3"/>
                  <w:rFonts w:eastAsia="Times New Roman"/>
                  <w:sz w:val="20"/>
                  <w:szCs w:val="20"/>
                </w:rPr>
                <w:t>Certification by the Chief Financial Officer relating to the Registrant’s Report on Form 10-Q for the quarter ended June 30, 2020,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w:t>
            </w:r>
            <w:r>
              <w:rPr>
                <w:rFonts w:eastAsia="Times New Roman"/>
                <w:color w:val="000000"/>
                <w:sz w:val="20"/>
                <w:szCs w:val="20"/>
              </w:rPr>
              <w:t>2</w:t>
            </w:r>
          </w:p>
        </w:tc>
        <w:tc>
          <w:tcPr>
            <w:tcW w:w="0" w:type="auto"/>
            <w:gridSpan w:val="3"/>
            <w:tcMar>
              <w:top w:w="15" w:type="dxa"/>
              <w:left w:w="20" w:type="dxa"/>
              <w:bottom w:w="15" w:type="dxa"/>
              <w:right w:w="20" w:type="dxa"/>
            </w:tcMar>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1673878093"/>
              <w:rPr>
                <w:rFonts w:eastAsia="Times New Roman"/>
              </w:rPr>
            </w:pPr>
            <w:hyperlink r:id="rId6" w:history="1">
              <w:r>
                <w:rPr>
                  <w:rStyle w:val="a3"/>
                  <w:rFonts w:eastAsia="Times New Roman"/>
                  <w:sz w:val="20"/>
                  <w:szCs w:val="20"/>
                </w:rPr>
                <w:t>Certification by the Chief Executive Officer and the Chief Financial Officer relating to the Registrant’s Report on Form 10-Q for the quarter ended June 30, 2020, pursuant to Section 906 of the Sarbanes-Oxley Act of</w:t>
              </w:r>
              <w:r>
                <w:rPr>
                  <w:rStyle w:val="a3"/>
                  <w:rFonts w:eastAsia="Times New Roman"/>
                  <w:sz w:val="20"/>
                  <w:szCs w:val="20"/>
                </w:rPr>
                <w:t xml:space="preserve"> 2002.</w:t>
              </w:r>
            </w:hyperlink>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Schem</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Calculation Linkbas</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Definition Linkbas</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Labels Linkbas</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6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Presentation Linkbas</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jc w:val="center"/>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Cover Page Interactive Data File (formatted as Inline XBRL and contained in Exhibit 101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278101999"/>
          <w:trHeight w:val="300"/>
          <w:jc w:val="center"/>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bl>
    <w:p w:rsidR="00000000" w:rsidRDefault="00A270CC">
      <w:pPr>
        <w:ind w:hanging="270"/>
        <w:jc w:val="both"/>
        <w:rPr>
          <w:rFonts w:eastAsia="Times New Roman"/>
        </w:rPr>
      </w:pPr>
    </w:p>
    <w:p w:rsidR="00000000" w:rsidRDefault="00A270CC">
      <w:pPr>
        <w:jc w:val="center"/>
        <w:divId w:val="782773995"/>
        <w:rPr>
          <w:rFonts w:eastAsia="Times New Roman"/>
        </w:rPr>
      </w:pPr>
      <w:r>
        <w:rPr>
          <w:rFonts w:eastAsia="Times New Roman"/>
          <w:color w:val="000000"/>
          <w:sz w:val="20"/>
          <w:szCs w:val="20"/>
        </w:rPr>
        <w:t>6</w:t>
      </w:r>
      <w:r>
        <w:rPr>
          <w:rFonts w:eastAsia="Times New Roman"/>
          <w:color w:val="000000"/>
          <w:sz w:val="20"/>
          <w:szCs w:val="20"/>
        </w:rPr>
        <w:t>4</w:t>
      </w:r>
    </w:p>
    <w:p w:rsidR="00000000" w:rsidRDefault="00A270CC">
      <w:pPr>
        <w:rPr>
          <w:rFonts w:eastAsia="Times New Roman"/>
        </w:rPr>
      </w:pPr>
      <w:r>
        <w:rPr>
          <w:rFonts w:eastAsia="Times New Roman"/>
        </w:rPr>
        <w:pict>
          <v:rect id="_x0000_i1090" style="width:0;height:1.5pt" o:hralign="center" o:hrstd="t" o:hr="t" fillcolor="#a0a0a0" stroked="f"/>
        </w:pict>
      </w:r>
    </w:p>
    <w:p w:rsidR="00000000" w:rsidRDefault="00A270CC">
      <w:pPr>
        <w:divId w:val="738214180"/>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275602400"/>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EXHIBIT INDE</w:t>
      </w:r>
      <w:r>
        <w:rPr>
          <w:rFonts w:eastAsia="Times New Roman"/>
          <w:b/>
          <w:bCs/>
          <w:color w:val="000000"/>
          <w:sz w:val="20"/>
          <w:szCs w:val="20"/>
        </w:rPr>
        <w:t>X</w:t>
      </w:r>
    </w:p>
    <w:p w:rsidR="00000000" w:rsidRDefault="00A270CC">
      <w:pPr>
        <w:divId w:val="1366757246"/>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9"/>
        <w:gridCol w:w="659"/>
        <w:gridCol w:w="78"/>
        <w:gridCol w:w="36"/>
        <w:gridCol w:w="36"/>
        <w:gridCol w:w="36"/>
        <w:gridCol w:w="71"/>
        <w:gridCol w:w="7211"/>
        <w:gridCol w:w="75"/>
      </w:tblGrid>
      <w:tr w:rsidR="00000000">
        <w:trPr>
          <w:divId w:val="528763438"/>
        </w:trPr>
        <w:tc>
          <w:tcPr>
            <w:tcW w:w="50" w:type="pct"/>
            <w:vAlign w:val="center"/>
            <w:hideMark/>
          </w:tcPr>
          <w:p w:rsidR="00000000" w:rsidRDefault="00A270CC">
            <w:pPr>
              <w:rPr>
                <w:rFonts w:eastAsia="Times New Roman"/>
              </w:rPr>
            </w:pPr>
          </w:p>
        </w:tc>
        <w:tc>
          <w:tcPr>
            <w:tcW w:w="40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26" w:type="pct"/>
            <w:vAlign w:val="center"/>
            <w:hideMark/>
          </w:tcPr>
          <w:p w:rsidR="00000000" w:rsidRDefault="00A270CC">
            <w:pPr>
              <w:rPr>
                <w:rFonts w:eastAsia="Times New Roman"/>
                <w:sz w:val="20"/>
                <w:szCs w:val="20"/>
              </w:rPr>
            </w:pPr>
          </w:p>
        </w:tc>
        <w:tc>
          <w:tcPr>
            <w:tcW w:w="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4357"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1418020804"/>
              <w:rPr>
                <w:rFonts w:eastAsia="Times New Roman"/>
              </w:rPr>
            </w:pPr>
            <w:hyperlink r:id="rId7" w:history="1">
              <w:r>
                <w:rPr>
                  <w:rStyle w:val="a3"/>
                  <w:rFonts w:eastAsia="Times New Roman"/>
                  <w:sz w:val="20"/>
                  <w:szCs w:val="20"/>
                </w:rPr>
                <w:t>Certification by the Chief Executive Officer relating to the Registrant’s Report on Form 10-Q for the quarter ended June 30, 2020, pursuant to Section 302 of the Sarbanes-Oxley Act of 2002.</w:t>
              </w:r>
            </w:hyperlink>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31.</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1446735265"/>
              <w:rPr>
                <w:rFonts w:eastAsia="Times New Roman"/>
              </w:rPr>
            </w:pPr>
            <w:hyperlink r:id="rId8" w:history="1">
              <w:r>
                <w:rPr>
                  <w:rStyle w:val="a3"/>
                  <w:rFonts w:eastAsia="Times New Roman"/>
                  <w:sz w:val="20"/>
                  <w:szCs w:val="20"/>
                </w:rPr>
                <w:t>Certification by the Chief Certification by the Chief Financial Officer relating to the Registrant’s Report on Form 10-Q for the quarter ended June 30, 2020, pursuant to Section 302 of the Sarbanes-Oxley Act of 200</w:t>
              </w:r>
              <w:r>
                <w:rPr>
                  <w:rStyle w:val="a3"/>
                  <w:rFonts w:eastAsia="Times New Roman"/>
                  <w:sz w:val="20"/>
                  <w:szCs w:val="20"/>
                </w:rPr>
                <w:t>2.</w:t>
              </w:r>
            </w:hyperlink>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3</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divId w:val="1538159467"/>
              <w:rPr>
                <w:rFonts w:eastAsia="Times New Roman"/>
              </w:rPr>
            </w:pPr>
            <w:hyperlink r:id="rId9" w:history="1">
              <w:r>
                <w:rPr>
                  <w:rStyle w:val="a3"/>
                  <w:rFonts w:eastAsia="Times New Roman"/>
                  <w:sz w:val="20"/>
                  <w:szCs w:val="20"/>
                </w:rPr>
                <w:t>Certification by the Chief Executive Officer and the Chief Financial Officer relating to the Registrant’s Report on Form 10-Q for the quarter ended June 30, 2020, pursuant to Section 906 of the Sarbanes-Oxley Act of 2002.</w:t>
              </w:r>
            </w:hyperlink>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w:t>
            </w:r>
            <w:r>
              <w:rPr>
                <w:rFonts w:eastAsia="Times New Roman"/>
                <w:color w:val="000000"/>
                <w:sz w:val="20"/>
                <w:szCs w:val="20"/>
              </w:rPr>
              <w:t>t</w:t>
            </w: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Schem</w:t>
            </w:r>
            <w:r>
              <w:rPr>
                <w:rFonts w:eastAsia="Times New Roman"/>
                <w:color w:val="000000"/>
                <w:sz w:val="20"/>
                <w:szCs w:val="20"/>
              </w:rPr>
              <w:t>a</w:t>
            </w: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Calculation Linkbas</w:t>
            </w:r>
            <w:r>
              <w:rPr>
                <w:rFonts w:eastAsia="Times New Roman"/>
                <w:color w:val="000000"/>
                <w:sz w:val="20"/>
                <w:szCs w:val="20"/>
              </w:rPr>
              <w:t>e</w:t>
            </w: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Definition Linkbas</w:t>
            </w:r>
            <w:r>
              <w:rPr>
                <w:rFonts w:eastAsia="Times New Roman"/>
                <w:color w:val="000000"/>
                <w:sz w:val="20"/>
                <w:szCs w:val="20"/>
              </w:rPr>
              <w:t>e</w:t>
            </w: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Labels Linkbas</w:t>
            </w:r>
            <w:r>
              <w:rPr>
                <w:rFonts w:eastAsia="Times New Roman"/>
                <w:color w:val="000000"/>
                <w:sz w:val="20"/>
                <w:szCs w:val="20"/>
              </w:rPr>
              <w:t>e</w:t>
            </w:r>
          </w:p>
        </w:tc>
      </w:tr>
      <w:tr w:rsidR="00000000">
        <w:trPr>
          <w:divId w:val="528763438"/>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XBRL Taxonomy Extension Presentation Linkbas</w:t>
            </w:r>
            <w:r>
              <w:rPr>
                <w:rFonts w:eastAsia="Times New Roman"/>
                <w:color w:val="000000"/>
                <w:sz w:val="20"/>
                <w:szCs w:val="20"/>
              </w:rPr>
              <w:t>e</w:t>
            </w:r>
          </w:p>
        </w:tc>
      </w:tr>
      <w:tr w:rsidR="00000000">
        <w:trPr>
          <w:divId w:val="528763438"/>
        </w:trPr>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20"/>
                <w:szCs w:val="20"/>
              </w:rPr>
              <w:t>Cover Page Interactive Data File (formatted as Inline XBRL and contained in Exhibit 101</w:t>
            </w:r>
            <w:r>
              <w:rPr>
                <w:rFonts w:eastAsia="Times New Roman"/>
                <w:color w:val="000000"/>
                <w:sz w:val="20"/>
                <w:szCs w:val="20"/>
              </w:rPr>
              <w:t>)</w:t>
            </w:r>
          </w:p>
        </w:tc>
      </w:tr>
    </w:tbl>
    <w:p w:rsidR="00000000" w:rsidRDefault="00A270CC">
      <w:pPr>
        <w:divId w:val="1956012726"/>
        <w:rPr>
          <w:rFonts w:eastAsia="Times New Roman"/>
        </w:rPr>
      </w:pPr>
    </w:p>
    <w:p w:rsidR="00000000" w:rsidRDefault="00A270CC">
      <w:pPr>
        <w:divId w:val="282005967"/>
        <w:rPr>
          <w:rFonts w:eastAsia="Times New Roman"/>
        </w:rPr>
      </w:pPr>
    </w:p>
    <w:p w:rsidR="00000000" w:rsidRDefault="00A270CC">
      <w:pPr>
        <w:jc w:val="center"/>
        <w:divId w:val="1353262862"/>
        <w:rPr>
          <w:rFonts w:eastAsia="Times New Roman"/>
        </w:rPr>
      </w:pPr>
      <w:r>
        <w:rPr>
          <w:rFonts w:eastAsia="Times New Roman"/>
          <w:color w:val="000000"/>
          <w:sz w:val="20"/>
          <w:szCs w:val="20"/>
        </w:rPr>
        <w:t>6</w:t>
      </w:r>
      <w:r>
        <w:rPr>
          <w:rFonts w:eastAsia="Times New Roman"/>
          <w:color w:val="000000"/>
          <w:sz w:val="20"/>
          <w:szCs w:val="20"/>
        </w:rPr>
        <w:t>5</w:t>
      </w:r>
    </w:p>
    <w:p w:rsidR="00000000" w:rsidRDefault="00A270CC">
      <w:pPr>
        <w:rPr>
          <w:rFonts w:eastAsia="Times New Roman"/>
        </w:rPr>
      </w:pPr>
      <w:r>
        <w:rPr>
          <w:rFonts w:eastAsia="Times New Roman"/>
        </w:rPr>
        <w:pict>
          <v:rect id="_x0000_i1091" style="width:0;height:1.5pt" o:hralign="center" o:hrstd="t" o:hr="t" fillcolor="#a0a0a0" stroked="f"/>
        </w:pict>
      </w:r>
    </w:p>
    <w:p w:rsidR="00000000" w:rsidRDefault="00A270CC">
      <w:pPr>
        <w:divId w:val="490213928"/>
        <w:rPr>
          <w:rFonts w:eastAsia="Times New Roman"/>
        </w:rPr>
      </w:pPr>
      <w:hyperlink w:anchor="ie970dc11ee4142a48682b4ecf773997e_7" w:history="1">
        <w:r>
          <w:rPr>
            <w:rStyle w:val="a3"/>
            <w:rFonts w:eastAsia="Times New Roman"/>
            <w:sz w:val="20"/>
            <w:szCs w:val="20"/>
          </w:rPr>
          <w:t>Table of Contents</w:t>
        </w:r>
      </w:hyperlink>
    </w:p>
    <w:p w:rsidR="00000000" w:rsidRDefault="00A270CC">
      <w:pPr>
        <w:jc w:val="center"/>
        <w:divId w:val="90472134"/>
        <w:rPr>
          <w:rFonts w:eastAsia="Times New Roman"/>
        </w:rPr>
      </w:pPr>
      <w:r>
        <w:rPr>
          <w:rFonts w:eastAsia="Times New Roman"/>
          <w:b/>
          <w:bCs/>
          <w:color w:val="000000"/>
          <w:sz w:val="20"/>
          <w:szCs w:val="20"/>
        </w:rPr>
        <w:t>UGI CORPORATION AND SUBSIDIARIE</w:t>
      </w:r>
      <w:r>
        <w:rPr>
          <w:rFonts w:eastAsia="Times New Roman"/>
          <w:b/>
          <w:bCs/>
          <w:color w:val="000000"/>
          <w:sz w:val="20"/>
          <w:szCs w:val="20"/>
        </w:rPr>
        <w:t>S</w:t>
      </w:r>
    </w:p>
    <w:p w:rsidR="00000000" w:rsidRDefault="00A270CC">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A270CC">
      <w:pPr>
        <w:jc w:val="both"/>
        <w:divId w:val="74745922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rsidR="00000000" w:rsidRDefault="00A270CC">
      <w:pPr>
        <w:divId w:val="1826893791"/>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88"/>
        <w:gridCol w:w="299"/>
        <w:gridCol w:w="87"/>
        <w:gridCol w:w="77"/>
        <w:gridCol w:w="3775"/>
        <w:gridCol w:w="78"/>
        <w:gridCol w:w="81"/>
        <w:gridCol w:w="169"/>
        <w:gridCol w:w="80"/>
        <w:gridCol w:w="76"/>
        <w:gridCol w:w="3285"/>
        <w:gridCol w:w="78"/>
        <w:gridCol w:w="36"/>
        <w:gridCol w:w="36"/>
        <w:gridCol w:w="36"/>
      </w:tblGrid>
      <w:tr w:rsidR="00000000">
        <w:trPr>
          <w:gridAfter w:val="3"/>
          <w:divId w:val="50079823"/>
        </w:trPr>
        <w:tc>
          <w:tcPr>
            <w:tcW w:w="50" w:type="pct"/>
            <w:vAlign w:val="center"/>
            <w:hideMark/>
          </w:tcPr>
          <w:p w:rsidR="00000000" w:rsidRDefault="00A270CC">
            <w:pPr>
              <w:rPr>
                <w:rFonts w:eastAsia="Times New Roman"/>
              </w:rPr>
            </w:pPr>
          </w:p>
        </w:tc>
        <w:tc>
          <w:tcPr>
            <w:tcW w:w="17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312"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105"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c>
          <w:tcPr>
            <w:tcW w:w="2011" w:type="pct"/>
            <w:vAlign w:val="center"/>
            <w:hideMark/>
          </w:tcPr>
          <w:p w:rsidR="00000000" w:rsidRDefault="00A270CC">
            <w:pPr>
              <w:rPr>
                <w:rFonts w:eastAsia="Times New Roman"/>
                <w:sz w:val="20"/>
                <w:szCs w:val="20"/>
              </w:rPr>
            </w:pPr>
          </w:p>
        </w:tc>
        <w:tc>
          <w:tcPr>
            <w:tcW w:w="50" w:type="pct"/>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u w:val="single"/>
              </w:rPr>
              <w:t>UGI Corporatio</w:t>
            </w:r>
            <w:r>
              <w:rPr>
                <w:rFonts w:eastAsia="Times New Roman"/>
                <w:color w:val="000000"/>
                <w:sz w:val="20"/>
                <w:szCs w:val="20"/>
                <w:u w:val="single"/>
              </w:rPr>
              <w:t>n</w:t>
            </w:r>
          </w:p>
        </w:tc>
        <w:tc>
          <w:tcPr>
            <w:tcW w:w="0" w:type="auto"/>
            <w:gridSpan w:val="3"/>
            <w:vAlign w:val="center"/>
            <w:hideMark/>
          </w:tcPr>
          <w:p w:rsidR="00000000" w:rsidRDefault="00A270CC">
            <w:pPr>
              <w:rPr>
                <w:rFonts w:eastAsia="Times New Roman"/>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(Registrant</w:t>
            </w:r>
            <w:r>
              <w:rPr>
                <w:rFonts w:eastAsia="Times New Roman"/>
                <w:color w:val="000000"/>
                <w:sz w:val="20"/>
                <w:szCs w:val="20"/>
              </w:rPr>
              <w:t>)</w:t>
            </w:r>
          </w:p>
        </w:tc>
        <w:tc>
          <w:tcPr>
            <w:tcW w:w="0" w:type="auto"/>
            <w:gridSpan w:val="3"/>
            <w:vAlign w:val="center"/>
            <w:hideMark/>
          </w:tcPr>
          <w:p w:rsidR="00000000" w:rsidRDefault="00A270CC">
            <w:pPr>
              <w:rPr>
                <w:rFonts w:eastAsia="Times New Roman"/>
              </w:rPr>
            </w:pPr>
          </w:p>
        </w:tc>
      </w:tr>
      <w:tr w:rsidR="00000000">
        <w:trPr>
          <w:divId w:val="50079823"/>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30" w:type="dxa"/>
              <w:left w:w="20" w:type="dxa"/>
              <w:bottom w:w="30" w:type="dxa"/>
              <w:right w:w="20" w:type="dxa"/>
            </w:tcMar>
            <w:vAlign w:val="center"/>
            <w:hideMark/>
          </w:tcPr>
          <w:p w:rsidR="00000000" w:rsidRDefault="00A270CC">
            <w:pPr>
              <w:jc w:val="right"/>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rsidR="00000000" w:rsidRDefault="00A270CC">
            <w:pPr>
              <w:rPr>
                <w:rFonts w:eastAsia="Times New Roman"/>
              </w:rPr>
            </w:pPr>
            <w:r>
              <w:rPr>
                <w:rFonts w:eastAsia="Times New Roman"/>
                <w:color w:val="000000"/>
                <w:sz w:val="20"/>
                <w:szCs w:val="20"/>
              </w:rPr>
              <w:t>August 4, 202</w:t>
            </w:r>
            <w:r>
              <w:rPr>
                <w:rFonts w:eastAsia="Times New Roman"/>
                <w:color w:val="000000"/>
                <w:sz w:val="20"/>
                <w:szCs w:val="20"/>
              </w:rPr>
              <w:t>0</w:t>
            </w: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/s/ Ted J. Jastrzebsk</w:t>
            </w:r>
            <w:r>
              <w:rPr>
                <w:rFonts w:eastAsia="Times New Roman"/>
                <w:color w:val="000000"/>
                <w:sz w:val="20"/>
                <w:szCs w:val="20"/>
              </w:rPr>
              <w:t>i</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Ted J. Jastrzebsk</w:t>
            </w:r>
            <w:r>
              <w:rPr>
                <w:rFonts w:eastAsia="Times New Roman"/>
                <w:color w:val="000000"/>
                <w:sz w:val="20"/>
                <w:szCs w:val="20"/>
              </w:rPr>
              <w:t>i</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Chief Financial Office</w:t>
            </w:r>
            <w:r>
              <w:rPr>
                <w:rFonts w:eastAsia="Times New Roman"/>
                <w:color w:val="000000"/>
                <w:sz w:val="20"/>
                <w:szCs w:val="20"/>
              </w:rPr>
              <w:t>r</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Height w:val="60"/>
        </w:trPr>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30" w:type="dxa"/>
              <w:left w:w="20" w:type="dxa"/>
              <w:bottom w:w="30" w:type="dxa"/>
              <w:right w:w="20" w:type="dxa"/>
            </w:tcMar>
            <w:vAlign w:val="center"/>
            <w:hideMark/>
          </w:tcPr>
          <w:p w:rsidR="00000000" w:rsidRDefault="00A270CC">
            <w:pPr>
              <w:jc w:val="right"/>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rsidR="00000000" w:rsidRDefault="00A270CC">
            <w:pPr>
              <w:rPr>
                <w:rFonts w:eastAsia="Times New Roman"/>
              </w:rPr>
            </w:pPr>
            <w:r>
              <w:rPr>
                <w:rFonts w:eastAsia="Times New Roman"/>
                <w:color w:val="000000"/>
                <w:sz w:val="20"/>
                <w:szCs w:val="20"/>
              </w:rPr>
              <w:t>August 4, 202</w:t>
            </w:r>
            <w:r>
              <w:rPr>
                <w:rFonts w:eastAsia="Times New Roman"/>
                <w:color w:val="000000"/>
                <w:sz w:val="20"/>
                <w:szCs w:val="20"/>
              </w:rPr>
              <w:t>0</w:t>
            </w: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/s/ Laurie A. Bergma</w:t>
            </w:r>
            <w:r>
              <w:rPr>
                <w:rFonts w:eastAsia="Times New Roman"/>
                <w:color w:val="000000"/>
                <w:sz w:val="20"/>
                <w:szCs w:val="20"/>
              </w:rPr>
              <w:t>n</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Laurie A. Bergma</w:t>
            </w:r>
            <w:r>
              <w:rPr>
                <w:rFonts w:eastAsia="Times New Roman"/>
                <w:color w:val="000000"/>
                <w:sz w:val="20"/>
                <w:szCs w:val="20"/>
              </w:rPr>
              <w:t>n</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Vice President, Chief Accounting Office</w:t>
            </w:r>
            <w:r>
              <w:rPr>
                <w:rFonts w:eastAsia="Times New Roman"/>
                <w:color w:val="000000"/>
                <w:sz w:val="20"/>
                <w:szCs w:val="20"/>
              </w:rPr>
              <w:t>r</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r w:rsidR="00000000">
        <w:trPr>
          <w:divId w:val="50079823"/>
        </w:trPr>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vAlign w:val="bottom"/>
            <w:hideMark/>
          </w:tcPr>
          <w:p w:rsidR="00000000" w:rsidRDefault="00A270CC">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A270CC">
            <w:pPr>
              <w:rPr>
                <w:rFonts w:eastAsia="Times New Roman"/>
              </w:rPr>
            </w:pPr>
          </w:p>
        </w:tc>
        <w:tc>
          <w:tcPr>
            <w:tcW w:w="0" w:type="auto"/>
            <w:gridSpan w:val="3"/>
            <w:tcMar>
              <w:top w:w="30" w:type="dxa"/>
              <w:left w:w="20" w:type="dxa"/>
              <w:bottom w:w="30" w:type="dxa"/>
              <w:right w:w="20" w:type="dxa"/>
            </w:tcMar>
            <w:hideMark/>
          </w:tcPr>
          <w:p w:rsidR="00000000" w:rsidRDefault="00A270CC">
            <w:pPr>
              <w:rPr>
                <w:rFonts w:eastAsia="Times New Roman"/>
              </w:rPr>
            </w:pPr>
            <w:r>
              <w:rPr>
                <w:rFonts w:eastAsia="Times New Roman"/>
                <w:color w:val="000000"/>
                <w:sz w:val="20"/>
                <w:szCs w:val="20"/>
              </w:rPr>
              <w:t>and Corporate Controlle</w:t>
            </w:r>
            <w:r>
              <w:rPr>
                <w:rFonts w:eastAsia="Times New Roman"/>
                <w:color w:val="000000"/>
                <w:sz w:val="20"/>
                <w:szCs w:val="20"/>
              </w:rPr>
              <w:t>r</w:t>
            </w: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c>
          <w:tcPr>
            <w:tcW w:w="0" w:type="auto"/>
            <w:vAlign w:val="center"/>
            <w:hideMark/>
          </w:tcPr>
          <w:p w:rsidR="00000000" w:rsidRDefault="00A270CC">
            <w:pPr>
              <w:rPr>
                <w:rFonts w:eastAsia="Times New Roman"/>
                <w:sz w:val="20"/>
                <w:szCs w:val="20"/>
              </w:rPr>
            </w:pPr>
          </w:p>
        </w:tc>
      </w:tr>
    </w:tbl>
    <w:p w:rsidR="00A270CC" w:rsidRDefault="00A270CC">
      <w:pPr>
        <w:jc w:val="center"/>
        <w:divId w:val="1990204279"/>
        <w:rPr>
          <w:rFonts w:eastAsia="Times New Roman"/>
        </w:rPr>
      </w:pPr>
      <w:r>
        <w:rPr>
          <w:rFonts w:eastAsia="Times New Roman"/>
          <w:color w:val="000000"/>
          <w:sz w:val="20"/>
          <w:szCs w:val="20"/>
        </w:rPr>
        <w:t>6</w:t>
      </w:r>
      <w:r>
        <w:rPr>
          <w:rFonts w:eastAsia="Times New Roman"/>
          <w:color w:val="000000"/>
          <w:sz w:val="20"/>
          <w:szCs w:val="20"/>
        </w:rPr>
        <w:t>6</w:t>
      </w:r>
    </w:p>
    <w:sectPr w:rsidR="00A270C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70CC"/>
    <w:rsid w:val="00A270CC"/>
  </w:rsids>
  <m:mathPr>
    <m:mathFont m:val="Cambria Math"/>
    <m:brkBin m:val="before"/>
    <m:brkBinSub m:val="--"/>
    <m:smallFrac m:val="0"/>
    <m:dispDef/>
    <m:lMargin m:val="0"/>
    <m:rMargin m:val="0"/>
    <m:defJc m:val="centerGroup"/>
    <m:wrapIndent m:val="1440"/>
    <m:intLim m:val="subSup"/>
    <m:naryLim m:val="undOvr"/>
  </m:mathPr>
  <w:attachedSchema w:val="http://fasb.org/srt/2020-01-31"/>
  <w:attachedSchema w:val="http://www.sec.gov/inlineXBRL/transformation/2015-08-31"/>
  <w:attachedSchema w:val="http://www.xbrl.org/2013/inlineXBRL"/>
  <w:attachedSchema w:val="http://www.xbrl.org/2003/instance"/>
  <w:attachedSchema w:val="http://www.w3.org/1999/xlink"/>
  <w:attachedSchema w:val="http://xbrl.sec.gov/dei/2020-01-31"/>
  <w:attachedSchema w:val="http://www.xbrl.org/inlineXBRL/transformation/2015-02-26"/>
  <w:attachedSchema w:val="http://fasb.org/us-gaap/2020-01-31"/>
  <w:attachedSchema w:val="http://xbrl.org/2006/xbrldi"/>
  <w:attachedSchema w:val="http://www.xbrl.org/2009/utr"/>
  <w:attachedSchema w:val="http://www.xbrl.org/2003/linkbase"/>
  <w:attachedSchema w:val="http://www.xbrl.org/2003/iso4217"/>
  <w:attachedSchema w:val="http://www.ugicorp.com/2020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29">
      <w:marLeft w:val="0"/>
      <w:marRight w:val="0"/>
      <w:marTop w:val="0"/>
      <w:marBottom w:val="0"/>
      <w:divBdr>
        <w:top w:val="none" w:sz="0" w:space="0" w:color="auto"/>
        <w:left w:val="none" w:sz="0" w:space="0" w:color="auto"/>
        <w:bottom w:val="none" w:sz="0" w:space="0" w:color="auto"/>
        <w:right w:val="none" w:sz="0" w:space="0" w:color="auto"/>
      </w:divBdr>
      <w:divsChild>
        <w:div w:id="1577745905">
          <w:marLeft w:val="0"/>
          <w:marRight w:val="0"/>
          <w:marTop w:val="0"/>
          <w:marBottom w:val="0"/>
          <w:divBdr>
            <w:top w:val="none" w:sz="0" w:space="0" w:color="auto"/>
            <w:left w:val="none" w:sz="0" w:space="0" w:color="auto"/>
            <w:bottom w:val="none" w:sz="0" w:space="0" w:color="auto"/>
            <w:right w:val="none" w:sz="0" w:space="0" w:color="auto"/>
          </w:divBdr>
        </w:div>
        <w:div w:id="872109656">
          <w:marLeft w:val="0"/>
          <w:marRight w:val="0"/>
          <w:marTop w:val="0"/>
          <w:marBottom w:val="0"/>
          <w:divBdr>
            <w:top w:val="none" w:sz="0" w:space="0" w:color="auto"/>
            <w:left w:val="none" w:sz="0" w:space="0" w:color="auto"/>
            <w:bottom w:val="none" w:sz="0" w:space="0" w:color="auto"/>
            <w:right w:val="none" w:sz="0" w:space="0" w:color="auto"/>
          </w:divBdr>
        </w:div>
      </w:divsChild>
    </w:div>
    <w:div w:id="5181365">
      <w:marLeft w:val="0"/>
      <w:marRight w:val="0"/>
      <w:marTop w:val="0"/>
      <w:marBottom w:val="240"/>
      <w:divBdr>
        <w:top w:val="none" w:sz="0" w:space="0" w:color="auto"/>
        <w:left w:val="none" w:sz="0" w:space="0" w:color="auto"/>
        <w:bottom w:val="none" w:sz="0" w:space="0" w:color="auto"/>
        <w:right w:val="none" w:sz="0" w:space="0" w:color="auto"/>
      </w:divBdr>
    </w:div>
    <w:div w:id="13851438">
      <w:marLeft w:val="0"/>
      <w:marRight w:val="0"/>
      <w:marTop w:val="0"/>
      <w:marBottom w:val="0"/>
      <w:divBdr>
        <w:top w:val="none" w:sz="0" w:space="0" w:color="auto"/>
        <w:left w:val="none" w:sz="0" w:space="0" w:color="auto"/>
        <w:bottom w:val="none" w:sz="0" w:space="0" w:color="auto"/>
        <w:right w:val="none" w:sz="0" w:space="0" w:color="auto"/>
      </w:divBdr>
      <w:divsChild>
        <w:div w:id="525412246">
          <w:marLeft w:val="0"/>
          <w:marRight w:val="0"/>
          <w:marTop w:val="0"/>
          <w:marBottom w:val="0"/>
          <w:divBdr>
            <w:top w:val="none" w:sz="0" w:space="0" w:color="auto"/>
            <w:left w:val="none" w:sz="0" w:space="0" w:color="auto"/>
            <w:bottom w:val="none" w:sz="0" w:space="0" w:color="auto"/>
            <w:right w:val="none" w:sz="0" w:space="0" w:color="auto"/>
          </w:divBdr>
        </w:div>
        <w:div w:id="942959390">
          <w:marLeft w:val="0"/>
          <w:marRight w:val="0"/>
          <w:marTop w:val="180"/>
          <w:marBottom w:val="0"/>
          <w:divBdr>
            <w:top w:val="none" w:sz="0" w:space="0" w:color="auto"/>
            <w:left w:val="none" w:sz="0" w:space="0" w:color="auto"/>
            <w:bottom w:val="none" w:sz="0" w:space="0" w:color="auto"/>
            <w:right w:val="none" w:sz="0" w:space="0" w:color="auto"/>
          </w:divBdr>
        </w:div>
      </w:divsChild>
    </w:div>
    <w:div w:id="15623025">
      <w:marLeft w:val="0"/>
      <w:marRight w:val="0"/>
      <w:marTop w:val="0"/>
      <w:marBottom w:val="200"/>
      <w:divBdr>
        <w:top w:val="none" w:sz="0" w:space="0" w:color="auto"/>
        <w:left w:val="none" w:sz="0" w:space="0" w:color="auto"/>
        <w:bottom w:val="none" w:sz="0" w:space="0" w:color="auto"/>
        <w:right w:val="none" w:sz="0" w:space="0" w:color="auto"/>
      </w:divBdr>
    </w:div>
    <w:div w:id="16349329">
      <w:marLeft w:val="0"/>
      <w:marRight w:val="0"/>
      <w:marTop w:val="0"/>
      <w:marBottom w:val="200"/>
      <w:divBdr>
        <w:top w:val="none" w:sz="0" w:space="0" w:color="auto"/>
        <w:left w:val="none" w:sz="0" w:space="0" w:color="auto"/>
        <w:bottom w:val="none" w:sz="0" w:space="0" w:color="auto"/>
        <w:right w:val="none" w:sz="0" w:space="0" w:color="auto"/>
      </w:divBdr>
    </w:div>
    <w:div w:id="18246120">
      <w:marLeft w:val="0"/>
      <w:marRight w:val="0"/>
      <w:marTop w:val="100"/>
      <w:marBottom w:val="100"/>
      <w:divBdr>
        <w:top w:val="none" w:sz="0" w:space="0" w:color="auto"/>
        <w:left w:val="none" w:sz="0" w:space="0" w:color="auto"/>
        <w:bottom w:val="none" w:sz="0" w:space="0" w:color="auto"/>
        <w:right w:val="none" w:sz="0" w:space="0" w:color="auto"/>
      </w:divBdr>
    </w:div>
    <w:div w:id="21977229">
      <w:marLeft w:val="0"/>
      <w:marRight w:val="0"/>
      <w:marTop w:val="100"/>
      <w:marBottom w:val="100"/>
      <w:divBdr>
        <w:top w:val="none" w:sz="0" w:space="0" w:color="auto"/>
        <w:left w:val="none" w:sz="0" w:space="0" w:color="auto"/>
        <w:bottom w:val="none" w:sz="0" w:space="0" w:color="auto"/>
        <w:right w:val="none" w:sz="0" w:space="0" w:color="auto"/>
      </w:divBdr>
    </w:div>
    <w:div w:id="33697009">
      <w:marLeft w:val="0"/>
      <w:marRight w:val="0"/>
      <w:marTop w:val="100"/>
      <w:marBottom w:val="100"/>
      <w:divBdr>
        <w:top w:val="none" w:sz="0" w:space="0" w:color="auto"/>
        <w:left w:val="none" w:sz="0" w:space="0" w:color="auto"/>
        <w:bottom w:val="none" w:sz="0" w:space="0" w:color="auto"/>
        <w:right w:val="none" w:sz="0" w:space="0" w:color="auto"/>
      </w:divBdr>
    </w:div>
    <w:div w:id="35203226">
      <w:marLeft w:val="0"/>
      <w:marRight w:val="0"/>
      <w:marTop w:val="0"/>
      <w:marBottom w:val="0"/>
      <w:divBdr>
        <w:top w:val="none" w:sz="0" w:space="0" w:color="auto"/>
        <w:left w:val="none" w:sz="0" w:space="0" w:color="auto"/>
        <w:bottom w:val="none" w:sz="0" w:space="0" w:color="auto"/>
        <w:right w:val="none" w:sz="0" w:space="0" w:color="auto"/>
      </w:divBdr>
    </w:div>
    <w:div w:id="40520280">
      <w:marLeft w:val="0"/>
      <w:marRight w:val="0"/>
      <w:marTop w:val="0"/>
      <w:marBottom w:val="0"/>
      <w:divBdr>
        <w:top w:val="none" w:sz="0" w:space="0" w:color="auto"/>
        <w:left w:val="none" w:sz="0" w:space="0" w:color="auto"/>
        <w:bottom w:val="none" w:sz="0" w:space="0" w:color="auto"/>
        <w:right w:val="none" w:sz="0" w:space="0" w:color="auto"/>
      </w:divBdr>
      <w:divsChild>
        <w:div w:id="782773995">
          <w:marLeft w:val="0"/>
          <w:marRight w:val="0"/>
          <w:marTop w:val="0"/>
          <w:marBottom w:val="0"/>
          <w:divBdr>
            <w:top w:val="none" w:sz="0" w:space="0" w:color="auto"/>
            <w:left w:val="none" w:sz="0" w:space="0" w:color="auto"/>
            <w:bottom w:val="none" w:sz="0" w:space="0" w:color="auto"/>
            <w:right w:val="none" w:sz="0" w:space="0" w:color="auto"/>
          </w:divBdr>
        </w:div>
      </w:divsChild>
    </w:div>
    <w:div w:id="42139657">
      <w:marLeft w:val="0"/>
      <w:marRight w:val="0"/>
      <w:marTop w:val="0"/>
      <w:marBottom w:val="200"/>
      <w:divBdr>
        <w:top w:val="none" w:sz="0" w:space="0" w:color="auto"/>
        <w:left w:val="none" w:sz="0" w:space="0" w:color="auto"/>
        <w:bottom w:val="none" w:sz="0" w:space="0" w:color="auto"/>
        <w:right w:val="none" w:sz="0" w:space="0" w:color="auto"/>
      </w:divBdr>
    </w:div>
    <w:div w:id="50079823">
      <w:marLeft w:val="0"/>
      <w:marRight w:val="0"/>
      <w:marTop w:val="100"/>
      <w:marBottom w:val="100"/>
      <w:divBdr>
        <w:top w:val="none" w:sz="0" w:space="0" w:color="auto"/>
        <w:left w:val="none" w:sz="0" w:space="0" w:color="auto"/>
        <w:bottom w:val="none" w:sz="0" w:space="0" w:color="auto"/>
        <w:right w:val="none" w:sz="0" w:space="0" w:color="auto"/>
      </w:divBdr>
    </w:div>
    <w:div w:id="50081567">
      <w:marLeft w:val="0"/>
      <w:marRight w:val="0"/>
      <w:marTop w:val="0"/>
      <w:marBottom w:val="0"/>
      <w:divBdr>
        <w:top w:val="none" w:sz="0" w:space="0" w:color="auto"/>
        <w:left w:val="none" w:sz="0" w:space="0" w:color="auto"/>
        <w:bottom w:val="none" w:sz="0" w:space="0" w:color="auto"/>
        <w:right w:val="none" w:sz="0" w:space="0" w:color="auto"/>
      </w:divBdr>
    </w:div>
    <w:div w:id="54814994">
      <w:marLeft w:val="0"/>
      <w:marRight w:val="0"/>
      <w:marTop w:val="0"/>
      <w:marBottom w:val="200"/>
      <w:divBdr>
        <w:top w:val="none" w:sz="0" w:space="0" w:color="auto"/>
        <w:left w:val="none" w:sz="0" w:space="0" w:color="auto"/>
        <w:bottom w:val="none" w:sz="0" w:space="0" w:color="auto"/>
        <w:right w:val="none" w:sz="0" w:space="0" w:color="auto"/>
      </w:divBdr>
    </w:div>
    <w:div w:id="72245885">
      <w:marLeft w:val="0"/>
      <w:marRight w:val="0"/>
      <w:marTop w:val="0"/>
      <w:marBottom w:val="200"/>
      <w:divBdr>
        <w:top w:val="none" w:sz="0" w:space="0" w:color="auto"/>
        <w:left w:val="none" w:sz="0" w:space="0" w:color="auto"/>
        <w:bottom w:val="none" w:sz="0" w:space="0" w:color="auto"/>
        <w:right w:val="none" w:sz="0" w:space="0" w:color="auto"/>
      </w:divBdr>
    </w:div>
    <w:div w:id="73938645">
      <w:marLeft w:val="0"/>
      <w:marRight w:val="0"/>
      <w:marTop w:val="0"/>
      <w:marBottom w:val="0"/>
      <w:divBdr>
        <w:top w:val="none" w:sz="0" w:space="0" w:color="auto"/>
        <w:left w:val="none" w:sz="0" w:space="0" w:color="auto"/>
        <w:bottom w:val="none" w:sz="0" w:space="0" w:color="auto"/>
        <w:right w:val="none" w:sz="0" w:space="0" w:color="auto"/>
      </w:divBdr>
      <w:divsChild>
        <w:div w:id="902520248">
          <w:marLeft w:val="0"/>
          <w:marRight w:val="0"/>
          <w:marTop w:val="0"/>
          <w:marBottom w:val="0"/>
          <w:divBdr>
            <w:top w:val="none" w:sz="0" w:space="0" w:color="auto"/>
            <w:left w:val="none" w:sz="0" w:space="0" w:color="auto"/>
            <w:bottom w:val="none" w:sz="0" w:space="0" w:color="auto"/>
            <w:right w:val="none" w:sz="0" w:space="0" w:color="auto"/>
          </w:divBdr>
        </w:div>
      </w:divsChild>
    </w:div>
    <w:div w:id="77217633">
      <w:marLeft w:val="0"/>
      <w:marRight w:val="0"/>
      <w:marTop w:val="0"/>
      <w:marBottom w:val="0"/>
      <w:divBdr>
        <w:top w:val="none" w:sz="0" w:space="0" w:color="auto"/>
        <w:left w:val="none" w:sz="0" w:space="0" w:color="auto"/>
        <w:bottom w:val="none" w:sz="0" w:space="0" w:color="auto"/>
        <w:right w:val="none" w:sz="0" w:space="0" w:color="auto"/>
      </w:divBdr>
      <w:divsChild>
        <w:div w:id="575818424">
          <w:marLeft w:val="0"/>
          <w:marRight w:val="0"/>
          <w:marTop w:val="0"/>
          <w:marBottom w:val="0"/>
          <w:divBdr>
            <w:top w:val="none" w:sz="0" w:space="0" w:color="auto"/>
            <w:left w:val="none" w:sz="0" w:space="0" w:color="auto"/>
            <w:bottom w:val="none" w:sz="0" w:space="0" w:color="auto"/>
            <w:right w:val="none" w:sz="0" w:space="0" w:color="auto"/>
          </w:divBdr>
        </w:div>
        <w:div w:id="595749178">
          <w:marLeft w:val="0"/>
          <w:marRight w:val="0"/>
          <w:marTop w:val="180"/>
          <w:marBottom w:val="0"/>
          <w:divBdr>
            <w:top w:val="none" w:sz="0" w:space="0" w:color="auto"/>
            <w:left w:val="none" w:sz="0" w:space="0" w:color="auto"/>
            <w:bottom w:val="none" w:sz="0" w:space="0" w:color="auto"/>
            <w:right w:val="none" w:sz="0" w:space="0" w:color="auto"/>
          </w:divBdr>
        </w:div>
      </w:divsChild>
    </w:div>
    <w:div w:id="84764520">
      <w:marLeft w:val="0"/>
      <w:marRight w:val="0"/>
      <w:marTop w:val="0"/>
      <w:marBottom w:val="0"/>
      <w:divBdr>
        <w:top w:val="none" w:sz="0" w:space="0" w:color="auto"/>
        <w:left w:val="none" w:sz="0" w:space="0" w:color="auto"/>
        <w:bottom w:val="none" w:sz="0" w:space="0" w:color="auto"/>
        <w:right w:val="none" w:sz="0" w:space="0" w:color="auto"/>
      </w:divBdr>
    </w:div>
    <w:div w:id="88039351">
      <w:marLeft w:val="0"/>
      <w:marRight w:val="0"/>
      <w:marTop w:val="0"/>
      <w:marBottom w:val="200"/>
      <w:divBdr>
        <w:top w:val="none" w:sz="0" w:space="0" w:color="auto"/>
        <w:left w:val="none" w:sz="0" w:space="0" w:color="auto"/>
        <w:bottom w:val="none" w:sz="0" w:space="0" w:color="auto"/>
        <w:right w:val="none" w:sz="0" w:space="0" w:color="auto"/>
      </w:divBdr>
    </w:div>
    <w:div w:id="90472134">
      <w:marLeft w:val="0"/>
      <w:marRight w:val="0"/>
      <w:marTop w:val="0"/>
      <w:marBottom w:val="0"/>
      <w:divBdr>
        <w:top w:val="none" w:sz="0" w:space="0" w:color="auto"/>
        <w:left w:val="none" w:sz="0" w:space="0" w:color="auto"/>
        <w:bottom w:val="none" w:sz="0" w:space="0" w:color="auto"/>
        <w:right w:val="none" w:sz="0" w:space="0" w:color="auto"/>
      </w:divBdr>
      <w:divsChild>
        <w:div w:id="490213928">
          <w:marLeft w:val="0"/>
          <w:marRight w:val="0"/>
          <w:marTop w:val="0"/>
          <w:marBottom w:val="0"/>
          <w:divBdr>
            <w:top w:val="none" w:sz="0" w:space="0" w:color="auto"/>
            <w:left w:val="none" w:sz="0" w:space="0" w:color="auto"/>
            <w:bottom w:val="none" w:sz="0" w:space="0" w:color="auto"/>
            <w:right w:val="none" w:sz="0" w:space="0" w:color="auto"/>
          </w:divBdr>
        </w:div>
      </w:divsChild>
    </w:div>
    <w:div w:id="97876022">
      <w:marLeft w:val="0"/>
      <w:marRight w:val="0"/>
      <w:marTop w:val="0"/>
      <w:marBottom w:val="200"/>
      <w:divBdr>
        <w:top w:val="none" w:sz="0" w:space="0" w:color="auto"/>
        <w:left w:val="none" w:sz="0" w:space="0" w:color="auto"/>
        <w:bottom w:val="none" w:sz="0" w:space="0" w:color="auto"/>
        <w:right w:val="none" w:sz="0" w:space="0" w:color="auto"/>
      </w:divBdr>
    </w:div>
    <w:div w:id="101845553">
      <w:marLeft w:val="0"/>
      <w:marRight w:val="0"/>
      <w:marTop w:val="0"/>
      <w:marBottom w:val="0"/>
      <w:divBdr>
        <w:top w:val="none" w:sz="0" w:space="0" w:color="auto"/>
        <w:left w:val="none" w:sz="0" w:space="0" w:color="auto"/>
        <w:bottom w:val="none" w:sz="0" w:space="0" w:color="auto"/>
        <w:right w:val="none" w:sz="0" w:space="0" w:color="auto"/>
      </w:divBdr>
    </w:div>
    <w:div w:id="102459937">
      <w:marLeft w:val="0"/>
      <w:marRight w:val="0"/>
      <w:marTop w:val="100"/>
      <w:marBottom w:val="100"/>
      <w:divBdr>
        <w:top w:val="none" w:sz="0" w:space="0" w:color="auto"/>
        <w:left w:val="none" w:sz="0" w:space="0" w:color="auto"/>
        <w:bottom w:val="none" w:sz="0" w:space="0" w:color="auto"/>
        <w:right w:val="none" w:sz="0" w:space="0" w:color="auto"/>
      </w:divBdr>
    </w:div>
    <w:div w:id="105470381">
      <w:marLeft w:val="0"/>
      <w:marRight w:val="0"/>
      <w:marTop w:val="0"/>
      <w:marBottom w:val="200"/>
      <w:divBdr>
        <w:top w:val="none" w:sz="0" w:space="0" w:color="auto"/>
        <w:left w:val="none" w:sz="0" w:space="0" w:color="auto"/>
        <w:bottom w:val="none" w:sz="0" w:space="0" w:color="auto"/>
        <w:right w:val="none" w:sz="0" w:space="0" w:color="auto"/>
      </w:divBdr>
    </w:div>
    <w:div w:id="110055577">
      <w:marLeft w:val="0"/>
      <w:marRight w:val="0"/>
      <w:marTop w:val="0"/>
      <w:marBottom w:val="0"/>
      <w:divBdr>
        <w:top w:val="none" w:sz="0" w:space="0" w:color="auto"/>
        <w:left w:val="none" w:sz="0" w:space="0" w:color="auto"/>
        <w:bottom w:val="none" w:sz="0" w:space="0" w:color="auto"/>
        <w:right w:val="none" w:sz="0" w:space="0" w:color="auto"/>
      </w:divBdr>
      <w:divsChild>
        <w:div w:id="1621840618">
          <w:marLeft w:val="0"/>
          <w:marRight w:val="0"/>
          <w:marTop w:val="0"/>
          <w:marBottom w:val="0"/>
          <w:divBdr>
            <w:top w:val="none" w:sz="0" w:space="0" w:color="auto"/>
            <w:left w:val="none" w:sz="0" w:space="0" w:color="auto"/>
            <w:bottom w:val="none" w:sz="0" w:space="0" w:color="auto"/>
            <w:right w:val="none" w:sz="0" w:space="0" w:color="auto"/>
          </w:divBdr>
        </w:div>
      </w:divsChild>
    </w:div>
    <w:div w:id="110563401">
      <w:marLeft w:val="0"/>
      <w:marRight w:val="0"/>
      <w:marTop w:val="0"/>
      <w:marBottom w:val="0"/>
      <w:divBdr>
        <w:top w:val="none" w:sz="0" w:space="0" w:color="auto"/>
        <w:left w:val="none" w:sz="0" w:space="0" w:color="auto"/>
        <w:bottom w:val="none" w:sz="0" w:space="0" w:color="auto"/>
        <w:right w:val="none" w:sz="0" w:space="0" w:color="auto"/>
      </w:divBdr>
      <w:divsChild>
        <w:div w:id="876354162">
          <w:marLeft w:val="0"/>
          <w:marRight w:val="0"/>
          <w:marTop w:val="0"/>
          <w:marBottom w:val="0"/>
          <w:divBdr>
            <w:top w:val="none" w:sz="0" w:space="0" w:color="auto"/>
            <w:left w:val="none" w:sz="0" w:space="0" w:color="auto"/>
            <w:bottom w:val="none" w:sz="0" w:space="0" w:color="auto"/>
            <w:right w:val="none" w:sz="0" w:space="0" w:color="auto"/>
          </w:divBdr>
        </w:div>
      </w:divsChild>
    </w:div>
    <w:div w:id="111292589">
      <w:marLeft w:val="0"/>
      <w:marRight w:val="0"/>
      <w:marTop w:val="0"/>
      <w:marBottom w:val="200"/>
      <w:divBdr>
        <w:top w:val="none" w:sz="0" w:space="0" w:color="auto"/>
        <w:left w:val="none" w:sz="0" w:space="0" w:color="auto"/>
        <w:bottom w:val="none" w:sz="0" w:space="0" w:color="auto"/>
        <w:right w:val="none" w:sz="0" w:space="0" w:color="auto"/>
      </w:divBdr>
    </w:div>
    <w:div w:id="148445282">
      <w:marLeft w:val="0"/>
      <w:marRight w:val="0"/>
      <w:marTop w:val="100"/>
      <w:marBottom w:val="0"/>
      <w:divBdr>
        <w:top w:val="none" w:sz="0" w:space="0" w:color="auto"/>
        <w:left w:val="none" w:sz="0" w:space="0" w:color="auto"/>
        <w:bottom w:val="none" w:sz="0" w:space="0" w:color="auto"/>
        <w:right w:val="none" w:sz="0" w:space="0" w:color="auto"/>
      </w:divBdr>
    </w:div>
    <w:div w:id="151718344">
      <w:marLeft w:val="0"/>
      <w:marRight w:val="0"/>
      <w:marTop w:val="0"/>
      <w:marBottom w:val="0"/>
      <w:divBdr>
        <w:top w:val="none" w:sz="0" w:space="0" w:color="auto"/>
        <w:left w:val="none" w:sz="0" w:space="0" w:color="auto"/>
        <w:bottom w:val="none" w:sz="0" w:space="0" w:color="auto"/>
        <w:right w:val="none" w:sz="0" w:space="0" w:color="auto"/>
      </w:divBdr>
      <w:divsChild>
        <w:div w:id="1867063709">
          <w:marLeft w:val="0"/>
          <w:marRight w:val="0"/>
          <w:marTop w:val="0"/>
          <w:marBottom w:val="0"/>
          <w:divBdr>
            <w:top w:val="none" w:sz="0" w:space="0" w:color="auto"/>
            <w:left w:val="none" w:sz="0" w:space="0" w:color="auto"/>
            <w:bottom w:val="none" w:sz="0" w:space="0" w:color="auto"/>
            <w:right w:val="none" w:sz="0" w:space="0" w:color="auto"/>
          </w:divBdr>
        </w:div>
      </w:divsChild>
    </w:div>
    <w:div w:id="157549137">
      <w:marLeft w:val="0"/>
      <w:marRight w:val="0"/>
      <w:marTop w:val="0"/>
      <w:marBottom w:val="0"/>
      <w:divBdr>
        <w:top w:val="none" w:sz="0" w:space="0" w:color="auto"/>
        <w:left w:val="none" w:sz="0" w:space="0" w:color="auto"/>
        <w:bottom w:val="none" w:sz="0" w:space="0" w:color="auto"/>
        <w:right w:val="none" w:sz="0" w:space="0" w:color="auto"/>
      </w:divBdr>
      <w:divsChild>
        <w:div w:id="1946031593">
          <w:marLeft w:val="0"/>
          <w:marRight w:val="0"/>
          <w:marTop w:val="0"/>
          <w:marBottom w:val="0"/>
          <w:divBdr>
            <w:top w:val="none" w:sz="0" w:space="0" w:color="auto"/>
            <w:left w:val="none" w:sz="0" w:space="0" w:color="auto"/>
            <w:bottom w:val="none" w:sz="0" w:space="0" w:color="auto"/>
            <w:right w:val="none" w:sz="0" w:space="0" w:color="auto"/>
          </w:divBdr>
        </w:div>
      </w:divsChild>
    </w:div>
    <w:div w:id="167331212">
      <w:marLeft w:val="0"/>
      <w:marRight w:val="0"/>
      <w:marTop w:val="0"/>
      <w:marBottom w:val="0"/>
      <w:divBdr>
        <w:top w:val="none" w:sz="0" w:space="0" w:color="auto"/>
        <w:left w:val="none" w:sz="0" w:space="0" w:color="auto"/>
        <w:bottom w:val="none" w:sz="0" w:space="0" w:color="auto"/>
        <w:right w:val="none" w:sz="0" w:space="0" w:color="auto"/>
      </w:divBdr>
    </w:div>
    <w:div w:id="167721593">
      <w:marLeft w:val="0"/>
      <w:marRight w:val="0"/>
      <w:marTop w:val="0"/>
      <w:marBottom w:val="0"/>
      <w:divBdr>
        <w:top w:val="none" w:sz="0" w:space="0" w:color="auto"/>
        <w:left w:val="none" w:sz="0" w:space="0" w:color="auto"/>
        <w:bottom w:val="none" w:sz="0" w:space="0" w:color="auto"/>
        <w:right w:val="none" w:sz="0" w:space="0" w:color="auto"/>
      </w:divBdr>
      <w:divsChild>
        <w:div w:id="1801150675">
          <w:marLeft w:val="0"/>
          <w:marRight w:val="0"/>
          <w:marTop w:val="0"/>
          <w:marBottom w:val="0"/>
          <w:divBdr>
            <w:top w:val="none" w:sz="0" w:space="0" w:color="auto"/>
            <w:left w:val="none" w:sz="0" w:space="0" w:color="auto"/>
            <w:bottom w:val="none" w:sz="0" w:space="0" w:color="auto"/>
            <w:right w:val="none" w:sz="0" w:space="0" w:color="auto"/>
          </w:divBdr>
        </w:div>
        <w:div w:id="579339511">
          <w:marLeft w:val="0"/>
          <w:marRight w:val="0"/>
          <w:marTop w:val="180"/>
          <w:marBottom w:val="0"/>
          <w:divBdr>
            <w:top w:val="none" w:sz="0" w:space="0" w:color="auto"/>
            <w:left w:val="none" w:sz="0" w:space="0" w:color="auto"/>
            <w:bottom w:val="none" w:sz="0" w:space="0" w:color="auto"/>
            <w:right w:val="none" w:sz="0" w:space="0" w:color="auto"/>
          </w:divBdr>
        </w:div>
      </w:divsChild>
    </w:div>
    <w:div w:id="170678563">
      <w:marLeft w:val="0"/>
      <w:marRight w:val="0"/>
      <w:marTop w:val="100"/>
      <w:marBottom w:val="160"/>
      <w:divBdr>
        <w:top w:val="none" w:sz="0" w:space="0" w:color="auto"/>
        <w:left w:val="none" w:sz="0" w:space="0" w:color="auto"/>
        <w:bottom w:val="none" w:sz="0" w:space="0" w:color="auto"/>
        <w:right w:val="none" w:sz="0" w:space="0" w:color="auto"/>
      </w:divBdr>
    </w:div>
    <w:div w:id="171383527">
      <w:marLeft w:val="0"/>
      <w:marRight w:val="0"/>
      <w:marTop w:val="0"/>
      <w:marBottom w:val="0"/>
      <w:divBdr>
        <w:top w:val="none" w:sz="0" w:space="0" w:color="auto"/>
        <w:left w:val="none" w:sz="0" w:space="0" w:color="auto"/>
        <w:bottom w:val="none" w:sz="0" w:space="0" w:color="auto"/>
        <w:right w:val="none" w:sz="0" w:space="0" w:color="auto"/>
      </w:divBdr>
    </w:div>
    <w:div w:id="171921698">
      <w:marLeft w:val="0"/>
      <w:marRight w:val="0"/>
      <w:marTop w:val="0"/>
      <w:marBottom w:val="200"/>
      <w:divBdr>
        <w:top w:val="none" w:sz="0" w:space="0" w:color="auto"/>
        <w:left w:val="none" w:sz="0" w:space="0" w:color="auto"/>
        <w:bottom w:val="none" w:sz="0" w:space="0" w:color="auto"/>
        <w:right w:val="none" w:sz="0" w:space="0" w:color="auto"/>
      </w:divBdr>
    </w:div>
    <w:div w:id="178324788">
      <w:marLeft w:val="0"/>
      <w:marRight w:val="0"/>
      <w:marTop w:val="0"/>
      <w:marBottom w:val="0"/>
      <w:divBdr>
        <w:top w:val="none" w:sz="0" w:space="0" w:color="auto"/>
        <w:left w:val="none" w:sz="0" w:space="0" w:color="auto"/>
        <w:bottom w:val="none" w:sz="0" w:space="0" w:color="auto"/>
        <w:right w:val="none" w:sz="0" w:space="0" w:color="auto"/>
      </w:divBdr>
      <w:divsChild>
        <w:div w:id="235937424">
          <w:marLeft w:val="0"/>
          <w:marRight w:val="0"/>
          <w:marTop w:val="0"/>
          <w:marBottom w:val="0"/>
          <w:divBdr>
            <w:top w:val="none" w:sz="0" w:space="0" w:color="auto"/>
            <w:left w:val="none" w:sz="0" w:space="0" w:color="auto"/>
            <w:bottom w:val="none" w:sz="0" w:space="0" w:color="auto"/>
            <w:right w:val="none" w:sz="0" w:space="0" w:color="auto"/>
          </w:divBdr>
        </w:div>
      </w:divsChild>
    </w:div>
    <w:div w:id="179515220">
      <w:marLeft w:val="0"/>
      <w:marRight w:val="0"/>
      <w:marTop w:val="100"/>
      <w:marBottom w:val="100"/>
      <w:divBdr>
        <w:top w:val="none" w:sz="0" w:space="0" w:color="auto"/>
        <w:left w:val="none" w:sz="0" w:space="0" w:color="auto"/>
        <w:bottom w:val="none" w:sz="0" w:space="0" w:color="auto"/>
        <w:right w:val="none" w:sz="0" w:space="0" w:color="auto"/>
      </w:divBdr>
    </w:div>
    <w:div w:id="207113162">
      <w:marLeft w:val="0"/>
      <w:marRight w:val="0"/>
      <w:marTop w:val="0"/>
      <w:marBottom w:val="200"/>
      <w:divBdr>
        <w:top w:val="none" w:sz="0" w:space="0" w:color="auto"/>
        <w:left w:val="none" w:sz="0" w:space="0" w:color="auto"/>
        <w:bottom w:val="none" w:sz="0" w:space="0" w:color="auto"/>
        <w:right w:val="none" w:sz="0" w:space="0" w:color="auto"/>
      </w:divBdr>
    </w:div>
    <w:div w:id="213204408">
      <w:marLeft w:val="0"/>
      <w:marRight w:val="0"/>
      <w:marTop w:val="0"/>
      <w:marBottom w:val="0"/>
      <w:divBdr>
        <w:top w:val="none" w:sz="0" w:space="0" w:color="auto"/>
        <w:left w:val="none" w:sz="0" w:space="0" w:color="auto"/>
        <w:bottom w:val="none" w:sz="0" w:space="0" w:color="auto"/>
        <w:right w:val="none" w:sz="0" w:space="0" w:color="auto"/>
      </w:divBdr>
      <w:divsChild>
        <w:div w:id="998844006">
          <w:marLeft w:val="0"/>
          <w:marRight w:val="0"/>
          <w:marTop w:val="0"/>
          <w:marBottom w:val="0"/>
          <w:divBdr>
            <w:top w:val="none" w:sz="0" w:space="0" w:color="auto"/>
            <w:left w:val="none" w:sz="0" w:space="0" w:color="auto"/>
            <w:bottom w:val="none" w:sz="0" w:space="0" w:color="auto"/>
            <w:right w:val="none" w:sz="0" w:space="0" w:color="auto"/>
          </w:divBdr>
        </w:div>
        <w:div w:id="1009404410">
          <w:marLeft w:val="0"/>
          <w:marRight w:val="0"/>
          <w:marTop w:val="180"/>
          <w:marBottom w:val="0"/>
          <w:divBdr>
            <w:top w:val="none" w:sz="0" w:space="0" w:color="auto"/>
            <w:left w:val="none" w:sz="0" w:space="0" w:color="auto"/>
            <w:bottom w:val="none" w:sz="0" w:space="0" w:color="auto"/>
            <w:right w:val="none" w:sz="0" w:space="0" w:color="auto"/>
          </w:divBdr>
        </w:div>
      </w:divsChild>
    </w:div>
    <w:div w:id="214316925">
      <w:marLeft w:val="0"/>
      <w:marRight w:val="0"/>
      <w:marTop w:val="200"/>
      <w:marBottom w:val="0"/>
      <w:divBdr>
        <w:top w:val="none" w:sz="0" w:space="0" w:color="auto"/>
        <w:left w:val="none" w:sz="0" w:space="0" w:color="auto"/>
        <w:bottom w:val="none" w:sz="0" w:space="0" w:color="auto"/>
        <w:right w:val="none" w:sz="0" w:space="0" w:color="auto"/>
      </w:divBdr>
    </w:div>
    <w:div w:id="215045724">
      <w:marLeft w:val="0"/>
      <w:marRight w:val="0"/>
      <w:marTop w:val="0"/>
      <w:marBottom w:val="200"/>
      <w:divBdr>
        <w:top w:val="none" w:sz="0" w:space="0" w:color="auto"/>
        <w:left w:val="none" w:sz="0" w:space="0" w:color="auto"/>
        <w:bottom w:val="none" w:sz="0" w:space="0" w:color="auto"/>
        <w:right w:val="none" w:sz="0" w:space="0" w:color="auto"/>
      </w:divBdr>
    </w:div>
    <w:div w:id="215973755">
      <w:marLeft w:val="0"/>
      <w:marRight w:val="0"/>
      <w:marTop w:val="0"/>
      <w:marBottom w:val="0"/>
      <w:divBdr>
        <w:top w:val="none" w:sz="0" w:space="0" w:color="auto"/>
        <w:left w:val="none" w:sz="0" w:space="0" w:color="auto"/>
        <w:bottom w:val="none" w:sz="0" w:space="0" w:color="auto"/>
        <w:right w:val="none" w:sz="0" w:space="0" w:color="auto"/>
      </w:divBdr>
      <w:divsChild>
        <w:div w:id="432894267">
          <w:marLeft w:val="0"/>
          <w:marRight w:val="0"/>
          <w:marTop w:val="0"/>
          <w:marBottom w:val="0"/>
          <w:divBdr>
            <w:top w:val="none" w:sz="0" w:space="0" w:color="auto"/>
            <w:left w:val="none" w:sz="0" w:space="0" w:color="auto"/>
            <w:bottom w:val="none" w:sz="0" w:space="0" w:color="auto"/>
            <w:right w:val="none" w:sz="0" w:space="0" w:color="auto"/>
          </w:divBdr>
        </w:div>
      </w:divsChild>
    </w:div>
    <w:div w:id="216474069">
      <w:marLeft w:val="0"/>
      <w:marRight w:val="0"/>
      <w:marTop w:val="0"/>
      <w:marBottom w:val="0"/>
      <w:divBdr>
        <w:top w:val="none" w:sz="0" w:space="0" w:color="auto"/>
        <w:left w:val="none" w:sz="0" w:space="0" w:color="auto"/>
        <w:bottom w:val="none" w:sz="0" w:space="0" w:color="auto"/>
        <w:right w:val="none" w:sz="0" w:space="0" w:color="auto"/>
      </w:divBdr>
      <w:divsChild>
        <w:div w:id="302856723">
          <w:marLeft w:val="0"/>
          <w:marRight w:val="0"/>
          <w:marTop w:val="0"/>
          <w:marBottom w:val="0"/>
          <w:divBdr>
            <w:top w:val="none" w:sz="0" w:space="0" w:color="auto"/>
            <w:left w:val="none" w:sz="0" w:space="0" w:color="auto"/>
            <w:bottom w:val="none" w:sz="0" w:space="0" w:color="auto"/>
            <w:right w:val="none" w:sz="0" w:space="0" w:color="auto"/>
          </w:divBdr>
        </w:div>
      </w:divsChild>
    </w:div>
    <w:div w:id="217058657">
      <w:marLeft w:val="0"/>
      <w:marRight w:val="0"/>
      <w:marTop w:val="0"/>
      <w:marBottom w:val="200"/>
      <w:divBdr>
        <w:top w:val="none" w:sz="0" w:space="0" w:color="auto"/>
        <w:left w:val="none" w:sz="0" w:space="0" w:color="auto"/>
        <w:bottom w:val="none" w:sz="0" w:space="0" w:color="auto"/>
        <w:right w:val="none" w:sz="0" w:space="0" w:color="auto"/>
      </w:divBdr>
    </w:div>
    <w:div w:id="223881371">
      <w:marLeft w:val="0"/>
      <w:marRight w:val="0"/>
      <w:marTop w:val="100"/>
      <w:marBottom w:val="0"/>
      <w:divBdr>
        <w:top w:val="none" w:sz="0" w:space="0" w:color="auto"/>
        <w:left w:val="none" w:sz="0" w:space="0" w:color="auto"/>
        <w:bottom w:val="none" w:sz="0" w:space="0" w:color="auto"/>
        <w:right w:val="none" w:sz="0" w:space="0" w:color="auto"/>
      </w:divBdr>
    </w:div>
    <w:div w:id="228536764">
      <w:marLeft w:val="0"/>
      <w:marRight w:val="0"/>
      <w:marTop w:val="0"/>
      <w:marBottom w:val="200"/>
      <w:divBdr>
        <w:top w:val="none" w:sz="0" w:space="0" w:color="auto"/>
        <w:left w:val="none" w:sz="0" w:space="0" w:color="auto"/>
        <w:bottom w:val="none" w:sz="0" w:space="0" w:color="auto"/>
        <w:right w:val="none" w:sz="0" w:space="0" w:color="auto"/>
      </w:divBdr>
    </w:div>
    <w:div w:id="239337942">
      <w:marLeft w:val="0"/>
      <w:marRight w:val="0"/>
      <w:marTop w:val="0"/>
      <w:marBottom w:val="200"/>
      <w:divBdr>
        <w:top w:val="none" w:sz="0" w:space="0" w:color="auto"/>
        <w:left w:val="none" w:sz="0" w:space="0" w:color="auto"/>
        <w:bottom w:val="none" w:sz="0" w:space="0" w:color="auto"/>
        <w:right w:val="none" w:sz="0" w:space="0" w:color="auto"/>
      </w:divBdr>
    </w:div>
    <w:div w:id="253587867">
      <w:marLeft w:val="0"/>
      <w:marRight w:val="0"/>
      <w:marTop w:val="0"/>
      <w:marBottom w:val="200"/>
      <w:divBdr>
        <w:top w:val="none" w:sz="0" w:space="0" w:color="auto"/>
        <w:left w:val="none" w:sz="0" w:space="0" w:color="auto"/>
        <w:bottom w:val="none" w:sz="0" w:space="0" w:color="auto"/>
        <w:right w:val="none" w:sz="0" w:space="0" w:color="auto"/>
      </w:divBdr>
    </w:div>
    <w:div w:id="263344862">
      <w:marLeft w:val="0"/>
      <w:marRight w:val="0"/>
      <w:marTop w:val="100"/>
      <w:marBottom w:val="0"/>
      <w:divBdr>
        <w:top w:val="none" w:sz="0" w:space="0" w:color="auto"/>
        <w:left w:val="none" w:sz="0" w:space="0" w:color="auto"/>
        <w:bottom w:val="none" w:sz="0" w:space="0" w:color="auto"/>
        <w:right w:val="none" w:sz="0" w:space="0" w:color="auto"/>
      </w:divBdr>
    </w:div>
    <w:div w:id="275602400">
      <w:marLeft w:val="0"/>
      <w:marRight w:val="0"/>
      <w:marTop w:val="0"/>
      <w:marBottom w:val="0"/>
      <w:divBdr>
        <w:top w:val="none" w:sz="0" w:space="0" w:color="auto"/>
        <w:left w:val="none" w:sz="0" w:space="0" w:color="auto"/>
        <w:bottom w:val="none" w:sz="0" w:space="0" w:color="auto"/>
        <w:right w:val="none" w:sz="0" w:space="0" w:color="auto"/>
      </w:divBdr>
      <w:divsChild>
        <w:div w:id="738214180">
          <w:marLeft w:val="0"/>
          <w:marRight w:val="0"/>
          <w:marTop w:val="0"/>
          <w:marBottom w:val="0"/>
          <w:divBdr>
            <w:top w:val="none" w:sz="0" w:space="0" w:color="auto"/>
            <w:left w:val="none" w:sz="0" w:space="0" w:color="auto"/>
            <w:bottom w:val="none" w:sz="0" w:space="0" w:color="auto"/>
            <w:right w:val="none" w:sz="0" w:space="0" w:color="auto"/>
          </w:divBdr>
        </w:div>
      </w:divsChild>
    </w:div>
    <w:div w:id="277374850">
      <w:marLeft w:val="0"/>
      <w:marRight w:val="0"/>
      <w:marTop w:val="0"/>
      <w:marBottom w:val="200"/>
      <w:divBdr>
        <w:top w:val="none" w:sz="0" w:space="0" w:color="auto"/>
        <w:left w:val="none" w:sz="0" w:space="0" w:color="auto"/>
        <w:bottom w:val="none" w:sz="0" w:space="0" w:color="auto"/>
        <w:right w:val="none" w:sz="0" w:space="0" w:color="auto"/>
      </w:divBdr>
    </w:div>
    <w:div w:id="278101999">
      <w:marLeft w:val="0"/>
      <w:marRight w:val="0"/>
      <w:marTop w:val="460"/>
      <w:marBottom w:val="100"/>
      <w:divBdr>
        <w:top w:val="none" w:sz="0" w:space="0" w:color="auto"/>
        <w:left w:val="none" w:sz="0" w:space="0" w:color="auto"/>
        <w:bottom w:val="none" w:sz="0" w:space="0" w:color="auto"/>
        <w:right w:val="none" w:sz="0" w:space="0" w:color="auto"/>
      </w:divBdr>
      <w:divsChild>
        <w:div w:id="1168713832">
          <w:marLeft w:val="0"/>
          <w:marRight w:val="0"/>
          <w:marTop w:val="0"/>
          <w:marBottom w:val="0"/>
          <w:divBdr>
            <w:top w:val="none" w:sz="0" w:space="0" w:color="auto"/>
            <w:left w:val="none" w:sz="0" w:space="0" w:color="auto"/>
            <w:bottom w:val="none" w:sz="0" w:space="0" w:color="auto"/>
            <w:right w:val="none" w:sz="0" w:space="0" w:color="auto"/>
          </w:divBdr>
        </w:div>
        <w:div w:id="652104809">
          <w:marLeft w:val="0"/>
          <w:marRight w:val="0"/>
          <w:marTop w:val="0"/>
          <w:marBottom w:val="0"/>
          <w:divBdr>
            <w:top w:val="none" w:sz="0" w:space="0" w:color="auto"/>
            <w:left w:val="none" w:sz="0" w:space="0" w:color="auto"/>
            <w:bottom w:val="none" w:sz="0" w:space="0" w:color="auto"/>
            <w:right w:val="none" w:sz="0" w:space="0" w:color="auto"/>
          </w:divBdr>
        </w:div>
        <w:div w:id="1673878093">
          <w:marLeft w:val="0"/>
          <w:marRight w:val="0"/>
          <w:marTop w:val="0"/>
          <w:marBottom w:val="0"/>
          <w:divBdr>
            <w:top w:val="none" w:sz="0" w:space="0" w:color="auto"/>
            <w:left w:val="none" w:sz="0" w:space="0" w:color="auto"/>
            <w:bottom w:val="none" w:sz="0" w:space="0" w:color="auto"/>
            <w:right w:val="none" w:sz="0" w:space="0" w:color="auto"/>
          </w:divBdr>
        </w:div>
      </w:divsChild>
    </w:div>
    <w:div w:id="282005967">
      <w:marLeft w:val="0"/>
      <w:marRight w:val="0"/>
      <w:marTop w:val="0"/>
      <w:marBottom w:val="0"/>
      <w:divBdr>
        <w:top w:val="none" w:sz="0" w:space="0" w:color="auto"/>
        <w:left w:val="none" w:sz="0" w:space="0" w:color="auto"/>
        <w:bottom w:val="none" w:sz="0" w:space="0" w:color="auto"/>
        <w:right w:val="none" w:sz="0" w:space="0" w:color="auto"/>
      </w:divBdr>
    </w:div>
    <w:div w:id="292103113">
      <w:marLeft w:val="0"/>
      <w:marRight w:val="0"/>
      <w:marTop w:val="0"/>
      <w:marBottom w:val="0"/>
      <w:divBdr>
        <w:top w:val="none" w:sz="0" w:space="0" w:color="auto"/>
        <w:left w:val="none" w:sz="0" w:space="0" w:color="auto"/>
        <w:bottom w:val="none" w:sz="0" w:space="0" w:color="auto"/>
        <w:right w:val="none" w:sz="0" w:space="0" w:color="auto"/>
      </w:divBdr>
      <w:divsChild>
        <w:div w:id="1465391436">
          <w:marLeft w:val="0"/>
          <w:marRight w:val="0"/>
          <w:marTop w:val="0"/>
          <w:marBottom w:val="0"/>
          <w:divBdr>
            <w:top w:val="none" w:sz="0" w:space="0" w:color="auto"/>
            <w:left w:val="none" w:sz="0" w:space="0" w:color="auto"/>
            <w:bottom w:val="none" w:sz="0" w:space="0" w:color="auto"/>
            <w:right w:val="none" w:sz="0" w:space="0" w:color="auto"/>
          </w:divBdr>
        </w:div>
      </w:divsChild>
    </w:div>
    <w:div w:id="295840055">
      <w:marLeft w:val="0"/>
      <w:marRight w:val="0"/>
      <w:marTop w:val="0"/>
      <w:marBottom w:val="0"/>
      <w:divBdr>
        <w:top w:val="none" w:sz="0" w:space="0" w:color="auto"/>
        <w:left w:val="none" w:sz="0" w:space="0" w:color="auto"/>
        <w:bottom w:val="none" w:sz="0" w:space="0" w:color="auto"/>
        <w:right w:val="none" w:sz="0" w:space="0" w:color="auto"/>
      </w:divBdr>
      <w:divsChild>
        <w:div w:id="1508403695">
          <w:marLeft w:val="0"/>
          <w:marRight w:val="0"/>
          <w:marTop w:val="0"/>
          <w:marBottom w:val="0"/>
          <w:divBdr>
            <w:top w:val="none" w:sz="0" w:space="0" w:color="auto"/>
            <w:left w:val="none" w:sz="0" w:space="0" w:color="auto"/>
            <w:bottom w:val="none" w:sz="0" w:space="0" w:color="auto"/>
            <w:right w:val="none" w:sz="0" w:space="0" w:color="auto"/>
          </w:divBdr>
        </w:div>
      </w:divsChild>
    </w:div>
    <w:div w:id="296229118">
      <w:marLeft w:val="0"/>
      <w:marRight w:val="0"/>
      <w:marTop w:val="0"/>
      <w:marBottom w:val="200"/>
      <w:divBdr>
        <w:top w:val="none" w:sz="0" w:space="0" w:color="auto"/>
        <w:left w:val="none" w:sz="0" w:space="0" w:color="auto"/>
        <w:bottom w:val="none" w:sz="0" w:space="0" w:color="auto"/>
        <w:right w:val="none" w:sz="0" w:space="0" w:color="auto"/>
      </w:divBdr>
    </w:div>
    <w:div w:id="300157497">
      <w:marLeft w:val="0"/>
      <w:marRight w:val="0"/>
      <w:marTop w:val="160"/>
      <w:marBottom w:val="100"/>
      <w:divBdr>
        <w:top w:val="none" w:sz="0" w:space="0" w:color="auto"/>
        <w:left w:val="none" w:sz="0" w:space="0" w:color="auto"/>
        <w:bottom w:val="none" w:sz="0" w:space="0" w:color="auto"/>
        <w:right w:val="none" w:sz="0" w:space="0" w:color="auto"/>
      </w:divBdr>
    </w:div>
    <w:div w:id="302198075">
      <w:marLeft w:val="0"/>
      <w:marRight w:val="0"/>
      <w:marTop w:val="180"/>
      <w:marBottom w:val="0"/>
      <w:divBdr>
        <w:top w:val="none" w:sz="0" w:space="0" w:color="auto"/>
        <w:left w:val="none" w:sz="0" w:space="0" w:color="auto"/>
        <w:bottom w:val="none" w:sz="0" w:space="0" w:color="auto"/>
        <w:right w:val="none" w:sz="0" w:space="0" w:color="auto"/>
      </w:divBdr>
    </w:div>
    <w:div w:id="304093747">
      <w:marLeft w:val="0"/>
      <w:marRight w:val="0"/>
      <w:marTop w:val="0"/>
      <w:marBottom w:val="0"/>
      <w:divBdr>
        <w:top w:val="none" w:sz="0" w:space="0" w:color="auto"/>
        <w:left w:val="none" w:sz="0" w:space="0" w:color="auto"/>
        <w:bottom w:val="none" w:sz="0" w:space="0" w:color="auto"/>
        <w:right w:val="none" w:sz="0" w:space="0" w:color="auto"/>
      </w:divBdr>
      <w:divsChild>
        <w:div w:id="1543862391">
          <w:marLeft w:val="0"/>
          <w:marRight w:val="0"/>
          <w:marTop w:val="0"/>
          <w:marBottom w:val="0"/>
          <w:divBdr>
            <w:top w:val="none" w:sz="0" w:space="0" w:color="auto"/>
            <w:left w:val="none" w:sz="0" w:space="0" w:color="auto"/>
            <w:bottom w:val="none" w:sz="0" w:space="0" w:color="auto"/>
            <w:right w:val="none" w:sz="0" w:space="0" w:color="auto"/>
          </w:divBdr>
        </w:div>
      </w:divsChild>
    </w:div>
    <w:div w:id="316301112">
      <w:marLeft w:val="0"/>
      <w:marRight w:val="0"/>
      <w:marTop w:val="0"/>
      <w:marBottom w:val="200"/>
      <w:divBdr>
        <w:top w:val="none" w:sz="0" w:space="0" w:color="auto"/>
        <w:left w:val="none" w:sz="0" w:space="0" w:color="auto"/>
        <w:bottom w:val="none" w:sz="0" w:space="0" w:color="auto"/>
        <w:right w:val="none" w:sz="0" w:space="0" w:color="auto"/>
      </w:divBdr>
    </w:div>
    <w:div w:id="317927081">
      <w:marLeft w:val="0"/>
      <w:marRight w:val="0"/>
      <w:marTop w:val="0"/>
      <w:marBottom w:val="200"/>
      <w:divBdr>
        <w:top w:val="none" w:sz="0" w:space="0" w:color="auto"/>
        <w:left w:val="none" w:sz="0" w:space="0" w:color="auto"/>
        <w:bottom w:val="none" w:sz="0" w:space="0" w:color="auto"/>
        <w:right w:val="none" w:sz="0" w:space="0" w:color="auto"/>
      </w:divBdr>
    </w:div>
    <w:div w:id="335889748">
      <w:marLeft w:val="0"/>
      <w:marRight w:val="0"/>
      <w:marTop w:val="0"/>
      <w:marBottom w:val="0"/>
      <w:divBdr>
        <w:top w:val="none" w:sz="0" w:space="0" w:color="auto"/>
        <w:left w:val="none" w:sz="0" w:space="0" w:color="auto"/>
        <w:bottom w:val="none" w:sz="0" w:space="0" w:color="auto"/>
        <w:right w:val="none" w:sz="0" w:space="0" w:color="auto"/>
      </w:divBdr>
      <w:divsChild>
        <w:div w:id="1776634695">
          <w:marLeft w:val="0"/>
          <w:marRight w:val="0"/>
          <w:marTop w:val="0"/>
          <w:marBottom w:val="0"/>
          <w:divBdr>
            <w:top w:val="none" w:sz="0" w:space="0" w:color="auto"/>
            <w:left w:val="none" w:sz="0" w:space="0" w:color="auto"/>
            <w:bottom w:val="none" w:sz="0" w:space="0" w:color="auto"/>
            <w:right w:val="none" w:sz="0" w:space="0" w:color="auto"/>
          </w:divBdr>
        </w:div>
      </w:divsChild>
    </w:div>
    <w:div w:id="338698934">
      <w:marLeft w:val="0"/>
      <w:marRight w:val="0"/>
      <w:marTop w:val="100"/>
      <w:marBottom w:val="100"/>
      <w:divBdr>
        <w:top w:val="none" w:sz="0" w:space="0" w:color="auto"/>
        <w:left w:val="none" w:sz="0" w:space="0" w:color="auto"/>
        <w:bottom w:val="none" w:sz="0" w:space="0" w:color="auto"/>
        <w:right w:val="none" w:sz="0" w:space="0" w:color="auto"/>
      </w:divBdr>
    </w:div>
    <w:div w:id="349181503">
      <w:marLeft w:val="0"/>
      <w:marRight w:val="0"/>
      <w:marTop w:val="0"/>
      <w:marBottom w:val="0"/>
      <w:divBdr>
        <w:top w:val="none" w:sz="0" w:space="0" w:color="auto"/>
        <w:left w:val="none" w:sz="0" w:space="0" w:color="auto"/>
        <w:bottom w:val="none" w:sz="0" w:space="0" w:color="auto"/>
        <w:right w:val="none" w:sz="0" w:space="0" w:color="auto"/>
      </w:divBdr>
      <w:divsChild>
        <w:div w:id="1659648091">
          <w:marLeft w:val="0"/>
          <w:marRight w:val="0"/>
          <w:marTop w:val="0"/>
          <w:marBottom w:val="0"/>
          <w:divBdr>
            <w:top w:val="none" w:sz="0" w:space="0" w:color="auto"/>
            <w:left w:val="none" w:sz="0" w:space="0" w:color="auto"/>
            <w:bottom w:val="none" w:sz="0" w:space="0" w:color="auto"/>
            <w:right w:val="none" w:sz="0" w:space="0" w:color="auto"/>
          </w:divBdr>
        </w:div>
        <w:div w:id="38484199">
          <w:marLeft w:val="0"/>
          <w:marRight w:val="0"/>
          <w:marTop w:val="180"/>
          <w:marBottom w:val="0"/>
          <w:divBdr>
            <w:top w:val="none" w:sz="0" w:space="0" w:color="auto"/>
            <w:left w:val="none" w:sz="0" w:space="0" w:color="auto"/>
            <w:bottom w:val="none" w:sz="0" w:space="0" w:color="auto"/>
            <w:right w:val="none" w:sz="0" w:space="0" w:color="auto"/>
          </w:divBdr>
        </w:div>
      </w:divsChild>
    </w:div>
    <w:div w:id="350569035">
      <w:marLeft w:val="0"/>
      <w:marRight w:val="0"/>
      <w:marTop w:val="0"/>
      <w:marBottom w:val="0"/>
      <w:divBdr>
        <w:top w:val="none" w:sz="0" w:space="0" w:color="auto"/>
        <w:left w:val="none" w:sz="0" w:space="0" w:color="auto"/>
        <w:bottom w:val="none" w:sz="0" w:space="0" w:color="auto"/>
        <w:right w:val="none" w:sz="0" w:space="0" w:color="auto"/>
      </w:divBdr>
    </w:div>
    <w:div w:id="355892779">
      <w:marLeft w:val="0"/>
      <w:marRight w:val="0"/>
      <w:marTop w:val="0"/>
      <w:marBottom w:val="0"/>
      <w:divBdr>
        <w:top w:val="none" w:sz="0" w:space="0" w:color="auto"/>
        <w:left w:val="none" w:sz="0" w:space="0" w:color="auto"/>
        <w:bottom w:val="none" w:sz="0" w:space="0" w:color="auto"/>
        <w:right w:val="none" w:sz="0" w:space="0" w:color="auto"/>
      </w:divBdr>
      <w:divsChild>
        <w:div w:id="54353016">
          <w:marLeft w:val="0"/>
          <w:marRight w:val="0"/>
          <w:marTop w:val="0"/>
          <w:marBottom w:val="0"/>
          <w:divBdr>
            <w:top w:val="none" w:sz="0" w:space="0" w:color="auto"/>
            <w:left w:val="none" w:sz="0" w:space="0" w:color="auto"/>
            <w:bottom w:val="none" w:sz="0" w:space="0" w:color="auto"/>
            <w:right w:val="none" w:sz="0" w:space="0" w:color="auto"/>
          </w:divBdr>
        </w:div>
      </w:divsChild>
    </w:div>
    <w:div w:id="360252089">
      <w:marLeft w:val="0"/>
      <w:marRight w:val="0"/>
      <w:marTop w:val="100"/>
      <w:marBottom w:val="100"/>
      <w:divBdr>
        <w:top w:val="none" w:sz="0" w:space="0" w:color="auto"/>
        <w:left w:val="none" w:sz="0" w:space="0" w:color="auto"/>
        <w:bottom w:val="none" w:sz="0" w:space="0" w:color="auto"/>
        <w:right w:val="none" w:sz="0" w:space="0" w:color="auto"/>
      </w:divBdr>
    </w:div>
    <w:div w:id="361367163">
      <w:marLeft w:val="0"/>
      <w:marRight w:val="0"/>
      <w:marTop w:val="0"/>
      <w:marBottom w:val="0"/>
      <w:divBdr>
        <w:top w:val="none" w:sz="0" w:space="0" w:color="auto"/>
        <w:left w:val="none" w:sz="0" w:space="0" w:color="auto"/>
        <w:bottom w:val="none" w:sz="0" w:space="0" w:color="auto"/>
        <w:right w:val="none" w:sz="0" w:space="0" w:color="auto"/>
      </w:divBdr>
    </w:div>
    <w:div w:id="362171380">
      <w:marLeft w:val="0"/>
      <w:marRight w:val="0"/>
      <w:marTop w:val="0"/>
      <w:marBottom w:val="0"/>
      <w:divBdr>
        <w:top w:val="none" w:sz="0" w:space="0" w:color="auto"/>
        <w:left w:val="none" w:sz="0" w:space="0" w:color="auto"/>
        <w:bottom w:val="none" w:sz="0" w:space="0" w:color="auto"/>
        <w:right w:val="none" w:sz="0" w:space="0" w:color="auto"/>
      </w:divBdr>
      <w:divsChild>
        <w:div w:id="1695810454">
          <w:marLeft w:val="0"/>
          <w:marRight w:val="0"/>
          <w:marTop w:val="0"/>
          <w:marBottom w:val="0"/>
          <w:divBdr>
            <w:top w:val="none" w:sz="0" w:space="0" w:color="auto"/>
            <w:left w:val="none" w:sz="0" w:space="0" w:color="auto"/>
            <w:bottom w:val="none" w:sz="0" w:space="0" w:color="auto"/>
            <w:right w:val="none" w:sz="0" w:space="0" w:color="auto"/>
          </w:divBdr>
        </w:div>
      </w:divsChild>
    </w:div>
    <w:div w:id="366563394">
      <w:marLeft w:val="0"/>
      <w:marRight w:val="0"/>
      <w:marTop w:val="0"/>
      <w:marBottom w:val="0"/>
      <w:divBdr>
        <w:top w:val="none" w:sz="0" w:space="0" w:color="auto"/>
        <w:left w:val="none" w:sz="0" w:space="0" w:color="auto"/>
        <w:bottom w:val="none" w:sz="0" w:space="0" w:color="auto"/>
        <w:right w:val="none" w:sz="0" w:space="0" w:color="auto"/>
      </w:divBdr>
    </w:div>
    <w:div w:id="385107868">
      <w:marLeft w:val="0"/>
      <w:marRight w:val="0"/>
      <w:marTop w:val="100"/>
      <w:marBottom w:val="100"/>
      <w:divBdr>
        <w:top w:val="none" w:sz="0" w:space="0" w:color="auto"/>
        <w:left w:val="none" w:sz="0" w:space="0" w:color="auto"/>
        <w:bottom w:val="none" w:sz="0" w:space="0" w:color="auto"/>
        <w:right w:val="none" w:sz="0" w:space="0" w:color="auto"/>
      </w:divBdr>
      <w:divsChild>
        <w:div w:id="993145464">
          <w:marLeft w:val="0"/>
          <w:marRight w:val="0"/>
          <w:marTop w:val="0"/>
          <w:marBottom w:val="0"/>
          <w:divBdr>
            <w:top w:val="none" w:sz="0" w:space="0" w:color="auto"/>
            <w:left w:val="none" w:sz="0" w:space="0" w:color="auto"/>
            <w:bottom w:val="none" w:sz="0" w:space="0" w:color="auto"/>
            <w:right w:val="none" w:sz="0" w:space="0" w:color="auto"/>
          </w:divBdr>
        </w:div>
      </w:divsChild>
    </w:div>
    <w:div w:id="412246227">
      <w:marLeft w:val="0"/>
      <w:marRight w:val="0"/>
      <w:marTop w:val="0"/>
      <w:marBottom w:val="200"/>
      <w:divBdr>
        <w:top w:val="none" w:sz="0" w:space="0" w:color="auto"/>
        <w:left w:val="none" w:sz="0" w:space="0" w:color="auto"/>
        <w:bottom w:val="none" w:sz="0" w:space="0" w:color="auto"/>
        <w:right w:val="none" w:sz="0" w:space="0" w:color="auto"/>
      </w:divBdr>
    </w:div>
    <w:div w:id="413671097">
      <w:marLeft w:val="0"/>
      <w:marRight w:val="0"/>
      <w:marTop w:val="0"/>
      <w:marBottom w:val="0"/>
      <w:divBdr>
        <w:top w:val="none" w:sz="0" w:space="0" w:color="auto"/>
        <w:left w:val="none" w:sz="0" w:space="0" w:color="auto"/>
        <w:bottom w:val="none" w:sz="0" w:space="0" w:color="auto"/>
        <w:right w:val="none" w:sz="0" w:space="0" w:color="auto"/>
      </w:divBdr>
      <w:divsChild>
        <w:div w:id="714232735">
          <w:marLeft w:val="0"/>
          <w:marRight w:val="0"/>
          <w:marTop w:val="0"/>
          <w:marBottom w:val="0"/>
          <w:divBdr>
            <w:top w:val="none" w:sz="0" w:space="0" w:color="auto"/>
            <w:left w:val="none" w:sz="0" w:space="0" w:color="auto"/>
            <w:bottom w:val="none" w:sz="0" w:space="0" w:color="auto"/>
            <w:right w:val="none" w:sz="0" w:space="0" w:color="auto"/>
          </w:divBdr>
        </w:div>
      </w:divsChild>
    </w:div>
    <w:div w:id="432088851">
      <w:marLeft w:val="0"/>
      <w:marRight w:val="0"/>
      <w:marTop w:val="0"/>
      <w:marBottom w:val="200"/>
      <w:divBdr>
        <w:top w:val="none" w:sz="0" w:space="0" w:color="auto"/>
        <w:left w:val="none" w:sz="0" w:space="0" w:color="auto"/>
        <w:bottom w:val="none" w:sz="0" w:space="0" w:color="auto"/>
        <w:right w:val="none" w:sz="0" w:space="0" w:color="auto"/>
      </w:divBdr>
    </w:div>
    <w:div w:id="437141932">
      <w:marLeft w:val="0"/>
      <w:marRight w:val="0"/>
      <w:marTop w:val="0"/>
      <w:marBottom w:val="0"/>
      <w:divBdr>
        <w:top w:val="none" w:sz="0" w:space="0" w:color="auto"/>
        <w:left w:val="none" w:sz="0" w:space="0" w:color="auto"/>
        <w:bottom w:val="none" w:sz="0" w:space="0" w:color="auto"/>
        <w:right w:val="none" w:sz="0" w:space="0" w:color="auto"/>
      </w:divBdr>
      <w:divsChild>
        <w:div w:id="1377121745">
          <w:marLeft w:val="0"/>
          <w:marRight w:val="0"/>
          <w:marTop w:val="0"/>
          <w:marBottom w:val="0"/>
          <w:divBdr>
            <w:top w:val="none" w:sz="0" w:space="0" w:color="auto"/>
            <w:left w:val="none" w:sz="0" w:space="0" w:color="auto"/>
            <w:bottom w:val="none" w:sz="0" w:space="0" w:color="auto"/>
            <w:right w:val="none" w:sz="0" w:space="0" w:color="auto"/>
          </w:divBdr>
        </w:div>
      </w:divsChild>
    </w:div>
    <w:div w:id="438644921">
      <w:marLeft w:val="0"/>
      <w:marRight w:val="0"/>
      <w:marTop w:val="200"/>
      <w:marBottom w:val="0"/>
      <w:divBdr>
        <w:top w:val="none" w:sz="0" w:space="0" w:color="auto"/>
        <w:left w:val="none" w:sz="0" w:space="0" w:color="auto"/>
        <w:bottom w:val="none" w:sz="0" w:space="0" w:color="auto"/>
        <w:right w:val="none" w:sz="0" w:space="0" w:color="auto"/>
      </w:divBdr>
    </w:div>
    <w:div w:id="442305985">
      <w:marLeft w:val="0"/>
      <w:marRight w:val="0"/>
      <w:marTop w:val="0"/>
      <w:marBottom w:val="0"/>
      <w:divBdr>
        <w:top w:val="none" w:sz="0" w:space="0" w:color="auto"/>
        <w:left w:val="none" w:sz="0" w:space="0" w:color="auto"/>
        <w:bottom w:val="none" w:sz="0" w:space="0" w:color="auto"/>
        <w:right w:val="none" w:sz="0" w:space="0" w:color="auto"/>
      </w:divBdr>
    </w:div>
    <w:div w:id="450831200">
      <w:marLeft w:val="0"/>
      <w:marRight w:val="0"/>
      <w:marTop w:val="0"/>
      <w:marBottom w:val="0"/>
      <w:divBdr>
        <w:top w:val="none" w:sz="0" w:space="0" w:color="auto"/>
        <w:left w:val="none" w:sz="0" w:space="0" w:color="auto"/>
        <w:bottom w:val="none" w:sz="0" w:space="0" w:color="auto"/>
        <w:right w:val="none" w:sz="0" w:space="0" w:color="auto"/>
      </w:divBdr>
    </w:div>
    <w:div w:id="470876510">
      <w:marLeft w:val="0"/>
      <w:marRight w:val="0"/>
      <w:marTop w:val="100"/>
      <w:marBottom w:val="100"/>
      <w:divBdr>
        <w:top w:val="none" w:sz="0" w:space="0" w:color="auto"/>
        <w:left w:val="none" w:sz="0" w:space="0" w:color="auto"/>
        <w:bottom w:val="none" w:sz="0" w:space="0" w:color="auto"/>
        <w:right w:val="none" w:sz="0" w:space="0" w:color="auto"/>
      </w:divBdr>
    </w:div>
    <w:div w:id="472141548">
      <w:marLeft w:val="0"/>
      <w:marRight w:val="0"/>
      <w:marTop w:val="0"/>
      <w:marBottom w:val="0"/>
      <w:divBdr>
        <w:top w:val="none" w:sz="0" w:space="0" w:color="auto"/>
        <w:left w:val="none" w:sz="0" w:space="0" w:color="auto"/>
        <w:bottom w:val="none" w:sz="0" w:space="0" w:color="auto"/>
        <w:right w:val="none" w:sz="0" w:space="0" w:color="auto"/>
      </w:divBdr>
      <w:divsChild>
        <w:div w:id="48506373">
          <w:marLeft w:val="0"/>
          <w:marRight w:val="0"/>
          <w:marTop w:val="0"/>
          <w:marBottom w:val="0"/>
          <w:divBdr>
            <w:top w:val="none" w:sz="0" w:space="0" w:color="auto"/>
            <w:left w:val="none" w:sz="0" w:space="0" w:color="auto"/>
            <w:bottom w:val="none" w:sz="0" w:space="0" w:color="auto"/>
            <w:right w:val="none" w:sz="0" w:space="0" w:color="auto"/>
          </w:divBdr>
        </w:div>
      </w:divsChild>
    </w:div>
    <w:div w:id="472525885">
      <w:marLeft w:val="0"/>
      <w:marRight w:val="0"/>
      <w:marTop w:val="0"/>
      <w:marBottom w:val="160"/>
      <w:divBdr>
        <w:top w:val="none" w:sz="0" w:space="0" w:color="auto"/>
        <w:left w:val="none" w:sz="0" w:space="0" w:color="auto"/>
        <w:bottom w:val="none" w:sz="0" w:space="0" w:color="auto"/>
        <w:right w:val="none" w:sz="0" w:space="0" w:color="auto"/>
      </w:divBdr>
    </w:div>
    <w:div w:id="480538167">
      <w:marLeft w:val="0"/>
      <w:marRight w:val="0"/>
      <w:marTop w:val="100"/>
      <w:marBottom w:val="160"/>
      <w:divBdr>
        <w:top w:val="none" w:sz="0" w:space="0" w:color="auto"/>
        <w:left w:val="none" w:sz="0" w:space="0" w:color="auto"/>
        <w:bottom w:val="none" w:sz="0" w:space="0" w:color="auto"/>
        <w:right w:val="none" w:sz="0" w:space="0" w:color="auto"/>
      </w:divBdr>
    </w:div>
    <w:div w:id="482046005">
      <w:marLeft w:val="0"/>
      <w:marRight w:val="0"/>
      <w:marTop w:val="0"/>
      <w:marBottom w:val="200"/>
      <w:divBdr>
        <w:top w:val="none" w:sz="0" w:space="0" w:color="auto"/>
        <w:left w:val="none" w:sz="0" w:space="0" w:color="auto"/>
        <w:bottom w:val="none" w:sz="0" w:space="0" w:color="auto"/>
        <w:right w:val="none" w:sz="0" w:space="0" w:color="auto"/>
      </w:divBdr>
    </w:div>
    <w:div w:id="493106865">
      <w:marLeft w:val="0"/>
      <w:marRight w:val="0"/>
      <w:marTop w:val="0"/>
      <w:marBottom w:val="0"/>
      <w:divBdr>
        <w:top w:val="none" w:sz="0" w:space="0" w:color="auto"/>
        <w:left w:val="none" w:sz="0" w:space="0" w:color="auto"/>
        <w:bottom w:val="none" w:sz="0" w:space="0" w:color="auto"/>
        <w:right w:val="none" w:sz="0" w:space="0" w:color="auto"/>
      </w:divBdr>
    </w:div>
    <w:div w:id="494493113">
      <w:marLeft w:val="0"/>
      <w:marRight w:val="0"/>
      <w:marTop w:val="0"/>
      <w:marBottom w:val="0"/>
      <w:divBdr>
        <w:top w:val="none" w:sz="0" w:space="0" w:color="auto"/>
        <w:left w:val="none" w:sz="0" w:space="0" w:color="auto"/>
        <w:bottom w:val="none" w:sz="0" w:space="0" w:color="auto"/>
        <w:right w:val="none" w:sz="0" w:space="0" w:color="auto"/>
      </w:divBdr>
      <w:divsChild>
        <w:div w:id="1092238951">
          <w:marLeft w:val="0"/>
          <w:marRight w:val="0"/>
          <w:marTop w:val="0"/>
          <w:marBottom w:val="0"/>
          <w:divBdr>
            <w:top w:val="none" w:sz="0" w:space="0" w:color="auto"/>
            <w:left w:val="none" w:sz="0" w:space="0" w:color="auto"/>
            <w:bottom w:val="none" w:sz="0" w:space="0" w:color="auto"/>
            <w:right w:val="none" w:sz="0" w:space="0" w:color="auto"/>
          </w:divBdr>
        </w:div>
      </w:divsChild>
    </w:div>
    <w:div w:id="499739542">
      <w:marLeft w:val="0"/>
      <w:marRight w:val="0"/>
      <w:marTop w:val="0"/>
      <w:marBottom w:val="0"/>
      <w:divBdr>
        <w:top w:val="none" w:sz="0" w:space="0" w:color="auto"/>
        <w:left w:val="none" w:sz="0" w:space="0" w:color="auto"/>
        <w:bottom w:val="none" w:sz="0" w:space="0" w:color="auto"/>
        <w:right w:val="none" w:sz="0" w:space="0" w:color="auto"/>
      </w:divBdr>
    </w:div>
    <w:div w:id="501746673">
      <w:marLeft w:val="0"/>
      <w:marRight w:val="0"/>
      <w:marTop w:val="0"/>
      <w:marBottom w:val="0"/>
      <w:divBdr>
        <w:top w:val="none" w:sz="0" w:space="0" w:color="auto"/>
        <w:left w:val="none" w:sz="0" w:space="0" w:color="auto"/>
        <w:bottom w:val="none" w:sz="0" w:space="0" w:color="auto"/>
        <w:right w:val="none" w:sz="0" w:space="0" w:color="auto"/>
      </w:divBdr>
    </w:div>
    <w:div w:id="507870152">
      <w:marLeft w:val="0"/>
      <w:marRight w:val="0"/>
      <w:marTop w:val="0"/>
      <w:marBottom w:val="0"/>
      <w:divBdr>
        <w:top w:val="none" w:sz="0" w:space="0" w:color="auto"/>
        <w:left w:val="none" w:sz="0" w:space="0" w:color="auto"/>
        <w:bottom w:val="none" w:sz="0" w:space="0" w:color="auto"/>
        <w:right w:val="none" w:sz="0" w:space="0" w:color="auto"/>
      </w:divBdr>
      <w:divsChild>
        <w:div w:id="1558710897">
          <w:marLeft w:val="0"/>
          <w:marRight w:val="0"/>
          <w:marTop w:val="0"/>
          <w:marBottom w:val="0"/>
          <w:divBdr>
            <w:top w:val="none" w:sz="0" w:space="0" w:color="auto"/>
            <w:left w:val="none" w:sz="0" w:space="0" w:color="auto"/>
            <w:bottom w:val="none" w:sz="0" w:space="0" w:color="auto"/>
            <w:right w:val="none" w:sz="0" w:space="0" w:color="auto"/>
          </w:divBdr>
        </w:div>
      </w:divsChild>
    </w:div>
    <w:div w:id="514076554">
      <w:marLeft w:val="0"/>
      <w:marRight w:val="0"/>
      <w:marTop w:val="0"/>
      <w:marBottom w:val="0"/>
      <w:divBdr>
        <w:top w:val="none" w:sz="0" w:space="0" w:color="auto"/>
        <w:left w:val="none" w:sz="0" w:space="0" w:color="auto"/>
        <w:bottom w:val="none" w:sz="0" w:space="0" w:color="auto"/>
        <w:right w:val="none" w:sz="0" w:space="0" w:color="auto"/>
      </w:divBdr>
    </w:div>
    <w:div w:id="517962925">
      <w:marLeft w:val="0"/>
      <w:marRight w:val="0"/>
      <w:marTop w:val="120"/>
      <w:marBottom w:val="0"/>
      <w:divBdr>
        <w:top w:val="none" w:sz="0" w:space="0" w:color="auto"/>
        <w:left w:val="none" w:sz="0" w:space="0" w:color="auto"/>
        <w:bottom w:val="none" w:sz="0" w:space="0" w:color="auto"/>
        <w:right w:val="none" w:sz="0" w:space="0" w:color="auto"/>
      </w:divBdr>
    </w:div>
    <w:div w:id="524098934">
      <w:marLeft w:val="0"/>
      <w:marRight w:val="0"/>
      <w:marTop w:val="0"/>
      <w:marBottom w:val="0"/>
      <w:divBdr>
        <w:top w:val="none" w:sz="0" w:space="0" w:color="auto"/>
        <w:left w:val="none" w:sz="0" w:space="0" w:color="auto"/>
        <w:bottom w:val="none" w:sz="0" w:space="0" w:color="auto"/>
        <w:right w:val="none" w:sz="0" w:space="0" w:color="auto"/>
      </w:divBdr>
      <w:divsChild>
        <w:div w:id="429662867">
          <w:marLeft w:val="0"/>
          <w:marRight w:val="0"/>
          <w:marTop w:val="0"/>
          <w:marBottom w:val="0"/>
          <w:divBdr>
            <w:top w:val="none" w:sz="0" w:space="0" w:color="auto"/>
            <w:left w:val="none" w:sz="0" w:space="0" w:color="auto"/>
            <w:bottom w:val="none" w:sz="0" w:space="0" w:color="auto"/>
            <w:right w:val="none" w:sz="0" w:space="0" w:color="auto"/>
          </w:divBdr>
        </w:div>
        <w:div w:id="113794432">
          <w:marLeft w:val="0"/>
          <w:marRight w:val="0"/>
          <w:marTop w:val="180"/>
          <w:marBottom w:val="0"/>
          <w:divBdr>
            <w:top w:val="none" w:sz="0" w:space="0" w:color="auto"/>
            <w:left w:val="none" w:sz="0" w:space="0" w:color="auto"/>
            <w:bottom w:val="none" w:sz="0" w:space="0" w:color="auto"/>
            <w:right w:val="none" w:sz="0" w:space="0" w:color="auto"/>
          </w:divBdr>
        </w:div>
      </w:divsChild>
    </w:div>
    <w:div w:id="525606202">
      <w:marLeft w:val="0"/>
      <w:marRight w:val="0"/>
      <w:marTop w:val="0"/>
      <w:marBottom w:val="0"/>
      <w:divBdr>
        <w:top w:val="none" w:sz="0" w:space="0" w:color="auto"/>
        <w:left w:val="none" w:sz="0" w:space="0" w:color="auto"/>
        <w:bottom w:val="none" w:sz="0" w:space="0" w:color="auto"/>
        <w:right w:val="none" w:sz="0" w:space="0" w:color="auto"/>
      </w:divBdr>
      <w:divsChild>
        <w:div w:id="59838216">
          <w:marLeft w:val="0"/>
          <w:marRight w:val="0"/>
          <w:marTop w:val="0"/>
          <w:marBottom w:val="0"/>
          <w:divBdr>
            <w:top w:val="none" w:sz="0" w:space="0" w:color="auto"/>
            <w:left w:val="none" w:sz="0" w:space="0" w:color="auto"/>
            <w:bottom w:val="none" w:sz="0" w:space="0" w:color="auto"/>
            <w:right w:val="none" w:sz="0" w:space="0" w:color="auto"/>
          </w:divBdr>
        </w:div>
      </w:divsChild>
    </w:div>
    <w:div w:id="528763438">
      <w:marLeft w:val="0"/>
      <w:marRight w:val="0"/>
      <w:marTop w:val="100"/>
      <w:marBottom w:val="100"/>
      <w:divBdr>
        <w:top w:val="none" w:sz="0" w:space="0" w:color="auto"/>
        <w:left w:val="none" w:sz="0" w:space="0" w:color="auto"/>
        <w:bottom w:val="none" w:sz="0" w:space="0" w:color="auto"/>
        <w:right w:val="none" w:sz="0" w:space="0" w:color="auto"/>
      </w:divBdr>
      <w:divsChild>
        <w:div w:id="1418020804">
          <w:marLeft w:val="0"/>
          <w:marRight w:val="0"/>
          <w:marTop w:val="0"/>
          <w:marBottom w:val="0"/>
          <w:divBdr>
            <w:top w:val="none" w:sz="0" w:space="0" w:color="auto"/>
            <w:left w:val="none" w:sz="0" w:space="0" w:color="auto"/>
            <w:bottom w:val="none" w:sz="0" w:space="0" w:color="auto"/>
            <w:right w:val="none" w:sz="0" w:space="0" w:color="auto"/>
          </w:divBdr>
        </w:div>
        <w:div w:id="1446735265">
          <w:marLeft w:val="0"/>
          <w:marRight w:val="0"/>
          <w:marTop w:val="0"/>
          <w:marBottom w:val="0"/>
          <w:divBdr>
            <w:top w:val="none" w:sz="0" w:space="0" w:color="auto"/>
            <w:left w:val="none" w:sz="0" w:space="0" w:color="auto"/>
            <w:bottom w:val="none" w:sz="0" w:space="0" w:color="auto"/>
            <w:right w:val="none" w:sz="0" w:space="0" w:color="auto"/>
          </w:divBdr>
        </w:div>
        <w:div w:id="1538159467">
          <w:marLeft w:val="0"/>
          <w:marRight w:val="0"/>
          <w:marTop w:val="0"/>
          <w:marBottom w:val="0"/>
          <w:divBdr>
            <w:top w:val="none" w:sz="0" w:space="0" w:color="auto"/>
            <w:left w:val="none" w:sz="0" w:space="0" w:color="auto"/>
            <w:bottom w:val="none" w:sz="0" w:space="0" w:color="auto"/>
            <w:right w:val="none" w:sz="0" w:space="0" w:color="auto"/>
          </w:divBdr>
        </w:div>
      </w:divsChild>
    </w:div>
    <w:div w:id="530612126">
      <w:marLeft w:val="0"/>
      <w:marRight w:val="0"/>
      <w:marTop w:val="0"/>
      <w:marBottom w:val="200"/>
      <w:divBdr>
        <w:top w:val="none" w:sz="0" w:space="0" w:color="auto"/>
        <w:left w:val="none" w:sz="0" w:space="0" w:color="auto"/>
        <w:bottom w:val="none" w:sz="0" w:space="0" w:color="auto"/>
        <w:right w:val="none" w:sz="0" w:space="0" w:color="auto"/>
      </w:divBdr>
    </w:div>
    <w:div w:id="532578209">
      <w:marLeft w:val="0"/>
      <w:marRight w:val="0"/>
      <w:marTop w:val="0"/>
      <w:marBottom w:val="0"/>
      <w:divBdr>
        <w:top w:val="none" w:sz="0" w:space="0" w:color="auto"/>
        <w:left w:val="none" w:sz="0" w:space="0" w:color="auto"/>
        <w:bottom w:val="none" w:sz="0" w:space="0" w:color="auto"/>
        <w:right w:val="none" w:sz="0" w:space="0" w:color="auto"/>
      </w:divBdr>
      <w:divsChild>
        <w:div w:id="199050943">
          <w:marLeft w:val="0"/>
          <w:marRight w:val="0"/>
          <w:marTop w:val="0"/>
          <w:marBottom w:val="0"/>
          <w:divBdr>
            <w:top w:val="none" w:sz="0" w:space="0" w:color="auto"/>
            <w:left w:val="none" w:sz="0" w:space="0" w:color="auto"/>
            <w:bottom w:val="none" w:sz="0" w:space="0" w:color="auto"/>
            <w:right w:val="none" w:sz="0" w:space="0" w:color="auto"/>
          </w:divBdr>
        </w:div>
      </w:divsChild>
    </w:div>
    <w:div w:id="532693937">
      <w:marLeft w:val="0"/>
      <w:marRight w:val="0"/>
      <w:marTop w:val="0"/>
      <w:marBottom w:val="0"/>
      <w:divBdr>
        <w:top w:val="none" w:sz="0" w:space="0" w:color="auto"/>
        <w:left w:val="none" w:sz="0" w:space="0" w:color="auto"/>
        <w:bottom w:val="none" w:sz="0" w:space="0" w:color="auto"/>
        <w:right w:val="none" w:sz="0" w:space="0" w:color="auto"/>
      </w:divBdr>
      <w:divsChild>
        <w:div w:id="1978295804">
          <w:marLeft w:val="0"/>
          <w:marRight w:val="0"/>
          <w:marTop w:val="0"/>
          <w:marBottom w:val="0"/>
          <w:divBdr>
            <w:top w:val="none" w:sz="0" w:space="0" w:color="auto"/>
            <w:left w:val="none" w:sz="0" w:space="0" w:color="auto"/>
            <w:bottom w:val="none" w:sz="0" w:space="0" w:color="auto"/>
            <w:right w:val="none" w:sz="0" w:space="0" w:color="auto"/>
          </w:divBdr>
        </w:div>
      </w:divsChild>
    </w:div>
    <w:div w:id="534581779">
      <w:marLeft w:val="0"/>
      <w:marRight w:val="0"/>
      <w:marTop w:val="0"/>
      <w:marBottom w:val="200"/>
      <w:divBdr>
        <w:top w:val="none" w:sz="0" w:space="0" w:color="auto"/>
        <w:left w:val="none" w:sz="0" w:space="0" w:color="auto"/>
        <w:bottom w:val="none" w:sz="0" w:space="0" w:color="auto"/>
        <w:right w:val="none" w:sz="0" w:space="0" w:color="auto"/>
      </w:divBdr>
    </w:div>
    <w:div w:id="538595302">
      <w:marLeft w:val="0"/>
      <w:marRight w:val="0"/>
      <w:marTop w:val="0"/>
      <w:marBottom w:val="60"/>
      <w:divBdr>
        <w:top w:val="none" w:sz="0" w:space="0" w:color="auto"/>
        <w:left w:val="none" w:sz="0" w:space="0" w:color="auto"/>
        <w:bottom w:val="none" w:sz="0" w:space="0" w:color="auto"/>
        <w:right w:val="none" w:sz="0" w:space="0" w:color="auto"/>
      </w:divBdr>
    </w:div>
    <w:div w:id="538976522">
      <w:marLeft w:val="0"/>
      <w:marRight w:val="0"/>
      <w:marTop w:val="0"/>
      <w:marBottom w:val="200"/>
      <w:divBdr>
        <w:top w:val="none" w:sz="0" w:space="0" w:color="auto"/>
        <w:left w:val="none" w:sz="0" w:space="0" w:color="auto"/>
        <w:bottom w:val="none" w:sz="0" w:space="0" w:color="auto"/>
        <w:right w:val="none" w:sz="0" w:space="0" w:color="auto"/>
      </w:divBdr>
    </w:div>
    <w:div w:id="539587195">
      <w:marLeft w:val="0"/>
      <w:marRight w:val="0"/>
      <w:marTop w:val="0"/>
      <w:marBottom w:val="0"/>
      <w:divBdr>
        <w:top w:val="none" w:sz="0" w:space="0" w:color="auto"/>
        <w:left w:val="none" w:sz="0" w:space="0" w:color="auto"/>
        <w:bottom w:val="none" w:sz="0" w:space="0" w:color="auto"/>
        <w:right w:val="none" w:sz="0" w:space="0" w:color="auto"/>
      </w:divBdr>
      <w:divsChild>
        <w:div w:id="1338078968">
          <w:marLeft w:val="0"/>
          <w:marRight w:val="0"/>
          <w:marTop w:val="0"/>
          <w:marBottom w:val="0"/>
          <w:divBdr>
            <w:top w:val="none" w:sz="0" w:space="0" w:color="auto"/>
            <w:left w:val="none" w:sz="0" w:space="0" w:color="auto"/>
            <w:bottom w:val="none" w:sz="0" w:space="0" w:color="auto"/>
            <w:right w:val="none" w:sz="0" w:space="0" w:color="auto"/>
          </w:divBdr>
        </w:div>
        <w:div w:id="1137145068">
          <w:marLeft w:val="0"/>
          <w:marRight w:val="0"/>
          <w:marTop w:val="180"/>
          <w:marBottom w:val="0"/>
          <w:divBdr>
            <w:top w:val="none" w:sz="0" w:space="0" w:color="auto"/>
            <w:left w:val="none" w:sz="0" w:space="0" w:color="auto"/>
            <w:bottom w:val="none" w:sz="0" w:space="0" w:color="auto"/>
            <w:right w:val="none" w:sz="0" w:space="0" w:color="auto"/>
          </w:divBdr>
        </w:div>
      </w:divsChild>
    </w:div>
    <w:div w:id="539897729">
      <w:marLeft w:val="0"/>
      <w:marRight w:val="0"/>
      <w:marTop w:val="0"/>
      <w:marBottom w:val="200"/>
      <w:divBdr>
        <w:top w:val="none" w:sz="0" w:space="0" w:color="auto"/>
        <w:left w:val="none" w:sz="0" w:space="0" w:color="auto"/>
        <w:bottom w:val="none" w:sz="0" w:space="0" w:color="auto"/>
        <w:right w:val="none" w:sz="0" w:space="0" w:color="auto"/>
      </w:divBdr>
    </w:div>
    <w:div w:id="545725582">
      <w:marLeft w:val="0"/>
      <w:marRight w:val="0"/>
      <w:marTop w:val="0"/>
      <w:marBottom w:val="200"/>
      <w:divBdr>
        <w:top w:val="none" w:sz="0" w:space="0" w:color="auto"/>
        <w:left w:val="none" w:sz="0" w:space="0" w:color="auto"/>
        <w:bottom w:val="none" w:sz="0" w:space="0" w:color="auto"/>
        <w:right w:val="none" w:sz="0" w:space="0" w:color="auto"/>
      </w:divBdr>
    </w:div>
    <w:div w:id="546333614">
      <w:marLeft w:val="0"/>
      <w:marRight w:val="0"/>
      <w:marTop w:val="100"/>
      <w:marBottom w:val="0"/>
      <w:divBdr>
        <w:top w:val="none" w:sz="0" w:space="0" w:color="auto"/>
        <w:left w:val="none" w:sz="0" w:space="0" w:color="auto"/>
        <w:bottom w:val="none" w:sz="0" w:space="0" w:color="auto"/>
        <w:right w:val="none" w:sz="0" w:space="0" w:color="auto"/>
      </w:divBdr>
    </w:div>
    <w:div w:id="551966944">
      <w:marLeft w:val="0"/>
      <w:marRight w:val="0"/>
      <w:marTop w:val="0"/>
      <w:marBottom w:val="200"/>
      <w:divBdr>
        <w:top w:val="none" w:sz="0" w:space="0" w:color="auto"/>
        <w:left w:val="none" w:sz="0" w:space="0" w:color="auto"/>
        <w:bottom w:val="none" w:sz="0" w:space="0" w:color="auto"/>
        <w:right w:val="none" w:sz="0" w:space="0" w:color="auto"/>
      </w:divBdr>
    </w:div>
    <w:div w:id="562983814">
      <w:marLeft w:val="0"/>
      <w:marRight w:val="0"/>
      <w:marTop w:val="0"/>
      <w:marBottom w:val="0"/>
      <w:divBdr>
        <w:top w:val="none" w:sz="0" w:space="0" w:color="auto"/>
        <w:left w:val="none" w:sz="0" w:space="0" w:color="auto"/>
        <w:bottom w:val="none" w:sz="0" w:space="0" w:color="auto"/>
        <w:right w:val="none" w:sz="0" w:space="0" w:color="auto"/>
      </w:divBdr>
      <w:divsChild>
        <w:div w:id="340595511">
          <w:marLeft w:val="0"/>
          <w:marRight w:val="0"/>
          <w:marTop w:val="0"/>
          <w:marBottom w:val="0"/>
          <w:divBdr>
            <w:top w:val="none" w:sz="0" w:space="0" w:color="auto"/>
            <w:left w:val="none" w:sz="0" w:space="0" w:color="auto"/>
            <w:bottom w:val="none" w:sz="0" w:space="0" w:color="auto"/>
            <w:right w:val="none" w:sz="0" w:space="0" w:color="auto"/>
          </w:divBdr>
        </w:div>
        <w:div w:id="543060057">
          <w:marLeft w:val="0"/>
          <w:marRight w:val="0"/>
          <w:marTop w:val="180"/>
          <w:marBottom w:val="0"/>
          <w:divBdr>
            <w:top w:val="none" w:sz="0" w:space="0" w:color="auto"/>
            <w:left w:val="none" w:sz="0" w:space="0" w:color="auto"/>
            <w:bottom w:val="none" w:sz="0" w:space="0" w:color="auto"/>
            <w:right w:val="none" w:sz="0" w:space="0" w:color="auto"/>
          </w:divBdr>
        </w:div>
      </w:divsChild>
    </w:div>
    <w:div w:id="567039039">
      <w:marLeft w:val="0"/>
      <w:marRight w:val="0"/>
      <w:marTop w:val="0"/>
      <w:marBottom w:val="160"/>
      <w:divBdr>
        <w:top w:val="none" w:sz="0" w:space="0" w:color="auto"/>
        <w:left w:val="none" w:sz="0" w:space="0" w:color="auto"/>
        <w:bottom w:val="none" w:sz="0" w:space="0" w:color="auto"/>
        <w:right w:val="none" w:sz="0" w:space="0" w:color="auto"/>
      </w:divBdr>
    </w:div>
    <w:div w:id="570191254">
      <w:marLeft w:val="0"/>
      <w:marRight w:val="0"/>
      <w:marTop w:val="0"/>
      <w:marBottom w:val="0"/>
      <w:divBdr>
        <w:top w:val="none" w:sz="0" w:space="0" w:color="auto"/>
        <w:left w:val="none" w:sz="0" w:space="0" w:color="auto"/>
        <w:bottom w:val="none" w:sz="0" w:space="0" w:color="auto"/>
        <w:right w:val="none" w:sz="0" w:space="0" w:color="auto"/>
      </w:divBdr>
      <w:divsChild>
        <w:div w:id="1030299517">
          <w:marLeft w:val="0"/>
          <w:marRight w:val="0"/>
          <w:marTop w:val="0"/>
          <w:marBottom w:val="0"/>
          <w:divBdr>
            <w:top w:val="none" w:sz="0" w:space="0" w:color="auto"/>
            <w:left w:val="none" w:sz="0" w:space="0" w:color="auto"/>
            <w:bottom w:val="none" w:sz="0" w:space="0" w:color="auto"/>
            <w:right w:val="none" w:sz="0" w:space="0" w:color="auto"/>
          </w:divBdr>
        </w:div>
        <w:div w:id="420571538">
          <w:marLeft w:val="0"/>
          <w:marRight w:val="0"/>
          <w:marTop w:val="180"/>
          <w:marBottom w:val="0"/>
          <w:divBdr>
            <w:top w:val="none" w:sz="0" w:space="0" w:color="auto"/>
            <w:left w:val="none" w:sz="0" w:space="0" w:color="auto"/>
            <w:bottom w:val="none" w:sz="0" w:space="0" w:color="auto"/>
            <w:right w:val="none" w:sz="0" w:space="0" w:color="auto"/>
          </w:divBdr>
        </w:div>
      </w:divsChild>
    </w:div>
    <w:div w:id="578095413">
      <w:marLeft w:val="0"/>
      <w:marRight w:val="0"/>
      <w:marTop w:val="100"/>
      <w:marBottom w:val="100"/>
      <w:divBdr>
        <w:top w:val="none" w:sz="0" w:space="0" w:color="auto"/>
        <w:left w:val="none" w:sz="0" w:space="0" w:color="auto"/>
        <w:bottom w:val="none" w:sz="0" w:space="0" w:color="auto"/>
        <w:right w:val="none" w:sz="0" w:space="0" w:color="auto"/>
      </w:divBdr>
    </w:div>
    <w:div w:id="586040017">
      <w:marLeft w:val="0"/>
      <w:marRight w:val="0"/>
      <w:marTop w:val="100"/>
      <w:marBottom w:val="100"/>
      <w:divBdr>
        <w:top w:val="none" w:sz="0" w:space="0" w:color="auto"/>
        <w:left w:val="none" w:sz="0" w:space="0" w:color="auto"/>
        <w:bottom w:val="none" w:sz="0" w:space="0" w:color="auto"/>
        <w:right w:val="none" w:sz="0" w:space="0" w:color="auto"/>
      </w:divBdr>
    </w:div>
    <w:div w:id="592671287">
      <w:marLeft w:val="0"/>
      <w:marRight w:val="0"/>
      <w:marTop w:val="0"/>
      <w:marBottom w:val="0"/>
      <w:divBdr>
        <w:top w:val="none" w:sz="0" w:space="0" w:color="auto"/>
        <w:left w:val="none" w:sz="0" w:space="0" w:color="auto"/>
        <w:bottom w:val="none" w:sz="0" w:space="0" w:color="auto"/>
        <w:right w:val="none" w:sz="0" w:space="0" w:color="auto"/>
      </w:divBdr>
      <w:divsChild>
        <w:div w:id="1881361558">
          <w:marLeft w:val="0"/>
          <w:marRight w:val="0"/>
          <w:marTop w:val="0"/>
          <w:marBottom w:val="0"/>
          <w:divBdr>
            <w:top w:val="none" w:sz="0" w:space="0" w:color="auto"/>
            <w:left w:val="none" w:sz="0" w:space="0" w:color="auto"/>
            <w:bottom w:val="none" w:sz="0" w:space="0" w:color="auto"/>
            <w:right w:val="none" w:sz="0" w:space="0" w:color="auto"/>
          </w:divBdr>
        </w:div>
      </w:divsChild>
    </w:div>
    <w:div w:id="596211282">
      <w:marLeft w:val="0"/>
      <w:marRight w:val="0"/>
      <w:marTop w:val="0"/>
      <w:marBottom w:val="0"/>
      <w:divBdr>
        <w:top w:val="none" w:sz="0" w:space="0" w:color="auto"/>
        <w:left w:val="none" w:sz="0" w:space="0" w:color="auto"/>
        <w:bottom w:val="none" w:sz="0" w:space="0" w:color="auto"/>
        <w:right w:val="none" w:sz="0" w:space="0" w:color="auto"/>
      </w:divBdr>
      <w:divsChild>
        <w:div w:id="1307509371">
          <w:marLeft w:val="0"/>
          <w:marRight w:val="0"/>
          <w:marTop w:val="0"/>
          <w:marBottom w:val="0"/>
          <w:divBdr>
            <w:top w:val="none" w:sz="0" w:space="0" w:color="auto"/>
            <w:left w:val="none" w:sz="0" w:space="0" w:color="auto"/>
            <w:bottom w:val="none" w:sz="0" w:space="0" w:color="auto"/>
            <w:right w:val="none" w:sz="0" w:space="0" w:color="auto"/>
          </w:divBdr>
        </w:div>
      </w:divsChild>
    </w:div>
    <w:div w:id="599066470">
      <w:marLeft w:val="0"/>
      <w:marRight w:val="0"/>
      <w:marTop w:val="0"/>
      <w:marBottom w:val="200"/>
      <w:divBdr>
        <w:top w:val="none" w:sz="0" w:space="0" w:color="auto"/>
        <w:left w:val="none" w:sz="0" w:space="0" w:color="auto"/>
        <w:bottom w:val="none" w:sz="0" w:space="0" w:color="auto"/>
        <w:right w:val="none" w:sz="0" w:space="0" w:color="auto"/>
      </w:divBdr>
    </w:div>
    <w:div w:id="601651698">
      <w:marLeft w:val="0"/>
      <w:marRight w:val="0"/>
      <w:marTop w:val="100"/>
      <w:marBottom w:val="100"/>
      <w:divBdr>
        <w:top w:val="none" w:sz="0" w:space="0" w:color="auto"/>
        <w:left w:val="none" w:sz="0" w:space="0" w:color="auto"/>
        <w:bottom w:val="none" w:sz="0" w:space="0" w:color="auto"/>
        <w:right w:val="none" w:sz="0" w:space="0" w:color="auto"/>
      </w:divBdr>
      <w:divsChild>
        <w:div w:id="2009095925">
          <w:marLeft w:val="0"/>
          <w:marRight w:val="0"/>
          <w:marTop w:val="0"/>
          <w:marBottom w:val="44"/>
          <w:divBdr>
            <w:top w:val="none" w:sz="0" w:space="0" w:color="auto"/>
            <w:left w:val="none" w:sz="0" w:space="0" w:color="auto"/>
            <w:bottom w:val="none" w:sz="0" w:space="0" w:color="auto"/>
            <w:right w:val="none" w:sz="0" w:space="0" w:color="auto"/>
          </w:divBdr>
        </w:div>
        <w:div w:id="263467549">
          <w:marLeft w:val="0"/>
          <w:marRight w:val="0"/>
          <w:marTop w:val="0"/>
          <w:marBottom w:val="44"/>
          <w:divBdr>
            <w:top w:val="none" w:sz="0" w:space="0" w:color="auto"/>
            <w:left w:val="none" w:sz="0" w:space="0" w:color="auto"/>
            <w:bottom w:val="none" w:sz="0" w:space="0" w:color="auto"/>
            <w:right w:val="none" w:sz="0" w:space="0" w:color="auto"/>
          </w:divBdr>
        </w:div>
        <w:div w:id="185826913">
          <w:marLeft w:val="0"/>
          <w:marRight w:val="0"/>
          <w:marTop w:val="0"/>
          <w:marBottom w:val="44"/>
          <w:divBdr>
            <w:top w:val="none" w:sz="0" w:space="0" w:color="auto"/>
            <w:left w:val="none" w:sz="0" w:space="0" w:color="auto"/>
            <w:bottom w:val="none" w:sz="0" w:space="0" w:color="auto"/>
            <w:right w:val="none" w:sz="0" w:space="0" w:color="auto"/>
          </w:divBdr>
        </w:div>
        <w:div w:id="2002351073">
          <w:marLeft w:val="0"/>
          <w:marRight w:val="0"/>
          <w:marTop w:val="0"/>
          <w:marBottom w:val="44"/>
          <w:divBdr>
            <w:top w:val="none" w:sz="0" w:space="0" w:color="auto"/>
            <w:left w:val="none" w:sz="0" w:space="0" w:color="auto"/>
            <w:bottom w:val="none" w:sz="0" w:space="0" w:color="auto"/>
            <w:right w:val="none" w:sz="0" w:space="0" w:color="auto"/>
          </w:divBdr>
        </w:div>
        <w:div w:id="1008024030">
          <w:marLeft w:val="0"/>
          <w:marRight w:val="0"/>
          <w:marTop w:val="0"/>
          <w:marBottom w:val="44"/>
          <w:divBdr>
            <w:top w:val="none" w:sz="0" w:space="0" w:color="auto"/>
            <w:left w:val="none" w:sz="0" w:space="0" w:color="auto"/>
            <w:bottom w:val="none" w:sz="0" w:space="0" w:color="auto"/>
            <w:right w:val="none" w:sz="0" w:space="0" w:color="auto"/>
          </w:divBdr>
        </w:div>
        <w:div w:id="68843072">
          <w:marLeft w:val="0"/>
          <w:marRight w:val="0"/>
          <w:marTop w:val="0"/>
          <w:marBottom w:val="44"/>
          <w:divBdr>
            <w:top w:val="none" w:sz="0" w:space="0" w:color="auto"/>
            <w:left w:val="none" w:sz="0" w:space="0" w:color="auto"/>
            <w:bottom w:val="none" w:sz="0" w:space="0" w:color="auto"/>
            <w:right w:val="none" w:sz="0" w:space="0" w:color="auto"/>
          </w:divBdr>
        </w:div>
      </w:divsChild>
    </w:div>
    <w:div w:id="610480266">
      <w:marLeft w:val="0"/>
      <w:marRight w:val="0"/>
      <w:marTop w:val="200"/>
      <w:marBottom w:val="0"/>
      <w:divBdr>
        <w:top w:val="none" w:sz="0" w:space="0" w:color="auto"/>
        <w:left w:val="none" w:sz="0" w:space="0" w:color="auto"/>
        <w:bottom w:val="none" w:sz="0" w:space="0" w:color="auto"/>
        <w:right w:val="none" w:sz="0" w:space="0" w:color="auto"/>
      </w:divBdr>
    </w:div>
    <w:div w:id="615872405">
      <w:marLeft w:val="0"/>
      <w:marRight w:val="0"/>
      <w:marTop w:val="100"/>
      <w:marBottom w:val="100"/>
      <w:divBdr>
        <w:top w:val="none" w:sz="0" w:space="0" w:color="auto"/>
        <w:left w:val="none" w:sz="0" w:space="0" w:color="auto"/>
        <w:bottom w:val="none" w:sz="0" w:space="0" w:color="auto"/>
        <w:right w:val="none" w:sz="0" w:space="0" w:color="auto"/>
      </w:divBdr>
    </w:div>
    <w:div w:id="616377284">
      <w:marLeft w:val="0"/>
      <w:marRight w:val="0"/>
      <w:marTop w:val="0"/>
      <w:marBottom w:val="0"/>
      <w:divBdr>
        <w:top w:val="none" w:sz="0" w:space="0" w:color="auto"/>
        <w:left w:val="none" w:sz="0" w:space="0" w:color="auto"/>
        <w:bottom w:val="none" w:sz="0" w:space="0" w:color="auto"/>
        <w:right w:val="none" w:sz="0" w:space="0" w:color="auto"/>
      </w:divBdr>
      <w:divsChild>
        <w:div w:id="275799361">
          <w:marLeft w:val="0"/>
          <w:marRight w:val="0"/>
          <w:marTop w:val="0"/>
          <w:marBottom w:val="0"/>
          <w:divBdr>
            <w:top w:val="none" w:sz="0" w:space="0" w:color="auto"/>
            <w:left w:val="none" w:sz="0" w:space="0" w:color="auto"/>
            <w:bottom w:val="none" w:sz="0" w:space="0" w:color="auto"/>
            <w:right w:val="none" w:sz="0" w:space="0" w:color="auto"/>
          </w:divBdr>
        </w:div>
      </w:divsChild>
    </w:div>
    <w:div w:id="619454183">
      <w:marLeft w:val="0"/>
      <w:marRight w:val="0"/>
      <w:marTop w:val="0"/>
      <w:marBottom w:val="0"/>
      <w:divBdr>
        <w:top w:val="none" w:sz="0" w:space="0" w:color="auto"/>
        <w:left w:val="none" w:sz="0" w:space="0" w:color="auto"/>
        <w:bottom w:val="none" w:sz="0" w:space="0" w:color="auto"/>
        <w:right w:val="none" w:sz="0" w:space="0" w:color="auto"/>
      </w:divBdr>
      <w:divsChild>
        <w:div w:id="526412598">
          <w:marLeft w:val="0"/>
          <w:marRight w:val="0"/>
          <w:marTop w:val="0"/>
          <w:marBottom w:val="0"/>
          <w:divBdr>
            <w:top w:val="none" w:sz="0" w:space="0" w:color="auto"/>
            <w:left w:val="none" w:sz="0" w:space="0" w:color="auto"/>
            <w:bottom w:val="none" w:sz="0" w:space="0" w:color="auto"/>
            <w:right w:val="none" w:sz="0" w:space="0" w:color="auto"/>
          </w:divBdr>
        </w:div>
      </w:divsChild>
    </w:div>
    <w:div w:id="627593092">
      <w:marLeft w:val="0"/>
      <w:marRight w:val="0"/>
      <w:marTop w:val="0"/>
      <w:marBottom w:val="200"/>
      <w:divBdr>
        <w:top w:val="none" w:sz="0" w:space="0" w:color="auto"/>
        <w:left w:val="none" w:sz="0" w:space="0" w:color="auto"/>
        <w:bottom w:val="none" w:sz="0" w:space="0" w:color="auto"/>
        <w:right w:val="none" w:sz="0" w:space="0" w:color="auto"/>
      </w:divBdr>
    </w:div>
    <w:div w:id="638148757">
      <w:marLeft w:val="0"/>
      <w:marRight w:val="0"/>
      <w:marTop w:val="0"/>
      <w:marBottom w:val="60"/>
      <w:divBdr>
        <w:top w:val="none" w:sz="0" w:space="0" w:color="auto"/>
        <w:left w:val="none" w:sz="0" w:space="0" w:color="auto"/>
        <w:bottom w:val="none" w:sz="0" w:space="0" w:color="auto"/>
        <w:right w:val="none" w:sz="0" w:space="0" w:color="auto"/>
      </w:divBdr>
    </w:div>
    <w:div w:id="640500929">
      <w:marLeft w:val="0"/>
      <w:marRight w:val="0"/>
      <w:marTop w:val="100"/>
      <w:marBottom w:val="100"/>
      <w:divBdr>
        <w:top w:val="none" w:sz="0" w:space="0" w:color="auto"/>
        <w:left w:val="none" w:sz="0" w:space="0" w:color="auto"/>
        <w:bottom w:val="none" w:sz="0" w:space="0" w:color="auto"/>
        <w:right w:val="none" w:sz="0" w:space="0" w:color="auto"/>
      </w:divBdr>
    </w:div>
    <w:div w:id="647633599">
      <w:marLeft w:val="0"/>
      <w:marRight w:val="0"/>
      <w:marTop w:val="0"/>
      <w:marBottom w:val="0"/>
      <w:divBdr>
        <w:top w:val="none" w:sz="0" w:space="0" w:color="auto"/>
        <w:left w:val="none" w:sz="0" w:space="0" w:color="auto"/>
        <w:bottom w:val="none" w:sz="0" w:space="0" w:color="auto"/>
        <w:right w:val="none" w:sz="0" w:space="0" w:color="auto"/>
      </w:divBdr>
      <w:divsChild>
        <w:div w:id="562561954">
          <w:marLeft w:val="0"/>
          <w:marRight w:val="0"/>
          <w:marTop w:val="0"/>
          <w:marBottom w:val="0"/>
          <w:divBdr>
            <w:top w:val="none" w:sz="0" w:space="0" w:color="auto"/>
            <w:left w:val="none" w:sz="0" w:space="0" w:color="auto"/>
            <w:bottom w:val="none" w:sz="0" w:space="0" w:color="auto"/>
            <w:right w:val="none" w:sz="0" w:space="0" w:color="auto"/>
          </w:divBdr>
        </w:div>
        <w:div w:id="1682588224">
          <w:marLeft w:val="0"/>
          <w:marRight w:val="0"/>
          <w:marTop w:val="180"/>
          <w:marBottom w:val="0"/>
          <w:divBdr>
            <w:top w:val="none" w:sz="0" w:space="0" w:color="auto"/>
            <w:left w:val="none" w:sz="0" w:space="0" w:color="auto"/>
            <w:bottom w:val="none" w:sz="0" w:space="0" w:color="auto"/>
            <w:right w:val="none" w:sz="0" w:space="0" w:color="auto"/>
          </w:divBdr>
        </w:div>
      </w:divsChild>
    </w:div>
    <w:div w:id="658314505">
      <w:marLeft w:val="0"/>
      <w:marRight w:val="0"/>
      <w:marTop w:val="0"/>
      <w:marBottom w:val="0"/>
      <w:divBdr>
        <w:top w:val="none" w:sz="0" w:space="0" w:color="auto"/>
        <w:left w:val="none" w:sz="0" w:space="0" w:color="auto"/>
        <w:bottom w:val="none" w:sz="0" w:space="0" w:color="auto"/>
        <w:right w:val="none" w:sz="0" w:space="0" w:color="auto"/>
      </w:divBdr>
      <w:divsChild>
        <w:div w:id="1606695518">
          <w:marLeft w:val="0"/>
          <w:marRight w:val="0"/>
          <w:marTop w:val="0"/>
          <w:marBottom w:val="0"/>
          <w:divBdr>
            <w:top w:val="none" w:sz="0" w:space="0" w:color="auto"/>
            <w:left w:val="none" w:sz="0" w:space="0" w:color="auto"/>
            <w:bottom w:val="none" w:sz="0" w:space="0" w:color="auto"/>
            <w:right w:val="none" w:sz="0" w:space="0" w:color="auto"/>
          </w:divBdr>
        </w:div>
        <w:div w:id="1085223557">
          <w:marLeft w:val="0"/>
          <w:marRight w:val="0"/>
          <w:marTop w:val="180"/>
          <w:marBottom w:val="0"/>
          <w:divBdr>
            <w:top w:val="none" w:sz="0" w:space="0" w:color="auto"/>
            <w:left w:val="none" w:sz="0" w:space="0" w:color="auto"/>
            <w:bottom w:val="none" w:sz="0" w:space="0" w:color="auto"/>
            <w:right w:val="none" w:sz="0" w:space="0" w:color="auto"/>
          </w:divBdr>
        </w:div>
      </w:divsChild>
    </w:div>
    <w:div w:id="660693216">
      <w:marLeft w:val="0"/>
      <w:marRight w:val="0"/>
      <w:marTop w:val="200"/>
      <w:marBottom w:val="0"/>
      <w:divBdr>
        <w:top w:val="none" w:sz="0" w:space="0" w:color="auto"/>
        <w:left w:val="none" w:sz="0" w:space="0" w:color="auto"/>
        <w:bottom w:val="none" w:sz="0" w:space="0" w:color="auto"/>
        <w:right w:val="none" w:sz="0" w:space="0" w:color="auto"/>
      </w:divBdr>
    </w:div>
    <w:div w:id="663625348">
      <w:marLeft w:val="0"/>
      <w:marRight w:val="0"/>
      <w:marTop w:val="0"/>
      <w:marBottom w:val="0"/>
      <w:divBdr>
        <w:top w:val="none" w:sz="0" w:space="0" w:color="auto"/>
        <w:left w:val="none" w:sz="0" w:space="0" w:color="auto"/>
        <w:bottom w:val="none" w:sz="0" w:space="0" w:color="auto"/>
        <w:right w:val="none" w:sz="0" w:space="0" w:color="auto"/>
      </w:divBdr>
    </w:div>
    <w:div w:id="667052246">
      <w:marLeft w:val="0"/>
      <w:marRight w:val="0"/>
      <w:marTop w:val="100"/>
      <w:marBottom w:val="0"/>
      <w:divBdr>
        <w:top w:val="none" w:sz="0" w:space="0" w:color="auto"/>
        <w:left w:val="none" w:sz="0" w:space="0" w:color="auto"/>
        <w:bottom w:val="none" w:sz="0" w:space="0" w:color="auto"/>
        <w:right w:val="none" w:sz="0" w:space="0" w:color="auto"/>
      </w:divBdr>
    </w:div>
    <w:div w:id="670065502">
      <w:marLeft w:val="0"/>
      <w:marRight w:val="0"/>
      <w:marTop w:val="0"/>
      <w:marBottom w:val="0"/>
      <w:divBdr>
        <w:top w:val="none" w:sz="0" w:space="0" w:color="auto"/>
        <w:left w:val="none" w:sz="0" w:space="0" w:color="auto"/>
        <w:bottom w:val="none" w:sz="0" w:space="0" w:color="auto"/>
        <w:right w:val="none" w:sz="0" w:space="0" w:color="auto"/>
      </w:divBdr>
    </w:div>
    <w:div w:id="677460648">
      <w:marLeft w:val="0"/>
      <w:marRight w:val="0"/>
      <w:marTop w:val="100"/>
      <w:marBottom w:val="160"/>
      <w:divBdr>
        <w:top w:val="none" w:sz="0" w:space="0" w:color="auto"/>
        <w:left w:val="none" w:sz="0" w:space="0" w:color="auto"/>
        <w:bottom w:val="none" w:sz="0" w:space="0" w:color="auto"/>
        <w:right w:val="none" w:sz="0" w:space="0" w:color="auto"/>
      </w:divBdr>
    </w:div>
    <w:div w:id="677855739">
      <w:marLeft w:val="0"/>
      <w:marRight w:val="0"/>
      <w:marTop w:val="0"/>
      <w:marBottom w:val="200"/>
      <w:divBdr>
        <w:top w:val="none" w:sz="0" w:space="0" w:color="auto"/>
        <w:left w:val="none" w:sz="0" w:space="0" w:color="auto"/>
        <w:bottom w:val="none" w:sz="0" w:space="0" w:color="auto"/>
        <w:right w:val="none" w:sz="0" w:space="0" w:color="auto"/>
      </w:divBdr>
    </w:div>
    <w:div w:id="680741447">
      <w:marLeft w:val="0"/>
      <w:marRight w:val="0"/>
      <w:marTop w:val="100"/>
      <w:marBottom w:val="100"/>
      <w:divBdr>
        <w:top w:val="none" w:sz="0" w:space="0" w:color="auto"/>
        <w:left w:val="none" w:sz="0" w:space="0" w:color="auto"/>
        <w:bottom w:val="none" w:sz="0" w:space="0" w:color="auto"/>
        <w:right w:val="none" w:sz="0" w:space="0" w:color="auto"/>
      </w:divBdr>
    </w:div>
    <w:div w:id="690379757">
      <w:marLeft w:val="0"/>
      <w:marRight w:val="0"/>
      <w:marTop w:val="100"/>
      <w:marBottom w:val="100"/>
      <w:divBdr>
        <w:top w:val="none" w:sz="0" w:space="0" w:color="auto"/>
        <w:left w:val="none" w:sz="0" w:space="0" w:color="auto"/>
        <w:bottom w:val="none" w:sz="0" w:space="0" w:color="auto"/>
        <w:right w:val="none" w:sz="0" w:space="0" w:color="auto"/>
      </w:divBdr>
    </w:div>
    <w:div w:id="707992747">
      <w:marLeft w:val="0"/>
      <w:marRight w:val="0"/>
      <w:marTop w:val="0"/>
      <w:marBottom w:val="200"/>
      <w:divBdr>
        <w:top w:val="none" w:sz="0" w:space="0" w:color="auto"/>
        <w:left w:val="none" w:sz="0" w:space="0" w:color="auto"/>
        <w:bottom w:val="none" w:sz="0" w:space="0" w:color="auto"/>
        <w:right w:val="none" w:sz="0" w:space="0" w:color="auto"/>
      </w:divBdr>
    </w:div>
    <w:div w:id="715811033">
      <w:marLeft w:val="0"/>
      <w:marRight w:val="0"/>
      <w:marTop w:val="0"/>
      <w:marBottom w:val="0"/>
      <w:divBdr>
        <w:top w:val="none" w:sz="0" w:space="0" w:color="auto"/>
        <w:left w:val="none" w:sz="0" w:space="0" w:color="auto"/>
        <w:bottom w:val="none" w:sz="0" w:space="0" w:color="auto"/>
        <w:right w:val="none" w:sz="0" w:space="0" w:color="auto"/>
      </w:divBdr>
    </w:div>
    <w:div w:id="718750571">
      <w:marLeft w:val="0"/>
      <w:marRight w:val="0"/>
      <w:marTop w:val="0"/>
      <w:marBottom w:val="0"/>
      <w:divBdr>
        <w:top w:val="none" w:sz="0" w:space="0" w:color="auto"/>
        <w:left w:val="none" w:sz="0" w:space="0" w:color="auto"/>
        <w:bottom w:val="none" w:sz="0" w:space="0" w:color="auto"/>
        <w:right w:val="none" w:sz="0" w:space="0" w:color="auto"/>
      </w:divBdr>
    </w:div>
    <w:div w:id="723136593">
      <w:marLeft w:val="0"/>
      <w:marRight w:val="0"/>
      <w:marTop w:val="0"/>
      <w:marBottom w:val="200"/>
      <w:divBdr>
        <w:top w:val="none" w:sz="0" w:space="0" w:color="auto"/>
        <w:left w:val="none" w:sz="0" w:space="0" w:color="auto"/>
        <w:bottom w:val="none" w:sz="0" w:space="0" w:color="auto"/>
        <w:right w:val="none" w:sz="0" w:space="0" w:color="auto"/>
      </w:divBdr>
    </w:div>
    <w:div w:id="724184060">
      <w:marLeft w:val="0"/>
      <w:marRight w:val="0"/>
      <w:marTop w:val="0"/>
      <w:marBottom w:val="0"/>
      <w:divBdr>
        <w:top w:val="none" w:sz="0" w:space="0" w:color="auto"/>
        <w:left w:val="none" w:sz="0" w:space="0" w:color="auto"/>
        <w:bottom w:val="none" w:sz="0" w:space="0" w:color="auto"/>
        <w:right w:val="none" w:sz="0" w:space="0" w:color="auto"/>
      </w:divBdr>
      <w:divsChild>
        <w:div w:id="511190820">
          <w:marLeft w:val="0"/>
          <w:marRight w:val="0"/>
          <w:marTop w:val="0"/>
          <w:marBottom w:val="0"/>
          <w:divBdr>
            <w:top w:val="none" w:sz="0" w:space="0" w:color="auto"/>
            <w:left w:val="none" w:sz="0" w:space="0" w:color="auto"/>
            <w:bottom w:val="none" w:sz="0" w:space="0" w:color="auto"/>
            <w:right w:val="none" w:sz="0" w:space="0" w:color="auto"/>
          </w:divBdr>
        </w:div>
      </w:divsChild>
    </w:div>
    <w:div w:id="725031786">
      <w:marLeft w:val="0"/>
      <w:marRight w:val="0"/>
      <w:marTop w:val="100"/>
      <w:marBottom w:val="100"/>
      <w:divBdr>
        <w:top w:val="none" w:sz="0" w:space="0" w:color="auto"/>
        <w:left w:val="none" w:sz="0" w:space="0" w:color="auto"/>
        <w:bottom w:val="none" w:sz="0" w:space="0" w:color="auto"/>
        <w:right w:val="none" w:sz="0" w:space="0" w:color="auto"/>
      </w:divBdr>
    </w:div>
    <w:div w:id="729380069">
      <w:marLeft w:val="0"/>
      <w:marRight w:val="0"/>
      <w:marTop w:val="0"/>
      <w:marBottom w:val="0"/>
      <w:divBdr>
        <w:top w:val="none" w:sz="0" w:space="0" w:color="auto"/>
        <w:left w:val="none" w:sz="0" w:space="0" w:color="auto"/>
        <w:bottom w:val="none" w:sz="0" w:space="0" w:color="auto"/>
        <w:right w:val="none" w:sz="0" w:space="0" w:color="auto"/>
      </w:divBdr>
      <w:divsChild>
        <w:div w:id="622275435">
          <w:marLeft w:val="0"/>
          <w:marRight w:val="0"/>
          <w:marTop w:val="0"/>
          <w:marBottom w:val="0"/>
          <w:divBdr>
            <w:top w:val="none" w:sz="0" w:space="0" w:color="auto"/>
            <w:left w:val="none" w:sz="0" w:space="0" w:color="auto"/>
            <w:bottom w:val="none" w:sz="0" w:space="0" w:color="auto"/>
            <w:right w:val="none" w:sz="0" w:space="0" w:color="auto"/>
          </w:divBdr>
        </w:div>
      </w:divsChild>
    </w:div>
    <w:div w:id="735250430">
      <w:marLeft w:val="0"/>
      <w:marRight w:val="0"/>
      <w:marTop w:val="0"/>
      <w:marBottom w:val="0"/>
      <w:divBdr>
        <w:top w:val="none" w:sz="0" w:space="0" w:color="auto"/>
        <w:left w:val="none" w:sz="0" w:space="0" w:color="auto"/>
        <w:bottom w:val="none" w:sz="0" w:space="0" w:color="auto"/>
        <w:right w:val="none" w:sz="0" w:space="0" w:color="auto"/>
      </w:divBdr>
      <w:divsChild>
        <w:div w:id="740565275">
          <w:marLeft w:val="0"/>
          <w:marRight w:val="0"/>
          <w:marTop w:val="0"/>
          <w:marBottom w:val="0"/>
          <w:divBdr>
            <w:top w:val="none" w:sz="0" w:space="0" w:color="auto"/>
            <w:left w:val="none" w:sz="0" w:space="0" w:color="auto"/>
            <w:bottom w:val="none" w:sz="0" w:space="0" w:color="auto"/>
            <w:right w:val="none" w:sz="0" w:space="0" w:color="auto"/>
          </w:divBdr>
        </w:div>
      </w:divsChild>
    </w:div>
    <w:div w:id="735323714">
      <w:marLeft w:val="0"/>
      <w:marRight w:val="0"/>
      <w:marTop w:val="0"/>
      <w:marBottom w:val="200"/>
      <w:divBdr>
        <w:top w:val="none" w:sz="0" w:space="0" w:color="auto"/>
        <w:left w:val="none" w:sz="0" w:space="0" w:color="auto"/>
        <w:bottom w:val="none" w:sz="0" w:space="0" w:color="auto"/>
        <w:right w:val="none" w:sz="0" w:space="0" w:color="auto"/>
      </w:divBdr>
    </w:div>
    <w:div w:id="736587112">
      <w:marLeft w:val="0"/>
      <w:marRight w:val="0"/>
      <w:marTop w:val="0"/>
      <w:marBottom w:val="60"/>
      <w:divBdr>
        <w:top w:val="none" w:sz="0" w:space="0" w:color="auto"/>
        <w:left w:val="none" w:sz="0" w:space="0" w:color="auto"/>
        <w:bottom w:val="none" w:sz="0" w:space="0" w:color="auto"/>
        <w:right w:val="none" w:sz="0" w:space="0" w:color="auto"/>
      </w:divBdr>
    </w:div>
    <w:div w:id="743458259">
      <w:marLeft w:val="0"/>
      <w:marRight w:val="0"/>
      <w:marTop w:val="100"/>
      <w:marBottom w:val="0"/>
      <w:divBdr>
        <w:top w:val="none" w:sz="0" w:space="0" w:color="auto"/>
        <w:left w:val="none" w:sz="0" w:space="0" w:color="auto"/>
        <w:bottom w:val="none" w:sz="0" w:space="0" w:color="auto"/>
        <w:right w:val="none" w:sz="0" w:space="0" w:color="auto"/>
      </w:divBdr>
    </w:div>
    <w:div w:id="747459226">
      <w:marLeft w:val="0"/>
      <w:marRight w:val="0"/>
      <w:marTop w:val="280"/>
      <w:marBottom w:val="0"/>
      <w:divBdr>
        <w:top w:val="none" w:sz="0" w:space="0" w:color="auto"/>
        <w:left w:val="none" w:sz="0" w:space="0" w:color="auto"/>
        <w:bottom w:val="none" w:sz="0" w:space="0" w:color="auto"/>
        <w:right w:val="none" w:sz="0" w:space="0" w:color="auto"/>
      </w:divBdr>
    </w:div>
    <w:div w:id="748842112">
      <w:marLeft w:val="0"/>
      <w:marRight w:val="0"/>
      <w:marTop w:val="0"/>
      <w:marBottom w:val="160"/>
      <w:divBdr>
        <w:top w:val="none" w:sz="0" w:space="0" w:color="auto"/>
        <w:left w:val="none" w:sz="0" w:space="0" w:color="auto"/>
        <w:bottom w:val="none" w:sz="0" w:space="0" w:color="auto"/>
        <w:right w:val="none" w:sz="0" w:space="0" w:color="auto"/>
      </w:divBdr>
    </w:div>
    <w:div w:id="751853357">
      <w:marLeft w:val="0"/>
      <w:marRight w:val="0"/>
      <w:marTop w:val="0"/>
      <w:marBottom w:val="0"/>
      <w:divBdr>
        <w:top w:val="none" w:sz="0" w:space="0" w:color="auto"/>
        <w:left w:val="none" w:sz="0" w:space="0" w:color="auto"/>
        <w:bottom w:val="none" w:sz="0" w:space="0" w:color="auto"/>
        <w:right w:val="none" w:sz="0" w:space="0" w:color="auto"/>
      </w:divBdr>
      <w:divsChild>
        <w:div w:id="1499881833">
          <w:marLeft w:val="0"/>
          <w:marRight w:val="0"/>
          <w:marTop w:val="0"/>
          <w:marBottom w:val="0"/>
          <w:divBdr>
            <w:top w:val="none" w:sz="0" w:space="0" w:color="auto"/>
            <w:left w:val="none" w:sz="0" w:space="0" w:color="auto"/>
            <w:bottom w:val="none" w:sz="0" w:space="0" w:color="auto"/>
            <w:right w:val="none" w:sz="0" w:space="0" w:color="auto"/>
          </w:divBdr>
        </w:div>
        <w:div w:id="248587748">
          <w:marLeft w:val="0"/>
          <w:marRight w:val="0"/>
          <w:marTop w:val="180"/>
          <w:marBottom w:val="0"/>
          <w:divBdr>
            <w:top w:val="none" w:sz="0" w:space="0" w:color="auto"/>
            <w:left w:val="none" w:sz="0" w:space="0" w:color="auto"/>
            <w:bottom w:val="none" w:sz="0" w:space="0" w:color="auto"/>
            <w:right w:val="none" w:sz="0" w:space="0" w:color="auto"/>
          </w:divBdr>
        </w:div>
      </w:divsChild>
    </w:div>
    <w:div w:id="758796895">
      <w:marLeft w:val="0"/>
      <w:marRight w:val="0"/>
      <w:marTop w:val="0"/>
      <w:marBottom w:val="0"/>
      <w:divBdr>
        <w:top w:val="none" w:sz="0" w:space="0" w:color="auto"/>
        <w:left w:val="none" w:sz="0" w:space="0" w:color="auto"/>
        <w:bottom w:val="none" w:sz="0" w:space="0" w:color="auto"/>
        <w:right w:val="none" w:sz="0" w:space="0" w:color="auto"/>
      </w:divBdr>
      <w:divsChild>
        <w:div w:id="1459177471">
          <w:marLeft w:val="0"/>
          <w:marRight w:val="0"/>
          <w:marTop w:val="0"/>
          <w:marBottom w:val="0"/>
          <w:divBdr>
            <w:top w:val="none" w:sz="0" w:space="0" w:color="auto"/>
            <w:left w:val="none" w:sz="0" w:space="0" w:color="auto"/>
            <w:bottom w:val="none" w:sz="0" w:space="0" w:color="auto"/>
            <w:right w:val="none" w:sz="0" w:space="0" w:color="auto"/>
          </w:divBdr>
        </w:div>
        <w:div w:id="813722749">
          <w:marLeft w:val="0"/>
          <w:marRight w:val="0"/>
          <w:marTop w:val="180"/>
          <w:marBottom w:val="0"/>
          <w:divBdr>
            <w:top w:val="none" w:sz="0" w:space="0" w:color="auto"/>
            <w:left w:val="none" w:sz="0" w:space="0" w:color="auto"/>
            <w:bottom w:val="none" w:sz="0" w:space="0" w:color="auto"/>
            <w:right w:val="none" w:sz="0" w:space="0" w:color="auto"/>
          </w:divBdr>
        </w:div>
      </w:divsChild>
    </w:div>
    <w:div w:id="761225251">
      <w:marLeft w:val="0"/>
      <w:marRight w:val="0"/>
      <w:marTop w:val="0"/>
      <w:marBottom w:val="200"/>
      <w:divBdr>
        <w:top w:val="none" w:sz="0" w:space="0" w:color="auto"/>
        <w:left w:val="none" w:sz="0" w:space="0" w:color="auto"/>
        <w:bottom w:val="none" w:sz="0" w:space="0" w:color="auto"/>
        <w:right w:val="none" w:sz="0" w:space="0" w:color="auto"/>
      </w:divBdr>
    </w:div>
    <w:div w:id="764301406">
      <w:marLeft w:val="0"/>
      <w:marRight w:val="0"/>
      <w:marTop w:val="0"/>
      <w:marBottom w:val="0"/>
      <w:divBdr>
        <w:top w:val="none" w:sz="0" w:space="0" w:color="auto"/>
        <w:left w:val="none" w:sz="0" w:space="0" w:color="auto"/>
        <w:bottom w:val="none" w:sz="0" w:space="0" w:color="auto"/>
        <w:right w:val="none" w:sz="0" w:space="0" w:color="auto"/>
      </w:divBdr>
    </w:div>
    <w:div w:id="764495414">
      <w:marLeft w:val="0"/>
      <w:marRight w:val="0"/>
      <w:marTop w:val="0"/>
      <w:marBottom w:val="0"/>
      <w:divBdr>
        <w:top w:val="none" w:sz="0" w:space="0" w:color="auto"/>
        <w:left w:val="none" w:sz="0" w:space="0" w:color="auto"/>
        <w:bottom w:val="none" w:sz="0" w:space="0" w:color="auto"/>
        <w:right w:val="none" w:sz="0" w:space="0" w:color="auto"/>
      </w:divBdr>
    </w:div>
    <w:div w:id="764887004">
      <w:marLeft w:val="0"/>
      <w:marRight w:val="0"/>
      <w:marTop w:val="0"/>
      <w:marBottom w:val="200"/>
      <w:divBdr>
        <w:top w:val="none" w:sz="0" w:space="0" w:color="auto"/>
        <w:left w:val="none" w:sz="0" w:space="0" w:color="auto"/>
        <w:bottom w:val="none" w:sz="0" w:space="0" w:color="auto"/>
        <w:right w:val="none" w:sz="0" w:space="0" w:color="auto"/>
      </w:divBdr>
    </w:div>
    <w:div w:id="775827966">
      <w:marLeft w:val="0"/>
      <w:marRight w:val="0"/>
      <w:marTop w:val="0"/>
      <w:marBottom w:val="0"/>
      <w:divBdr>
        <w:top w:val="none" w:sz="0" w:space="0" w:color="auto"/>
        <w:left w:val="none" w:sz="0" w:space="0" w:color="auto"/>
        <w:bottom w:val="none" w:sz="0" w:space="0" w:color="auto"/>
        <w:right w:val="none" w:sz="0" w:space="0" w:color="auto"/>
      </w:divBdr>
      <w:divsChild>
        <w:div w:id="466822410">
          <w:marLeft w:val="0"/>
          <w:marRight w:val="0"/>
          <w:marTop w:val="0"/>
          <w:marBottom w:val="0"/>
          <w:divBdr>
            <w:top w:val="none" w:sz="0" w:space="0" w:color="auto"/>
            <w:left w:val="none" w:sz="0" w:space="0" w:color="auto"/>
            <w:bottom w:val="none" w:sz="0" w:space="0" w:color="auto"/>
            <w:right w:val="none" w:sz="0" w:space="0" w:color="auto"/>
          </w:divBdr>
        </w:div>
        <w:div w:id="319189041">
          <w:marLeft w:val="0"/>
          <w:marRight w:val="0"/>
          <w:marTop w:val="0"/>
          <w:marBottom w:val="0"/>
          <w:divBdr>
            <w:top w:val="none" w:sz="0" w:space="0" w:color="auto"/>
            <w:left w:val="none" w:sz="0" w:space="0" w:color="auto"/>
            <w:bottom w:val="none" w:sz="0" w:space="0" w:color="auto"/>
            <w:right w:val="none" w:sz="0" w:space="0" w:color="auto"/>
          </w:divBdr>
        </w:div>
      </w:divsChild>
    </w:div>
    <w:div w:id="778337430">
      <w:marLeft w:val="0"/>
      <w:marRight w:val="0"/>
      <w:marTop w:val="0"/>
      <w:marBottom w:val="0"/>
      <w:divBdr>
        <w:top w:val="none" w:sz="0" w:space="0" w:color="auto"/>
        <w:left w:val="none" w:sz="0" w:space="0" w:color="auto"/>
        <w:bottom w:val="none" w:sz="0" w:space="0" w:color="auto"/>
        <w:right w:val="none" w:sz="0" w:space="0" w:color="auto"/>
      </w:divBdr>
      <w:divsChild>
        <w:div w:id="2139688518">
          <w:marLeft w:val="0"/>
          <w:marRight w:val="0"/>
          <w:marTop w:val="0"/>
          <w:marBottom w:val="0"/>
          <w:divBdr>
            <w:top w:val="none" w:sz="0" w:space="0" w:color="auto"/>
            <w:left w:val="none" w:sz="0" w:space="0" w:color="auto"/>
            <w:bottom w:val="none" w:sz="0" w:space="0" w:color="auto"/>
            <w:right w:val="none" w:sz="0" w:space="0" w:color="auto"/>
          </w:divBdr>
        </w:div>
      </w:divsChild>
    </w:div>
    <w:div w:id="779105384">
      <w:marLeft w:val="0"/>
      <w:marRight w:val="0"/>
      <w:marTop w:val="0"/>
      <w:marBottom w:val="0"/>
      <w:divBdr>
        <w:top w:val="none" w:sz="0" w:space="0" w:color="auto"/>
        <w:left w:val="none" w:sz="0" w:space="0" w:color="auto"/>
        <w:bottom w:val="none" w:sz="0" w:space="0" w:color="auto"/>
        <w:right w:val="none" w:sz="0" w:space="0" w:color="auto"/>
      </w:divBdr>
      <w:divsChild>
        <w:div w:id="1348289202">
          <w:marLeft w:val="0"/>
          <w:marRight w:val="0"/>
          <w:marTop w:val="0"/>
          <w:marBottom w:val="0"/>
          <w:divBdr>
            <w:top w:val="none" w:sz="0" w:space="0" w:color="auto"/>
            <w:left w:val="none" w:sz="0" w:space="0" w:color="auto"/>
            <w:bottom w:val="none" w:sz="0" w:space="0" w:color="auto"/>
            <w:right w:val="none" w:sz="0" w:space="0" w:color="auto"/>
          </w:divBdr>
        </w:div>
        <w:div w:id="1193767051">
          <w:marLeft w:val="0"/>
          <w:marRight w:val="0"/>
          <w:marTop w:val="180"/>
          <w:marBottom w:val="0"/>
          <w:divBdr>
            <w:top w:val="none" w:sz="0" w:space="0" w:color="auto"/>
            <w:left w:val="none" w:sz="0" w:space="0" w:color="auto"/>
            <w:bottom w:val="none" w:sz="0" w:space="0" w:color="auto"/>
            <w:right w:val="none" w:sz="0" w:space="0" w:color="auto"/>
          </w:divBdr>
        </w:div>
      </w:divsChild>
    </w:div>
    <w:div w:id="779377821">
      <w:marLeft w:val="0"/>
      <w:marRight w:val="0"/>
      <w:marTop w:val="0"/>
      <w:marBottom w:val="0"/>
      <w:divBdr>
        <w:top w:val="none" w:sz="0" w:space="0" w:color="auto"/>
        <w:left w:val="none" w:sz="0" w:space="0" w:color="auto"/>
        <w:bottom w:val="none" w:sz="0" w:space="0" w:color="auto"/>
        <w:right w:val="none" w:sz="0" w:space="0" w:color="auto"/>
      </w:divBdr>
      <w:divsChild>
        <w:div w:id="1990204279">
          <w:marLeft w:val="0"/>
          <w:marRight w:val="0"/>
          <w:marTop w:val="0"/>
          <w:marBottom w:val="0"/>
          <w:divBdr>
            <w:top w:val="none" w:sz="0" w:space="0" w:color="auto"/>
            <w:left w:val="none" w:sz="0" w:space="0" w:color="auto"/>
            <w:bottom w:val="none" w:sz="0" w:space="0" w:color="auto"/>
            <w:right w:val="none" w:sz="0" w:space="0" w:color="auto"/>
          </w:divBdr>
        </w:div>
      </w:divsChild>
    </w:div>
    <w:div w:id="782070452">
      <w:marLeft w:val="0"/>
      <w:marRight w:val="0"/>
      <w:marTop w:val="0"/>
      <w:marBottom w:val="0"/>
      <w:divBdr>
        <w:top w:val="none" w:sz="0" w:space="0" w:color="auto"/>
        <w:left w:val="none" w:sz="0" w:space="0" w:color="auto"/>
        <w:bottom w:val="none" w:sz="0" w:space="0" w:color="auto"/>
        <w:right w:val="none" w:sz="0" w:space="0" w:color="auto"/>
      </w:divBdr>
      <w:divsChild>
        <w:div w:id="837187263">
          <w:marLeft w:val="0"/>
          <w:marRight w:val="0"/>
          <w:marTop w:val="0"/>
          <w:marBottom w:val="0"/>
          <w:divBdr>
            <w:top w:val="none" w:sz="0" w:space="0" w:color="auto"/>
            <w:left w:val="none" w:sz="0" w:space="0" w:color="auto"/>
            <w:bottom w:val="none" w:sz="0" w:space="0" w:color="auto"/>
            <w:right w:val="none" w:sz="0" w:space="0" w:color="auto"/>
          </w:divBdr>
        </w:div>
      </w:divsChild>
    </w:div>
    <w:div w:id="785466295">
      <w:marLeft w:val="0"/>
      <w:marRight w:val="0"/>
      <w:marTop w:val="0"/>
      <w:marBottom w:val="0"/>
      <w:divBdr>
        <w:top w:val="none" w:sz="0" w:space="0" w:color="auto"/>
        <w:left w:val="none" w:sz="0" w:space="0" w:color="auto"/>
        <w:bottom w:val="none" w:sz="0" w:space="0" w:color="auto"/>
        <w:right w:val="none" w:sz="0" w:space="0" w:color="auto"/>
      </w:divBdr>
      <w:divsChild>
        <w:div w:id="61681899">
          <w:marLeft w:val="0"/>
          <w:marRight w:val="0"/>
          <w:marTop w:val="0"/>
          <w:marBottom w:val="0"/>
          <w:divBdr>
            <w:top w:val="none" w:sz="0" w:space="0" w:color="auto"/>
            <w:left w:val="none" w:sz="0" w:space="0" w:color="auto"/>
            <w:bottom w:val="none" w:sz="0" w:space="0" w:color="auto"/>
            <w:right w:val="none" w:sz="0" w:space="0" w:color="auto"/>
          </w:divBdr>
        </w:div>
      </w:divsChild>
    </w:div>
    <w:div w:id="787159453">
      <w:marLeft w:val="0"/>
      <w:marRight w:val="0"/>
      <w:marTop w:val="0"/>
      <w:marBottom w:val="200"/>
      <w:divBdr>
        <w:top w:val="none" w:sz="0" w:space="0" w:color="auto"/>
        <w:left w:val="none" w:sz="0" w:space="0" w:color="auto"/>
        <w:bottom w:val="none" w:sz="0" w:space="0" w:color="auto"/>
        <w:right w:val="none" w:sz="0" w:space="0" w:color="auto"/>
      </w:divBdr>
    </w:div>
    <w:div w:id="797332594">
      <w:marLeft w:val="0"/>
      <w:marRight w:val="0"/>
      <w:marTop w:val="0"/>
      <w:marBottom w:val="0"/>
      <w:divBdr>
        <w:top w:val="none" w:sz="0" w:space="0" w:color="auto"/>
        <w:left w:val="none" w:sz="0" w:space="0" w:color="auto"/>
        <w:bottom w:val="none" w:sz="0" w:space="0" w:color="auto"/>
        <w:right w:val="none" w:sz="0" w:space="0" w:color="auto"/>
      </w:divBdr>
      <w:divsChild>
        <w:div w:id="1753549796">
          <w:marLeft w:val="0"/>
          <w:marRight w:val="0"/>
          <w:marTop w:val="0"/>
          <w:marBottom w:val="0"/>
          <w:divBdr>
            <w:top w:val="none" w:sz="0" w:space="0" w:color="auto"/>
            <w:left w:val="none" w:sz="0" w:space="0" w:color="auto"/>
            <w:bottom w:val="none" w:sz="0" w:space="0" w:color="auto"/>
            <w:right w:val="none" w:sz="0" w:space="0" w:color="auto"/>
          </w:divBdr>
        </w:div>
      </w:divsChild>
    </w:div>
    <w:div w:id="798769404">
      <w:marLeft w:val="0"/>
      <w:marRight w:val="0"/>
      <w:marTop w:val="0"/>
      <w:marBottom w:val="0"/>
      <w:divBdr>
        <w:top w:val="none" w:sz="0" w:space="0" w:color="auto"/>
        <w:left w:val="none" w:sz="0" w:space="0" w:color="auto"/>
        <w:bottom w:val="none" w:sz="0" w:space="0" w:color="auto"/>
        <w:right w:val="none" w:sz="0" w:space="0" w:color="auto"/>
      </w:divBdr>
      <w:divsChild>
        <w:div w:id="799304402">
          <w:marLeft w:val="0"/>
          <w:marRight w:val="0"/>
          <w:marTop w:val="0"/>
          <w:marBottom w:val="0"/>
          <w:divBdr>
            <w:top w:val="none" w:sz="0" w:space="0" w:color="auto"/>
            <w:left w:val="none" w:sz="0" w:space="0" w:color="auto"/>
            <w:bottom w:val="none" w:sz="0" w:space="0" w:color="auto"/>
            <w:right w:val="none" w:sz="0" w:space="0" w:color="auto"/>
          </w:divBdr>
        </w:div>
      </w:divsChild>
    </w:div>
    <w:div w:id="799030943">
      <w:marLeft w:val="0"/>
      <w:marRight w:val="0"/>
      <w:marTop w:val="100"/>
      <w:marBottom w:val="100"/>
      <w:divBdr>
        <w:top w:val="none" w:sz="0" w:space="0" w:color="auto"/>
        <w:left w:val="none" w:sz="0" w:space="0" w:color="auto"/>
        <w:bottom w:val="none" w:sz="0" w:space="0" w:color="auto"/>
        <w:right w:val="none" w:sz="0" w:space="0" w:color="auto"/>
      </w:divBdr>
    </w:div>
    <w:div w:id="802501477">
      <w:marLeft w:val="0"/>
      <w:marRight w:val="0"/>
      <w:marTop w:val="0"/>
      <w:marBottom w:val="0"/>
      <w:divBdr>
        <w:top w:val="none" w:sz="0" w:space="0" w:color="auto"/>
        <w:left w:val="none" w:sz="0" w:space="0" w:color="auto"/>
        <w:bottom w:val="none" w:sz="0" w:space="0" w:color="auto"/>
        <w:right w:val="none" w:sz="0" w:space="0" w:color="auto"/>
      </w:divBdr>
      <w:divsChild>
        <w:div w:id="403527264">
          <w:marLeft w:val="0"/>
          <w:marRight w:val="0"/>
          <w:marTop w:val="0"/>
          <w:marBottom w:val="0"/>
          <w:divBdr>
            <w:top w:val="none" w:sz="0" w:space="0" w:color="auto"/>
            <w:left w:val="none" w:sz="0" w:space="0" w:color="auto"/>
            <w:bottom w:val="none" w:sz="0" w:space="0" w:color="auto"/>
            <w:right w:val="none" w:sz="0" w:space="0" w:color="auto"/>
          </w:divBdr>
        </w:div>
      </w:divsChild>
    </w:div>
    <w:div w:id="803692642">
      <w:marLeft w:val="0"/>
      <w:marRight w:val="0"/>
      <w:marTop w:val="0"/>
      <w:marBottom w:val="200"/>
      <w:divBdr>
        <w:top w:val="none" w:sz="0" w:space="0" w:color="auto"/>
        <w:left w:val="none" w:sz="0" w:space="0" w:color="auto"/>
        <w:bottom w:val="none" w:sz="0" w:space="0" w:color="auto"/>
        <w:right w:val="none" w:sz="0" w:space="0" w:color="auto"/>
      </w:divBdr>
    </w:div>
    <w:div w:id="805777452">
      <w:marLeft w:val="0"/>
      <w:marRight w:val="0"/>
      <w:marTop w:val="100"/>
      <w:marBottom w:val="100"/>
      <w:divBdr>
        <w:top w:val="none" w:sz="0" w:space="0" w:color="auto"/>
        <w:left w:val="none" w:sz="0" w:space="0" w:color="auto"/>
        <w:bottom w:val="none" w:sz="0" w:space="0" w:color="auto"/>
        <w:right w:val="none" w:sz="0" w:space="0" w:color="auto"/>
      </w:divBdr>
    </w:div>
    <w:div w:id="805900799">
      <w:marLeft w:val="0"/>
      <w:marRight w:val="0"/>
      <w:marTop w:val="0"/>
      <w:marBottom w:val="200"/>
      <w:divBdr>
        <w:top w:val="none" w:sz="0" w:space="0" w:color="auto"/>
        <w:left w:val="none" w:sz="0" w:space="0" w:color="auto"/>
        <w:bottom w:val="none" w:sz="0" w:space="0" w:color="auto"/>
        <w:right w:val="none" w:sz="0" w:space="0" w:color="auto"/>
      </w:divBdr>
    </w:div>
    <w:div w:id="807018859">
      <w:marLeft w:val="0"/>
      <w:marRight w:val="0"/>
      <w:marTop w:val="0"/>
      <w:marBottom w:val="0"/>
      <w:divBdr>
        <w:top w:val="none" w:sz="0" w:space="0" w:color="auto"/>
        <w:left w:val="none" w:sz="0" w:space="0" w:color="auto"/>
        <w:bottom w:val="none" w:sz="0" w:space="0" w:color="auto"/>
        <w:right w:val="none" w:sz="0" w:space="0" w:color="auto"/>
      </w:divBdr>
      <w:divsChild>
        <w:div w:id="561524423">
          <w:marLeft w:val="0"/>
          <w:marRight w:val="0"/>
          <w:marTop w:val="0"/>
          <w:marBottom w:val="0"/>
          <w:divBdr>
            <w:top w:val="none" w:sz="0" w:space="0" w:color="auto"/>
            <w:left w:val="none" w:sz="0" w:space="0" w:color="auto"/>
            <w:bottom w:val="none" w:sz="0" w:space="0" w:color="auto"/>
            <w:right w:val="none" w:sz="0" w:space="0" w:color="auto"/>
          </w:divBdr>
        </w:div>
      </w:divsChild>
    </w:div>
    <w:div w:id="807403847">
      <w:marLeft w:val="0"/>
      <w:marRight w:val="0"/>
      <w:marTop w:val="0"/>
      <w:marBottom w:val="0"/>
      <w:divBdr>
        <w:top w:val="none" w:sz="0" w:space="0" w:color="auto"/>
        <w:left w:val="none" w:sz="0" w:space="0" w:color="auto"/>
        <w:bottom w:val="none" w:sz="0" w:space="0" w:color="auto"/>
        <w:right w:val="none" w:sz="0" w:space="0" w:color="auto"/>
      </w:divBdr>
      <w:divsChild>
        <w:div w:id="130560135">
          <w:marLeft w:val="0"/>
          <w:marRight w:val="0"/>
          <w:marTop w:val="0"/>
          <w:marBottom w:val="0"/>
          <w:divBdr>
            <w:top w:val="none" w:sz="0" w:space="0" w:color="auto"/>
            <w:left w:val="none" w:sz="0" w:space="0" w:color="auto"/>
            <w:bottom w:val="none" w:sz="0" w:space="0" w:color="auto"/>
            <w:right w:val="none" w:sz="0" w:space="0" w:color="auto"/>
          </w:divBdr>
        </w:div>
      </w:divsChild>
    </w:div>
    <w:div w:id="810488179">
      <w:marLeft w:val="0"/>
      <w:marRight w:val="0"/>
      <w:marTop w:val="0"/>
      <w:marBottom w:val="0"/>
      <w:divBdr>
        <w:top w:val="none" w:sz="0" w:space="0" w:color="auto"/>
        <w:left w:val="none" w:sz="0" w:space="0" w:color="auto"/>
        <w:bottom w:val="none" w:sz="0" w:space="0" w:color="auto"/>
        <w:right w:val="none" w:sz="0" w:space="0" w:color="auto"/>
      </w:divBdr>
      <w:divsChild>
        <w:div w:id="294213360">
          <w:marLeft w:val="0"/>
          <w:marRight w:val="0"/>
          <w:marTop w:val="0"/>
          <w:marBottom w:val="0"/>
          <w:divBdr>
            <w:top w:val="none" w:sz="0" w:space="0" w:color="auto"/>
            <w:left w:val="none" w:sz="0" w:space="0" w:color="auto"/>
            <w:bottom w:val="none" w:sz="0" w:space="0" w:color="auto"/>
            <w:right w:val="none" w:sz="0" w:space="0" w:color="auto"/>
          </w:divBdr>
        </w:div>
        <w:div w:id="1713963580">
          <w:marLeft w:val="0"/>
          <w:marRight w:val="0"/>
          <w:marTop w:val="0"/>
          <w:marBottom w:val="0"/>
          <w:divBdr>
            <w:top w:val="none" w:sz="0" w:space="0" w:color="auto"/>
            <w:left w:val="none" w:sz="0" w:space="0" w:color="auto"/>
            <w:bottom w:val="none" w:sz="0" w:space="0" w:color="auto"/>
            <w:right w:val="none" w:sz="0" w:space="0" w:color="auto"/>
          </w:divBdr>
        </w:div>
      </w:divsChild>
    </w:div>
    <w:div w:id="811362432">
      <w:marLeft w:val="0"/>
      <w:marRight w:val="0"/>
      <w:marTop w:val="0"/>
      <w:marBottom w:val="0"/>
      <w:divBdr>
        <w:top w:val="none" w:sz="0" w:space="0" w:color="auto"/>
        <w:left w:val="none" w:sz="0" w:space="0" w:color="auto"/>
        <w:bottom w:val="none" w:sz="0" w:space="0" w:color="auto"/>
        <w:right w:val="none" w:sz="0" w:space="0" w:color="auto"/>
      </w:divBdr>
      <w:divsChild>
        <w:div w:id="1269311689">
          <w:marLeft w:val="0"/>
          <w:marRight w:val="0"/>
          <w:marTop w:val="0"/>
          <w:marBottom w:val="0"/>
          <w:divBdr>
            <w:top w:val="none" w:sz="0" w:space="0" w:color="auto"/>
            <w:left w:val="none" w:sz="0" w:space="0" w:color="auto"/>
            <w:bottom w:val="none" w:sz="0" w:space="0" w:color="auto"/>
            <w:right w:val="none" w:sz="0" w:space="0" w:color="auto"/>
          </w:divBdr>
        </w:div>
      </w:divsChild>
    </w:div>
    <w:div w:id="812909000">
      <w:marLeft w:val="0"/>
      <w:marRight w:val="0"/>
      <w:marTop w:val="0"/>
      <w:marBottom w:val="60"/>
      <w:divBdr>
        <w:top w:val="none" w:sz="0" w:space="0" w:color="auto"/>
        <w:left w:val="none" w:sz="0" w:space="0" w:color="auto"/>
        <w:bottom w:val="none" w:sz="0" w:space="0" w:color="auto"/>
        <w:right w:val="none" w:sz="0" w:space="0" w:color="auto"/>
      </w:divBdr>
    </w:div>
    <w:div w:id="813761989">
      <w:marLeft w:val="0"/>
      <w:marRight w:val="0"/>
      <w:marTop w:val="0"/>
      <w:marBottom w:val="0"/>
      <w:divBdr>
        <w:top w:val="none" w:sz="0" w:space="0" w:color="auto"/>
        <w:left w:val="none" w:sz="0" w:space="0" w:color="auto"/>
        <w:bottom w:val="none" w:sz="0" w:space="0" w:color="auto"/>
        <w:right w:val="none" w:sz="0" w:space="0" w:color="auto"/>
      </w:divBdr>
    </w:div>
    <w:div w:id="817266319">
      <w:marLeft w:val="0"/>
      <w:marRight w:val="0"/>
      <w:marTop w:val="0"/>
      <w:marBottom w:val="200"/>
      <w:divBdr>
        <w:top w:val="none" w:sz="0" w:space="0" w:color="auto"/>
        <w:left w:val="none" w:sz="0" w:space="0" w:color="auto"/>
        <w:bottom w:val="none" w:sz="0" w:space="0" w:color="auto"/>
        <w:right w:val="none" w:sz="0" w:space="0" w:color="auto"/>
      </w:divBdr>
    </w:div>
    <w:div w:id="826940610">
      <w:marLeft w:val="0"/>
      <w:marRight w:val="0"/>
      <w:marTop w:val="0"/>
      <w:marBottom w:val="0"/>
      <w:divBdr>
        <w:top w:val="none" w:sz="0" w:space="0" w:color="auto"/>
        <w:left w:val="none" w:sz="0" w:space="0" w:color="auto"/>
        <w:bottom w:val="none" w:sz="0" w:space="0" w:color="auto"/>
        <w:right w:val="none" w:sz="0" w:space="0" w:color="auto"/>
      </w:divBdr>
      <w:divsChild>
        <w:div w:id="33817892">
          <w:marLeft w:val="0"/>
          <w:marRight w:val="0"/>
          <w:marTop w:val="0"/>
          <w:marBottom w:val="0"/>
          <w:divBdr>
            <w:top w:val="none" w:sz="0" w:space="0" w:color="auto"/>
            <w:left w:val="none" w:sz="0" w:space="0" w:color="auto"/>
            <w:bottom w:val="none" w:sz="0" w:space="0" w:color="auto"/>
            <w:right w:val="none" w:sz="0" w:space="0" w:color="auto"/>
          </w:divBdr>
        </w:div>
      </w:divsChild>
    </w:div>
    <w:div w:id="832182226">
      <w:marLeft w:val="0"/>
      <w:marRight w:val="0"/>
      <w:marTop w:val="0"/>
      <w:marBottom w:val="0"/>
      <w:divBdr>
        <w:top w:val="none" w:sz="0" w:space="0" w:color="auto"/>
        <w:left w:val="none" w:sz="0" w:space="0" w:color="auto"/>
        <w:bottom w:val="none" w:sz="0" w:space="0" w:color="auto"/>
        <w:right w:val="none" w:sz="0" w:space="0" w:color="auto"/>
      </w:divBdr>
      <w:divsChild>
        <w:div w:id="315496114">
          <w:marLeft w:val="0"/>
          <w:marRight w:val="0"/>
          <w:marTop w:val="0"/>
          <w:marBottom w:val="0"/>
          <w:divBdr>
            <w:top w:val="none" w:sz="0" w:space="0" w:color="auto"/>
            <w:left w:val="none" w:sz="0" w:space="0" w:color="auto"/>
            <w:bottom w:val="none" w:sz="0" w:space="0" w:color="auto"/>
            <w:right w:val="none" w:sz="0" w:space="0" w:color="auto"/>
          </w:divBdr>
        </w:div>
      </w:divsChild>
    </w:div>
    <w:div w:id="833912050">
      <w:marLeft w:val="0"/>
      <w:marRight w:val="0"/>
      <w:marTop w:val="0"/>
      <w:marBottom w:val="0"/>
      <w:divBdr>
        <w:top w:val="none" w:sz="0" w:space="0" w:color="auto"/>
        <w:left w:val="none" w:sz="0" w:space="0" w:color="auto"/>
        <w:bottom w:val="none" w:sz="0" w:space="0" w:color="auto"/>
        <w:right w:val="none" w:sz="0" w:space="0" w:color="auto"/>
      </w:divBdr>
    </w:div>
    <w:div w:id="841972080">
      <w:marLeft w:val="0"/>
      <w:marRight w:val="0"/>
      <w:marTop w:val="200"/>
      <w:marBottom w:val="0"/>
      <w:divBdr>
        <w:top w:val="none" w:sz="0" w:space="0" w:color="auto"/>
        <w:left w:val="none" w:sz="0" w:space="0" w:color="auto"/>
        <w:bottom w:val="none" w:sz="0" w:space="0" w:color="auto"/>
        <w:right w:val="none" w:sz="0" w:space="0" w:color="auto"/>
      </w:divBdr>
    </w:div>
    <w:div w:id="858391906">
      <w:marLeft w:val="0"/>
      <w:marRight w:val="0"/>
      <w:marTop w:val="0"/>
      <w:marBottom w:val="200"/>
      <w:divBdr>
        <w:top w:val="none" w:sz="0" w:space="0" w:color="auto"/>
        <w:left w:val="none" w:sz="0" w:space="0" w:color="auto"/>
        <w:bottom w:val="none" w:sz="0" w:space="0" w:color="auto"/>
        <w:right w:val="none" w:sz="0" w:space="0" w:color="auto"/>
      </w:divBdr>
    </w:div>
    <w:div w:id="863635784">
      <w:marLeft w:val="0"/>
      <w:marRight w:val="0"/>
      <w:marTop w:val="100"/>
      <w:marBottom w:val="0"/>
      <w:divBdr>
        <w:top w:val="none" w:sz="0" w:space="0" w:color="auto"/>
        <w:left w:val="none" w:sz="0" w:space="0" w:color="auto"/>
        <w:bottom w:val="none" w:sz="0" w:space="0" w:color="auto"/>
        <w:right w:val="none" w:sz="0" w:space="0" w:color="auto"/>
      </w:divBdr>
    </w:div>
    <w:div w:id="864749657">
      <w:marLeft w:val="0"/>
      <w:marRight w:val="0"/>
      <w:marTop w:val="0"/>
      <w:marBottom w:val="0"/>
      <w:divBdr>
        <w:top w:val="none" w:sz="0" w:space="0" w:color="auto"/>
        <w:left w:val="none" w:sz="0" w:space="0" w:color="auto"/>
        <w:bottom w:val="none" w:sz="0" w:space="0" w:color="auto"/>
        <w:right w:val="none" w:sz="0" w:space="0" w:color="auto"/>
      </w:divBdr>
    </w:div>
    <w:div w:id="869950049">
      <w:marLeft w:val="0"/>
      <w:marRight w:val="0"/>
      <w:marTop w:val="200"/>
      <w:marBottom w:val="0"/>
      <w:divBdr>
        <w:top w:val="none" w:sz="0" w:space="0" w:color="auto"/>
        <w:left w:val="none" w:sz="0" w:space="0" w:color="auto"/>
        <w:bottom w:val="none" w:sz="0" w:space="0" w:color="auto"/>
        <w:right w:val="none" w:sz="0" w:space="0" w:color="auto"/>
      </w:divBdr>
    </w:div>
    <w:div w:id="870801275">
      <w:marLeft w:val="0"/>
      <w:marRight w:val="0"/>
      <w:marTop w:val="0"/>
      <w:marBottom w:val="200"/>
      <w:divBdr>
        <w:top w:val="none" w:sz="0" w:space="0" w:color="auto"/>
        <w:left w:val="none" w:sz="0" w:space="0" w:color="auto"/>
        <w:bottom w:val="none" w:sz="0" w:space="0" w:color="auto"/>
        <w:right w:val="none" w:sz="0" w:space="0" w:color="auto"/>
      </w:divBdr>
    </w:div>
    <w:div w:id="873268349">
      <w:marLeft w:val="0"/>
      <w:marRight w:val="0"/>
      <w:marTop w:val="0"/>
      <w:marBottom w:val="0"/>
      <w:divBdr>
        <w:top w:val="none" w:sz="0" w:space="0" w:color="auto"/>
        <w:left w:val="none" w:sz="0" w:space="0" w:color="auto"/>
        <w:bottom w:val="none" w:sz="0" w:space="0" w:color="auto"/>
        <w:right w:val="none" w:sz="0" w:space="0" w:color="auto"/>
      </w:divBdr>
    </w:div>
    <w:div w:id="875775494">
      <w:marLeft w:val="0"/>
      <w:marRight w:val="0"/>
      <w:marTop w:val="0"/>
      <w:marBottom w:val="0"/>
      <w:divBdr>
        <w:top w:val="none" w:sz="0" w:space="0" w:color="auto"/>
        <w:left w:val="none" w:sz="0" w:space="0" w:color="auto"/>
        <w:bottom w:val="none" w:sz="0" w:space="0" w:color="auto"/>
        <w:right w:val="none" w:sz="0" w:space="0" w:color="auto"/>
      </w:divBdr>
      <w:divsChild>
        <w:div w:id="1850023997">
          <w:marLeft w:val="0"/>
          <w:marRight w:val="0"/>
          <w:marTop w:val="0"/>
          <w:marBottom w:val="0"/>
          <w:divBdr>
            <w:top w:val="none" w:sz="0" w:space="0" w:color="auto"/>
            <w:left w:val="none" w:sz="0" w:space="0" w:color="auto"/>
            <w:bottom w:val="none" w:sz="0" w:space="0" w:color="auto"/>
            <w:right w:val="none" w:sz="0" w:space="0" w:color="auto"/>
          </w:divBdr>
        </w:div>
        <w:div w:id="1148671687">
          <w:marLeft w:val="0"/>
          <w:marRight w:val="0"/>
          <w:marTop w:val="180"/>
          <w:marBottom w:val="0"/>
          <w:divBdr>
            <w:top w:val="none" w:sz="0" w:space="0" w:color="auto"/>
            <w:left w:val="none" w:sz="0" w:space="0" w:color="auto"/>
            <w:bottom w:val="none" w:sz="0" w:space="0" w:color="auto"/>
            <w:right w:val="none" w:sz="0" w:space="0" w:color="auto"/>
          </w:divBdr>
        </w:div>
      </w:divsChild>
    </w:div>
    <w:div w:id="878471923">
      <w:marLeft w:val="0"/>
      <w:marRight w:val="0"/>
      <w:marTop w:val="200"/>
      <w:marBottom w:val="0"/>
      <w:divBdr>
        <w:top w:val="none" w:sz="0" w:space="0" w:color="auto"/>
        <w:left w:val="none" w:sz="0" w:space="0" w:color="auto"/>
        <w:bottom w:val="none" w:sz="0" w:space="0" w:color="auto"/>
        <w:right w:val="none" w:sz="0" w:space="0" w:color="auto"/>
      </w:divBdr>
    </w:div>
    <w:div w:id="882138188">
      <w:marLeft w:val="0"/>
      <w:marRight w:val="0"/>
      <w:marTop w:val="100"/>
      <w:marBottom w:val="100"/>
      <w:divBdr>
        <w:top w:val="none" w:sz="0" w:space="0" w:color="auto"/>
        <w:left w:val="none" w:sz="0" w:space="0" w:color="auto"/>
        <w:bottom w:val="none" w:sz="0" w:space="0" w:color="auto"/>
        <w:right w:val="none" w:sz="0" w:space="0" w:color="auto"/>
      </w:divBdr>
      <w:divsChild>
        <w:div w:id="1468939187">
          <w:marLeft w:val="0"/>
          <w:marRight w:val="0"/>
          <w:marTop w:val="0"/>
          <w:marBottom w:val="0"/>
          <w:divBdr>
            <w:top w:val="none" w:sz="0" w:space="0" w:color="auto"/>
            <w:left w:val="none" w:sz="0" w:space="0" w:color="auto"/>
            <w:bottom w:val="none" w:sz="0" w:space="0" w:color="auto"/>
            <w:right w:val="none" w:sz="0" w:space="0" w:color="auto"/>
          </w:divBdr>
        </w:div>
      </w:divsChild>
    </w:div>
    <w:div w:id="887491276">
      <w:marLeft w:val="0"/>
      <w:marRight w:val="0"/>
      <w:marTop w:val="200"/>
      <w:marBottom w:val="0"/>
      <w:divBdr>
        <w:top w:val="none" w:sz="0" w:space="0" w:color="auto"/>
        <w:left w:val="none" w:sz="0" w:space="0" w:color="auto"/>
        <w:bottom w:val="none" w:sz="0" w:space="0" w:color="auto"/>
        <w:right w:val="none" w:sz="0" w:space="0" w:color="auto"/>
      </w:divBdr>
    </w:div>
    <w:div w:id="894045180">
      <w:marLeft w:val="0"/>
      <w:marRight w:val="0"/>
      <w:marTop w:val="0"/>
      <w:marBottom w:val="200"/>
      <w:divBdr>
        <w:top w:val="none" w:sz="0" w:space="0" w:color="auto"/>
        <w:left w:val="none" w:sz="0" w:space="0" w:color="auto"/>
        <w:bottom w:val="none" w:sz="0" w:space="0" w:color="auto"/>
        <w:right w:val="none" w:sz="0" w:space="0" w:color="auto"/>
      </w:divBdr>
    </w:div>
    <w:div w:id="894387298">
      <w:marLeft w:val="0"/>
      <w:marRight w:val="0"/>
      <w:marTop w:val="0"/>
      <w:marBottom w:val="0"/>
      <w:divBdr>
        <w:top w:val="none" w:sz="0" w:space="0" w:color="auto"/>
        <w:left w:val="none" w:sz="0" w:space="0" w:color="auto"/>
        <w:bottom w:val="none" w:sz="0" w:space="0" w:color="auto"/>
        <w:right w:val="none" w:sz="0" w:space="0" w:color="auto"/>
      </w:divBdr>
      <w:divsChild>
        <w:div w:id="693775428">
          <w:marLeft w:val="0"/>
          <w:marRight w:val="0"/>
          <w:marTop w:val="0"/>
          <w:marBottom w:val="0"/>
          <w:divBdr>
            <w:top w:val="none" w:sz="0" w:space="0" w:color="auto"/>
            <w:left w:val="none" w:sz="0" w:space="0" w:color="auto"/>
            <w:bottom w:val="none" w:sz="0" w:space="0" w:color="auto"/>
            <w:right w:val="none" w:sz="0" w:space="0" w:color="auto"/>
          </w:divBdr>
        </w:div>
      </w:divsChild>
    </w:div>
    <w:div w:id="894850726">
      <w:marLeft w:val="0"/>
      <w:marRight w:val="0"/>
      <w:marTop w:val="0"/>
      <w:marBottom w:val="0"/>
      <w:divBdr>
        <w:top w:val="none" w:sz="0" w:space="0" w:color="auto"/>
        <w:left w:val="none" w:sz="0" w:space="0" w:color="auto"/>
        <w:bottom w:val="none" w:sz="0" w:space="0" w:color="auto"/>
        <w:right w:val="none" w:sz="0" w:space="0" w:color="auto"/>
      </w:divBdr>
      <w:divsChild>
        <w:div w:id="1998458478">
          <w:marLeft w:val="0"/>
          <w:marRight w:val="0"/>
          <w:marTop w:val="0"/>
          <w:marBottom w:val="0"/>
          <w:divBdr>
            <w:top w:val="none" w:sz="0" w:space="0" w:color="auto"/>
            <w:left w:val="none" w:sz="0" w:space="0" w:color="auto"/>
            <w:bottom w:val="none" w:sz="0" w:space="0" w:color="auto"/>
            <w:right w:val="none" w:sz="0" w:space="0" w:color="auto"/>
          </w:divBdr>
        </w:div>
        <w:div w:id="359823580">
          <w:marLeft w:val="0"/>
          <w:marRight w:val="0"/>
          <w:marTop w:val="180"/>
          <w:marBottom w:val="0"/>
          <w:divBdr>
            <w:top w:val="none" w:sz="0" w:space="0" w:color="auto"/>
            <w:left w:val="none" w:sz="0" w:space="0" w:color="auto"/>
            <w:bottom w:val="none" w:sz="0" w:space="0" w:color="auto"/>
            <w:right w:val="none" w:sz="0" w:space="0" w:color="auto"/>
          </w:divBdr>
        </w:div>
      </w:divsChild>
    </w:div>
    <w:div w:id="896553787">
      <w:marLeft w:val="0"/>
      <w:marRight w:val="0"/>
      <w:marTop w:val="0"/>
      <w:marBottom w:val="200"/>
      <w:divBdr>
        <w:top w:val="none" w:sz="0" w:space="0" w:color="auto"/>
        <w:left w:val="none" w:sz="0" w:space="0" w:color="auto"/>
        <w:bottom w:val="none" w:sz="0" w:space="0" w:color="auto"/>
        <w:right w:val="none" w:sz="0" w:space="0" w:color="auto"/>
      </w:divBdr>
    </w:div>
    <w:div w:id="896671048">
      <w:marLeft w:val="0"/>
      <w:marRight w:val="0"/>
      <w:marTop w:val="0"/>
      <w:marBottom w:val="120"/>
      <w:divBdr>
        <w:top w:val="none" w:sz="0" w:space="0" w:color="auto"/>
        <w:left w:val="none" w:sz="0" w:space="0" w:color="auto"/>
        <w:bottom w:val="none" w:sz="0" w:space="0" w:color="auto"/>
        <w:right w:val="none" w:sz="0" w:space="0" w:color="auto"/>
      </w:divBdr>
    </w:div>
    <w:div w:id="898829746">
      <w:marLeft w:val="0"/>
      <w:marRight w:val="0"/>
      <w:marTop w:val="0"/>
      <w:marBottom w:val="200"/>
      <w:divBdr>
        <w:top w:val="none" w:sz="0" w:space="0" w:color="auto"/>
        <w:left w:val="none" w:sz="0" w:space="0" w:color="auto"/>
        <w:bottom w:val="none" w:sz="0" w:space="0" w:color="auto"/>
        <w:right w:val="none" w:sz="0" w:space="0" w:color="auto"/>
      </w:divBdr>
    </w:div>
    <w:div w:id="900796316">
      <w:marLeft w:val="0"/>
      <w:marRight w:val="0"/>
      <w:marTop w:val="0"/>
      <w:marBottom w:val="0"/>
      <w:divBdr>
        <w:top w:val="none" w:sz="0" w:space="0" w:color="auto"/>
        <w:left w:val="none" w:sz="0" w:space="0" w:color="auto"/>
        <w:bottom w:val="none" w:sz="0" w:space="0" w:color="auto"/>
        <w:right w:val="none" w:sz="0" w:space="0" w:color="auto"/>
      </w:divBdr>
    </w:div>
    <w:div w:id="902108845">
      <w:marLeft w:val="0"/>
      <w:marRight w:val="0"/>
      <w:marTop w:val="0"/>
      <w:marBottom w:val="0"/>
      <w:divBdr>
        <w:top w:val="none" w:sz="0" w:space="0" w:color="auto"/>
        <w:left w:val="none" w:sz="0" w:space="0" w:color="auto"/>
        <w:bottom w:val="none" w:sz="0" w:space="0" w:color="auto"/>
        <w:right w:val="none" w:sz="0" w:space="0" w:color="auto"/>
      </w:divBdr>
      <w:divsChild>
        <w:div w:id="938291755">
          <w:marLeft w:val="0"/>
          <w:marRight w:val="0"/>
          <w:marTop w:val="0"/>
          <w:marBottom w:val="0"/>
          <w:divBdr>
            <w:top w:val="none" w:sz="0" w:space="0" w:color="auto"/>
            <w:left w:val="none" w:sz="0" w:space="0" w:color="auto"/>
            <w:bottom w:val="none" w:sz="0" w:space="0" w:color="auto"/>
            <w:right w:val="none" w:sz="0" w:space="0" w:color="auto"/>
          </w:divBdr>
        </w:div>
      </w:divsChild>
    </w:div>
    <w:div w:id="905609167">
      <w:marLeft w:val="0"/>
      <w:marRight w:val="0"/>
      <w:marTop w:val="120"/>
      <w:marBottom w:val="0"/>
      <w:divBdr>
        <w:top w:val="none" w:sz="0" w:space="0" w:color="auto"/>
        <w:left w:val="none" w:sz="0" w:space="0" w:color="auto"/>
        <w:bottom w:val="none" w:sz="0" w:space="0" w:color="auto"/>
        <w:right w:val="none" w:sz="0" w:space="0" w:color="auto"/>
      </w:divBdr>
    </w:div>
    <w:div w:id="908266276">
      <w:marLeft w:val="0"/>
      <w:marRight w:val="0"/>
      <w:marTop w:val="0"/>
      <w:marBottom w:val="0"/>
      <w:divBdr>
        <w:top w:val="none" w:sz="0" w:space="0" w:color="auto"/>
        <w:left w:val="none" w:sz="0" w:space="0" w:color="auto"/>
        <w:bottom w:val="none" w:sz="0" w:space="0" w:color="auto"/>
        <w:right w:val="none" w:sz="0" w:space="0" w:color="auto"/>
      </w:divBdr>
    </w:div>
    <w:div w:id="909002968">
      <w:marLeft w:val="0"/>
      <w:marRight w:val="0"/>
      <w:marTop w:val="0"/>
      <w:marBottom w:val="200"/>
      <w:divBdr>
        <w:top w:val="none" w:sz="0" w:space="0" w:color="auto"/>
        <w:left w:val="none" w:sz="0" w:space="0" w:color="auto"/>
        <w:bottom w:val="none" w:sz="0" w:space="0" w:color="auto"/>
        <w:right w:val="none" w:sz="0" w:space="0" w:color="auto"/>
      </w:divBdr>
    </w:div>
    <w:div w:id="915163516">
      <w:marLeft w:val="0"/>
      <w:marRight w:val="0"/>
      <w:marTop w:val="0"/>
      <w:marBottom w:val="0"/>
      <w:divBdr>
        <w:top w:val="none" w:sz="0" w:space="0" w:color="auto"/>
        <w:left w:val="none" w:sz="0" w:space="0" w:color="auto"/>
        <w:bottom w:val="none" w:sz="0" w:space="0" w:color="auto"/>
        <w:right w:val="none" w:sz="0" w:space="0" w:color="auto"/>
      </w:divBdr>
      <w:divsChild>
        <w:div w:id="1057626407">
          <w:marLeft w:val="0"/>
          <w:marRight w:val="0"/>
          <w:marTop w:val="0"/>
          <w:marBottom w:val="0"/>
          <w:divBdr>
            <w:top w:val="none" w:sz="0" w:space="0" w:color="auto"/>
            <w:left w:val="none" w:sz="0" w:space="0" w:color="auto"/>
            <w:bottom w:val="none" w:sz="0" w:space="0" w:color="auto"/>
            <w:right w:val="none" w:sz="0" w:space="0" w:color="auto"/>
          </w:divBdr>
        </w:div>
        <w:div w:id="34307482">
          <w:marLeft w:val="0"/>
          <w:marRight w:val="0"/>
          <w:marTop w:val="180"/>
          <w:marBottom w:val="0"/>
          <w:divBdr>
            <w:top w:val="none" w:sz="0" w:space="0" w:color="auto"/>
            <w:left w:val="none" w:sz="0" w:space="0" w:color="auto"/>
            <w:bottom w:val="none" w:sz="0" w:space="0" w:color="auto"/>
            <w:right w:val="none" w:sz="0" w:space="0" w:color="auto"/>
          </w:divBdr>
        </w:div>
      </w:divsChild>
    </w:div>
    <w:div w:id="916090982">
      <w:marLeft w:val="0"/>
      <w:marRight w:val="0"/>
      <w:marTop w:val="100"/>
      <w:marBottom w:val="160"/>
      <w:divBdr>
        <w:top w:val="none" w:sz="0" w:space="0" w:color="auto"/>
        <w:left w:val="none" w:sz="0" w:space="0" w:color="auto"/>
        <w:bottom w:val="none" w:sz="0" w:space="0" w:color="auto"/>
        <w:right w:val="none" w:sz="0" w:space="0" w:color="auto"/>
      </w:divBdr>
    </w:div>
    <w:div w:id="920601935">
      <w:marLeft w:val="0"/>
      <w:marRight w:val="0"/>
      <w:marTop w:val="0"/>
      <w:marBottom w:val="200"/>
      <w:divBdr>
        <w:top w:val="none" w:sz="0" w:space="0" w:color="auto"/>
        <w:left w:val="none" w:sz="0" w:space="0" w:color="auto"/>
        <w:bottom w:val="none" w:sz="0" w:space="0" w:color="auto"/>
        <w:right w:val="none" w:sz="0" w:space="0" w:color="auto"/>
      </w:divBdr>
    </w:div>
    <w:div w:id="926615467">
      <w:marLeft w:val="0"/>
      <w:marRight w:val="0"/>
      <w:marTop w:val="0"/>
      <w:marBottom w:val="0"/>
      <w:divBdr>
        <w:top w:val="none" w:sz="0" w:space="0" w:color="auto"/>
        <w:left w:val="none" w:sz="0" w:space="0" w:color="auto"/>
        <w:bottom w:val="none" w:sz="0" w:space="0" w:color="auto"/>
        <w:right w:val="none" w:sz="0" w:space="0" w:color="auto"/>
      </w:divBdr>
      <w:divsChild>
        <w:div w:id="615409405">
          <w:marLeft w:val="0"/>
          <w:marRight w:val="0"/>
          <w:marTop w:val="0"/>
          <w:marBottom w:val="0"/>
          <w:divBdr>
            <w:top w:val="none" w:sz="0" w:space="0" w:color="auto"/>
            <w:left w:val="none" w:sz="0" w:space="0" w:color="auto"/>
            <w:bottom w:val="none" w:sz="0" w:space="0" w:color="auto"/>
            <w:right w:val="none" w:sz="0" w:space="0" w:color="auto"/>
          </w:divBdr>
        </w:div>
        <w:div w:id="453721534">
          <w:marLeft w:val="0"/>
          <w:marRight w:val="0"/>
          <w:marTop w:val="180"/>
          <w:marBottom w:val="0"/>
          <w:divBdr>
            <w:top w:val="none" w:sz="0" w:space="0" w:color="auto"/>
            <w:left w:val="none" w:sz="0" w:space="0" w:color="auto"/>
            <w:bottom w:val="none" w:sz="0" w:space="0" w:color="auto"/>
            <w:right w:val="none" w:sz="0" w:space="0" w:color="auto"/>
          </w:divBdr>
        </w:div>
      </w:divsChild>
    </w:div>
    <w:div w:id="926619615">
      <w:marLeft w:val="0"/>
      <w:marRight w:val="0"/>
      <w:marTop w:val="60"/>
      <w:marBottom w:val="0"/>
      <w:divBdr>
        <w:top w:val="none" w:sz="0" w:space="0" w:color="auto"/>
        <w:left w:val="none" w:sz="0" w:space="0" w:color="auto"/>
        <w:bottom w:val="none" w:sz="0" w:space="0" w:color="auto"/>
        <w:right w:val="none" w:sz="0" w:space="0" w:color="auto"/>
      </w:divBdr>
    </w:div>
    <w:div w:id="932517265">
      <w:marLeft w:val="0"/>
      <w:marRight w:val="0"/>
      <w:marTop w:val="0"/>
      <w:marBottom w:val="0"/>
      <w:divBdr>
        <w:top w:val="none" w:sz="0" w:space="0" w:color="auto"/>
        <w:left w:val="none" w:sz="0" w:space="0" w:color="auto"/>
        <w:bottom w:val="none" w:sz="0" w:space="0" w:color="auto"/>
        <w:right w:val="none" w:sz="0" w:space="0" w:color="auto"/>
      </w:divBdr>
    </w:div>
    <w:div w:id="932934040">
      <w:marLeft w:val="0"/>
      <w:marRight w:val="0"/>
      <w:marTop w:val="0"/>
      <w:marBottom w:val="200"/>
      <w:divBdr>
        <w:top w:val="none" w:sz="0" w:space="0" w:color="auto"/>
        <w:left w:val="none" w:sz="0" w:space="0" w:color="auto"/>
        <w:bottom w:val="none" w:sz="0" w:space="0" w:color="auto"/>
        <w:right w:val="none" w:sz="0" w:space="0" w:color="auto"/>
      </w:divBdr>
    </w:div>
    <w:div w:id="935215953">
      <w:marLeft w:val="0"/>
      <w:marRight w:val="0"/>
      <w:marTop w:val="0"/>
      <w:marBottom w:val="0"/>
      <w:divBdr>
        <w:top w:val="none" w:sz="0" w:space="0" w:color="auto"/>
        <w:left w:val="none" w:sz="0" w:space="0" w:color="auto"/>
        <w:bottom w:val="none" w:sz="0" w:space="0" w:color="auto"/>
        <w:right w:val="none" w:sz="0" w:space="0" w:color="auto"/>
      </w:divBdr>
    </w:div>
    <w:div w:id="936789300">
      <w:marLeft w:val="0"/>
      <w:marRight w:val="0"/>
      <w:marTop w:val="0"/>
      <w:marBottom w:val="200"/>
      <w:divBdr>
        <w:top w:val="none" w:sz="0" w:space="0" w:color="auto"/>
        <w:left w:val="none" w:sz="0" w:space="0" w:color="auto"/>
        <w:bottom w:val="none" w:sz="0" w:space="0" w:color="auto"/>
        <w:right w:val="none" w:sz="0" w:space="0" w:color="auto"/>
      </w:divBdr>
    </w:div>
    <w:div w:id="936862449">
      <w:marLeft w:val="0"/>
      <w:marRight w:val="0"/>
      <w:marTop w:val="100"/>
      <w:marBottom w:val="100"/>
      <w:divBdr>
        <w:top w:val="none" w:sz="0" w:space="0" w:color="auto"/>
        <w:left w:val="none" w:sz="0" w:space="0" w:color="auto"/>
        <w:bottom w:val="none" w:sz="0" w:space="0" w:color="auto"/>
        <w:right w:val="none" w:sz="0" w:space="0" w:color="auto"/>
      </w:divBdr>
    </w:div>
    <w:div w:id="944730807">
      <w:marLeft w:val="0"/>
      <w:marRight w:val="0"/>
      <w:marTop w:val="0"/>
      <w:marBottom w:val="200"/>
      <w:divBdr>
        <w:top w:val="none" w:sz="0" w:space="0" w:color="auto"/>
        <w:left w:val="none" w:sz="0" w:space="0" w:color="auto"/>
        <w:bottom w:val="none" w:sz="0" w:space="0" w:color="auto"/>
        <w:right w:val="none" w:sz="0" w:space="0" w:color="auto"/>
      </w:divBdr>
    </w:div>
    <w:div w:id="951284001">
      <w:marLeft w:val="0"/>
      <w:marRight w:val="0"/>
      <w:marTop w:val="0"/>
      <w:marBottom w:val="0"/>
      <w:divBdr>
        <w:top w:val="none" w:sz="0" w:space="0" w:color="auto"/>
        <w:left w:val="none" w:sz="0" w:space="0" w:color="auto"/>
        <w:bottom w:val="none" w:sz="0" w:space="0" w:color="auto"/>
        <w:right w:val="none" w:sz="0" w:space="0" w:color="auto"/>
      </w:divBdr>
    </w:div>
    <w:div w:id="954486806">
      <w:marLeft w:val="0"/>
      <w:marRight w:val="0"/>
      <w:marTop w:val="0"/>
      <w:marBottom w:val="200"/>
      <w:divBdr>
        <w:top w:val="none" w:sz="0" w:space="0" w:color="auto"/>
        <w:left w:val="none" w:sz="0" w:space="0" w:color="auto"/>
        <w:bottom w:val="none" w:sz="0" w:space="0" w:color="auto"/>
        <w:right w:val="none" w:sz="0" w:space="0" w:color="auto"/>
      </w:divBdr>
    </w:div>
    <w:div w:id="954629107">
      <w:marLeft w:val="0"/>
      <w:marRight w:val="0"/>
      <w:marTop w:val="0"/>
      <w:marBottom w:val="0"/>
      <w:divBdr>
        <w:top w:val="none" w:sz="0" w:space="0" w:color="auto"/>
        <w:left w:val="none" w:sz="0" w:space="0" w:color="auto"/>
        <w:bottom w:val="none" w:sz="0" w:space="0" w:color="auto"/>
        <w:right w:val="none" w:sz="0" w:space="0" w:color="auto"/>
      </w:divBdr>
    </w:div>
    <w:div w:id="956646551">
      <w:marLeft w:val="0"/>
      <w:marRight w:val="0"/>
      <w:marTop w:val="0"/>
      <w:marBottom w:val="200"/>
      <w:divBdr>
        <w:top w:val="none" w:sz="0" w:space="0" w:color="auto"/>
        <w:left w:val="none" w:sz="0" w:space="0" w:color="auto"/>
        <w:bottom w:val="none" w:sz="0" w:space="0" w:color="auto"/>
        <w:right w:val="none" w:sz="0" w:space="0" w:color="auto"/>
      </w:divBdr>
    </w:div>
    <w:div w:id="957251072">
      <w:marLeft w:val="0"/>
      <w:marRight w:val="0"/>
      <w:marTop w:val="0"/>
      <w:marBottom w:val="200"/>
      <w:divBdr>
        <w:top w:val="none" w:sz="0" w:space="0" w:color="auto"/>
        <w:left w:val="none" w:sz="0" w:space="0" w:color="auto"/>
        <w:bottom w:val="none" w:sz="0" w:space="0" w:color="auto"/>
        <w:right w:val="none" w:sz="0" w:space="0" w:color="auto"/>
      </w:divBdr>
    </w:div>
    <w:div w:id="961426776">
      <w:marLeft w:val="0"/>
      <w:marRight w:val="0"/>
      <w:marTop w:val="0"/>
      <w:marBottom w:val="0"/>
      <w:divBdr>
        <w:top w:val="none" w:sz="0" w:space="0" w:color="auto"/>
        <w:left w:val="none" w:sz="0" w:space="0" w:color="auto"/>
        <w:bottom w:val="none" w:sz="0" w:space="0" w:color="auto"/>
        <w:right w:val="none" w:sz="0" w:space="0" w:color="auto"/>
      </w:divBdr>
      <w:divsChild>
        <w:div w:id="620917960">
          <w:marLeft w:val="0"/>
          <w:marRight w:val="0"/>
          <w:marTop w:val="0"/>
          <w:marBottom w:val="0"/>
          <w:divBdr>
            <w:top w:val="none" w:sz="0" w:space="0" w:color="auto"/>
            <w:left w:val="none" w:sz="0" w:space="0" w:color="auto"/>
            <w:bottom w:val="none" w:sz="0" w:space="0" w:color="auto"/>
            <w:right w:val="none" w:sz="0" w:space="0" w:color="auto"/>
          </w:divBdr>
        </w:div>
      </w:divsChild>
    </w:div>
    <w:div w:id="963077840">
      <w:marLeft w:val="0"/>
      <w:marRight w:val="0"/>
      <w:marTop w:val="0"/>
      <w:marBottom w:val="200"/>
      <w:divBdr>
        <w:top w:val="none" w:sz="0" w:space="0" w:color="auto"/>
        <w:left w:val="none" w:sz="0" w:space="0" w:color="auto"/>
        <w:bottom w:val="none" w:sz="0" w:space="0" w:color="auto"/>
        <w:right w:val="none" w:sz="0" w:space="0" w:color="auto"/>
      </w:divBdr>
    </w:div>
    <w:div w:id="977223752">
      <w:marLeft w:val="0"/>
      <w:marRight w:val="0"/>
      <w:marTop w:val="0"/>
      <w:marBottom w:val="0"/>
      <w:divBdr>
        <w:top w:val="none" w:sz="0" w:space="0" w:color="auto"/>
        <w:left w:val="none" w:sz="0" w:space="0" w:color="auto"/>
        <w:bottom w:val="none" w:sz="0" w:space="0" w:color="auto"/>
        <w:right w:val="none" w:sz="0" w:space="0" w:color="auto"/>
      </w:divBdr>
      <w:divsChild>
        <w:div w:id="549268619">
          <w:marLeft w:val="0"/>
          <w:marRight w:val="0"/>
          <w:marTop w:val="0"/>
          <w:marBottom w:val="0"/>
          <w:divBdr>
            <w:top w:val="none" w:sz="0" w:space="0" w:color="auto"/>
            <w:left w:val="none" w:sz="0" w:space="0" w:color="auto"/>
            <w:bottom w:val="none" w:sz="0" w:space="0" w:color="auto"/>
            <w:right w:val="none" w:sz="0" w:space="0" w:color="auto"/>
          </w:divBdr>
        </w:div>
        <w:div w:id="1500585537">
          <w:marLeft w:val="0"/>
          <w:marRight w:val="0"/>
          <w:marTop w:val="180"/>
          <w:marBottom w:val="0"/>
          <w:divBdr>
            <w:top w:val="none" w:sz="0" w:space="0" w:color="auto"/>
            <w:left w:val="none" w:sz="0" w:space="0" w:color="auto"/>
            <w:bottom w:val="none" w:sz="0" w:space="0" w:color="auto"/>
            <w:right w:val="none" w:sz="0" w:space="0" w:color="auto"/>
          </w:divBdr>
        </w:div>
      </w:divsChild>
    </w:div>
    <w:div w:id="984623725">
      <w:marLeft w:val="0"/>
      <w:marRight w:val="0"/>
      <w:marTop w:val="0"/>
      <w:marBottom w:val="0"/>
      <w:divBdr>
        <w:top w:val="none" w:sz="0" w:space="0" w:color="auto"/>
        <w:left w:val="none" w:sz="0" w:space="0" w:color="auto"/>
        <w:bottom w:val="none" w:sz="0" w:space="0" w:color="auto"/>
        <w:right w:val="none" w:sz="0" w:space="0" w:color="auto"/>
      </w:divBdr>
    </w:div>
    <w:div w:id="987320397">
      <w:marLeft w:val="0"/>
      <w:marRight w:val="0"/>
      <w:marTop w:val="0"/>
      <w:marBottom w:val="0"/>
      <w:divBdr>
        <w:top w:val="none" w:sz="0" w:space="0" w:color="auto"/>
        <w:left w:val="none" w:sz="0" w:space="0" w:color="auto"/>
        <w:bottom w:val="none" w:sz="0" w:space="0" w:color="auto"/>
        <w:right w:val="none" w:sz="0" w:space="0" w:color="auto"/>
      </w:divBdr>
      <w:divsChild>
        <w:div w:id="860511603">
          <w:marLeft w:val="0"/>
          <w:marRight w:val="0"/>
          <w:marTop w:val="0"/>
          <w:marBottom w:val="0"/>
          <w:divBdr>
            <w:top w:val="none" w:sz="0" w:space="0" w:color="auto"/>
            <w:left w:val="none" w:sz="0" w:space="0" w:color="auto"/>
            <w:bottom w:val="none" w:sz="0" w:space="0" w:color="auto"/>
            <w:right w:val="none" w:sz="0" w:space="0" w:color="auto"/>
          </w:divBdr>
        </w:div>
      </w:divsChild>
    </w:div>
    <w:div w:id="988481601">
      <w:marLeft w:val="0"/>
      <w:marRight w:val="0"/>
      <w:marTop w:val="0"/>
      <w:marBottom w:val="0"/>
      <w:divBdr>
        <w:top w:val="none" w:sz="0" w:space="0" w:color="auto"/>
        <w:left w:val="none" w:sz="0" w:space="0" w:color="auto"/>
        <w:bottom w:val="none" w:sz="0" w:space="0" w:color="auto"/>
        <w:right w:val="none" w:sz="0" w:space="0" w:color="auto"/>
      </w:divBdr>
    </w:div>
    <w:div w:id="989938292">
      <w:marLeft w:val="0"/>
      <w:marRight w:val="0"/>
      <w:marTop w:val="0"/>
      <w:marBottom w:val="0"/>
      <w:divBdr>
        <w:top w:val="none" w:sz="0" w:space="0" w:color="auto"/>
        <w:left w:val="none" w:sz="0" w:space="0" w:color="auto"/>
        <w:bottom w:val="none" w:sz="0" w:space="0" w:color="auto"/>
        <w:right w:val="none" w:sz="0" w:space="0" w:color="auto"/>
      </w:divBdr>
    </w:div>
    <w:div w:id="1003699160">
      <w:marLeft w:val="0"/>
      <w:marRight w:val="0"/>
      <w:marTop w:val="0"/>
      <w:marBottom w:val="200"/>
      <w:divBdr>
        <w:top w:val="none" w:sz="0" w:space="0" w:color="auto"/>
        <w:left w:val="none" w:sz="0" w:space="0" w:color="auto"/>
        <w:bottom w:val="none" w:sz="0" w:space="0" w:color="auto"/>
        <w:right w:val="none" w:sz="0" w:space="0" w:color="auto"/>
      </w:divBdr>
    </w:div>
    <w:div w:id="1013536670">
      <w:marLeft w:val="0"/>
      <w:marRight w:val="0"/>
      <w:marTop w:val="0"/>
      <w:marBottom w:val="160"/>
      <w:divBdr>
        <w:top w:val="none" w:sz="0" w:space="0" w:color="auto"/>
        <w:left w:val="none" w:sz="0" w:space="0" w:color="auto"/>
        <w:bottom w:val="none" w:sz="0" w:space="0" w:color="auto"/>
        <w:right w:val="none" w:sz="0" w:space="0" w:color="auto"/>
      </w:divBdr>
    </w:div>
    <w:div w:id="1020471887">
      <w:marLeft w:val="0"/>
      <w:marRight w:val="0"/>
      <w:marTop w:val="100"/>
      <w:marBottom w:val="0"/>
      <w:divBdr>
        <w:top w:val="none" w:sz="0" w:space="0" w:color="auto"/>
        <w:left w:val="none" w:sz="0" w:space="0" w:color="auto"/>
        <w:bottom w:val="none" w:sz="0" w:space="0" w:color="auto"/>
        <w:right w:val="none" w:sz="0" w:space="0" w:color="auto"/>
      </w:divBdr>
    </w:div>
    <w:div w:id="1030566188">
      <w:marLeft w:val="0"/>
      <w:marRight w:val="0"/>
      <w:marTop w:val="0"/>
      <w:marBottom w:val="0"/>
      <w:divBdr>
        <w:top w:val="none" w:sz="0" w:space="0" w:color="auto"/>
        <w:left w:val="none" w:sz="0" w:space="0" w:color="auto"/>
        <w:bottom w:val="none" w:sz="0" w:space="0" w:color="auto"/>
        <w:right w:val="none" w:sz="0" w:space="0" w:color="auto"/>
      </w:divBdr>
    </w:div>
    <w:div w:id="1033961646">
      <w:marLeft w:val="0"/>
      <w:marRight w:val="0"/>
      <w:marTop w:val="0"/>
      <w:marBottom w:val="200"/>
      <w:divBdr>
        <w:top w:val="none" w:sz="0" w:space="0" w:color="auto"/>
        <w:left w:val="none" w:sz="0" w:space="0" w:color="auto"/>
        <w:bottom w:val="none" w:sz="0" w:space="0" w:color="auto"/>
        <w:right w:val="none" w:sz="0" w:space="0" w:color="auto"/>
      </w:divBdr>
    </w:div>
    <w:div w:id="1037781694">
      <w:marLeft w:val="0"/>
      <w:marRight w:val="0"/>
      <w:marTop w:val="0"/>
      <w:marBottom w:val="200"/>
      <w:divBdr>
        <w:top w:val="none" w:sz="0" w:space="0" w:color="auto"/>
        <w:left w:val="none" w:sz="0" w:space="0" w:color="auto"/>
        <w:bottom w:val="none" w:sz="0" w:space="0" w:color="auto"/>
        <w:right w:val="none" w:sz="0" w:space="0" w:color="auto"/>
      </w:divBdr>
    </w:div>
    <w:div w:id="1042904747">
      <w:marLeft w:val="0"/>
      <w:marRight w:val="0"/>
      <w:marTop w:val="0"/>
      <w:marBottom w:val="0"/>
      <w:divBdr>
        <w:top w:val="none" w:sz="0" w:space="0" w:color="auto"/>
        <w:left w:val="none" w:sz="0" w:space="0" w:color="auto"/>
        <w:bottom w:val="none" w:sz="0" w:space="0" w:color="auto"/>
        <w:right w:val="none" w:sz="0" w:space="0" w:color="auto"/>
      </w:divBdr>
      <w:divsChild>
        <w:div w:id="592595865">
          <w:marLeft w:val="0"/>
          <w:marRight w:val="0"/>
          <w:marTop w:val="0"/>
          <w:marBottom w:val="0"/>
          <w:divBdr>
            <w:top w:val="none" w:sz="0" w:space="0" w:color="auto"/>
            <w:left w:val="none" w:sz="0" w:space="0" w:color="auto"/>
            <w:bottom w:val="none" w:sz="0" w:space="0" w:color="auto"/>
            <w:right w:val="none" w:sz="0" w:space="0" w:color="auto"/>
          </w:divBdr>
        </w:div>
      </w:divsChild>
    </w:div>
    <w:div w:id="1047603511">
      <w:marLeft w:val="0"/>
      <w:marRight w:val="0"/>
      <w:marTop w:val="0"/>
      <w:marBottom w:val="200"/>
      <w:divBdr>
        <w:top w:val="none" w:sz="0" w:space="0" w:color="auto"/>
        <w:left w:val="none" w:sz="0" w:space="0" w:color="auto"/>
        <w:bottom w:val="none" w:sz="0" w:space="0" w:color="auto"/>
        <w:right w:val="none" w:sz="0" w:space="0" w:color="auto"/>
      </w:divBdr>
    </w:div>
    <w:div w:id="1049383517">
      <w:marLeft w:val="0"/>
      <w:marRight w:val="0"/>
      <w:marTop w:val="0"/>
      <w:marBottom w:val="0"/>
      <w:divBdr>
        <w:top w:val="none" w:sz="0" w:space="0" w:color="auto"/>
        <w:left w:val="none" w:sz="0" w:space="0" w:color="auto"/>
        <w:bottom w:val="none" w:sz="0" w:space="0" w:color="auto"/>
        <w:right w:val="none" w:sz="0" w:space="0" w:color="auto"/>
      </w:divBdr>
      <w:divsChild>
        <w:div w:id="1992447217">
          <w:marLeft w:val="0"/>
          <w:marRight w:val="0"/>
          <w:marTop w:val="0"/>
          <w:marBottom w:val="0"/>
          <w:divBdr>
            <w:top w:val="none" w:sz="0" w:space="0" w:color="auto"/>
            <w:left w:val="none" w:sz="0" w:space="0" w:color="auto"/>
            <w:bottom w:val="none" w:sz="0" w:space="0" w:color="auto"/>
            <w:right w:val="none" w:sz="0" w:space="0" w:color="auto"/>
          </w:divBdr>
        </w:div>
      </w:divsChild>
    </w:div>
    <w:div w:id="1054768998">
      <w:marLeft w:val="0"/>
      <w:marRight w:val="0"/>
      <w:marTop w:val="200"/>
      <w:marBottom w:val="0"/>
      <w:divBdr>
        <w:top w:val="none" w:sz="0" w:space="0" w:color="auto"/>
        <w:left w:val="none" w:sz="0" w:space="0" w:color="auto"/>
        <w:bottom w:val="none" w:sz="0" w:space="0" w:color="auto"/>
        <w:right w:val="none" w:sz="0" w:space="0" w:color="auto"/>
      </w:divBdr>
    </w:div>
    <w:div w:id="1072773004">
      <w:marLeft w:val="0"/>
      <w:marRight w:val="0"/>
      <w:marTop w:val="0"/>
      <w:marBottom w:val="200"/>
      <w:divBdr>
        <w:top w:val="none" w:sz="0" w:space="0" w:color="auto"/>
        <w:left w:val="none" w:sz="0" w:space="0" w:color="auto"/>
        <w:bottom w:val="none" w:sz="0" w:space="0" w:color="auto"/>
        <w:right w:val="none" w:sz="0" w:space="0" w:color="auto"/>
      </w:divBdr>
    </w:div>
    <w:div w:id="1081364622">
      <w:marLeft w:val="0"/>
      <w:marRight w:val="0"/>
      <w:marTop w:val="80"/>
      <w:marBottom w:val="0"/>
      <w:divBdr>
        <w:top w:val="none" w:sz="0" w:space="0" w:color="auto"/>
        <w:left w:val="none" w:sz="0" w:space="0" w:color="auto"/>
        <w:bottom w:val="none" w:sz="0" w:space="0" w:color="auto"/>
        <w:right w:val="none" w:sz="0" w:space="0" w:color="auto"/>
      </w:divBdr>
    </w:div>
    <w:div w:id="1088229118">
      <w:marLeft w:val="0"/>
      <w:marRight w:val="0"/>
      <w:marTop w:val="0"/>
      <w:marBottom w:val="0"/>
      <w:divBdr>
        <w:top w:val="none" w:sz="0" w:space="0" w:color="auto"/>
        <w:left w:val="none" w:sz="0" w:space="0" w:color="auto"/>
        <w:bottom w:val="none" w:sz="0" w:space="0" w:color="auto"/>
        <w:right w:val="none" w:sz="0" w:space="0" w:color="auto"/>
      </w:divBdr>
      <w:divsChild>
        <w:div w:id="1288126690">
          <w:marLeft w:val="0"/>
          <w:marRight w:val="0"/>
          <w:marTop w:val="0"/>
          <w:marBottom w:val="0"/>
          <w:divBdr>
            <w:top w:val="none" w:sz="0" w:space="0" w:color="auto"/>
            <w:left w:val="none" w:sz="0" w:space="0" w:color="auto"/>
            <w:bottom w:val="none" w:sz="0" w:space="0" w:color="auto"/>
            <w:right w:val="none" w:sz="0" w:space="0" w:color="auto"/>
          </w:divBdr>
        </w:div>
      </w:divsChild>
    </w:div>
    <w:div w:id="1089813690">
      <w:marLeft w:val="0"/>
      <w:marRight w:val="0"/>
      <w:marTop w:val="0"/>
      <w:marBottom w:val="0"/>
      <w:divBdr>
        <w:top w:val="none" w:sz="0" w:space="0" w:color="auto"/>
        <w:left w:val="none" w:sz="0" w:space="0" w:color="auto"/>
        <w:bottom w:val="none" w:sz="0" w:space="0" w:color="auto"/>
        <w:right w:val="none" w:sz="0" w:space="0" w:color="auto"/>
      </w:divBdr>
    </w:div>
    <w:div w:id="1091776761">
      <w:marLeft w:val="0"/>
      <w:marRight w:val="0"/>
      <w:marTop w:val="200"/>
      <w:marBottom w:val="0"/>
      <w:divBdr>
        <w:top w:val="none" w:sz="0" w:space="0" w:color="auto"/>
        <w:left w:val="none" w:sz="0" w:space="0" w:color="auto"/>
        <w:bottom w:val="none" w:sz="0" w:space="0" w:color="auto"/>
        <w:right w:val="none" w:sz="0" w:space="0" w:color="auto"/>
      </w:divBdr>
    </w:div>
    <w:div w:id="1096826729">
      <w:marLeft w:val="0"/>
      <w:marRight w:val="0"/>
      <w:marTop w:val="200"/>
      <w:marBottom w:val="0"/>
      <w:divBdr>
        <w:top w:val="none" w:sz="0" w:space="0" w:color="auto"/>
        <w:left w:val="none" w:sz="0" w:space="0" w:color="auto"/>
        <w:bottom w:val="none" w:sz="0" w:space="0" w:color="auto"/>
        <w:right w:val="none" w:sz="0" w:space="0" w:color="auto"/>
      </w:divBdr>
    </w:div>
    <w:div w:id="1098057961">
      <w:marLeft w:val="0"/>
      <w:marRight w:val="0"/>
      <w:marTop w:val="0"/>
      <w:marBottom w:val="200"/>
      <w:divBdr>
        <w:top w:val="none" w:sz="0" w:space="0" w:color="auto"/>
        <w:left w:val="none" w:sz="0" w:space="0" w:color="auto"/>
        <w:bottom w:val="none" w:sz="0" w:space="0" w:color="auto"/>
        <w:right w:val="none" w:sz="0" w:space="0" w:color="auto"/>
      </w:divBdr>
    </w:div>
    <w:div w:id="1100836571">
      <w:marLeft w:val="0"/>
      <w:marRight w:val="0"/>
      <w:marTop w:val="0"/>
      <w:marBottom w:val="0"/>
      <w:divBdr>
        <w:top w:val="none" w:sz="0" w:space="0" w:color="auto"/>
        <w:left w:val="none" w:sz="0" w:space="0" w:color="auto"/>
        <w:bottom w:val="none" w:sz="0" w:space="0" w:color="auto"/>
        <w:right w:val="none" w:sz="0" w:space="0" w:color="auto"/>
      </w:divBdr>
    </w:div>
    <w:div w:id="1104495482">
      <w:marLeft w:val="0"/>
      <w:marRight w:val="0"/>
      <w:marTop w:val="100"/>
      <w:marBottom w:val="100"/>
      <w:divBdr>
        <w:top w:val="none" w:sz="0" w:space="0" w:color="auto"/>
        <w:left w:val="none" w:sz="0" w:space="0" w:color="auto"/>
        <w:bottom w:val="none" w:sz="0" w:space="0" w:color="auto"/>
        <w:right w:val="none" w:sz="0" w:space="0" w:color="auto"/>
      </w:divBdr>
    </w:div>
    <w:div w:id="1119572287">
      <w:marLeft w:val="0"/>
      <w:marRight w:val="0"/>
      <w:marTop w:val="0"/>
      <w:marBottom w:val="200"/>
      <w:divBdr>
        <w:top w:val="none" w:sz="0" w:space="0" w:color="auto"/>
        <w:left w:val="none" w:sz="0" w:space="0" w:color="auto"/>
        <w:bottom w:val="none" w:sz="0" w:space="0" w:color="auto"/>
        <w:right w:val="none" w:sz="0" w:space="0" w:color="auto"/>
      </w:divBdr>
    </w:div>
    <w:div w:id="1127089470">
      <w:marLeft w:val="0"/>
      <w:marRight w:val="0"/>
      <w:marTop w:val="100"/>
      <w:marBottom w:val="100"/>
      <w:divBdr>
        <w:top w:val="none" w:sz="0" w:space="0" w:color="auto"/>
        <w:left w:val="none" w:sz="0" w:space="0" w:color="auto"/>
        <w:bottom w:val="none" w:sz="0" w:space="0" w:color="auto"/>
        <w:right w:val="none" w:sz="0" w:space="0" w:color="auto"/>
      </w:divBdr>
    </w:div>
    <w:div w:id="1133645236">
      <w:marLeft w:val="0"/>
      <w:marRight w:val="0"/>
      <w:marTop w:val="100"/>
      <w:marBottom w:val="100"/>
      <w:divBdr>
        <w:top w:val="none" w:sz="0" w:space="0" w:color="auto"/>
        <w:left w:val="none" w:sz="0" w:space="0" w:color="auto"/>
        <w:bottom w:val="none" w:sz="0" w:space="0" w:color="auto"/>
        <w:right w:val="none" w:sz="0" w:space="0" w:color="auto"/>
      </w:divBdr>
    </w:div>
    <w:div w:id="1139304915">
      <w:marLeft w:val="0"/>
      <w:marRight w:val="0"/>
      <w:marTop w:val="0"/>
      <w:marBottom w:val="200"/>
      <w:divBdr>
        <w:top w:val="none" w:sz="0" w:space="0" w:color="auto"/>
        <w:left w:val="none" w:sz="0" w:space="0" w:color="auto"/>
        <w:bottom w:val="none" w:sz="0" w:space="0" w:color="auto"/>
        <w:right w:val="none" w:sz="0" w:space="0" w:color="auto"/>
      </w:divBdr>
    </w:div>
    <w:div w:id="1143085466">
      <w:marLeft w:val="0"/>
      <w:marRight w:val="0"/>
      <w:marTop w:val="0"/>
      <w:marBottom w:val="0"/>
      <w:divBdr>
        <w:top w:val="none" w:sz="0" w:space="0" w:color="auto"/>
        <w:left w:val="none" w:sz="0" w:space="0" w:color="auto"/>
        <w:bottom w:val="none" w:sz="0" w:space="0" w:color="auto"/>
        <w:right w:val="none" w:sz="0" w:space="0" w:color="auto"/>
      </w:divBdr>
      <w:divsChild>
        <w:div w:id="1536456490">
          <w:marLeft w:val="0"/>
          <w:marRight w:val="0"/>
          <w:marTop w:val="0"/>
          <w:marBottom w:val="0"/>
          <w:divBdr>
            <w:top w:val="none" w:sz="0" w:space="0" w:color="auto"/>
            <w:left w:val="none" w:sz="0" w:space="0" w:color="auto"/>
            <w:bottom w:val="none" w:sz="0" w:space="0" w:color="auto"/>
            <w:right w:val="none" w:sz="0" w:space="0" w:color="auto"/>
          </w:divBdr>
        </w:div>
      </w:divsChild>
    </w:div>
    <w:div w:id="1152408587">
      <w:marLeft w:val="0"/>
      <w:marRight w:val="0"/>
      <w:marTop w:val="0"/>
      <w:marBottom w:val="0"/>
      <w:divBdr>
        <w:top w:val="none" w:sz="0" w:space="0" w:color="auto"/>
        <w:left w:val="none" w:sz="0" w:space="0" w:color="auto"/>
        <w:bottom w:val="none" w:sz="0" w:space="0" w:color="auto"/>
        <w:right w:val="none" w:sz="0" w:space="0" w:color="auto"/>
      </w:divBdr>
      <w:divsChild>
        <w:div w:id="429548076">
          <w:marLeft w:val="0"/>
          <w:marRight w:val="0"/>
          <w:marTop w:val="0"/>
          <w:marBottom w:val="0"/>
          <w:divBdr>
            <w:top w:val="none" w:sz="0" w:space="0" w:color="auto"/>
            <w:left w:val="none" w:sz="0" w:space="0" w:color="auto"/>
            <w:bottom w:val="none" w:sz="0" w:space="0" w:color="auto"/>
            <w:right w:val="none" w:sz="0" w:space="0" w:color="auto"/>
          </w:divBdr>
        </w:div>
      </w:divsChild>
    </w:div>
    <w:div w:id="1160731303">
      <w:marLeft w:val="0"/>
      <w:marRight w:val="0"/>
      <w:marTop w:val="100"/>
      <w:marBottom w:val="100"/>
      <w:divBdr>
        <w:top w:val="none" w:sz="0" w:space="0" w:color="auto"/>
        <w:left w:val="none" w:sz="0" w:space="0" w:color="auto"/>
        <w:bottom w:val="none" w:sz="0" w:space="0" w:color="auto"/>
        <w:right w:val="none" w:sz="0" w:space="0" w:color="auto"/>
      </w:divBdr>
    </w:div>
    <w:div w:id="1163935242">
      <w:marLeft w:val="0"/>
      <w:marRight w:val="0"/>
      <w:marTop w:val="0"/>
      <w:marBottom w:val="0"/>
      <w:divBdr>
        <w:top w:val="none" w:sz="0" w:space="0" w:color="auto"/>
        <w:left w:val="none" w:sz="0" w:space="0" w:color="auto"/>
        <w:bottom w:val="none" w:sz="0" w:space="0" w:color="auto"/>
        <w:right w:val="none" w:sz="0" w:space="0" w:color="auto"/>
      </w:divBdr>
      <w:divsChild>
        <w:div w:id="496116200">
          <w:marLeft w:val="0"/>
          <w:marRight w:val="0"/>
          <w:marTop w:val="0"/>
          <w:marBottom w:val="0"/>
          <w:divBdr>
            <w:top w:val="none" w:sz="0" w:space="0" w:color="auto"/>
            <w:left w:val="none" w:sz="0" w:space="0" w:color="auto"/>
            <w:bottom w:val="none" w:sz="0" w:space="0" w:color="auto"/>
            <w:right w:val="none" w:sz="0" w:space="0" w:color="auto"/>
          </w:divBdr>
        </w:div>
      </w:divsChild>
    </w:div>
    <w:div w:id="1168446286">
      <w:marLeft w:val="0"/>
      <w:marRight w:val="0"/>
      <w:marTop w:val="0"/>
      <w:marBottom w:val="0"/>
      <w:divBdr>
        <w:top w:val="none" w:sz="0" w:space="0" w:color="auto"/>
        <w:left w:val="none" w:sz="0" w:space="0" w:color="auto"/>
        <w:bottom w:val="none" w:sz="0" w:space="0" w:color="auto"/>
        <w:right w:val="none" w:sz="0" w:space="0" w:color="auto"/>
      </w:divBdr>
      <w:divsChild>
        <w:div w:id="1637249097">
          <w:marLeft w:val="0"/>
          <w:marRight w:val="0"/>
          <w:marTop w:val="0"/>
          <w:marBottom w:val="0"/>
          <w:divBdr>
            <w:top w:val="none" w:sz="0" w:space="0" w:color="auto"/>
            <w:left w:val="none" w:sz="0" w:space="0" w:color="auto"/>
            <w:bottom w:val="none" w:sz="0" w:space="0" w:color="auto"/>
            <w:right w:val="none" w:sz="0" w:space="0" w:color="auto"/>
          </w:divBdr>
        </w:div>
      </w:divsChild>
    </w:div>
    <w:div w:id="1179462028">
      <w:marLeft w:val="0"/>
      <w:marRight w:val="0"/>
      <w:marTop w:val="0"/>
      <w:marBottom w:val="120"/>
      <w:divBdr>
        <w:top w:val="none" w:sz="0" w:space="0" w:color="auto"/>
        <w:left w:val="none" w:sz="0" w:space="0" w:color="auto"/>
        <w:bottom w:val="none" w:sz="0" w:space="0" w:color="auto"/>
        <w:right w:val="none" w:sz="0" w:space="0" w:color="auto"/>
      </w:divBdr>
    </w:div>
    <w:div w:id="1181894446">
      <w:marLeft w:val="0"/>
      <w:marRight w:val="0"/>
      <w:marTop w:val="0"/>
      <w:marBottom w:val="0"/>
      <w:divBdr>
        <w:top w:val="none" w:sz="0" w:space="0" w:color="auto"/>
        <w:left w:val="none" w:sz="0" w:space="0" w:color="auto"/>
        <w:bottom w:val="none" w:sz="0" w:space="0" w:color="auto"/>
        <w:right w:val="none" w:sz="0" w:space="0" w:color="auto"/>
      </w:divBdr>
      <w:divsChild>
        <w:div w:id="2063016157">
          <w:marLeft w:val="0"/>
          <w:marRight w:val="0"/>
          <w:marTop w:val="0"/>
          <w:marBottom w:val="0"/>
          <w:divBdr>
            <w:top w:val="none" w:sz="0" w:space="0" w:color="auto"/>
            <w:left w:val="none" w:sz="0" w:space="0" w:color="auto"/>
            <w:bottom w:val="none" w:sz="0" w:space="0" w:color="auto"/>
            <w:right w:val="none" w:sz="0" w:space="0" w:color="auto"/>
          </w:divBdr>
        </w:div>
      </w:divsChild>
    </w:div>
    <w:div w:id="1192107361">
      <w:marLeft w:val="0"/>
      <w:marRight w:val="0"/>
      <w:marTop w:val="100"/>
      <w:marBottom w:val="0"/>
      <w:divBdr>
        <w:top w:val="none" w:sz="0" w:space="0" w:color="auto"/>
        <w:left w:val="none" w:sz="0" w:space="0" w:color="auto"/>
        <w:bottom w:val="none" w:sz="0" w:space="0" w:color="auto"/>
        <w:right w:val="none" w:sz="0" w:space="0" w:color="auto"/>
      </w:divBdr>
    </w:div>
    <w:div w:id="1195311455">
      <w:marLeft w:val="0"/>
      <w:marRight w:val="0"/>
      <w:marTop w:val="0"/>
      <w:marBottom w:val="0"/>
      <w:divBdr>
        <w:top w:val="none" w:sz="0" w:space="0" w:color="auto"/>
        <w:left w:val="none" w:sz="0" w:space="0" w:color="auto"/>
        <w:bottom w:val="none" w:sz="0" w:space="0" w:color="auto"/>
        <w:right w:val="none" w:sz="0" w:space="0" w:color="auto"/>
      </w:divBdr>
      <w:divsChild>
        <w:div w:id="764113463">
          <w:marLeft w:val="0"/>
          <w:marRight w:val="0"/>
          <w:marTop w:val="0"/>
          <w:marBottom w:val="0"/>
          <w:divBdr>
            <w:top w:val="none" w:sz="0" w:space="0" w:color="auto"/>
            <w:left w:val="none" w:sz="0" w:space="0" w:color="auto"/>
            <w:bottom w:val="none" w:sz="0" w:space="0" w:color="auto"/>
            <w:right w:val="none" w:sz="0" w:space="0" w:color="auto"/>
          </w:divBdr>
        </w:div>
      </w:divsChild>
    </w:div>
    <w:div w:id="1198935437">
      <w:marLeft w:val="0"/>
      <w:marRight w:val="0"/>
      <w:marTop w:val="100"/>
      <w:marBottom w:val="0"/>
      <w:divBdr>
        <w:top w:val="none" w:sz="0" w:space="0" w:color="auto"/>
        <w:left w:val="none" w:sz="0" w:space="0" w:color="auto"/>
        <w:bottom w:val="none" w:sz="0" w:space="0" w:color="auto"/>
        <w:right w:val="none" w:sz="0" w:space="0" w:color="auto"/>
      </w:divBdr>
    </w:div>
    <w:div w:id="1203634974">
      <w:marLeft w:val="0"/>
      <w:marRight w:val="0"/>
      <w:marTop w:val="0"/>
      <w:marBottom w:val="200"/>
      <w:divBdr>
        <w:top w:val="none" w:sz="0" w:space="0" w:color="auto"/>
        <w:left w:val="none" w:sz="0" w:space="0" w:color="auto"/>
        <w:bottom w:val="none" w:sz="0" w:space="0" w:color="auto"/>
        <w:right w:val="none" w:sz="0" w:space="0" w:color="auto"/>
      </w:divBdr>
    </w:div>
    <w:div w:id="1204369420">
      <w:marLeft w:val="0"/>
      <w:marRight w:val="0"/>
      <w:marTop w:val="0"/>
      <w:marBottom w:val="200"/>
      <w:divBdr>
        <w:top w:val="none" w:sz="0" w:space="0" w:color="auto"/>
        <w:left w:val="none" w:sz="0" w:space="0" w:color="auto"/>
        <w:bottom w:val="none" w:sz="0" w:space="0" w:color="auto"/>
        <w:right w:val="none" w:sz="0" w:space="0" w:color="auto"/>
      </w:divBdr>
    </w:div>
    <w:div w:id="1207377217">
      <w:marLeft w:val="0"/>
      <w:marRight w:val="0"/>
      <w:marTop w:val="100"/>
      <w:marBottom w:val="0"/>
      <w:divBdr>
        <w:top w:val="none" w:sz="0" w:space="0" w:color="auto"/>
        <w:left w:val="none" w:sz="0" w:space="0" w:color="auto"/>
        <w:bottom w:val="none" w:sz="0" w:space="0" w:color="auto"/>
        <w:right w:val="none" w:sz="0" w:space="0" w:color="auto"/>
      </w:divBdr>
    </w:div>
    <w:div w:id="1210725137">
      <w:marLeft w:val="0"/>
      <w:marRight w:val="0"/>
      <w:marTop w:val="0"/>
      <w:marBottom w:val="0"/>
      <w:divBdr>
        <w:top w:val="none" w:sz="0" w:space="0" w:color="auto"/>
        <w:left w:val="none" w:sz="0" w:space="0" w:color="auto"/>
        <w:bottom w:val="none" w:sz="0" w:space="0" w:color="auto"/>
        <w:right w:val="none" w:sz="0" w:space="0" w:color="auto"/>
      </w:divBdr>
    </w:div>
    <w:div w:id="1211065339">
      <w:marLeft w:val="0"/>
      <w:marRight w:val="0"/>
      <w:marTop w:val="0"/>
      <w:marBottom w:val="0"/>
      <w:divBdr>
        <w:top w:val="none" w:sz="0" w:space="0" w:color="auto"/>
        <w:left w:val="none" w:sz="0" w:space="0" w:color="auto"/>
        <w:bottom w:val="none" w:sz="0" w:space="0" w:color="auto"/>
        <w:right w:val="none" w:sz="0" w:space="0" w:color="auto"/>
      </w:divBdr>
    </w:div>
    <w:div w:id="1212154491">
      <w:marLeft w:val="0"/>
      <w:marRight w:val="0"/>
      <w:marTop w:val="100"/>
      <w:marBottom w:val="100"/>
      <w:divBdr>
        <w:top w:val="none" w:sz="0" w:space="0" w:color="auto"/>
        <w:left w:val="none" w:sz="0" w:space="0" w:color="auto"/>
        <w:bottom w:val="none" w:sz="0" w:space="0" w:color="auto"/>
        <w:right w:val="none" w:sz="0" w:space="0" w:color="auto"/>
      </w:divBdr>
    </w:div>
    <w:div w:id="1213300418">
      <w:marLeft w:val="0"/>
      <w:marRight w:val="0"/>
      <w:marTop w:val="0"/>
      <w:marBottom w:val="0"/>
      <w:divBdr>
        <w:top w:val="none" w:sz="0" w:space="0" w:color="auto"/>
        <w:left w:val="none" w:sz="0" w:space="0" w:color="auto"/>
        <w:bottom w:val="none" w:sz="0" w:space="0" w:color="auto"/>
        <w:right w:val="none" w:sz="0" w:space="0" w:color="auto"/>
      </w:divBdr>
      <w:divsChild>
        <w:div w:id="1520729489">
          <w:marLeft w:val="0"/>
          <w:marRight w:val="0"/>
          <w:marTop w:val="0"/>
          <w:marBottom w:val="0"/>
          <w:divBdr>
            <w:top w:val="none" w:sz="0" w:space="0" w:color="auto"/>
            <w:left w:val="none" w:sz="0" w:space="0" w:color="auto"/>
            <w:bottom w:val="none" w:sz="0" w:space="0" w:color="auto"/>
            <w:right w:val="none" w:sz="0" w:space="0" w:color="auto"/>
          </w:divBdr>
        </w:div>
      </w:divsChild>
    </w:div>
    <w:div w:id="1213619356">
      <w:marLeft w:val="0"/>
      <w:marRight w:val="0"/>
      <w:marTop w:val="0"/>
      <w:marBottom w:val="0"/>
      <w:divBdr>
        <w:top w:val="none" w:sz="0" w:space="0" w:color="auto"/>
        <w:left w:val="none" w:sz="0" w:space="0" w:color="auto"/>
        <w:bottom w:val="none" w:sz="0" w:space="0" w:color="auto"/>
        <w:right w:val="none" w:sz="0" w:space="0" w:color="auto"/>
      </w:divBdr>
      <w:divsChild>
        <w:div w:id="583493141">
          <w:marLeft w:val="0"/>
          <w:marRight w:val="0"/>
          <w:marTop w:val="0"/>
          <w:marBottom w:val="0"/>
          <w:divBdr>
            <w:top w:val="none" w:sz="0" w:space="0" w:color="auto"/>
            <w:left w:val="none" w:sz="0" w:space="0" w:color="auto"/>
            <w:bottom w:val="none" w:sz="0" w:space="0" w:color="auto"/>
            <w:right w:val="none" w:sz="0" w:space="0" w:color="auto"/>
          </w:divBdr>
        </w:div>
      </w:divsChild>
    </w:div>
    <w:div w:id="1219172372">
      <w:marLeft w:val="0"/>
      <w:marRight w:val="0"/>
      <w:marTop w:val="0"/>
      <w:marBottom w:val="200"/>
      <w:divBdr>
        <w:top w:val="none" w:sz="0" w:space="0" w:color="auto"/>
        <w:left w:val="none" w:sz="0" w:space="0" w:color="auto"/>
        <w:bottom w:val="none" w:sz="0" w:space="0" w:color="auto"/>
        <w:right w:val="none" w:sz="0" w:space="0" w:color="auto"/>
      </w:divBdr>
    </w:div>
    <w:div w:id="1221861089">
      <w:marLeft w:val="0"/>
      <w:marRight w:val="0"/>
      <w:marTop w:val="200"/>
      <w:marBottom w:val="0"/>
      <w:divBdr>
        <w:top w:val="none" w:sz="0" w:space="0" w:color="auto"/>
        <w:left w:val="none" w:sz="0" w:space="0" w:color="auto"/>
        <w:bottom w:val="none" w:sz="0" w:space="0" w:color="auto"/>
        <w:right w:val="none" w:sz="0" w:space="0" w:color="auto"/>
      </w:divBdr>
    </w:div>
    <w:div w:id="1224367383">
      <w:marLeft w:val="0"/>
      <w:marRight w:val="0"/>
      <w:marTop w:val="0"/>
      <w:marBottom w:val="200"/>
      <w:divBdr>
        <w:top w:val="none" w:sz="0" w:space="0" w:color="auto"/>
        <w:left w:val="none" w:sz="0" w:space="0" w:color="auto"/>
        <w:bottom w:val="none" w:sz="0" w:space="0" w:color="auto"/>
        <w:right w:val="none" w:sz="0" w:space="0" w:color="auto"/>
      </w:divBdr>
    </w:div>
    <w:div w:id="1235966056">
      <w:marLeft w:val="0"/>
      <w:marRight w:val="0"/>
      <w:marTop w:val="0"/>
      <w:marBottom w:val="200"/>
      <w:divBdr>
        <w:top w:val="none" w:sz="0" w:space="0" w:color="auto"/>
        <w:left w:val="none" w:sz="0" w:space="0" w:color="auto"/>
        <w:bottom w:val="none" w:sz="0" w:space="0" w:color="auto"/>
        <w:right w:val="none" w:sz="0" w:space="0" w:color="auto"/>
      </w:divBdr>
    </w:div>
    <w:div w:id="1237739438">
      <w:marLeft w:val="0"/>
      <w:marRight w:val="0"/>
      <w:marTop w:val="0"/>
      <w:marBottom w:val="60"/>
      <w:divBdr>
        <w:top w:val="none" w:sz="0" w:space="0" w:color="auto"/>
        <w:left w:val="none" w:sz="0" w:space="0" w:color="auto"/>
        <w:bottom w:val="none" w:sz="0" w:space="0" w:color="auto"/>
        <w:right w:val="none" w:sz="0" w:space="0" w:color="auto"/>
      </w:divBdr>
    </w:div>
    <w:div w:id="1243874014">
      <w:marLeft w:val="0"/>
      <w:marRight w:val="0"/>
      <w:marTop w:val="0"/>
      <w:marBottom w:val="0"/>
      <w:divBdr>
        <w:top w:val="none" w:sz="0" w:space="0" w:color="auto"/>
        <w:left w:val="none" w:sz="0" w:space="0" w:color="auto"/>
        <w:bottom w:val="none" w:sz="0" w:space="0" w:color="auto"/>
        <w:right w:val="none" w:sz="0" w:space="0" w:color="auto"/>
      </w:divBdr>
    </w:div>
    <w:div w:id="1249272716">
      <w:marLeft w:val="0"/>
      <w:marRight w:val="0"/>
      <w:marTop w:val="0"/>
      <w:marBottom w:val="200"/>
      <w:divBdr>
        <w:top w:val="none" w:sz="0" w:space="0" w:color="auto"/>
        <w:left w:val="none" w:sz="0" w:space="0" w:color="auto"/>
        <w:bottom w:val="none" w:sz="0" w:space="0" w:color="auto"/>
        <w:right w:val="none" w:sz="0" w:space="0" w:color="auto"/>
      </w:divBdr>
    </w:div>
    <w:div w:id="1257127995">
      <w:marLeft w:val="0"/>
      <w:marRight w:val="0"/>
      <w:marTop w:val="100"/>
      <w:marBottom w:val="100"/>
      <w:divBdr>
        <w:top w:val="none" w:sz="0" w:space="0" w:color="auto"/>
        <w:left w:val="none" w:sz="0" w:space="0" w:color="auto"/>
        <w:bottom w:val="none" w:sz="0" w:space="0" w:color="auto"/>
        <w:right w:val="none" w:sz="0" w:space="0" w:color="auto"/>
      </w:divBdr>
    </w:div>
    <w:div w:id="1258757361">
      <w:marLeft w:val="0"/>
      <w:marRight w:val="0"/>
      <w:marTop w:val="0"/>
      <w:marBottom w:val="200"/>
      <w:divBdr>
        <w:top w:val="none" w:sz="0" w:space="0" w:color="auto"/>
        <w:left w:val="none" w:sz="0" w:space="0" w:color="auto"/>
        <w:bottom w:val="none" w:sz="0" w:space="0" w:color="auto"/>
        <w:right w:val="none" w:sz="0" w:space="0" w:color="auto"/>
      </w:divBdr>
    </w:div>
    <w:div w:id="1261718753">
      <w:marLeft w:val="0"/>
      <w:marRight w:val="0"/>
      <w:marTop w:val="100"/>
      <w:marBottom w:val="100"/>
      <w:divBdr>
        <w:top w:val="none" w:sz="0" w:space="0" w:color="auto"/>
        <w:left w:val="none" w:sz="0" w:space="0" w:color="auto"/>
        <w:bottom w:val="none" w:sz="0" w:space="0" w:color="auto"/>
        <w:right w:val="none" w:sz="0" w:space="0" w:color="auto"/>
      </w:divBdr>
    </w:div>
    <w:div w:id="1263225369">
      <w:marLeft w:val="0"/>
      <w:marRight w:val="0"/>
      <w:marTop w:val="0"/>
      <w:marBottom w:val="0"/>
      <w:divBdr>
        <w:top w:val="none" w:sz="0" w:space="0" w:color="auto"/>
        <w:left w:val="none" w:sz="0" w:space="0" w:color="auto"/>
        <w:bottom w:val="none" w:sz="0" w:space="0" w:color="auto"/>
        <w:right w:val="none" w:sz="0" w:space="0" w:color="auto"/>
      </w:divBdr>
      <w:divsChild>
        <w:div w:id="1084956478">
          <w:marLeft w:val="0"/>
          <w:marRight w:val="0"/>
          <w:marTop w:val="0"/>
          <w:marBottom w:val="0"/>
          <w:divBdr>
            <w:top w:val="none" w:sz="0" w:space="0" w:color="auto"/>
            <w:left w:val="none" w:sz="0" w:space="0" w:color="auto"/>
            <w:bottom w:val="none" w:sz="0" w:space="0" w:color="auto"/>
            <w:right w:val="none" w:sz="0" w:space="0" w:color="auto"/>
          </w:divBdr>
        </w:div>
        <w:div w:id="257058688">
          <w:marLeft w:val="0"/>
          <w:marRight w:val="0"/>
          <w:marTop w:val="180"/>
          <w:marBottom w:val="0"/>
          <w:divBdr>
            <w:top w:val="none" w:sz="0" w:space="0" w:color="auto"/>
            <w:left w:val="none" w:sz="0" w:space="0" w:color="auto"/>
            <w:bottom w:val="none" w:sz="0" w:space="0" w:color="auto"/>
            <w:right w:val="none" w:sz="0" w:space="0" w:color="auto"/>
          </w:divBdr>
        </w:div>
      </w:divsChild>
    </w:div>
    <w:div w:id="1267347334">
      <w:marLeft w:val="0"/>
      <w:marRight w:val="0"/>
      <w:marTop w:val="100"/>
      <w:marBottom w:val="160"/>
      <w:divBdr>
        <w:top w:val="none" w:sz="0" w:space="0" w:color="auto"/>
        <w:left w:val="none" w:sz="0" w:space="0" w:color="auto"/>
        <w:bottom w:val="none" w:sz="0" w:space="0" w:color="auto"/>
        <w:right w:val="none" w:sz="0" w:space="0" w:color="auto"/>
      </w:divBdr>
    </w:div>
    <w:div w:id="1277057744">
      <w:marLeft w:val="0"/>
      <w:marRight w:val="0"/>
      <w:marTop w:val="0"/>
      <w:marBottom w:val="0"/>
      <w:divBdr>
        <w:top w:val="none" w:sz="0" w:space="0" w:color="auto"/>
        <w:left w:val="none" w:sz="0" w:space="0" w:color="auto"/>
        <w:bottom w:val="none" w:sz="0" w:space="0" w:color="auto"/>
        <w:right w:val="none" w:sz="0" w:space="0" w:color="auto"/>
      </w:divBdr>
    </w:div>
    <w:div w:id="1286959040">
      <w:marLeft w:val="0"/>
      <w:marRight w:val="0"/>
      <w:marTop w:val="0"/>
      <w:marBottom w:val="0"/>
      <w:divBdr>
        <w:top w:val="none" w:sz="0" w:space="0" w:color="auto"/>
        <w:left w:val="none" w:sz="0" w:space="0" w:color="auto"/>
        <w:bottom w:val="none" w:sz="0" w:space="0" w:color="auto"/>
        <w:right w:val="none" w:sz="0" w:space="0" w:color="auto"/>
      </w:divBdr>
      <w:divsChild>
        <w:div w:id="93867372">
          <w:marLeft w:val="0"/>
          <w:marRight w:val="0"/>
          <w:marTop w:val="0"/>
          <w:marBottom w:val="0"/>
          <w:divBdr>
            <w:top w:val="none" w:sz="0" w:space="0" w:color="auto"/>
            <w:left w:val="none" w:sz="0" w:space="0" w:color="auto"/>
            <w:bottom w:val="none" w:sz="0" w:space="0" w:color="auto"/>
            <w:right w:val="none" w:sz="0" w:space="0" w:color="auto"/>
          </w:divBdr>
        </w:div>
      </w:divsChild>
    </w:div>
    <w:div w:id="1291091873">
      <w:marLeft w:val="0"/>
      <w:marRight w:val="0"/>
      <w:marTop w:val="100"/>
      <w:marBottom w:val="100"/>
      <w:divBdr>
        <w:top w:val="none" w:sz="0" w:space="0" w:color="auto"/>
        <w:left w:val="none" w:sz="0" w:space="0" w:color="auto"/>
        <w:bottom w:val="none" w:sz="0" w:space="0" w:color="auto"/>
        <w:right w:val="none" w:sz="0" w:space="0" w:color="auto"/>
      </w:divBdr>
      <w:divsChild>
        <w:div w:id="809982154">
          <w:marLeft w:val="0"/>
          <w:marRight w:val="0"/>
          <w:marTop w:val="0"/>
          <w:marBottom w:val="0"/>
          <w:divBdr>
            <w:top w:val="none" w:sz="0" w:space="0" w:color="auto"/>
            <w:left w:val="none" w:sz="0" w:space="0" w:color="auto"/>
            <w:bottom w:val="none" w:sz="0" w:space="0" w:color="auto"/>
            <w:right w:val="none" w:sz="0" w:space="0" w:color="auto"/>
          </w:divBdr>
        </w:div>
        <w:div w:id="1549144044">
          <w:marLeft w:val="0"/>
          <w:marRight w:val="0"/>
          <w:marTop w:val="0"/>
          <w:marBottom w:val="0"/>
          <w:divBdr>
            <w:top w:val="none" w:sz="0" w:space="0" w:color="auto"/>
            <w:left w:val="none" w:sz="0" w:space="0" w:color="auto"/>
            <w:bottom w:val="none" w:sz="0" w:space="0" w:color="auto"/>
            <w:right w:val="none" w:sz="0" w:space="0" w:color="auto"/>
          </w:divBdr>
        </w:div>
        <w:div w:id="1261715313">
          <w:marLeft w:val="0"/>
          <w:marRight w:val="0"/>
          <w:marTop w:val="0"/>
          <w:marBottom w:val="0"/>
          <w:divBdr>
            <w:top w:val="none" w:sz="0" w:space="0" w:color="auto"/>
            <w:left w:val="none" w:sz="0" w:space="0" w:color="auto"/>
            <w:bottom w:val="none" w:sz="0" w:space="0" w:color="auto"/>
            <w:right w:val="none" w:sz="0" w:space="0" w:color="auto"/>
          </w:divBdr>
        </w:div>
      </w:divsChild>
    </w:div>
    <w:div w:id="1292439189">
      <w:marLeft w:val="0"/>
      <w:marRight w:val="0"/>
      <w:marTop w:val="100"/>
      <w:marBottom w:val="100"/>
      <w:divBdr>
        <w:top w:val="none" w:sz="0" w:space="0" w:color="auto"/>
        <w:left w:val="none" w:sz="0" w:space="0" w:color="auto"/>
        <w:bottom w:val="none" w:sz="0" w:space="0" w:color="auto"/>
        <w:right w:val="none" w:sz="0" w:space="0" w:color="auto"/>
      </w:divBdr>
    </w:div>
    <w:div w:id="1295452608">
      <w:marLeft w:val="0"/>
      <w:marRight w:val="0"/>
      <w:marTop w:val="0"/>
      <w:marBottom w:val="200"/>
      <w:divBdr>
        <w:top w:val="none" w:sz="0" w:space="0" w:color="auto"/>
        <w:left w:val="none" w:sz="0" w:space="0" w:color="auto"/>
        <w:bottom w:val="none" w:sz="0" w:space="0" w:color="auto"/>
        <w:right w:val="none" w:sz="0" w:space="0" w:color="auto"/>
      </w:divBdr>
    </w:div>
    <w:div w:id="1297105010">
      <w:marLeft w:val="0"/>
      <w:marRight w:val="0"/>
      <w:marTop w:val="0"/>
      <w:marBottom w:val="0"/>
      <w:divBdr>
        <w:top w:val="none" w:sz="0" w:space="0" w:color="auto"/>
        <w:left w:val="none" w:sz="0" w:space="0" w:color="auto"/>
        <w:bottom w:val="none" w:sz="0" w:space="0" w:color="auto"/>
        <w:right w:val="none" w:sz="0" w:space="0" w:color="auto"/>
      </w:divBdr>
    </w:div>
    <w:div w:id="1302727586">
      <w:marLeft w:val="0"/>
      <w:marRight w:val="0"/>
      <w:marTop w:val="100"/>
      <w:marBottom w:val="160"/>
      <w:divBdr>
        <w:top w:val="none" w:sz="0" w:space="0" w:color="auto"/>
        <w:left w:val="none" w:sz="0" w:space="0" w:color="auto"/>
        <w:bottom w:val="none" w:sz="0" w:space="0" w:color="auto"/>
        <w:right w:val="none" w:sz="0" w:space="0" w:color="auto"/>
      </w:divBdr>
    </w:div>
    <w:div w:id="1305695080">
      <w:marLeft w:val="0"/>
      <w:marRight w:val="0"/>
      <w:marTop w:val="0"/>
      <w:marBottom w:val="0"/>
      <w:divBdr>
        <w:top w:val="none" w:sz="0" w:space="0" w:color="auto"/>
        <w:left w:val="none" w:sz="0" w:space="0" w:color="auto"/>
        <w:bottom w:val="none" w:sz="0" w:space="0" w:color="auto"/>
        <w:right w:val="none" w:sz="0" w:space="0" w:color="auto"/>
      </w:divBdr>
      <w:divsChild>
        <w:div w:id="1157694760">
          <w:marLeft w:val="0"/>
          <w:marRight w:val="0"/>
          <w:marTop w:val="0"/>
          <w:marBottom w:val="0"/>
          <w:divBdr>
            <w:top w:val="none" w:sz="0" w:space="0" w:color="auto"/>
            <w:left w:val="none" w:sz="0" w:space="0" w:color="auto"/>
            <w:bottom w:val="none" w:sz="0" w:space="0" w:color="auto"/>
            <w:right w:val="none" w:sz="0" w:space="0" w:color="auto"/>
          </w:divBdr>
        </w:div>
      </w:divsChild>
    </w:div>
    <w:div w:id="1307275769">
      <w:marLeft w:val="0"/>
      <w:marRight w:val="0"/>
      <w:marTop w:val="0"/>
      <w:marBottom w:val="0"/>
      <w:divBdr>
        <w:top w:val="none" w:sz="0" w:space="0" w:color="auto"/>
        <w:left w:val="none" w:sz="0" w:space="0" w:color="auto"/>
        <w:bottom w:val="none" w:sz="0" w:space="0" w:color="auto"/>
        <w:right w:val="none" w:sz="0" w:space="0" w:color="auto"/>
      </w:divBdr>
      <w:divsChild>
        <w:div w:id="359168784">
          <w:marLeft w:val="0"/>
          <w:marRight w:val="0"/>
          <w:marTop w:val="0"/>
          <w:marBottom w:val="0"/>
          <w:divBdr>
            <w:top w:val="none" w:sz="0" w:space="0" w:color="auto"/>
            <w:left w:val="none" w:sz="0" w:space="0" w:color="auto"/>
            <w:bottom w:val="none" w:sz="0" w:space="0" w:color="auto"/>
            <w:right w:val="none" w:sz="0" w:space="0" w:color="auto"/>
          </w:divBdr>
        </w:div>
      </w:divsChild>
    </w:div>
    <w:div w:id="1307324289">
      <w:marLeft w:val="0"/>
      <w:marRight w:val="0"/>
      <w:marTop w:val="0"/>
      <w:marBottom w:val="0"/>
      <w:divBdr>
        <w:top w:val="none" w:sz="0" w:space="0" w:color="auto"/>
        <w:left w:val="none" w:sz="0" w:space="0" w:color="auto"/>
        <w:bottom w:val="none" w:sz="0" w:space="0" w:color="auto"/>
        <w:right w:val="none" w:sz="0" w:space="0" w:color="auto"/>
      </w:divBdr>
      <w:divsChild>
        <w:div w:id="1158421231">
          <w:marLeft w:val="0"/>
          <w:marRight w:val="0"/>
          <w:marTop w:val="0"/>
          <w:marBottom w:val="0"/>
          <w:divBdr>
            <w:top w:val="none" w:sz="0" w:space="0" w:color="auto"/>
            <w:left w:val="none" w:sz="0" w:space="0" w:color="auto"/>
            <w:bottom w:val="none" w:sz="0" w:space="0" w:color="auto"/>
            <w:right w:val="none" w:sz="0" w:space="0" w:color="auto"/>
          </w:divBdr>
        </w:div>
      </w:divsChild>
    </w:div>
    <w:div w:id="1322466985">
      <w:marLeft w:val="0"/>
      <w:marRight w:val="0"/>
      <w:marTop w:val="0"/>
      <w:marBottom w:val="0"/>
      <w:divBdr>
        <w:top w:val="none" w:sz="0" w:space="0" w:color="auto"/>
        <w:left w:val="none" w:sz="0" w:space="0" w:color="auto"/>
        <w:bottom w:val="none" w:sz="0" w:space="0" w:color="auto"/>
        <w:right w:val="none" w:sz="0" w:space="0" w:color="auto"/>
      </w:divBdr>
    </w:div>
    <w:div w:id="1325746920">
      <w:marLeft w:val="0"/>
      <w:marRight w:val="0"/>
      <w:marTop w:val="0"/>
      <w:marBottom w:val="0"/>
      <w:divBdr>
        <w:top w:val="none" w:sz="0" w:space="0" w:color="auto"/>
        <w:left w:val="none" w:sz="0" w:space="0" w:color="auto"/>
        <w:bottom w:val="none" w:sz="0" w:space="0" w:color="auto"/>
        <w:right w:val="none" w:sz="0" w:space="0" w:color="auto"/>
      </w:divBdr>
    </w:div>
    <w:div w:id="1326468008">
      <w:marLeft w:val="0"/>
      <w:marRight w:val="0"/>
      <w:marTop w:val="0"/>
      <w:marBottom w:val="200"/>
      <w:divBdr>
        <w:top w:val="none" w:sz="0" w:space="0" w:color="auto"/>
        <w:left w:val="none" w:sz="0" w:space="0" w:color="auto"/>
        <w:bottom w:val="none" w:sz="0" w:space="0" w:color="auto"/>
        <w:right w:val="none" w:sz="0" w:space="0" w:color="auto"/>
      </w:divBdr>
    </w:div>
    <w:div w:id="1328050616">
      <w:marLeft w:val="0"/>
      <w:marRight w:val="0"/>
      <w:marTop w:val="100"/>
      <w:marBottom w:val="100"/>
      <w:divBdr>
        <w:top w:val="none" w:sz="0" w:space="0" w:color="auto"/>
        <w:left w:val="none" w:sz="0" w:space="0" w:color="auto"/>
        <w:bottom w:val="none" w:sz="0" w:space="0" w:color="auto"/>
        <w:right w:val="none" w:sz="0" w:space="0" w:color="auto"/>
      </w:divBdr>
    </w:div>
    <w:div w:id="1330861603">
      <w:marLeft w:val="0"/>
      <w:marRight w:val="0"/>
      <w:marTop w:val="0"/>
      <w:marBottom w:val="0"/>
      <w:divBdr>
        <w:top w:val="none" w:sz="0" w:space="0" w:color="auto"/>
        <w:left w:val="none" w:sz="0" w:space="0" w:color="auto"/>
        <w:bottom w:val="none" w:sz="0" w:space="0" w:color="auto"/>
        <w:right w:val="none" w:sz="0" w:space="0" w:color="auto"/>
      </w:divBdr>
      <w:divsChild>
        <w:div w:id="1188175349">
          <w:marLeft w:val="0"/>
          <w:marRight w:val="0"/>
          <w:marTop w:val="0"/>
          <w:marBottom w:val="0"/>
          <w:divBdr>
            <w:top w:val="none" w:sz="0" w:space="0" w:color="auto"/>
            <w:left w:val="none" w:sz="0" w:space="0" w:color="auto"/>
            <w:bottom w:val="none" w:sz="0" w:space="0" w:color="auto"/>
            <w:right w:val="none" w:sz="0" w:space="0" w:color="auto"/>
          </w:divBdr>
        </w:div>
      </w:divsChild>
    </w:div>
    <w:div w:id="1332372524">
      <w:marLeft w:val="0"/>
      <w:marRight w:val="0"/>
      <w:marTop w:val="0"/>
      <w:marBottom w:val="0"/>
      <w:divBdr>
        <w:top w:val="none" w:sz="0" w:space="0" w:color="auto"/>
        <w:left w:val="none" w:sz="0" w:space="0" w:color="auto"/>
        <w:bottom w:val="none" w:sz="0" w:space="0" w:color="auto"/>
        <w:right w:val="none" w:sz="0" w:space="0" w:color="auto"/>
      </w:divBdr>
      <w:divsChild>
        <w:div w:id="265115299">
          <w:marLeft w:val="0"/>
          <w:marRight w:val="0"/>
          <w:marTop w:val="0"/>
          <w:marBottom w:val="0"/>
          <w:divBdr>
            <w:top w:val="none" w:sz="0" w:space="0" w:color="auto"/>
            <w:left w:val="none" w:sz="0" w:space="0" w:color="auto"/>
            <w:bottom w:val="none" w:sz="0" w:space="0" w:color="auto"/>
            <w:right w:val="none" w:sz="0" w:space="0" w:color="auto"/>
          </w:divBdr>
        </w:div>
      </w:divsChild>
    </w:div>
    <w:div w:id="1336804934">
      <w:marLeft w:val="0"/>
      <w:marRight w:val="0"/>
      <w:marTop w:val="0"/>
      <w:marBottom w:val="0"/>
      <w:divBdr>
        <w:top w:val="none" w:sz="0" w:space="0" w:color="auto"/>
        <w:left w:val="none" w:sz="0" w:space="0" w:color="auto"/>
        <w:bottom w:val="none" w:sz="0" w:space="0" w:color="auto"/>
        <w:right w:val="none" w:sz="0" w:space="0" w:color="auto"/>
      </w:divBdr>
      <w:divsChild>
        <w:div w:id="437482863">
          <w:marLeft w:val="0"/>
          <w:marRight w:val="0"/>
          <w:marTop w:val="0"/>
          <w:marBottom w:val="0"/>
          <w:divBdr>
            <w:top w:val="none" w:sz="0" w:space="0" w:color="auto"/>
            <w:left w:val="none" w:sz="0" w:space="0" w:color="auto"/>
            <w:bottom w:val="none" w:sz="0" w:space="0" w:color="auto"/>
            <w:right w:val="none" w:sz="0" w:space="0" w:color="auto"/>
          </w:divBdr>
        </w:div>
      </w:divsChild>
    </w:div>
    <w:div w:id="1346244812">
      <w:marLeft w:val="0"/>
      <w:marRight w:val="0"/>
      <w:marTop w:val="0"/>
      <w:marBottom w:val="200"/>
      <w:divBdr>
        <w:top w:val="none" w:sz="0" w:space="0" w:color="auto"/>
        <w:left w:val="none" w:sz="0" w:space="0" w:color="auto"/>
        <w:bottom w:val="none" w:sz="0" w:space="0" w:color="auto"/>
        <w:right w:val="none" w:sz="0" w:space="0" w:color="auto"/>
      </w:divBdr>
    </w:div>
    <w:div w:id="1351756214">
      <w:marLeft w:val="0"/>
      <w:marRight w:val="0"/>
      <w:marTop w:val="0"/>
      <w:marBottom w:val="0"/>
      <w:divBdr>
        <w:top w:val="none" w:sz="0" w:space="0" w:color="auto"/>
        <w:left w:val="none" w:sz="0" w:space="0" w:color="auto"/>
        <w:bottom w:val="none" w:sz="0" w:space="0" w:color="auto"/>
        <w:right w:val="none" w:sz="0" w:space="0" w:color="auto"/>
      </w:divBdr>
    </w:div>
    <w:div w:id="1361709392">
      <w:marLeft w:val="0"/>
      <w:marRight w:val="0"/>
      <w:marTop w:val="0"/>
      <w:marBottom w:val="200"/>
      <w:divBdr>
        <w:top w:val="none" w:sz="0" w:space="0" w:color="auto"/>
        <w:left w:val="none" w:sz="0" w:space="0" w:color="auto"/>
        <w:bottom w:val="none" w:sz="0" w:space="0" w:color="auto"/>
        <w:right w:val="none" w:sz="0" w:space="0" w:color="auto"/>
      </w:divBdr>
    </w:div>
    <w:div w:id="1366757246">
      <w:marLeft w:val="0"/>
      <w:marRight w:val="0"/>
      <w:marTop w:val="0"/>
      <w:marBottom w:val="0"/>
      <w:divBdr>
        <w:top w:val="none" w:sz="0" w:space="0" w:color="auto"/>
        <w:left w:val="none" w:sz="0" w:space="0" w:color="auto"/>
        <w:bottom w:val="none" w:sz="0" w:space="0" w:color="auto"/>
        <w:right w:val="none" w:sz="0" w:space="0" w:color="auto"/>
      </w:divBdr>
    </w:div>
    <w:div w:id="1371959526">
      <w:marLeft w:val="0"/>
      <w:marRight w:val="0"/>
      <w:marTop w:val="0"/>
      <w:marBottom w:val="200"/>
      <w:divBdr>
        <w:top w:val="none" w:sz="0" w:space="0" w:color="auto"/>
        <w:left w:val="none" w:sz="0" w:space="0" w:color="auto"/>
        <w:bottom w:val="none" w:sz="0" w:space="0" w:color="auto"/>
        <w:right w:val="none" w:sz="0" w:space="0" w:color="auto"/>
      </w:divBdr>
    </w:div>
    <w:div w:id="1375888243">
      <w:marLeft w:val="0"/>
      <w:marRight w:val="0"/>
      <w:marTop w:val="0"/>
      <w:marBottom w:val="200"/>
      <w:divBdr>
        <w:top w:val="none" w:sz="0" w:space="0" w:color="auto"/>
        <w:left w:val="none" w:sz="0" w:space="0" w:color="auto"/>
        <w:bottom w:val="none" w:sz="0" w:space="0" w:color="auto"/>
        <w:right w:val="none" w:sz="0" w:space="0" w:color="auto"/>
      </w:divBdr>
    </w:div>
    <w:div w:id="1376855867">
      <w:marLeft w:val="0"/>
      <w:marRight w:val="0"/>
      <w:marTop w:val="100"/>
      <w:marBottom w:val="0"/>
      <w:divBdr>
        <w:top w:val="none" w:sz="0" w:space="0" w:color="auto"/>
        <w:left w:val="none" w:sz="0" w:space="0" w:color="auto"/>
        <w:bottom w:val="none" w:sz="0" w:space="0" w:color="auto"/>
        <w:right w:val="none" w:sz="0" w:space="0" w:color="auto"/>
      </w:divBdr>
    </w:div>
    <w:div w:id="1377896772">
      <w:marLeft w:val="0"/>
      <w:marRight w:val="0"/>
      <w:marTop w:val="0"/>
      <w:marBottom w:val="200"/>
      <w:divBdr>
        <w:top w:val="none" w:sz="0" w:space="0" w:color="auto"/>
        <w:left w:val="none" w:sz="0" w:space="0" w:color="auto"/>
        <w:bottom w:val="none" w:sz="0" w:space="0" w:color="auto"/>
        <w:right w:val="none" w:sz="0" w:space="0" w:color="auto"/>
      </w:divBdr>
    </w:div>
    <w:div w:id="1396009856">
      <w:marLeft w:val="0"/>
      <w:marRight w:val="0"/>
      <w:marTop w:val="0"/>
      <w:marBottom w:val="0"/>
      <w:divBdr>
        <w:top w:val="none" w:sz="0" w:space="0" w:color="auto"/>
        <w:left w:val="none" w:sz="0" w:space="0" w:color="auto"/>
        <w:bottom w:val="none" w:sz="0" w:space="0" w:color="auto"/>
        <w:right w:val="none" w:sz="0" w:space="0" w:color="auto"/>
      </w:divBdr>
      <w:divsChild>
        <w:div w:id="1650935248">
          <w:marLeft w:val="0"/>
          <w:marRight w:val="0"/>
          <w:marTop w:val="0"/>
          <w:marBottom w:val="0"/>
          <w:divBdr>
            <w:top w:val="none" w:sz="0" w:space="0" w:color="auto"/>
            <w:left w:val="none" w:sz="0" w:space="0" w:color="auto"/>
            <w:bottom w:val="none" w:sz="0" w:space="0" w:color="auto"/>
            <w:right w:val="none" w:sz="0" w:space="0" w:color="auto"/>
          </w:divBdr>
          <w:divsChild>
            <w:div w:id="785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138">
      <w:marLeft w:val="0"/>
      <w:marRight w:val="0"/>
      <w:marTop w:val="0"/>
      <w:marBottom w:val="160"/>
      <w:divBdr>
        <w:top w:val="none" w:sz="0" w:space="0" w:color="auto"/>
        <w:left w:val="none" w:sz="0" w:space="0" w:color="auto"/>
        <w:bottom w:val="none" w:sz="0" w:space="0" w:color="auto"/>
        <w:right w:val="none" w:sz="0" w:space="0" w:color="auto"/>
      </w:divBdr>
    </w:div>
    <w:div w:id="1402632026">
      <w:marLeft w:val="0"/>
      <w:marRight w:val="0"/>
      <w:marTop w:val="100"/>
      <w:marBottom w:val="100"/>
      <w:divBdr>
        <w:top w:val="none" w:sz="0" w:space="0" w:color="auto"/>
        <w:left w:val="none" w:sz="0" w:space="0" w:color="auto"/>
        <w:bottom w:val="none" w:sz="0" w:space="0" w:color="auto"/>
        <w:right w:val="none" w:sz="0" w:space="0" w:color="auto"/>
      </w:divBdr>
      <w:divsChild>
        <w:div w:id="1553469029">
          <w:marLeft w:val="0"/>
          <w:marRight w:val="0"/>
          <w:marTop w:val="0"/>
          <w:marBottom w:val="0"/>
          <w:divBdr>
            <w:top w:val="none" w:sz="0" w:space="0" w:color="auto"/>
            <w:left w:val="none" w:sz="0" w:space="0" w:color="auto"/>
            <w:bottom w:val="none" w:sz="0" w:space="0" w:color="auto"/>
            <w:right w:val="none" w:sz="0" w:space="0" w:color="auto"/>
          </w:divBdr>
        </w:div>
        <w:div w:id="1202283352">
          <w:marLeft w:val="0"/>
          <w:marRight w:val="0"/>
          <w:marTop w:val="0"/>
          <w:marBottom w:val="0"/>
          <w:divBdr>
            <w:top w:val="none" w:sz="0" w:space="0" w:color="auto"/>
            <w:left w:val="none" w:sz="0" w:space="0" w:color="auto"/>
            <w:bottom w:val="none" w:sz="0" w:space="0" w:color="auto"/>
            <w:right w:val="none" w:sz="0" w:space="0" w:color="auto"/>
          </w:divBdr>
        </w:div>
        <w:div w:id="1256474384">
          <w:marLeft w:val="0"/>
          <w:marRight w:val="0"/>
          <w:marTop w:val="0"/>
          <w:marBottom w:val="0"/>
          <w:divBdr>
            <w:top w:val="none" w:sz="0" w:space="0" w:color="auto"/>
            <w:left w:val="none" w:sz="0" w:space="0" w:color="auto"/>
            <w:bottom w:val="none" w:sz="0" w:space="0" w:color="auto"/>
            <w:right w:val="none" w:sz="0" w:space="0" w:color="auto"/>
          </w:divBdr>
        </w:div>
        <w:div w:id="1417242264">
          <w:marLeft w:val="0"/>
          <w:marRight w:val="0"/>
          <w:marTop w:val="0"/>
          <w:marBottom w:val="0"/>
          <w:divBdr>
            <w:top w:val="none" w:sz="0" w:space="0" w:color="auto"/>
            <w:left w:val="none" w:sz="0" w:space="0" w:color="auto"/>
            <w:bottom w:val="none" w:sz="0" w:space="0" w:color="auto"/>
            <w:right w:val="none" w:sz="0" w:space="0" w:color="auto"/>
          </w:divBdr>
        </w:div>
      </w:divsChild>
    </w:div>
    <w:div w:id="1402823915">
      <w:marLeft w:val="0"/>
      <w:marRight w:val="0"/>
      <w:marTop w:val="0"/>
      <w:marBottom w:val="0"/>
      <w:divBdr>
        <w:top w:val="none" w:sz="0" w:space="0" w:color="auto"/>
        <w:left w:val="none" w:sz="0" w:space="0" w:color="auto"/>
        <w:bottom w:val="none" w:sz="0" w:space="0" w:color="auto"/>
        <w:right w:val="none" w:sz="0" w:space="0" w:color="auto"/>
      </w:divBdr>
      <w:divsChild>
        <w:div w:id="2055108592">
          <w:marLeft w:val="0"/>
          <w:marRight w:val="0"/>
          <w:marTop w:val="0"/>
          <w:marBottom w:val="0"/>
          <w:divBdr>
            <w:top w:val="none" w:sz="0" w:space="0" w:color="auto"/>
            <w:left w:val="none" w:sz="0" w:space="0" w:color="auto"/>
            <w:bottom w:val="none" w:sz="0" w:space="0" w:color="auto"/>
            <w:right w:val="none" w:sz="0" w:space="0" w:color="auto"/>
          </w:divBdr>
        </w:div>
      </w:divsChild>
    </w:div>
    <w:div w:id="1413773575">
      <w:marLeft w:val="0"/>
      <w:marRight w:val="0"/>
      <w:marTop w:val="0"/>
      <w:marBottom w:val="0"/>
      <w:divBdr>
        <w:top w:val="none" w:sz="0" w:space="0" w:color="auto"/>
        <w:left w:val="none" w:sz="0" w:space="0" w:color="auto"/>
        <w:bottom w:val="none" w:sz="0" w:space="0" w:color="auto"/>
        <w:right w:val="none" w:sz="0" w:space="0" w:color="auto"/>
      </w:divBdr>
    </w:div>
    <w:div w:id="1419255674">
      <w:marLeft w:val="0"/>
      <w:marRight w:val="0"/>
      <w:marTop w:val="0"/>
      <w:marBottom w:val="60"/>
      <w:divBdr>
        <w:top w:val="none" w:sz="0" w:space="0" w:color="auto"/>
        <w:left w:val="none" w:sz="0" w:space="0" w:color="auto"/>
        <w:bottom w:val="none" w:sz="0" w:space="0" w:color="auto"/>
        <w:right w:val="none" w:sz="0" w:space="0" w:color="auto"/>
      </w:divBdr>
    </w:div>
    <w:div w:id="1430003628">
      <w:marLeft w:val="0"/>
      <w:marRight w:val="0"/>
      <w:marTop w:val="0"/>
      <w:marBottom w:val="0"/>
      <w:divBdr>
        <w:top w:val="none" w:sz="0" w:space="0" w:color="auto"/>
        <w:left w:val="none" w:sz="0" w:space="0" w:color="auto"/>
        <w:bottom w:val="none" w:sz="0" w:space="0" w:color="auto"/>
        <w:right w:val="none" w:sz="0" w:space="0" w:color="auto"/>
      </w:divBdr>
      <w:divsChild>
        <w:div w:id="1353262862">
          <w:marLeft w:val="0"/>
          <w:marRight w:val="0"/>
          <w:marTop w:val="0"/>
          <w:marBottom w:val="0"/>
          <w:divBdr>
            <w:top w:val="none" w:sz="0" w:space="0" w:color="auto"/>
            <w:left w:val="none" w:sz="0" w:space="0" w:color="auto"/>
            <w:bottom w:val="none" w:sz="0" w:space="0" w:color="auto"/>
            <w:right w:val="none" w:sz="0" w:space="0" w:color="auto"/>
          </w:divBdr>
        </w:div>
      </w:divsChild>
    </w:div>
    <w:div w:id="1431506498">
      <w:marLeft w:val="0"/>
      <w:marRight w:val="0"/>
      <w:marTop w:val="100"/>
      <w:marBottom w:val="100"/>
      <w:divBdr>
        <w:top w:val="none" w:sz="0" w:space="0" w:color="auto"/>
        <w:left w:val="none" w:sz="0" w:space="0" w:color="auto"/>
        <w:bottom w:val="none" w:sz="0" w:space="0" w:color="auto"/>
        <w:right w:val="none" w:sz="0" w:space="0" w:color="auto"/>
      </w:divBdr>
      <w:divsChild>
        <w:div w:id="969824260">
          <w:marLeft w:val="0"/>
          <w:marRight w:val="0"/>
          <w:marTop w:val="0"/>
          <w:marBottom w:val="0"/>
          <w:divBdr>
            <w:top w:val="none" w:sz="0" w:space="0" w:color="auto"/>
            <w:left w:val="none" w:sz="0" w:space="0" w:color="auto"/>
            <w:bottom w:val="none" w:sz="0" w:space="0" w:color="auto"/>
            <w:right w:val="none" w:sz="0" w:space="0" w:color="auto"/>
          </w:divBdr>
        </w:div>
        <w:div w:id="854271347">
          <w:marLeft w:val="0"/>
          <w:marRight w:val="0"/>
          <w:marTop w:val="0"/>
          <w:marBottom w:val="0"/>
          <w:divBdr>
            <w:top w:val="none" w:sz="0" w:space="0" w:color="auto"/>
            <w:left w:val="none" w:sz="0" w:space="0" w:color="auto"/>
            <w:bottom w:val="none" w:sz="0" w:space="0" w:color="auto"/>
            <w:right w:val="none" w:sz="0" w:space="0" w:color="auto"/>
          </w:divBdr>
        </w:div>
        <w:div w:id="1242177182">
          <w:marLeft w:val="0"/>
          <w:marRight w:val="0"/>
          <w:marTop w:val="0"/>
          <w:marBottom w:val="0"/>
          <w:divBdr>
            <w:top w:val="none" w:sz="0" w:space="0" w:color="auto"/>
            <w:left w:val="none" w:sz="0" w:space="0" w:color="auto"/>
            <w:bottom w:val="none" w:sz="0" w:space="0" w:color="auto"/>
            <w:right w:val="none" w:sz="0" w:space="0" w:color="auto"/>
          </w:divBdr>
        </w:div>
        <w:div w:id="327440270">
          <w:marLeft w:val="0"/>
          <w:marRight w:val="0"/>
          <w:marTop w:val="0"/>
          <w:marBottom w:val="0"/>
          <w:divBdr>
            <w:top w:val="none" w:sz="0" w:space="0" w:color="auto"/>
            <w:left w:val="none" w:sz="0" w:space="0" w:color="auto"/>
            <w:bottom w:val="none" w:sz="0" w:space="0" w:color="auto"/>
            <w:right w:val="none" w:sz="0" w:space="0" w:color="auto"/>
          </w:divBdr>
        </w:div>
        <w:div w:id="356665641">
          <w:marLeft w:val="0"/>
          <w:marRight w:val="0"/>
          <w:marTop w:val="0"/>
          <w:marBottom w:val="0"/>
          <w:divBdr>
            <w:top w:val="none" w:sz="0" w:space="0" w:color="auto"/>
            <w:left w:val="none" w:sz="0" w:space="0" w:color="auto"/>
            <w:bottom w:val="none" w:sz="0" w:space="0" w:color="auto"/>
            <w:right w:val="none" w:sz="0" w:space="0" w:color="auto"/>
          </w:divBdr>
        </w:div>
        <w:div w:id="1345593631">
          <w:marLeft w:val="0"/>
          <w:marRight w:val="0"/>
          <w:marTop w:val="0"/>
          <w:marBottom w:val="0"/>
          <w:divBdr>
            <w:top w:val="none" w:sz="0" w:space="0" w:color="auto"/>
            <w:left w:val="none" w:sz="0" w:space="0" w:color="auto"/>
            <w:bottom w:val="none" w:sz="0" w:space="0" w:color="auto"/>
            <w:right w:val="none" w:sz="0" w:space="0" w:color="auto"/>
          </w:divBdr>
        </w:div>
        <w:div w:id="852761255">
          <w:marLeft w:val="0"/>
          <w:marRight w:val="0"/>
          <w:marTop w:val="0"/>
          <w:marBottom w:val="0"/>
          <w:divBdr>
            <w:top w:val="none" w:sz="0" w:space="0" w:color="auto"/>
            <w:left w:val="none" w:sz="0" w:space="0" w:color="auto"/>
            <w:bottom w:val="none" w:sz="0" w:space="0" w:color="auto"/>
            <w:right w:val="none" w:sz="0" w:space="0" w:color="auto"/>
          </w:divBdr>
        </w:div>
        <w:div w:id="49689595">
          <w:marLeft w:val="0"/>
          <w:marRight w:val="0"/>
          <w:marTop w:val="0"/>
          <w:marBottom w:val="0"/>
          <w:divBdr>
            <w:top w:val="none" w:sz="0" w:space="0" w:color="auto"/>
            <w:left w:val="none" w:sz="0" w:space="0" w:color="auto"/>
            <w:bottom w:val="none" w:sz="0" w:space="0" w:color="auto"/>
            <w:right w:val="none" w:sz="0" w:space="0" w:color="auto"/>
          </w:divBdr>
        </w:div>
        <w:div w:id="1020593452">
          <w:marLeft w:val="0"/>
          <w:marRight w:val="0"/>
          <w:marTop w:val="0"/>
          <w:marBottom w:val="0"/>
          <w:divBdr>
            <w:top w:val="none" w:sz="0" w:space="0" w:color="auto"/>
            <w:left w:val="none" w:sz="0" w:space="0" w:color="auto"/>
            <w:bottom w:val="none" w:sz="0" w:space="0" w:color="auto"/>
            <w:right w:val="none" w:sz="0" w:space="0" w:color="auto"/>
          </w:divBdr>
        </w:div>
        <w:div w:id="1913925414">
          <w:marLeft w:val="0"/>
          <w:marRight w:val="0"/>
          <w:marTop w:val="0"/>
          <w:marBottom w:val="0"/>
          <w:divBdr>
            <w:top w:val="none" w:sz="0" w:space="0" w:color="auto"/>
            <w:left w:val="none" w:sz="0" w:space="0" w:color="auto"/>
            <w:bottom w:val="none" w:sz="0" w:space="0" w:color="auto"/>
            <w:right w:val="none" w:sz="0" w:space="0" w:color="auto"/>
          </w:divBdr>
        </w:div>
        <w:div w:id="1341928615">
          <w:marLeft w:val="0"/>
          <w:marRight w:val="0"/>
          <w:marTop w:val="0"/>
          <w:marBottom w:val="0"/>
          <w:divBdr>
            <w:top w:val="none" w:sz="0" w:space="0" w:color="auto"/>
            <w:left w:val="none" w:sz="0" w:space="0" w:color="auto"/>
            <w:bottom w:val="none" w:sz="0" w:space="0" w:color="auto"/>
            <w:right w:val="none" w:sz="0" w:space="0" w:color="auto"/>
          </w:divBdr>
        </w:div>
        <w:div w:id="2085491705">
          <w:marLeft w:val="0"/>
          <w:marRight w:val="0"/>
          <w:marTop w:val="0"/>
          <w:marBottom w:val="0"/>
          <w:divBdr>
            <w:top w:val="none" w:sz="0" w:space="0" w:color="auto"/>
            <w:left w:val="none" w:sz="0" w:space="0" w:color="auto"/>
            <w:bottom w:val="none" w:sz="0" w:space="0" w:color="auto"/>
            <w:right w:val="none" w:sz="0" w:space="0" w:color="auto"/>
          </w:divBdr>
        </w:div>
        <w:div w:id="924610522">
          <w:marLeft w:val="0"/>
          <w:marRight w:val="0"/>
          <w:marTop w:val="0"/>
          <w:marBottom w:val="0"/>
          <w:divBdr>
            <w:top w:val="none" w:sz="0" w:space="0" w:color="auto"/>
            <w:left w:val="none" w:sz="0" w:space="0" w:color="auto"/>
            <w:bottom w:val="none" w:sz="0" w:space="0" w:color="auto"/>
            <w:right w:val="none" w:sz="0" w:space="0" w:color="auto"/>
          </w:divBdr>
        </w:div>
        <w:div w:id="720249631">
          <w:marLeft w:val="0"/>
          <w:marRight w:val="0"/>
          <w:marTop w:val="0"/>
          <w:marBottom w:val="0"/>
          <w:divBdr>
            <w:top w:val="none" w:sz="0" w:space="0" w:color="auto"/>
            <w:left w:val="none" w:sz="0" w:space="0" w:color="auto"/>
            <w:bottom w:val="none" w:sz="0" w:space="0" w:color="auto"/>
            <w:right w:val="none" w:sz="0" w:space="0" w:color="auto"/>
          </w:divBdr>
        </w:div>
        <w:div w:id="2027553542">
          <w:marLeft w:val="0"/>
          <w:marRight w:val="0"/>
          <w:marTop w:val="0"/>
          <w:marBottom w:val="0"/>
          <w:divBdr>
            <w:top w:val="none" w:sz="0" w:space="0" w:color="auto"/>
            <w:left w:val="none" w:sz="0" w:space="0" w:color="auto"/>
            <w:bottom w:val="none" w:sz="0" w:space="0" w:color="auto"/>
            <w:right w:val="none" w:sz="0" w:space="0" w:color="auto"/>
          </w:divBdr>
        </w:div>
        <w:div w:id="2097743658">
          <w:marLeft w:val="0"/>
          <w:marRight w:val="0"/>
          <w:marTop w:val="0"/>
          <w:marBottom w:val="0"/>
          <w:divBdr>
            <w:top w:val="none" w:sz="0" w:space="0" w:color="auto"/>
            <w:left w:val="none" w:sz="0" w:space="0" w:color="auto"/>
            <w:bottom w:val="none" w:sz="0" w:space="0" w:color="auto"/>
            <w:right w:val="none" w:sz="0" w:space="0" w:color="auto"/>
          </w:divBdr>
        </w:div>
      </w:divsChild>
    </w:div>
    <w:div w:id="1432774038">
      <w:marLeft w:val="0"/>
      <w:marRight w:val="0"/>
      <w:marTop w:val="0"/>
      <w:marBottom w:val="0"/>
      <w:divBdr>
        <w:top w:val="none" w:sz="0" w:space="0" w:color="auto"/>
        <w:left w:val="none" w:sz="0" w:space="0" w:color="auto"/>
        <w:bottom w:val="none" w:sz="0" w:space="0" w:color="auto"/>
        <w:right w:val="none" w:sz="0" w:space="0" w:color="auto"/>
      </w:divBdr>
      <w:divsChild>
        <w:div w:id="624388891">
          <w:marLeft w:val="0"/>
          <w:marRight w:val="0"/>
          <w:marTop w:val="0"/>
          <w:marBottom w:val="0"/>
          <w:divBdr>
            <w:top w:val="none" w:sz="0" w:space="0" w:color="auto"/>
            <w:left w:val="none" w:sz="0" w:space="0" w:color="auto"/>
            <w:bottom w:val="none" w:sz="0" w:space="0" w:color="auto"/>
            <w:right w:val="none" w:sz="0" w:space="0" w:color="auto"/>
          </w:divBdr>
        </w:div>
        <w:div w:id="434444198">
          <w:marLeft w:val="0"/>
          <w:marRight w:val="0"/>
          <w:marTop w:val="180"/>
          <w:marBottom w:val="0"/>
          <w:divBdr>
            <w:top w:val="none" w:sz="0" w:space="0" w:color="auto"/>
            <w:left w:val="none" w:sz="0" w:space="0" w:color="auto"/>
            <w:bottom w:val="none" w:sz="0" w:space="0" w:color="auto"/>
            <w:right w:val="none" w:sz="0" w:space="0" w:color="auto"/>
          </w:divBdr>
        </w:div>
      </w:divsChild>
    </w:div>
    <w:div w:id="1440641997">
      <w:marLeft w:val="0"/>
      <w:marRight w:val="0"/>
      <w:marTop w:val="0"/>
      <w:marBottom w:val="200"/>
      <w:divBdr>
        <w:top w:val="none" w:sz="0" w:space="0" w:color="auto"/>
        <w:left w:val="none" w:sz="0" w:space="0" w:color="auto"/>
        <w:bottom w:val="none" w:sz="0" w:space="0" w:color="auto"/>
        <w:right w:val="none" w:sz="0" w:space="0" w:color="auto"/>
      </w:divBdr>
    </w:div>
    <w:div w:id="1444112733">
      <w:marLeft w:val="0"/>
      <w:marRight w:val="0"/>
      <w:marTop w:val="0"/>
      <w:marBottom w:val="0"/>
      <w:divBdr>
        <w:top w:val="none" w:sz="0" w:space="0" w:color="auto"/>
        <w:left w:val="none" w:sz="0" w:space="0" w:color="auto"/>
        <w:bottom w:val="none" w:sz="0" w:space="0" w:color="auto"/>
        <w:right w:val="none" w:sz="0" w:space="0" w:color="auto"/>
      </w:divBdr>
      <w:divsChild>
        <w:div w:id="1978293887">
          <w:marLeft w:val="0"/>
          <w:marRight w:val="0"/>
          <w:marTop w:val="0"/>
          <w:marBottom w:val="0"/>
          <w:divBdr>
            <w:top w:val="none" w:sz="0" w:space="0" w:color="auto"/>
            <w:left w:val="none" w:sz="0" w:space="0" w:color="auto"/>
            <w:bottom w:val="none" w:sz="0" w:space="0" w:color="auto"/>
            <w:right w:val="none" w:sz="0" w:space="0" w:color="auto"/>
          </w:divBdr>
        </w:div>
        <w:div w:id="1498811015">
          <w:marLeft w:val="0"/>
          <w:marRight w:val="0"/>
          <w:marTop w:val="180"/>
          <w:marBottom w:val="0"/>
          <w:divBdr>
            <w:top w:val="none" w:sz="0" w:space="0" w:color="auto"/>
            <w:left w:val="none" w:sz="0" w:space="0" w:color="auto"/>
            <w:bottom w:val="none" w:sz="0" w:space="0" w:color="auto"/>
            <w:right w:val="none" w:sz="0" w:space="0" w:color="auto"/>
          </w:divBdr>
        </w:div>
      </w:divsChild>
    </w:div>
    <w:div w:id="1444575068">
      <w:marLeft w:val="0"/>
      <w:marRight w:val="0"/>
      <w:marTop w:val="0"/>
      <w:marBottom w:val="0"/>
      <w:divBdr>
        <w:top w:val="none" w:sz="0" w:space="0" w:color="auto"/>
        <w:left w:val="none" w:sz="0" w:space="0" w:color="auto"/>
        <w:bottom w:val="none" w:sz="0" w:space="0" w:color="auto"/>
        <w:right w:val="none" w:sz="0" w:space="0" w:color="auto"/>
      </w:divBdr>
      <w:divsChild>
        <w:div w:id="1775856850">
          <w:marLeft w:val="0"/>
          <w:marRight w:val="0"/>
          <w:marTop w:val="0"/>
          <w:marBottom w:val="0"/>
          <w:divBdr>
            <w:top w:val="none" w:sz="0" w:space="0" w:color="auto"/>
            <w:left w:val="none" w:sz="0" w:space="0" w:color="auto"/>
            <w:bottom w:val="none" w:sz="0" w:space="0" w:color="auto"/>
            <w:right w:val="none" w:sz="0" w:space="0" w:color="auto"/>
          </w:divBdr>
        </w:div>
      </w:divsChild>
    </w:div>
    <w:div w:id="1447963215">
      <w:marLeft w:val="0"/>
      <w:marRight w:val="0"/>
      <w:marTop w:val="0"/>
      <w:marBottom w:val="200"/>
      <w:divBdr>
        <w:top w:val="none" w:sz="0" w:space="0" w:color="auto"/>
        <w:left w:val="none" w:sz="0" w:space="0" w:color="auto"/>
        <w:bottom w:val="none" w:sz="0" w:space="0" w:color="auto"/>
        <w:right w:val="none" w:sz="0" w:space="0" w:color="auto"/>
      </w:divBdr>
    </w:div>
    <w:div w:id="1450733991">
      <w:marLeft w:val="0"/>
      <w:marRight w:val="0"/>
      <w:marTop w:val="100"/>
      <w:marBottom w:val="0"/>
      <w:divBdr>
        <w:top w:val="none" w:sz="0" w:space="0" w:color="auto"/>
        <w:left w:val="none" w:sz="0" w:space="0" w:color="auto"/>
        <w:bottom w:val="none" w:sz="0" w:space="0" w:color="auto"/>
        <w:right w:val="none" w:sz="0" w:space="0" w:color="auto"/>
      </w:divBdr>
    </w:div>
    <w:div w:id="1478498508">
      <w:marLeft w:val="0"/>
      <w:marRight w:val="0"/>
      <w:marTop w:val="0"/>
      <w:marBottom w:val="160"/>
      <w:divBdr>
        <w:top w:val="none" w:sz="0" w:space="0" w:color="auto"/>
        <w:left w:val="none" w:sz="0" w:space="0" w:color="auto"/>
        <w:bottom w:val="none" w:sz="0" w:space="0" w:color="auto"/>
        <w:right w:val="none" w:sz="0" w:space="0" w:color="auto"/>
      </w:divBdr>
    </w:div>
    <w:div w:id="1482770679">
      <w:marLeft w:val="0"/>
      <w:marRight w:val="0"/>
      <w:marTop w:val="0"/>
      <w:marBottom w:val="200"/>
      <w:divBdr>
        <w:top w:val="none" w:sz="0" w:space="0" w:color="auto"/>
        <w:left w:val="none" w:sz="0" w:space="0" w:color="auto"/>
        <w:bottom w:val="none" w:sz="0" w:space="0" w:color="auto"/>
        <w:right w:val="none" w:sz="0" w:space="0" w:color="auto"/>
      </w:divBdr>
    </w:div>
    <w:div w:id="1488207935">
      <w:marLeft w:val="0"/>
      <w:marRight w:val="0"/>
      <w:marTop w:val="0"/>
      <w:marBottom w:val="0"/>
      <w:divBdr>
        <w:top w:val="none" w:sz="0" w:space="0" w:color="auto"/>
        <w:left w:val="none" w:sz="0" w:space="0" w:color="auto"/>
        <w:bottom w:val="none" w:sz="0" w:space="0" w:color="auto"/>
        <w:right w:val="none" w:sz="0" w:space="0" w:color="auto"/>
      </w:divBdr>
    </w:div>
    <w:div w:id="1488279513">
      <w:marLeft w:val="0"/>
      <w:marRight w:val="0"/>
      <w:marTop w:val="180"/>
      <w:marBottom w:val="0"/>
      <w:divBdr>
        <w:top w:val="none" w:sz="0" w:space="0" w:color="auto"/>
        <w:left w:val="none" w:sz="0" w:space="0" w:color="auto"/>
        <w:bottom w:val="none" w:sz="0" w:space="0" w:color="auto"/>
        <w:right w:val="none" w:sz="0" w:space="0" w:color="auto"/>
      </w:divBdr>
    </w:div>
    <w:div w:id="1489595380">
      <w:marLeft w:val="0"/>
      <w:marRight w:val="0"/>
      <w:marTop w:val="0"/>
      <w:marBottom w:val="0"/>
      <w:divBdr>
        <w:top w:val="none" w:sz="0" w:space="0" w:color="auto"/>
        <w:left w:val="none" w:sz="0" w:space="0" w:color="auto"/>
        <w:bottom w:val="none" w:sz="0" w:space="0" w:color="auto"/>
        <w:right w:val="none" w:sz="0" w:space="0" w:color="auto"/>
      </w:divBdr>
    </w:div>
    <w:div w:id="1493181462">
      <w:marLeft w:val="0"/>
      <w:marRight w:val="0"/>
      <w:marTop w:val="0"/>
      <w:marBottom w:val="0"/>
      <w:divBdr>
        <w:top w:val="none" w:sz="0" w:space="0" w:color="auto"/>
        <w:left w:val="none" w:sz="0" w:space="0" w:color="auto"/>
        <w:bottom w:val="none" w:sz="0" w:space="0" w:color="auto"/>
        <w:right w:val="none" w:sz="0" w:space="0" w:color="auto"/>
      </w:divBdr>
      <w:divsChild>
        <w:div w:id="902450179">
          <w:marLeft w:val="0"/>
          <w:marRight w:val="0"/>
          <w:marTop w:val="0"/>
          <w:marBottom w:val="0"/>
          <w:divBdr>
            <w:top w:val="none" w:sz="0" w:space="0" w:color="auto"/>
            <w:left w:val="none" w:sz="0" w:space="0" w:color="auto"/>
            <w:bottom w:val="none" w:sz="0" w:space="0" w:color="auto"/>
            <w:right w:val="none" w:sz="0" w:space="0" w:color="auto"/>
          </w:divBdr>
        </w:div>
        <w:div w:id="664553573">
          <w:marLeft w:val="0"/>
          <w:marRight w:val="0"/>
          <w:marTop w:val="180"/>
          <w:marBottom w:val="0"/>
          <w:divBdr>
            <w:top w:val="none" w:sz="0" w:space="0" w:color="auto"/>
            <w:left w:val="none" w:sz="0" w:space="0" w:color="auto"/>
            <w:bottom w:val="none" w:sz="0" w:space="0" w:color="auto"/>
            <w:right w:val="none" w:sz="0" w:space="0" w:color="auto"/>
          </w:divBdr>
        </w:div>
      </w:divsChild>
    </w:div>
    <w:div w:id="1499426164">
      <w:marLeft w:val="0"/>
      <w:marRight w:val="0"/>
      <w:marTop w:val="0"/>
      <w:marBottom w:val="0"/>
      <w:divBdr>
        <w:top w:val="none" w:sz="0" w:space="0" w:color="auto"/>
        <w:left w:val="none" w:sz="0" w:space="0" w:color="auto"/>
        <w:bottom w:val="none" w:sz="0" w:space="0" w:color="auto"/>
        <w:right w:val="none" w:sz="0" w:space="0" w:color="auto"/>
      </w:divBdr>
    </w:div>
    <w:div w:id="1499619167">
      <w:marLeft w:val="0"/>
      <w:marRight w:val="0"/>
      <w:marTop w:val="0"/>
      <w:marBottom w:val="0"/>
      <w:divBdr>
        <w:top w:val="none" w:sz="0" w:space="0" w:color="auto"/>
        <w:left w:val="none" w:sz="0" w:space="0" w:color="auto"/>
        <w:bottom w:val="none" w:sz="0" w:space="0" w:color="auto"/>
        <w:right w:val="none" w:sz="0" w:space="0" w:color="auto"/>
      </w:divBdr>
      <w:divsChild>
        <w:div w:id="1103300913">
          <w:marLeft w:val="0"/>
          <w:marRight w:val="0"/>
          <w:marTop w:val="0"/>
          <w:marBottom w:val="0"/>
          <w:divBdr>
            <w:top w:val="none" w:sz="0" w:space="0" w:color="auto"/>
            <w:left w:val="none" w:sz="0" w:space="0" w:color="auto"/>
            <w:bottom w:val="none" w:sz="0" w:space="0" w:color="auto"/>
            <w:right w:val="none" w:sz="0" w:space="0" w:color="auto"/>
          </w:divBdr>
        </w:div>
        <w:div w:id="929238096">
          <w:marLeft w:val="0"/>
          <w:marRight w:val="0"/>
          <w:marTop w:val="180"/>
          <w:marBottom w:val="0"/>
          <w:divBdr>
            <w:top w:val="none" w:sz="0" w:space="0" w:color="auto"/>
            <w:left w:val="none" w:sz="0" w:space="0" w:color="auto"/>
            <w:bottom w:val="none" w:sz="0" w:space="0" w:color="auto"/>
            <w:right w:val="none" w:sz="0" w:space="0" w:color="auto"/>
          </w:divBdr>
        </w:div>
      </w:divsChild>
    </w:div>
    <w:div w:id="1503080411">
      <w:marLeft w:val="0"/>
      <w:marRight w:val="0"/>
      <w:marTop w:val="0"/>
      <w:marBottom w:val="200"/>
      <w:divBdr>
        <w:top w:val="none" w:sz="0" w:space="0" w:color="auto"/>
        <w:left w:val="none" w:sz="0" w:space="0" w:color="auto"/>
        <w:bottom w:val="none" w:sz="0" w:space="0" w:color="auto"/>
        <w:right w:val="none" w:sz="0" w:space="0" w:color="auto"/>
      </w:divBdr>
    </w:div>
    <w:div w:id="1504660551">
      <w:marLeft w:val="0"/>
      <w:marRight w:val="0"/>
      <w:marTop w:val="100"/>
      <w:marBottom w:val="160"/>
      <w:divBdr>
        <w:top w:val="none" w:sz="0" w:space="0" w:color="auto"/>
        <w:left w:val="none" w:sz="0" w:space="0" w:color="auto"/>
        <w:bottom w:val="none" w:sz="0" w:space="0" w:color="auto"/>
        <w:right w:val="none" w:sz="0" w:space="0" w:color="auto"/>
      </w:divBdr>
    </w:div>
    <w:div w:id="1504782939">
      <w:marLeft w:val="0"/>
      <w:marRight w:val="0"/>
      <w:marTop w:val="100"/>
      <w:marBottom w:val="0"/>
      <w:divBdr>
        <w:top w:val="none" w:sz="0" w:space="0" w:color="auto"/>
        <w:left w:val="none" w:sz="0" w:space="0" w:color="auto"/>
        <w:bottom w:val="none" w:sz="0" w:space="0" w:color="auto"/>
        <w:right w:val="none" w:sz="0" w:space="0" w:color="auto"/>
      </w:divBdr>
    </w:div>
    <w:div w:id="1505050548">
      <w:marLeft w:val="0"/>
      <w:marRight w:val="0"/>
      <w:marTop w:val="0"/>
      <w:marBottom w:val="0"/>
      <w:divBdr>
        <w:top w:val="none" w:sz="0" w:space="0" w:color="auto"/>
        <w:left w:val="none" w:sz="0" w:space="0" w:color="auto"/>
        <w:bottom w:val="none" w:sz="0" w:space="0" w:color="auto"/>
        <w:right w:val="none" w:sz="0" w:space="0" w:color="auto"/>
      </w:divBdr>
      <w:divsChild>
        <w:div w:id="1336956119">
          <w:marLeft w:val="0"/>
          <w:marRight w:val="0"/>
          <w:marTop w:val="0"/>
          <w:marBottom w:val="0"/>
          <w:divBdr>
            <w:top w:val="none" w:sz="0" w:space="0" w:color="auto"/>
            <w:left w:val="none" w:sz="0" w:space="0" w:color="auto"/>
            <w:bottom w:val="none" w:sz="0" w:space="0" w:color="auto"/>
            <w:right w:val="none" w:sz="0" w:space="0" w:color="auto"/>
          </w:divBdr>
        </w:div>
      </w:divsChild>
    </w:div>
    <w:div w:id="1509523209">
      <w:marLeft w:val="0"/>
      <w:marRight w:val="0"/>
      <w:marTop w:val="0"/>
      <w:marBottom w:val="0"/>
      <w:divBdr>
        <w:top w:val="none" w:sz="0" w:space="0" w:color="auto"/>
        <w:left w:val="none" w:sz="0" w:space="0" w:color="auto"/>
        <w:bottom w:val="none" w:sz="0" w:space="0" w:color="auto"/>
        <w:right w:val="none" w:sz="0" w:space="0" w:color="auto"/>
      </w:divBdr>
      <w:divsChild>
        <w:div w:id="1529373862">
          <w:marLeft w:val="0"/>
          <w:marRight w:val="0"/>
          <w:marTop w:val="0"/>
          <w:marBottom w:val="0"/>
          <w:divBdr>
            <w:top w:val="none" w:sz="0" w:space="0" w:color="auto"/>
            <w:left w:val="none" w:sz="0" w:space="0" w:color="auto"/>
            <w:bottom w:val="none" w:sz="0" w:space="0" w:color="auto"/>
            <w:right w:val="none" w:sz="0" w:space="0" w:color="auto"/>
          </w:divBdr>
        </w:div>
      </w:divsChild>
    </w:div>
    <w:div w:id="1511682616">
      <w:marLeft w:val="0"/>
      <w:marRight w:val="0"/>
      <w:marTop w:val="0"/>
      <w:marBottom w:val="0"/>
      <w:divBdr>
        <w:top w:val="none" w:sz="0" w:space="0" w:color="auto"/>
        <w:left w:val="none" w:sz="0" w:space="0" w:color="auto"/>
        <w:bottom w:val="none" w:sz="0" w:space="0" w:color="auto"/>
        <w:right w:val="none" w:sz="0" w:space="0" w:color="auto"/>
      </w:divBdr>
    </w:div>
    <w:div w:id="1520504500">
      <w:marLeft w:val="0"/>
      <w:marRight w:val="0"/>
      <w:marTop w:val="120"/>
      <w:marBottom w:val="0"/>
      <w:divBdr>
        <w:top w:val="none" w:sz="0" w:space="0" w:color="auto"/>
        <w:left w:val="none" w:sz="0" w:space="0" w:color="auto"/>
        <w:bottom w:val="none" w:sz="0" w:space="0" w:color="auto"/>
        <w:right w:val="none" w:sz="0" w:space="0" w:color="auto"/>
      </w:divBdr>
    </w:div>
    <w:div w:id="1523131328">
      <w:marLeft w:val="0"/>
      <w:marRight w:val="0"/>
      <w:marTop w:val="0"/>
      <w:marBottom w:val="0"/>
      <w:divBdr>
        <w:top w:val="none" w:sz="0" w:space="0" w:color="auto"/>
        <w:left w:val="none" w:sz="0" w:space="0" w:color="auto"/>
        <w:bottom w:val="none" w:sz="0" w:space="0" w:color="auto"/>
        <w:right w:val="none" w:sz="0" w:space="0" w:color="auto"/>
      </w:divBdr>
    </w:div>
    <w:div w:id="1532450089">
      <w:marLeft w:val="0"/>
      <w:marRight w:val="0"/>
      <w:marTop w:val="0"/>
      <w:marBottom w:val="200"/>
      <w:divBdr>
        <w:top w:val="none" w:sz="0" w:space="0" w:color="auto"/>
        <w:left w:val="none" w:sz="0" w:space="0" w:color="auto"/>
        <w:bottom w:val="none" w:sz="0" w:space="0" w:color="auto"/>
        <w:right w:val="none" w:sz="0" w:space="0" w:color="auto"/>
      </w:divBdr>
    </w:div>
    <w:div w:id="1538278883">
      <w:marLeft w:val="0"/>
      <w:marRight w:val="0"/>
      <w:marTop w:val="100"/>
      <w:marBottom w:val="160"/>
      <w:divBdr>
        <w:top w:val="none" w:sz="0" w:space="0" w:color="auto"/>
        <w:left w:val="none" w:sz="0" w:space="0" w:color="auto"/>
        <w:bottom w:val="none" w:sz="0" w:space="0" w:color="auto"/>
        <w:right w:val="none" w:sz="0" w:space="0" w:color="auto"/>
      </w:divBdr>
    </w:div>
    <w:div w:id="1539509116">
      <w:marLeft w:val="0"/>
      <w:marRight w:val="0"/>
      <w:marTop w:val="100"/>
      <w:marBottom w:val="0"/>
      <w:divBdr>
        <w:top w:val="none" w:sz="0" w:space="0" w:color="auto"/>
        <w:left w:val="none" w:sz="0" w:space="0" w:color="auto"/>
        <w:bottom w:val="none" w:sz="0" w:space="0" w:color="auto"/>
        <w:right w:val="none" w:sz="0" w:space="0" w:color="auto"/>
      </w:divBdr>
    </w:div>
    <w:div w:id="1544749386">
      <w:marLeft w:val="0"/>
      <w:marRight w:val="0"/>
      <w:marTop w:val="0"/>
      <w:marBottom w:val="0"/>
      <w:divBdr>
        <w:top w:val="none" w:sz="0" w:space="0" w:color="auto"/>
        <w:left w:val="none" w:sz="0" w:space="0" w:color="auto"/>
        <w:bottom w:val="none" w:sz="0" w:space="0" w:color="auto"/>
        <w:right w:val="none" w:sz="0" w:space="0" w:color="auto"/>
      </w:divBdr>
    </w:div>
    <w:div w:id="1547521543">
      <w:marLeft w:val="0"/>
      <w:marRight w:val="0"/>
      <w:marTop w:val="0"/>
      <w:marBottom w:val="0"/>
      <w:divBdr>
        <w:top w:val="none" w:sz="0" w:space="0" w:color="auto"/>
        <w:left w:val="none" w:sz="0" w:space="0" w:color="auto"/>
        <w:bottom w:val="none" w:sz="0" w:space="0" w:color="auto"/>
        <w:right w:val="none" w:sz="0" w:space="0" w:color="auto"/>
      </w:divBdr>
      <w:divsChild>
        <w:div w:id="1913932581">
          <w:marLeft w:val="0"/>
          <w:marRight w:val="0"/>
          <w:marTop w:val="0"/>
          <w:marBottom w:val="0"/>
          <w:divBdr>
            <w:top w:val="none" w:sz="0" w:space="0" w:color="auto"/>
            <w:left w:val="none" w:sz="0" w:space="0" w:color="auto"/>
            <w:bottom w:val="none" w:sz="0" w:space="0" w:color="auto"/>
            <w:right w:val="none" w:sz="0" w:space="0" w:color="auto"/>
          </w:divBdr>
        </w:div>
      </w:divsChild>
    </w:div>
    <w:div w:id="1554193509">
      <w:marLeft w:val="0"/>
      <w:marRight w:val="0"/>
      <w:marTop w:val="0"/>
      <w:marBottom w:val="0"/>
      <w:divBdr>
        <w:top w:val="none" w:sz="0" w:space="0" w:color="auto"/>
        <w:left w:val="none" w:sz="0" w:space="0" w:color="auto"/>
        <w:bottom w:val="none" w:sz="0" w:space="0" w:color="auto"/>
        <w:right w:val="none" w:sz="0" w:space="0" w:color="auto"/>
      </w:divBdr>
      <w:divsChild>
        <w:div w:id="1650745553">
          <w:marLeft w:val="0"/>
          <w:marRight w:val="0"/>
          <w:marTop w:val="0"/>
          <w:marBottom w:val="0"/>
          <w:divBdr>
            <w:top w:val="none" w:sz="0" w:space="0" w:color="auto"/>
            <w:left w:val="none" w:sz="0" w:space="0" w:color="auto"/>
            <w:bottom w:val="none" w:sz="0" w:space="0" w:color="auto"/>
            <w:right w:val="none" w:sz="0" w:space="0" w:color="auto"/>
          </w:divBdr>
        </w:div>
      </w:divsChild>
    </w:div>
    <w:div w:id="1557203543">
      <w:marLeft w:val="0"/>
      <w:marRight w:val="0"/>
      <w:marTop w:val="0"/>
      <w:marBottom w:val="0"/>
      <w:divBdr>
        <w:top w:val="none" w:sz="0" w:space="0" w:color="auto"/>
        <w:left w:val="none" w:sz="0" w:space="0" w:color="auto"/>
        <w:bottom w:val="none" w:sz="0" w:space="0" w:color="auto"/>
        <w:right w:val="none" w:sz="0" w:space="0" w:color="auto"/>
      </w:divBdr>
      <w:divsChild>
        <w:div w:id="402487021">
          <w:marLeft w:val="0"/>
          <w:marRight w:val="0"/>
          <w:marTop w:val="0"/>
          <w:marBottom w:val="0"/>
          <w:divBdr>
            <w:top w:val="none" w:sz="0" w:space="0" w:color="auto"/>
            <w:left w:val="none" w:sz="0" w:space="0" w:color="auto"/>
            <w:bottom w:val="none" w:sz="0" w:space="0" w:color="auto"/>
            <w:right w:val="none" w:sz="0" w:space="0" w:color="auto"/>
          </w:divBdr>
        </w:div>
        <w:div w:id="375854567">
          <w:marLeft w:val="0"/>
          <w:marRight w:val="0"/>
          <w:marTop w:val="180"/>
          <w:marBottom w:val="0"/>
          <w:divBdr>
            <w:top w:val="none" w:sz="0" w:space="0" w:color="auto"/>
            <w:left w:val="none" w:sz="0" w:space="0" w:color="auto"/>
            <w:bottom w:val="none" w:sz="0" w:space="0" w:color="auto"/>
            <w:right w:val="none" w:sz="0" w:space="0" w:color="auto"/>
          </w:divBdr>
        </w:div>
      </w:divsChild>
    </w:div>
    <w:div w:id="1589383501">
      <w:marLeft w:val="0"/>
      <w:marRight w:val="0"/>
      <w:marTop w:val="0"/>
      <w:marBottom w:val="0"/>
      <w:divBdr>
        <w:top w:val="none" w:sz="0" w:space="0" w:color="auto"/>
        <w:left w:val="none" w:sz="0" w:space="0" w:color="auto"/>
        <w:bottom w:val="none" w:sz="0" w:space="0" w:color="auto"/>
        <w:right w:val="none" w:sz="0" w:space="0" w:color="auto"/>
      </w:divBdr>
    </w:div>
    <w:div w:id="1606378217">
      <w:marLeft w:val="0"/>
      <w:marRight w:val="0"/>
      <w:marTop w:val="100"/>
      <w:marBottom w:val="100"/>
      <w:divBdr>
        <w:top w:val="none" w:sz="0" w:space="0" w:color="auto"/>
        <w:left w:val="none" w:sz="0" w:space="0" w:color="auto"/>
        <w:bottom w:val="none" w:sz="0" w:space="0" w:color="auto"/>
        <w:right w:val="none" w:sz="0" w:space="0" w:color="auto"/>
      </w:divBdr>
    </w:div>
    <w:div w:id="1607497596">
      <w:marLeft w:val="0"/>
      <w:marRight w:val="0"/>
      <w:marTop w:val="0"/>
      <w:marBottom w:val="200"/>
      <w:divBdr>
        <w:top w:val="none" w:sz="0" w:space="0" w:color="auto"/>
        <w:left w:val="none" w:sz="0" w:space="0" w:color="auto"/>
        <w:bottom w:val="none" w:sz="0" w:space="0" w:color="auto"/>
        <w:right w:val="none" w:sz="0" w:space="0" w:color="auto"/>
      </w:divBdr>
    </w:div>
    <w:div w:id="1608930414">
      <w:marLeft w:val="0"/>
      <w:marRight w:val="0"/>
      <w:marTop w:val="0"/>
      <w:marBottom w:val="200"/>
      <w:divBdr>
        <w:top w:val="none" w:sz="0" w:space="0" w:color="auto"/>
        <w:left w:val="none" w:sz="0" w:space="0" w:color="auto"/>
        <w:bottom w:val="none" w:sz="0" w:space="0" w:color="auto"/>
        <w:right w:val="none" w:sz="0" w:space="0" w:color="auto"/>
      </w:divBdr>
    </w:div>
    <w:div w:id="1612281848">
      <w:marLeft w:val="0"/>
      <w:marRight w:val="0"/>
      <w:marTop w:val="0"/>
      <w:marBottom w:val="200"/>
      <w:divBdr>
        <w:top w:val="none" w:sz="0" w:space="0" w:color="auto"/>
        <w:left w:val="none" w:sz="0" w:space="0" w:color="auto"/>
        <w:bottom w:val="none" w:sz="0" w:space="0" w:color="auto"/>
        <w:right w:val="none" w:sz="0" w:space="0" w:color="auto"/>
      </w:divBdr>
    </w:div>
    <w:div w:id="1616983207">
      <w:marLeft w:val="0"/>
      <w:marRight w:val="0"/>
      <w:marTop w:val="0"/>
      <w:marBottom w:val="200"/>
      <w:divBdr>
        <w:top w:val="none" w:sz="0" w:space="0" w:color="auto"/>
        <w:left w:val="none" w:sz="0" w:space="0" w:color="auto"/>
        <w:bottom w:val="none" w:sz="0" w:space="0" w:color="auto"/>
        <w:right w:val="none" w:sz="0" w:space="0" w:color="auto"/>
      </w:divBdr>
    </w:div>
    <w:div w:id="1619951253">
      <w:marLeft w:val="0"/>
      <w:marRight w:val="0"/>
      <w:marTop w:val="0"/>
      <w:marBottom w:val="200"/>
      <w:divBdr>
        <w:top w:val="none" w:sz="0" w:space="0" w:color="auto"/>
        <w:left w:val="none" w:sz="0" w:space="0" w:color="auto"/>
        <w:bottom w:val="none" w:sz="0" w:space="0" w:color="auto"/>
        <w:right w:val="none" w:sz="0" w:space="0" w:color="auto"/>
      </w:divBdr>
    </w:div>
    <w:div w:id="1631010196">
      <w:marLeft w:val="0"/>
      <w:marRight w:val="0"/>
      <w:marTop w:val="100"/>
      <w:marBottom w:val="100"/>
      <w:divBdr>
        <w:top w:val="none" w:sz="0" w:space="0" w:color="auto"/>
        <w:left w:val="none" w:sz="0" w:space="0" w:color="auto"/>
        <w:bottom w:val="none" w:sz="0" w:space="0" w:color="auto"/>
        <w:right w:val="none" w:sz="0" w:space="0" w:color="auto"/>
      </w:divBdr>
    </w:div>
    <w:div w:id="1635986009">
      <w:marLeft w:val="0"/>
      <w:marRight w:val="0"/>
      <w:marTop w:val="0"/>
      <w:marBottom w:val="200"/>
      <w:divBdr>
        <w:top w:val="none" w:sz="0" w:space="0" w:color="auto"/>
        <w:left w:val="none" w:sz="0" w:space="0" w:color="auto"/>
        <w:bottom w:val="none" w:sz="0" w:space="0" w:color="auto"/>
        <w:right w:val="none" w:sz="0" w:space="0" w:color="auto"/>
      </w:divBdr>
    </w:div>
    <w:div w:id="1640723456">
      <w:marLeft w:val="0"/>
      <w:marRight w:val="0"/>
      <w:marTop w:val="0"/>
      <w:marBottom w:val="200"/>
      <w:divBdr>
        <w:top w:val="none" w:sz="0" w:space="0" w:color="auto"/>
        <w:left w:val="none" w:sz="0" w:space="0" w:color="auto"/>
        <w:bottom w:val="none" w:sz="0" w:space="0" w:color="auto"/>
        <w:right w:val="none" w:sz="0" w:space="0" w:color="auto"/>
      </w:divBdr>
    </w:div>
    <w:div w:id="1642728420">
      <w:marLeft w:val="0"/>
      <w:marRight w:val="0"/>
      <w:marTop w:val="0"/>
      <w:marBottom w:val="200"/>
      <w:divBdr>
        <w:top w:val="none" w:sz="0" w:space="0" w:color="auto"/>
        <w:left w:val="none" w:sz="0" w:space="0" w:color="auto"/>
        <w:bottom w:val="none" w:sz="0" w:space="0" w:color="auto"/>
        <w:right w:val="none" w:sz="0" w:space="0" w:color="auto"/>
      </w:divBdr>
    </w:div>
    <w:div w:id="1643266816">
      <w:marLeft w:val="0"/>
      <w:marRight w:val="0"/>
      <w:marTop w:val="0"/>
      <w:marBottom w:val="0"/>
      <w:divBdr>
        <w:top w:val="none" w:sz="0" w:space="0" w:color="auto"/>
        <w:left w:val="none" w:sz="0" w:space="0" w:color="auto"/>
        <w:bottom w:val="none" w:sz="0" w:space="0" w:color="auto"/>
        <w:right w:val="none" w:sz="0" w:space="0" w:color="auto"/>
      </w:divBdr>
    </w:div>
    <w:div w:id="1646540983">
      <w:marLeft w:val="0"/>
      <w:marRight w:val="0"/>
      <w:marTop w:val="0"/>
      <w:marBottom w:val="0"/>
      <w:divBdr>
        <w:top w:val="none" w:sz="0" w:space="0" w:color="auto"/>
        <w:left w:val="none" w:sz="0" w:space="0" w:color="auto"/>
        <w:bottom w:val="none" w:sz="0" w:space="0" w:color="auto"/>
        <w:right w:val="none" w:sz="0" w:space="0" w:color="auto"/>
      </w:divBdr>
      <w:divsChild>
        <w:div w:id="760032862">
          <w:marLeft w:val="0"/>
          <w:marRight w:val="0"/>
          <w:marTop w:val="0"/>
          <w:marBottom w:val="0"/>
          <w:divBdr>
            <w:top w:val="none" w:sz="0" w:space="0" w:color="auto"/>
            <w:left w:val="none" w:sz="0" w:space="0" w:color="auto"/>
            <w:bottom w:val="none" w:sz="0" w:space="0" w:color="auto"/>
            <w:right w:val="none" w:sz="0" w:space="0" w:color="auto"/>
          </w:divBdr>
        </w:div>
      </w:divsChild>
    </w:div>
    <w:div w:id="1647203110">
      <w:marLeft w:val="0"/>
      <w:marRight w:val="0"/>
      <w:marTop w:val="0"/>
      <w:marBottom w:val="0"/>
      <w:divBdr>
        <w:top w:val="none" w:sz="0" w:space="0" w:color="auto"/>
        <w:left w:val="none" w:sz="0" w:space="0" w:color="auto"/>
        <w:bottom w:val="none" w:sz="0" w:space="0" w:color="auto"/>
        <w:right w:val="none" w:sz="0" w:space="0" w:color="auto"/>
      </w:divBdr>
      <w:divsChild>
        <w:div w:id="1350108093">
          <w:marLeft w:val="0"/>
          <w:marRight w:val="0"/>
          <w:marTop w:val="0"/>
          <w:marBottom w:val="0"/>
          <w:divBdr>
            <w:top w:val="none" w:sz="0" w:space="0" w:color="auto"/>
            <w:left w:val="none" w:sz="0" w:space="0" w:color="auto"/>
            <w:bottom w:val="none" w:sz="0" w:space="0" w:color="auto"/>
            <w:right w:val="none" w:sz="0" w:space="0" w:color="auto"/>
          </w:divBdr>
        </w:div>
      </w:divsChild>
    </w:div>
    <w:div w:id="1656058974">
      <w:marLeft w:val="0"/>
      <w:marRight w:val="0"/>
      <w:marTop w:val="0"/>
      <w:marBottom w:val="200"/>
      <w:divBdr>
        <w:top w:val="none" w:sz="0" w:space="0" w:color="auto"/>
        <w:left w:val="none" w:sz="0" w:space="0" w:color="auto"/>
        <w:bottom w:val="none" w:sz="0" w:space="0" w:color="auto"/>
        <w:right w:val="none" w:sz="0" w:space="0" w:color="auto"/>
      </w:divBdr>
    </w:div>
    <w:div w:id="1671526063">
      <w:marLeft w:val="0"/>
      <w:marRight w:val="0"/>
      <w:marTop w:val="0"/>
      <w:marBottom w:val="0"/>
      <w:divBdr>
        <w:top w:val="none" w:sz="0" w:space="0" w:color="auto"/>
        <w:left w:val="none" w:sz="0" w:space="0" w:color="auto"/>
        <w:bottom w:val="none" w:sz="0" w:space="0" w:color="auto"/>
        <w:right w:val="none" w:sz="0" w:space="0" w:color="auto"/>
      </w:divBdr>
      <w:divsChild>
        <w:div w:id="999386769">
          <w:marLeft w:val="0"/>
          <w:marRight w:val="0"/>
          <w:marTop w:val="0"/>
          <w:marBottom w:val="0"/>
          <w:divBdr>
            <w:top w:val="none" w:sz="0" w:space="0" w:color="auto"/>
            <w:left w:val="none" w:sz="0" w:space="0" w:color="auto"/>
            <w:bottom w:val="none" w:sz="0" w:space="0" w:color="auto"/>
            <w:right w:val="none" w:sz="0" w:space="0" w:color="auto"/>
          </w:divBdr>
        </w:div>
      </w:divsChild>
    </w:div>
    <w:div w:id="1689717042">
      <w:marLeft w:val="0"/>
      <w:marRight w:val="0"/>
      <w:marTop w:val="0"/>
      <w:marBottom w:val="0"/>
      <w:divBdr>
        <w:top w:val="none" w:sz="0" w:space="0" w:color="auto"/>
        <w:left w:val="none" w:sz="0" w:space="0" w:color="auto"/>
        <w:bottom w:val="none" w:sz="0" w:space="0" w:color="auto"/>
        <w:right w:val="none" w:sz="0" w:space="0" w:color="auto"/>
      </w:divBdr>
    </w:div>
    <w:div w:id="1689873283">
      <w:marLeft w:val="0"/>
      <w:marRight w:val="0"/>
      <w:marTop w:val="100"/>
      <w:marBottom w:val="100"/>
      <w:divBdr>
        <w:top w:val="none" w:sz="0" w:space="0" w:color="auto"/>
        <w:left w:val="none" w:sz="0" w:space="0" w:color="auto"/>
        <w:bottom w:val="none" w:sz="0" w:space="0" w:color="auto"/>
        <w:right w:val="none" w:sz="0" w:space="0" w:color="auto"/>
      </w:divBdr>
    </w:div>
    <w:div w:id="1691104097">
      <w:marLeft w:val="0"/>
      <w:marRight w:val="0"/>
      <w:marTop w:val="100"/>
      <w:marBottom w:val="100"/>
      <w:divBdr>
        <w:top w:val="none" w:sz="0" w:space="0" w:color="auto"/>
        <w:left w:val="none" w:sz="0" w:space="0" w:color="auto"/>
        <w:bottom w:val="none" w:sz="0" w:space="0" w:color="auto"/>
        <w:right w:val="none" w:sz="0" w:space="0" w:color="auto"/>
      </w:divBdr>
    </w:div>
    <w:div w:id="1691250150">
      <w:marLeft w:val="0"/>
      <w:marRight w:val="0"/>
      <w:marTop w:val="0"/>
      <w:marBottom w:val="200"/>
      <w:divBdr>
        <w:top w:val="none" w:sz="0" w:space="0" w:color="auto"/>
        <w:left w:val="none" w:sz="0" w:space="0" w:color="auto"/>
        <w:bottom w:val="none" w:sz="0" w:space="0" w:color="auto"/>
        <w:right w:val="none" w:sz="0" w:space="0" w:color="auto"/>
      </w:divBdr>
    </w:div>
    <w:div w:id="1691300147">
      <w:marLeft w:val="0"/>
      <w:marRight w:val="0"/>
      <w:marTop w:val="0"/>
      <w:marBottom w:val="200"/>
      <w:divBdr>
        <w:top w:val="none" w:sz="0" w:space="0" w:color="auto"/>
        <w:left w:val="none" w:sz="0" w:space="0" w:color="auto"/>
        <w:bottom w:val="none" w:sz="0" w:space="0" w:color="auto"/>
        <w:right w:val="none" w:sz="0" w:space="0" w:color="auto"/>
      </w:divBdr>
    </w:div>
    <w:div w:id="1694376115">
      <w:marLeft w:val="0"/>
      <w:marRight w:val="0"/>
      <w:marTop w:val="0"/>
      <w:marBottom w:val="0"/>
      <w:divBdr>
        <w:top w:val="none" w:sz="0" w:space="0" w:color="auto"/>
        <w:left w:val="none" w:sz="0" w:space="0" w:color="auto"/>
        <w:bottom w:val="none" w:sz="0" w:space="0" w:color="auto"/>
        <w:right w:val="none" w:sz="0" w:space="0" w:color="auto"/>
      </w:divBdr>
      <w:divsChild>
        <w:div w:id="863445104">
          <w:marLeft w:val="0"/>
          <w:marRight w:val="0"/>
          <w:marTop w:val="0"/>
          <w:marBottom w:val="0"/>
          <w:divBdr>
            <w:top w:val="none" w:sz="0" w:space="0" w:color="auto"/>
            <w:left w:val="none" w:sz="0" w:space="0" w:color="auto"/>
            <w:bottom w:val="none" w:sz="0" w:space="0" w:color="auto"/>
            <w:right w:val="none" w:sz="0" w:space="0" w:color="auto"/>
          </w:divBdr>
        </w:div>
        <w:div w:id="1866946489">
          <w:marLeft w:val="0"/>
          <w:marRight w:val="0"/>
          <w:marTop w:val="0"/>
          <w:marBottom w:val="0"/>
          <w:divBdr>
            <w:top w:val="none" w:sz="0" w:space="0" w:color="auto"/>
            <w:left w:val="none" w:sz="0" w:space="0" w:color="auto"/>
            <w:bottom w:val="none" w:sz="0" w:space="0" w:color="auto"/>
            <w:right w:val="none" w:sz="0" w:space="0" w:color="auto"/>
          </w:divBdr>
        </w:div>
      </w:divsChild>
    </w:div>
    <w:div w:id="1697193689">
      <w:marLeft w:val="0"/>
      <w:marRight w:val="0"/>
      <w:marTop w:val="0"/>
      <w:marBottom w:val="0"/>
      <w:divBdr>
        <w:top w:val="none" w:sz="0" w:space="0" w:color="auto"/>
        <w:left w:val="none" w:sz="0" w:space="0" w:color="auto"/>
        <w:bottom w:val="none" w:sz="0" w:space="0" w:color="auto"/>
        <w:right w:val="none" w:sz="0" w:space="0" w:color="auto"/>
      </w:divBdr>
    </w:div>
    <w:div w:id="1697659394">
      <w:marLeft w:val="0"/>
      <w:marRight w:val="0"/>
      <w:marTop w:val="100"/>
      <w:marBottom w:val="100"/>
      <w:divBdr>
        <w:top w:val="none" w:sz="0" w:space="0" w:color="auto"/>
        <w:left w:val="none" w:sz="0" w:space="0" w:color="auto"/>
        <w:bottom w:val="none" w:sz="0" w:space="0" w:color="auto"/>
        <w:right w:val="none" w:sz="0" w:space="0" w:color="auto"/>
      </w:divBdr>
    </w:div>
    <w:div w:id="1700620570">
      <w:marLeft w:val="0"/>
      <w:marRight w:val="0"/>
      <w:marTop w:val="0"/>
      <w:marBottom w:val="200"/>
      <w:divBdr>
        <w:top w:val="none" w:sz="0" w:space="0" w:color="auto"/>
        <w:left w:val="none" w:sz="0" w:space="0" w:color="auto"/>
        <w:bottom w:val="none" w:sz="0" w:space="0" w:color="auto"/>
        <w:right w:val="none" w:sz="0" w:space="0" w:color="auto"/>
      </w:divBdr>
    </w:div>
    <w:div w:id="1702172282">
      <w:marLeft w:val="0"/>
      <w:marRight w:val="0"/>
      <w:marTop w:val="0"/>
      <w:marBottom w:val="0"/>
      <w:divBdr>
        <w:top w:val="none" w:sz="0" w:space="0" w:color="auto"/>
        <w:left w:val="none" w:sz="0" w:space="0" w:color="auto"/>
        <w:bottom w:val="none" w:sz="0" w:space="0" w:color="auto"/>
        <w:right w:val="none" w:sz="0" w:space="0" w:color="auto"/>
      </w:divBdr>
      <w:divsChild>
        <w:div w:id="1907371971">
          <w:marLeft w:val="0"/>
          <w:marRight w:val="0"/>
          <w:marTop w:val="0"/>
          <w:marBottom w:val="0"/>
          <w:divBdr>
            <w:top w:val="none" w:sz="0" w:space="0" w:color="auto"/>
            <w:left w:val="none" w:sz="0" w:space="0" w:color="auto"/>
            <w:bottom w:val="none" w:sz="0" w:space="0" w:color="auto"/>
            <w:right w:val="none" w:sz="0" w:space="0" w:color="auto"/>
          </w:divBdr>
        </w:div>
      </w:divsChild>
    </w:div>
    <w:div w:id="1704939813">
      <w:marLeft w:val="0"/>
      <w:marRight w:val="0"/>
      <w:marTop w:val="0"/>
      <w:marBottom w:val="0"/>
      <w:divBdr>
        <w:top w:val="none" w:sz="0" w:space="0" w:color="auto"/>
        <w:left w:val="none" w:sz="0" w:space="0" w:color="auto"/>
        <w:bottom w:val="none" w:sz="0" w:space="0" w:color="auto"/>
        <w:right w:val="none" w:sz="0" w:space="0" w:color="auto"/>
      </w:divBdr>
      <w:divsChild>
        <w:div w:id="1231427081">
          <w:marLeft w:val="0"/>
          <w:marRight w:val="0"/>
          <w:marTop w:val="0"/>
          <w:marBottom w:val="0"/>
          <w:divBdr>
            <w:top w:val="none" w:sz="0" w:space="0" w:color="auto"/>
            <w:left w:val="none" w:sz="0" w:space="0" w:color="auto"/>
            <w:bottom w:val="none" w:sz="0" w:space="0" w:color="auto"/>
            <w:right w:val="none" w:sz="0" w:space="0" w:color="auto"/>
          </w:divBdr>
        </w:div>
      </w:divsChild>
    </w:div>
    <w:div w:id="1706175985">
      <w:marLeft w:val="0"/>
      <w:marRight w:val="0"/>
      <w:marTop w:val="0"/>
      <w:marBottom w:val="0"/>
      <w:divBdr>
        <w:top w:val="none" w:sz="0" w:space="0" w:color="auto"/>
        <w:left w:val="none" w:sz="0" w:space="0" w:color="auto"/>
        <w:bottom w:val="none" w:sz="0" w:space="0" w:color="auto"/>
        <w:right w:val="none" w:sz="0" w:space="0" w:color="auto"/>
      </w:divBdr>
      <w:divsChild>
        <w:div w:id="1905332718">
          <w:marLeft w:val="0"/>
          <w:marRight w:val="0"/>
          <w:marTop w:val="0"/>
          <w:marBottom w:val="0"/>
          <w:divBdr>
            <w:top w:val="none" w:sz="0" w:space="0" w:color="auto"/>
            <w:left w:val="none" w:sz="0" w:space="0" w:color="auto"/>
            <w:bottom w:val="none" w:sz="0" w:space="0" w:color="auto"/>
            <w:right w:val="none" w:sz="0" w:space="0" w:color="auto"/>
          </w:divBdr>
        </w:div>
      </w:divsChild>
    </w:div>
    <w:div w:id="1713505018">
      <w:marLeft w:val="0"/>
      <w:marRight w:val="0"/>
      <w:marTop w:val="0"/>
      <w:marBottom w:val="0"/>
      <w:divBdr>
        <w:top w:val="none" w:sz="0" w:space="0" w:color="auto"/>
        <w:left w:val="none" w:sz="0" w:space="0" w:color="auto"/>
        <w:bottom w:val="none" w:sz="0" w:space="0" w:color="auto"/>
        <w:right w:val="none" w:sz="0" w:space="0" w:color="auto"/>
      </w:divBdr>
      <w:divsChild>
        <w:div w:id="1585457824">
          <w:marLeft w:val="0"/>
          <w:marRight w:val="0"/>
          <w:marTop w:val="0"/>
          <w:marBottom w:val="0"/>
          <w:divBdr>
            <w:top w:val="none" w:sz="0" w:space="0" w:color="auto"/>
            <w:left w:val="none" w:sz="0" w:space="0" w:color="auto"/>
            <w:bottom w:val="none" w:sz="0" w:space="0" w:color="auto"/>
            <w:right w:val="none" w:sz="0" w:space="0" w:color="auto"/>
          </w:divBdr>
        </w:div>
        <w:div w:id="1188367080">
          <w:marLeft w:val="0"/>
          <w:marRight w:val="0"/>
          <w:marTop w:val="180"/>
          <w:marBottom w:val="0"/>
          <w:divBdr>
            <w:top w:val="none" w:sz="0" w:space="0" w:color="auto"/>
            <w:left w:val="none" w:sz="0" w:space="0" w:color="auto"/>
            <w:bottom w:val="none" w:sz="0" w:space="0" w:color="auto"/>
            <w:right w:val="none" w:sz="0" w:space="0" w:color="auto"/>
          </w:divBdr>
        </w:div>
      </w:divsChild>
    </w:div>
    <w:div w:id="1724480191">
      <w:marLeft w:val="0"/>
      <w:marRight w:val="0"/>
      <w:marTop w:val="0"/>
      <w:marBottom w:val="0"/>
      <w:divBdr>
        <w:top w:val="none" w:sz="0" w:space="0" w:color="auto"/>
        <w:left w:val="none" w:sz="0" w:space="0" w:color="auto"/>
        <w:bottom w:val="none" w:sz="0" w:space="0" w:color="auto"/>
        <w:right w:val="none" w:sz="0" w:space="0" w:color="auto"/>
      </w:divBdr>
      <w:divsChild>
        <w:div w:id="1864129214">
          <w:marLeft w:val="0"/>
          <w:marRight w:val="0"/>
          <w:marTop w:val="0"/>
          <w:marBottom w:val="0"/>
          <w:divBdr>
            <w:top w:val="none" w:sz="0" w:space="0" w:color="auto"/>
            <w:left w:val="none" w:sz="0" w:space="0" w:color="auto"/>
            <w:bottom w:val="none" w:sz="0" w:space="0" w:color="auto"/>
            <w:right w:val="none" w:sz="0" w:space="0" w:color="auto"/>
          </w:divBdr>
        </w:div>
        <w:div w:id="1120219022">
          <w:marLeft w:val="0"/>
          <w:marRight w:val="0"/>
          <w:marTop w:val="0"/>
          <w:marBottom w:val="0"/>
          <w:divBdr>
            <w:top w:val="none" w:sz="0" w:space="0" w:color="auto"/>
            <w:left w:val="none" w:sz="0" w:space="0" w:color="auto"/>
            <w:bottom w:val="none" w:sz="0" w:space="0" w:color="auto"/>
            <w:right w:val="none" w:sz="0" w:space="0" w:color="auto"/>
          </w:divBdr>
        </w:div>
      </w:divsChild>
    </w:div>
    <w:div w:id="1738044576">
      <w:marLeft w:val="0"/>
      <w:marRight w:val="0"/>
      <w:marTop w:val="0"/>
      <w:marBottom w:val="200"/>
      <w:divBdr>
        <w:top w:val="none" w:sz="0" w:space="0" w:color="auto"/>
        <w:left w:val="none" w:sz="0" w:space="0" w:color="auto"/>
        <w:bottom w:val="none" w:sz="0" w:space="0" w:color="auto"/>
        <w:right w:val="none" w:sz="0" w:space="0" w:color="auto"/>
      </w:divBdr>
    </w:div>
    <w:div w:id="1745253935">
      <w:marLeft w:val="0"/>
      <w:marRight w:val="0"/>
      <w:marTop w:val="0"/>
      <w:marBottom w:val="200"/>
      <w:divBdr>
        <w:top w:val="none" w:sz="0" w:space="0" w:color="auto"/>
        <w:left w:val="none" w:sz="0" w:space="0" w:color="auto"/>
        <w:bottom w:val="none" w:sz="0" w:space="0" w:color="auto"/>
        <w:right w:val="none" w:sz="0" w:space="0" w:color="auto"/>
      </w:divBdr>
    </w:div>
    <w:div w:id="1747649191">
      <w:marLeft w:val="0"/>
      <w:marRight w:val="0"/>
      <w:marTop w:val="0"/>
      <w:marBottom w:val="0"/>
      <w:divBdr>
        <w:top w:val="none" w:sz="0" w:space="0" w:color="auto"/>
        <w:left w:val="none" w:sz="0" w:space="0" w:color="auto"/>
        <w:bottom w:val="none" w:sz="0" w:space="0" w:color="auto"/>
        <w:right w:val="none" w:sz="0" w:space="0" w:color="auto"/>
      </w:divBdr>
      <w:divsChild>
        <w:div w:id="162550415">
          <w:marLeft w:val="0"/>
          <w:marRight w:val="0"/>
          <w:marTop w:val="0"/>
          <w:marBottom w:val="0"/>
          <w:divBdr>
            <w:top w:val="none" w:sz="0" w:space="0" w:color="auto"/>
            <w:left w:val="none" w:sz="0" w:space="0" w:color="auto"/>
            <w:bottom w:val="none" w:sz="0" w:space="0" w:color="auto"/>
            <w:right w:val="none" w:sz="0" w:space="0" w:color="auto"/>
          </w:divBdr>
        </w:div>
      </w:divsChild>
    </w:div>
    <w:div w:id="1747997217">
      <w:marLeft w:val="0"/>
      <w:marRight w:val="0"/>
      <w:marTop w:val="0"/>
      <w:marBottom w:val="200"/>
      <w:divBdr>
        <w:top w:val="none" w:sz="0" w:space="0" w:color="auto"/>
        <w:left w:val="none" w:sz="0" w:space="0" w:color="auto"/>
        <w:bottom w:val="none" w:sz="0" w:space="0" w:color="auto"/>
        <w:right w:val="none" w:sz="0" w:space="0" w:color="auto"/>
      </w:divBdr>
    </w:div>
    <w:div w:id="1750350997">
      <w:marLeft w:val="0"/>
      <w:marRight w:val="0"/>
      <w:marTop w:val="0"/>
      <w:marBottom w:val="0"/>
      <w:divBdr>
        <w:top w:val="none" w:sz="0" w:space="0" w:color="auto"/>
        <w:left w:val="none" w:sz="0" w:space="0" w:color="auto"/>
        <w:bottom w:val="none" w:sz="0" w:space="0" w:color="auto"/>
        <w:right w:val="none" w:sz="0" w:space="0" w:color="auto"/>
      </w:divBdr>
      <w:divsChild>
        <w:div w:id="1281302683">
          <w:marLeft w:val="0"/>
          <w:marRight w:val="0"/>
          <w:marTop w:val="0"/>
          <w:marBottom w:val="0"/>
          <w:divBdr>
            <w:top w:val="none" w:sz="0" w:space="0" w:color="auto"/>
            <w:left w:val="none" w:sz="0" w:space="0" w:color="auto"/>
            <w:bottom w:val="none" w:sz="0" w:space="0" w:color="auto"/>
            <w:right w:val="none" w:sz="0" w:space="0" w:color="auto"/>
          </w:divBdr>
        </w:div>
      </w:divsChild>
    </w:div>
    <w:div w:id="1762070051">
      <w:marLeft w:val="0"/>
      <w:marRight w:val="0"/>
      <w:marTop w:val="0"/>
      <w:marBottom w:val="200"/>
      <w:divBdr>
        <w:top w:val="none" w:sz="0" w:space="0" w:color="auto"/>
        <w:left w:val="none" w:sz="0" w:space="0" w:color="auto"/>
        <w:bottom w:val="none" w:sz="0" w:space="0" w:color="auto"/>
        <w:right w:val="none" w:sz="0" w:space="0" w:color="auto"/>
      </w:divBdr>
    </w:div>
    <w:div w:id="1768386995">
      <w:marLeft w:val="0"/>
      <w:marRight w:val="0"/>
      <w:marTop w:val="100"/>
      <w:marBottom w:val="100"/>
      <w:divBdr>
        <w:top w:val="none" w:sz="0" w:space="0" w:color="auto"/>
        <w:left w:val="none" w:sz="0" w:space="0" w:color="auto"/>
        <w:bottom w:val="none" w:sz="0" w:space="0" w:color="auto"/>
        <w:right w:val="none" w:sz="0" w:space="0" w:color="auto"/>
      </w:divBdr>
    </w:div>
    <w:div w:id="1777672076">
      <w:marLeft w:val="0"/>
      <w:marRight w:val="0"/>
      <w:marTop w:val="0"/>
      <w:marBottom w:val="200"/>
      <w:divBdr>
        <w:top w:val="none" w:sz="0" w:space="0" w:color="auto"/>
        <w:left w:val="none" w:sz="0" w:space="0" w:color="auto"/>
        <w:bottom w:val="none" w:sz="0" w:space="0" w:color="auto"/>
        <w:right w:val="none" w:sz="0" w:space="0" w:color="auto"/>
      </w:divBdr>
    </w:div>
    <w:div w:id="1778214176">
      <w:marLeft w:val="0"/>
      <w:marRight w:val="0"/>
      <w:marTop w:val="0"/>
      <w:marBottom w:val="0"/>
      <w:divBdr>
        <w:top w:val="none" w:sz="0" w:space="0" w:color="auto"/>
        <w:left w:val="none" w:sz="0" w:space="0" w:color="auto"/>
        <w:bottom w:val="none" w:sz="0" w:space="0" w:color="auto"/>
        <w:right w:val="none" w:sz="0" w:space="0" w:color="auto"/>
      </w:divBdr>
      <w:divsChild>
        <w:div w:id="1173299035">
          <w:marLeft w:val="0"/>
          <w:marRight w:val="0"/>
          <w:marTop w:val="0"/>
          <w:marBottom w:val="0"/>
          <w:divBdr>
            <w:top w:val="none" w:sz="0" w:space="0" w:color="auto"/>
            <w:left w:val="none" w:sz="0" w:space="0" w:color="auto"/>
            <w:bottom w:val="none" w:sz="0" w:space="0" w:color="auto"/>
            <w:right w:val="none" w:sz="0" w:space="0" w:color="auto"/>
          </w:divBdr>
        </w:div>
      </w:divsChild>
    </w:div>
    <w:div w:id="1778520844">
      <w:marLeft w:val="0"/>
      <w:marRight w:val="0"/>
      <w:marTop w:val="0"/>
      <w:marBottom w:val="0"/>
      <w:divBdr>
        <w:top w:val="none" w:sz="0" w:space="0" w:color="auto"/>
        <w:left w:val="none" w:sz="0" w:space="0" w:color="auto"/>
        <w:bottom w:val="none" w:sz="0" w:space="0" w:color="auto"/>
        <w:right w:val="none" w:sz="0" w:space="0" w:color="auto"/>
      </w:divBdr>
      <w:divsChild>
        <w:div w:id="701054966">
          <w:marLeft w:val="0"/>
          <w:marRight w:val="0"/>
          <w:marTop w:val="0"/>
          <w:marBottom w:val="0"/>
          <w:divBdr>
            <w:top w:val="none" w:sz="0" w:space="0" w:color="auto"/>
            <w:left w:val="none" w:sz="0" w:space="0" w:color="auto"/>
            <w:bottom w:val="none" w:sz="0" w:space="0" w:color="auto"/>
            <w:right w:val="none" w:sz="0" w:space="0" w:color="auto"/>
          </w:divBdr>
        </w:div>
      </w:divsChild>
    </w:div>
    <w:div w:id="1778872057">
      <w:marLeft w:val="0"/>
      <w:marRight w:val="0"/>
      <w:marTop w:val="0"/>
      <w:marBottom w:val="0"/>
      <w:divBdr>
        <w:top w:val="none" w:sz="0" w:space="0" w:color="auto"/>
        <w:left w:val="none" w:sz="0" w:space="0" w:color="auto"/>
        <w:bottom w:val="none" w:sz="0" w:space="0" w:color="auto"/>
        <w:right w:val="none" w:sz="0" w:space="0" w:color="auto"/>
      </w:divBdr>
    </w:div>
    <w:div w:id="1795518730">
      <w:marLeft w:val="0"/>
      <w:marRight w:val="0"/>
      <w:marTop w:val="0"/>
      <w:marBottom w:val="0"/>
      <w:divBdr>
        <w:top w:val="none" w:sz="0" w:space="0" w:color="auto"/>
        <w:left w:val="none" w:sz="0" w:space="0" w:color="auto"/>
        <w:bottom w:val="none" w:sz="0" w:space="0" w:color="auto"/>
        <w:right w:val="none" w:sz="0" w:space="0" w:color="auto"/>
      </w:divBdr>
    </w:div>
    <w:div w:id="1806779739">
      <w:marLeft w:val="0"/>
      <w:marRight w:val="0"/>
      <w:marTop w:val="0"/>
      <w:marBottom w:val="0"/>
      <w:divBdr>
        <w:top w:val="none" w:sz="0" w:space="0" w:color="auto"/>
        <w:left w:val="none" w:sz="0" w:space="0" w:color="auto"/>
        <w:bottom w:val="none" w:sz="0" w:space="0" w:color="auto"/>
        <w:right w:val="none" w:sz="0" w:space="0" w:color="auto"/>
      </w:divBdr>
      <w:divsChild>
        <w:div w:id="585043514">
          <w:marLeft w:val="0"/>
          <w:marRight w:val="0"/>
          <w:marTop w:val="0"/>
          <w:marBottom w:val="0"/>
          <w:divBdr>
            <w:top w:val="none" w:sz="0" w:space="0" w:color="auto"/>
            <w:left w:val="none" w:sz="0" w:space="0" w:color="auto"/>
            <w:bottom w:val="none" w:sz="0" w:space="0" w:color="auto"/>
            <w:right w:val="none" w:sz="0" w:space="0" w:color="auto"/>
          </w:divBdr>
        </w:div>
        <w:div w:id="1518959567">
          <w:marLeft w:val="0"/>
          <w:marRight w:val="0"/>
          <w:marTop w:val="0"/>
          <w:marBottom w:val="0"/>
          <w:divBdr>
            <w:top w:val="none" w:sz="0" w:space="0" w:color="auto"/>
            <w:left w:val="none" w:sz="0" w:space="0" w:color="auto"/>
            <w:bottom w:val="none" w:sz="0" w:space="0" w:color="auto"/>
            <w:right w:val="none" w:sz="0" w:space="0" w:color="auto"/>
          </w:divBdr>
        </w:div>
      </w:divsChild>
    </w:div>
    <w:div w:id="1807818850">
      <w:marLeft w:val="0"/>
      <w:marRight w:val="0"/>
      <w:marTop w:val="0"/>
      <w:marBottom w:val="200"/>
      <w:divBdr>
        <w:top w:val="none" w:sz="0" w:space="0" w:color="auto"/>
        <w:left w:val="none" w:sz="0" w:space="0" w:color="auto"/>
        <w:bottom w:val="none" w:sz="0" w:space="0" w:color="auto"/>
        <w:right w:val="none" w:sz="0" w:space="0" w:color="auto"/>
      </w:divBdr>
    </w:div>
    <w:div w:id="1815679627">
      <w:marLeft w:val="0"/>
      <w:marRight w:val="0"/>
      <w:marTop w:val="0"/>
      <w:marBottom w:val="0"/>
      <w:divBdr>
        <w:top w:val="none" w:sz="0" w:space="0" w:color="auto"/>
        <w:left w:val="none" w:sz="0" w:space="0" w:color="auto"/>
        <w:bottom w:val="none" w:sz="0" w:space="0" w:color="auto"/>
        <w:right w:val="none" w:sz="0" w:space="0" w:color="auto"/>
      </w:divBdr>
      <w:divsChild>
        <w:div w:id="247352578">
          <w:marLeft w:val="0"/>
          <w:marRight w:val="0"/>
          <w:marTop w:val="0"/>
          <w:marBottom w:val="0"/>
          <w:divBdr>
            <w:top w:val="none" w:sz="0" w:space="0" w:color="auto"/>
            <w:left w:val="none" w:sz="0" w:space="0" w:color="auto"/>
            <w:bottom w:val="none" w:sz="0" w:space="0" w:color="auto"/>
            <w:right w:val="none" w:sz="0" w:space="0" w:color="auto"/>
          </w:divBdr>
        </w:div>
      </w:divsChild>
    </w:div>
    <w:div w:id="1815876481">
      <w:marLeft w:val="0"/>
      <w:marRight w:val="0"/>
      <w:marTop w:val="0"/>
      <w:marBottom w:val="200"/>
      <w:divBdr>
        <w:top w:val="none" w:sz="0" w:space="0" w:color="auto"/>
        <w:left w:val="none" w:sz="0" w:space="0" w:color="auto"/>
        <w:bottom w:val="none" w:sz="0" w:space="0" w:color="auto"/>
        <w:right w:val="none" w:sz="0" w:space="0" w:color="auto"/>
      </w:divBdr>
    </w:div>
    <w:div w:id="1816095957">
      <w:marLeft w:val="0"/>
      <w:marRight w:val="0"/>
      <w:marTop w:val="0"/>
      <w:marBottom w:val="200"/>
      <w:divBdr>
        <w:top w:val="none" w:sz="0" w:space="0" w:color="auto"/>
        <w:left w:val="none" w:sz="0" w:space="0" w:color="auto"/>
        <w:bottom w:val="none" w:sz="0" w:space="0" w:color="auto"/>
        <w:right w:val="none" w:sz="0" w:space="0" w:color="auto"/>
      </w:divBdr>
    </w:div>
    <w:div w:id="1816409735">
      <w:marLeft w:val="0"/>
      <w:marRight w:val="0"/>
      <w:marTop w:val="0"/>
      <w:marBottom w:val="200"/>
      <w:divBdr>
        <w:top w:val="none" w:sz="0" w:space="0" w:color="auto"/>
        <w:left w:val="none" w:sz="0" w:space="0" w:color="auto"/>
        <w:bottom w:val="none" w:sz="0" w:space="0" w:color="auto"/>
        <w:right w:val="none" w:sz="0" w:space="0" w:color="auto"/>
      </w:divBdr>
    </w:div>
    <w:div w:id="1819607523">
      <w:marLeft w:val="0"/>
      <w:marRight w:val="0"/>
      <w:marTop w:val="0"/>
      <w:marBottom w:val="0"/>
      <w:divBdr>
        <w:top w:val="none" w:sz="0" w:space="0" w:color="auto"/>
        <w:left w:val="none" w:sz="0" w:space="0" w:color="auto"/>
        <w:bottom w:val="none" w:sz="0" w:space="0" w:color="auto"/>
        <w:right w:val="none" w:sz="0" w:space="0" w:color="auto"/>
      </w:divBdr>
      <w:divsChild>
        <w:div w:id="585576824">
          <w:marLeft w:val="0"/>
          <w:marRight w:val="0"/>
          <w:marTop w:val="0"/>
          <w:marBottom w:val="0"/>
          <w:divBdr>
            <w:top w:val="none" w:sz="0" w:space="0" w:color="auto"/>
            <w:left w:val="none" w:sz="0" w:space="0" w:color="auto"/>
            <w:bottom w:val="none" w:sz="0" w:space="0" w:color="auto"/>
            <w:right w:val="none" w:sz="0" w:space="0" w:color="auto"/>
          </w:divBdr>
        </w:div>
      </w:divsChild>
    </w:div>
    <w:div w:id="1826818710">
      <w:marLeft w:val="0"/>
      <w:marRight w:val="0"/>
      <w:marTop w:val="0"/>
      <w:marBottom w:val="200"/>
      <w:divBdr>
        <w:top w:val="none" w:sz="0" w:space="0" w:color="auto"/>
        <w:left w:val="none" w:sz="0" w:space="0" w:color="auto"/>
        <w:bottom w:val="none" w:sz="0" w:space="0" w:color="auto"/>
        <w:right w:val="none" w:sz="0" w:space="0" w:color="auto"/>
      </w:divBdr>
    </w:div>
    <w:div w:id="1826893791">
      <w:marLeft w:val="0"/>
      <w:marRight w:val="0"/>
      <w:marTop w:val="0"/>
      <w:marBottom w:val="0"/>
      <w:divBdr>
        <w:top w:val="none" w:sz="0" w:space="0" w:color="auto"/>
        <w:left w:val="none" w:sz="0" w:space="0" w:color="auto"/>
        <w:bottom w:val="none" w:sz="0" w:space="0" w:color="auto"/>
        <w:right w:val="none" w:sz="0" w:space="0" w:color="auto"/>
      </w:divBdr>
    </w:div>
    <w:div w:id="1829050507">
      <w:marLeft w:val="0"/>
      <w:marRight w:val="0"/>
      <w:marTop w:val="0"/>
      <w:marBottom w:val="0"/>
      <w:divBdr>
        <w:top w:val="none" w:sz="0" w:space="0" w:color="auto"/>
        <w:left w:val="none" w:sz="0" w:space="0" w:color="auto"/>
        <w:bottom w:val="none" w:sz="0" w:space="0" w:color="auto"/>
        <w:right w:val="none" w:sz="0" w:space="0" w:color="auto"/>
      </w:divBdr>
      <w:divsChild>
        <w:div w:id="1244953902">
          <w:marLeft w:val="0"/>
          <w:marRight w:val="0"/>
          <w:marTop w:val="0"/>
          <w:marBottom w:val="0"/>
          <w:divBdr>
            <w:top w:val="none" w:sz="0" w:space="0" w:color="auto"/>
            <w:left w:val="none" w:sz="0" w:space="0" w:color="auto"/>
            <w:bottom w:val="none" w:sz="0" w:space="0" w:color="auto"/>
            <w:right w:val="none" w:sz="0" w:space="0" w:color="auto"/>
          </w:divBdr>
        </w:div>
      </w:divsChild>
    </w:div>
    <w:div w:id="1832794353">
      <w:marLeft w:val="0"/>
      <w:marRight w:val="0"/>
      <w:marTop w:val="100"/>
      <w:marBottom w:val="100"/>
      <w:divBdr>
        <w:top w:val="none" w:sz="0" w:space="0" w:color="auto"/>
        <w:left w:val="none" w:sz="0" w:space="0" w:color="auto"/>
        <w:bottom w:val="none" w:sz="0" w:space="0" w:color="auto"/>
        <w:right w:val="none" w:sz="0" w:space="0" w:color="auto"/>
      </w:divBdr>
    </w:div>
    <w:div w:id="1839537436">
      <w:marLeft w:val="0"/>
      <w:marRight w:val="0"/>
      <w:marTop w:val="100"/>
      <w:marBottom w:val="160"/>
      <w:divBdr>
        <w:top w:val="none" w:sz="0" w:space="0" w:color="auto"/>
        <w:left w:val="none" w:sz="0" w:space="0" w:color="auto"/>
        <w:bottom w:val="none" w:sz="0" w:space="0" w:color="auto"/>
        <w:right w:val="none" w:sz="0" w:space="0" w:color="auto"/>
      </w:divBdr>
    </w:div>
    <w:div w:id="1842353810">
      <w:marLeft w:val="0"/>
      <w:marRight w:val="0"/>
      <w:marTop w:val="0"/>
      <w:marBottom w:val="0"/>
      <w:divBdr>
        <w:top w:val="none" w:sz="0" w:space="0" w:color="auto"/>
        <w:left w:val="none" w:sz="0" w:space="0" w:color="auto"/>
        <w:bottom w:val="none" w:sz="0" w:space="0" w:color="auto"/>
        <w:right w:val="none" w:sz="0" w:space="0" w:color="auto"/>
      </w:divBdr>
      <w:divsChild>
        <w:div w:id="673842449">
          <w:marLeft w:val="0"/>
          <w:marRight w:val="0"/>
          <w:marTop w:val="0"/>
          <w:marBottom w:val="0"/>
          <w:divBdr>
            <w:top w:val="none" w:sz="0" w:space="0" w:color="auto"/>
            <w:left w:val="none" w:sz="0" w:space="0" w:color="auto"/>
            <w:bottom w:val="none" w:sz="0" w:space="0" w:color="auto"/>
            <w:right w:val="none" w:sz="0" w:space="0" w:color="auto"/>
          </w:divBdr>
        </w:div>
      </w:divsChild>
    </w:div>
    <w:div w:id="1844005582">
      <w:marLeft w:val="0"/>
      <w:marRight w:val="0"/>
      <w:marTop w:val="0"/>
      <w:marBottom w:val="0"/>
      <w:divBdr>
        <w:top w:val="none" w:sz="0" w:space="0" w:color="auto"/>
        <w:left w:val="none" w:sz="0" w:space="0" w:color="auto"/>
        <w:bottom w:val="none" w:sz="0" w:space="0" w:color="auto"/>
        <w:right w:val="none" w:sz="0" w:space="0" w:color="auto"/>
      </w:divBdr>
      <w:divsChild>
        <w:div w:id="1159881565">
          <w:marLeft w:val="0"/>
          <w:marRight w:val="0"/>
          <w:marTop w:val="0"/>
          <w:marBottom w:val="0"/>
          <w:divBdr>
            <w:top w:val="none" w:sz="0" w:space="0" w:color="auto"/>
            <w:left w:val="none" w:sz="0" w:space="0" w:color="auto"/>
            <w:bottom w:val="none" w:sz="0" w:space="0" w:color="auto"/>
            <w:right w:val="none" w:sz="0" w:space="0" w:color="auto"/>
          </w:divBdr>
        </w:div>
        <w:div w:id="236012762">
          <w:marLeft w:val="0"/>
          <w:marRight w:val="0"/>
          <w:marTop w:val="180"/>
          <w:marBottom w:val="0"/>
          <w:divBdr>
            <w:top w:val="none" w:sz="0" w:space="0" w:color="auto"/>
            <w:left w:val="none" w:sz="0" w:space="0" w:color="auto"/>
            <w:bottom w:val="none" w:sz="0" w:space="0" w:color="auto"/>
            <w:right w:val="none" w:sz="0" w:space="0" w:color="auto"/>
          </w:divBdr>
        </w:div>
      </w:divsChild>
    </w:div>
    <w:div w:id="1848786936">
      <w:marLeft w:val="0"/>
      <w:marRight w:val="0"/>
      <w:marTop w:val="200"/>
      <w:marBottom w:val="0"/>
      <w:divBdr>
        <w:top w:val="none" w:sz="0" w:space="0" w:color="auto"/>
        <w:left w:val="none" w:sz="0" w:space="0" w:color="auto"/>
        <w:bottom w:val="none" w:sz="0" w:space="0" w:color="auto"/>
        <w:right w:val="none" w:sz="0" w:space="0" w:color="auto"/>
      </w:divBdr>
    </w:div>
    <w:div w:id="1848934375">
      <w:marLeft w:val="0"/>
      <w:marRight w:val="0"/>
      <w:marTop w:val="100"/>
      <w:marBottom w:val="0"/>
      <w:divBdr>
        <w:top w:val="none" w:sz="0" w:space="0" w:color="auto"/>
        <w:left w:val="none" w:sz="0" w:space="0" w:color="auto"/>
        <w:bottom w:val="none" w:sz="0" w:space="0" w:color="auto"/>
        <w:right w:val="none" w:sz="0" w:space="0" w:color="auto"/>
      </w:divBdr>
    </w:div>
    <w:div w:id="1853840229">
      <w:marLeft w:val="0"/>
      <w:marRight w:val="0"/>
      <w:marTop w:val="0"/>
      <w:marBottom w:val="0"/>
      <w:divBdr>
        <w:top w:val="none" w:sz="0" w:space="0" w:color="auto"/>
        <w:left w:val="none" w:sz="0" w:space="0" w:color="auto"/>
        <w:bottom w:val="none" w:sz="0" w:space="0" w:color="auto"/>
        <w:right w:val="none" w:sz="0" w:space="0" w:color="auto"/>
      </w:divBdr>
    </w:div>
    <w:div w:id="1859272821">
      <w:marLeft w:val="0"/>
      <w:marRight w:val="0"/>
      <w:marTop w:val="100"/>
      <w:marBottom w:val="100"/>
      <w:divBdr>
        <w:top w:val="none" w:sz="0" w:space="0" w:color="auto"/>
        <w:left w:val="none" w:sz="0" w:space="0" w:color="auto"/>
        <w:bottom w:val="none" w:sz="0" w:space="0" w:color="auto"/>
        <w:right w:val="none" w:sz="0" w:space="0" w:color="auto"/>
      </w:divBdr>
    </w:div>
    <w:div w:id="1867912637">
      <w:marLeft w:val="0"/>
      <w:marRight w:val="0"/>
      <w:marTop w:val="0"/>
      <w:marBottom w:val="0"/>
      <w:divBdr>
        <w:top w:val="none" w:sz="0" w:space="0" w:color="auto"/>
        <w:left w:val="none" w:sz="0" w:space="0" w:color="auto"/>
        <w:bottom w:val="none" w:sz="0" w:space="0" w:color="auto"/>
        <w:right w:val="none" w:sz="0" w:space="0" w:color="auto"/>
      </w:divBdr>
      <w:divsChild>
        <w:div w:id="947347445">
          <w:marLeft w:val="0"/>
          <w:marRight w:val="0"/>
          <w:marTop w:val="0"/>
          <w:marBottom w:val="0"/>
          <w:divBdr>
            <w:top w:val="none" w:sz="0" w:space="0" w:color="auto"/>
            <w:left w:val="none" w:sz="0" w:space="0" w:color="auto"/>
            <w:bottom w:val="none" w:sz="0" w:space="0" w:color="auto"/>
            <w:right w:val="none" w:sz="0" w:space="0" w:color="auto"/>
          </w:divBdr>
        </w:div>
        <w:div w:id="1637492505">
          <w:marLeft w:val="0"/>
          <w:marRight w:val="0"/>
          <w:marTop w:val="180"/>
          <w:marBottom w:val="0"/>
          <w:divBdr>
            <w:top w:val="none" w:sz="0" w:space="0" w:color="auto"/>
            <w:left w:val="none" w:sz="0" w:space="0" w:color="auto"/>
            <w:bottom w:val="none" w:sz="0" w:space="0" w:color="auto"/>
            <w:right w:val="none" w:sz="0" w:space="0" w:color="auto"/>
          </w:divBdr>
        </w:div>
      </w:divsChild>
    </w:div>
    <w:div w:id="1879010049">
      <w:marLeft w:val="0"/>
      <w:marRight w:val="0"/>
      <w:marTop w:val="0"/>
      <w:marBottom w:val="200"/>
      <w:divBdr>
        <w:top w:val="none" w:sz="0" w:space="0" w:color="auto"/>
        <w:left w:val="none" w:sz="0" w:space="0" w:color="auto"/>
        <w:bottom w:val="none" w:sz="0" w:space="0" w:color="auto"/>
        <w:right w:val="none" w:sz="0" w:space="0" w:color="auto"/>
      </w:divBdr>
    </w:div>
    <w:div w:id="1879850456">
      <w:marLeft w:val="0"/>
      <w:marRight w:val="0"/>
      <w:marTop w:val="0"/>
      <w:marBottom w:val="0"/>
      <w:divBdr>
        <w:top w:val="none" w:sz="0" w:space="0" w:color="auto"/>
        <w:left w:val="none" w:sz="0" w:space="0" w:color="auto"/>
        <w:bottom w:val="none" w:sz="0" w:space="0" w:color="auto"/>
        <w:right w:val="none" w:sz="0" w:space="0" w:color="auto"/>
      </w:divBdr>
      <w:divsChild>
        <w:div w:id="983125340">
          <w:marLeft w:val="0"/>
          <w:marRight w:val="0"/>
          <w:marTop w:val="0"/>
          <w:marBottom w:val="0"/>
          <w:divBdr>
            <w:top w:val="none" w:sz="0" w:space="0" w:color="auto"/>
            <w:left w:val="none" w:sz="0" w:space="0" w:color="auto"/>
            <w:bottom w:val="none" w:sz="0" w:space="0" w:color="auto"/>
            <w:right w:val="none" w:sz="0" w:space="0" w:color="auto"/>
          </w:divBdr>
        </w:div>
      </w:divsChild>
    </w:div>
    <w:div w:id="1880782296">
      <w:marLeft w:val="0"/>
      <w:marRight w:val="0"/>
      <w:marTop w:val="0"/>
      <w:marBottom w:val="200"/>
      <w:divBdr>
        <w:top w:val="none" w:sz="0" w:space="0" w:color="auto"/>
        <w:left w:val="none" w:sz="0" w:space="0" w:color="auto"/>
        <w:bottom w:val="none" w:sz="0" w:space="0" w:color="auto"/>
        <w:right w:val="none" w:sz="0" w:space="0" w:color="auto"/>
      </w:divBdr>
    </w:div>
    <w:div w:id="1882087895">
      <w:marLeft w:val="0"/>
      <w:marRight w:val="0"/>
      <w:marTop w:val="0"/>
      <w:marBottom w:val="0"/>
      <w:divBdr>
        <w:top w:val="none" w:sz="0" w:space="0" w:color="auto"/>
        <w:left w:val="none" w:sz="0" w:space="0" w:color="auto"/>
        <w:bottom w:val="none" w:sz="0" w:space="0" w:color="auto"/>
        <w:right w:val="none" w:sz="0" w:space="0" w:color="auto"/>
      </w:divBdr>
    </w:div>
    <w:div w:id="1893880750">
      <w:marLeft w:val="0"/>
      <w:marRight w:val="0"/>
      <w:marTop w:val="100"/>
      <w:marBottom w:val="160"/>
      <w:divBdr>
        <w:top w:val="none" w:sz="0" w:space="0" w:color="auto"/>
        <w:left w:val="none" w:sz="0" w:space="0" w:color="auto"/>
        <w:bottom w:val="none" w:sz="0" w:space="0" w:color="auto"/>
        <w:right w:val="none" w:sz="0" w:space="0" w:color="auto"/>
      </w:divBdr>
    </w:div>
    <w:div w:id="1909342931">
      <w:marLeft w:val="0"/>
      <w:marRight w:val="0"/>
      <w:marTop w:val="200"/>
      <w:marBottom w:val="0"/>
      <w:divBdr>
        <w:top w:val="none" w:sz="0" w:space="0" w:color="auto"/>
        <w:left w:val="none" w:sz="0" w:space="0" w:color="auto"/>
        <w:bottom w:val="none" w:sz="0" w:space="0" w:color="auto"/>
        <w:right w:val="none" w:sz="0" w:space="0" w:color="auto"/>
      </w:divBdr>
    </w:div>
    <w:div w:id="1912961538">
      <w:marLeft w:val="0"/>
      <w:marRight w:val="0"/>
      <w:marTop w:val="0"/>
      <w:marBottom w:val="0"/>
      <w:divBdr>
        <w:top w:val="none" w:sz="0" w:space="0" w:color="auto"/>
        <w:left w:val="none" w:sz="0" w:space="0" w:color="auto"/>
        <w:bottom w:val="none" w:sz="0" w:space="0" w:color="auto"/>
        <w:right w:val="none" w:sz="0" w:space="0" w:color="auto"/>
      </w:divBdr>
    </w:div>
    <w:div w:id="1916669973">
      <w:marLeft w:val="0"/>
      <w:marRight w:val="0"/>
      <w:marTop w:val="0"/>
      <w:marBottom w:val="0"/>
      <w:divBdr>
        <w:top w:val="none" w:sz="0" w:space="0" w:color="auto"/>
        <w:left w:val="none" w:sz="0" w:space="0" w:color="auto"/>
        <w:bottom w:val="none" w:sz="0" w:space="0" w:color="auto"/>
        <w:right w:val="none" w:sz="0" w:space="0" w:color="auto"/>
      </w:divBdr>
    </w:div>
    <w:div w:id="1916742557">
      <w:marLeft w:val="0"/>
      <w:marRight w:val="0"/>
      <w:marTop w:val="0"/>
      <w:marBottom w:val="0"/>
      <w:divBdr>
        <w:top w:val="none" w:sz="0" w:space="0" w:color="auto"/>
        <w:left w:val="none" w:sz="0" w:space="0" w:color="auto"/>
        <w:bottom w:val="none" w:sz="0" w:space="0" w:color="auto"/>
        <w:right w:val="none" w:sz="0" w:space="0" w:color="auto"/>
      </w:divBdr>
    </w:div>
    <w:div w:id="1941181646">
      <w:marLeft w:val="0"/>
      <w:marRight w:val="0"/>
      <w:marTop w:val="0"/>
      <w:marBottom w:val="0"/>
      <w:divBdr>
        <w:top w:val="none" w:sz="0" w:space="0" w:color="auto"/>
        <w:left w:val="none" w:sz="0" w:space="0" w:color="auto"/>
        <w:bottom w:val="none" w:sz="0" w:space="0" w:color="auto"/>
        <w:right w:val="none" w:sz="0" w:space="0" w:color="auto"/>
      </w:divBdr>
      <w:divsChild>
        <w:div w:id="1798916578">
          <w:marLeft w:val="0"/>
          <w:marRight w:val="0"/>
          <w:marTop w:val="0"/>
          <w:marBottom w:val="0"/>
          <w:divBdr>
            <w:top w:val="none" w:sz="0" w:space="0" w:color="auto"/>
            <w:left w:val="none" w:sz="0" w:space="0" w:color="auto"/>
            <w:bottom w:val="none" w:sz="0" w:space="0" w:color="auto"/>
            <w:right w:val="none" w:sz="0" w:space="0" w:color="auto"/>
          </w:divBdr>
        </w:div>
      </w:divsChild>
    </w:div>
    <w:div w:id="1949386714">
      <w:marLeft w:val="0"/>
      <w:marRight w:val="0"/>
      <w:marTop w:val="0"/>
      <w:marBottom w:val="200"/>
      <w:divBdr>
        <w:top w:val="none" w:sz="0" w:space="0" w:color="auto"/>
        <w:left w:val="none" w:sz="0" w:space="0" w:color="auto"/>
        <w:bottom w:val="none" w:sz="0" w:space="0" w:color="auto"/>
        <w:right w:val="none" w:sz="0" w:space="0" w:color="auto"/>
      </w:divBdr>
    </w:div>
    <w:div w:id="1949508072">
      <w:marLeft w:val="0"/>
      <w:marRight w:val="0"/>
      <w:marTop w:val="0"/>
      <w:marBottom w:val="0"/>
      <w:divBdr>
        <w:top w:val="none" w:sz="0" w:space="0" w:color="auto"/>
        <w:left w:val="none" w:sz="0" w:space="0" w:color="auto"/>
        <w:bottom w:val="none" w:sz="0" w:space="0" w:color="auto"/>
        <w:right w:val="none" w:sz="0" w:space="0" w:color="auto"/>
      </w:divBdr>
      <w:divsChild>
        <w:div w:id="965820410">
          <w:marLeft w:val="0"/>
          <w:marRight w:val="0"/>
          <w:marTop w:val="0"/>
          <w:marBottom w:val="0"/>
          <w:divBdr>
            <w:top w:val="none" w:sz="0" w:space="0" w:color="auto"/>
            <w:left w:val="none" w:sz="0" w:space="0" w:color="auto"/>
            <w:bottom w:val="none" w:sz="0" w:space="0" w:color="auto"/>
            <w:right w:val="none" w:sz="0" w:space="0" w:color="auto"/>
          </w:divBdr>
        </w:div>
      </w:divsChild>
    </w:div>
    <w:div w:id="1952393052">
      <w:marLeft w:val="0"/>
      <w:marRight w:val="0"/>
      <w:marTop w:val="0"/>
      <w:marBottom w:val="0"/>
      <w:divBdr>
        <w:top w:val="none" w:sz="0" w:space="0" w:color="auto"/>
        <w:left w:val="none" w:sz="0" w:space="0" w:color="auto"/>
        <w:bottom w:val="none" w:sz="0" w:space="0" w:color="auto"/>
        <w:right w:val="none" w:sz="0" w:space="0" w:color="auto"/>
      </w:divBdr>
    </w:div>
    <w:div w:id="1956012726">
      <w:marLeft w:val="0"/>
      <w:marRight w:val="0"/>
      <w:marTop w:val="0"/>
      <w:marBottom w:val="0"/>
      <w:divBdr>
        <w:top w:val="none" w:sz="0" w:space="0" w:color="auto"/>
        <w:left w:val="none" w:sz="0" w:space="0" w:color="auto"/>
        <w:bottom w:val="none" w:sz="0" w:space="0" w:color="auto"/>
        <w:right w:val="none" w:sz="0" w:space="0" w:color="auto"/>
      </w:divBdr>
    </w:div>
    <w:div w:id="1956327567">
      <w:marLeft w:val="0"/>
      <w:marRight w:val="0"/>
      <w:marTop w:val="0"/>
      <w:marBottom w:val="0"/>
      <w:divBdr>
        <w:top w:val="none" w:sz="0" w:space="0" w:color="auto"/>
        <w:left w:val="none" w:sz="0" w:space="0" w:color="auto"/>
        <w:bottom w:val="none" w:sz="0" w:space="0" w:color="auto"/>
        <w:right w:val="none" w:sz="0" w:space="0" w:color="auto"/>
      </w:divBdr>
      <w:divsChild>
        <w:div w:id="926310130">
          <w:marLeft w:val="0"/>
          <w:marRight w:val="0"/>
          <w:marTop w:val="0"/>
          <w:marBottom w:val="0"/>
          <w:divBdr>
            <w:top w:val="none" w:sz="0" w:space="0" w:color="auto"/>
            <w:left w:val="none" w:sz="0" w:space="0" w:color="auto"/>
            <w:bottom w:val="none" w:sz="0" w:space="0" w:color="auto"/>
            <w:right w:val="none" w:sz="0" w:space="0" w:color="auto"/>
          </w:divBdr>
        </w:div>
        <w:div w:id="2141263126">
          <w:marLeft w:val="0"/>
          <w:marRight w:val="0"/>
          <w:marTop w:val="0"/>
          <w:marBottom w:val="0"/>
          <w:divBdr>
            <w:top w:val="none" w:sz="0" w:space="0" w:color="auto"/>
            <w:left w:val="none" w:sz="0" w:space="0" w:color="auto"/>
            <w:bottom w:val="none" w:sz="0" w:space="0" w:color="auto"/>
            <w:right w:val="none" w:sz="0" w:space="0" w:color="auto"/>
          </w:divBdr>
        </w:div>
      </w:divsChild>
    </w:div>
    <w:div w:id="1956986331">
      <w:marLeft w:val="0"/>
      <w:marRight w:val="0"/>
      <w:marTop w:val="0"/>
      <w:marBottom w:val="200"/>
      <w:divBdr>
        <w:top w:val="none" w:sz="0" w:space="0" w:color="auto"/>
        <w:left w:val="none" w:sz="0" w:space="0" w:color="auto"/>
        <w:bottom w:val="none" w:sz="0" w:space="0" w:color="auto"/>
        <w:right w:val="none" w:sz="0" w:space="0" w:color="auto"/>
      </w:divBdr>
    </w:div>
    <w:div w:id="1957979079">
      <w:marLeft w:val="0"/>
      <w:marRight w:val="0"/>
      <w:marTop w:val="0"/>
      <w:marBottom w:val="200"/>
      <w:divBdr>
        <w:top w:val="none" w:sz="0" w:space="0" w:color="auto"/>
        <w:left w:val="none" w:sz="0" w:space="0" w:color="auto"/>
        <w:bottom w:val="none" w:sz="0" w:space="0" w:color="auto"/>
        <w:right w:val="none" w:sz="0" w:space="0" w:color="auto"/>
      </w:divBdr>
    </w:div>
    <w:div w:id="1959678469">
      <w:marLeft w:val="0"/>
      <w:marRight w:val="0"/>
      <w:marTop w:val="0"/>
      <w:marBottom w:val="0"/>
      <w:divBdr>
        <w:top w:val="none" w:sz="0" w:space="0" w:color="auto"/>
        <w:left w:val="none" w:sz="0" w:space="0" w:color="auto"/>
        <w:bottom w:val="none" w:sz="0" w:space="0" w:color="auto"/>
        <w:right w:val="none" w:sz="0" w:space="0" w:color="auto"/>
      </w:divBdr>
      <w:divsChild>
        <w:div w:id="632906435">
          <w:marLeft w:val="0"/>
          <w:marRight w:val="0"/>
          <w:marTop w:val="0"/>
          <w:marBottom w:val="0"/>
          <w:divBdr>
            <w:top w:val="none" w:sz="0" w:space="0" w:color="auto"/>
            <w:left w:val="none" w:sz="0" w:space="0" w:color="auto"/>
            <w:bottom w:val="none" w:sz="0" w:space="0" w:color="auto"/>
            <w:right w:val="none" w:sz="0" w:space="0" w:color="auto"/>
          </w:divBdr>
        </w:div>
      </w:divsChild>
    </w:div>
    <w:div w:id="1959946087">
      <w:marLeft w:val="0"/>
      <w:marRight w:val="0"/>
      <w:marTop w:val="0"/>
      <w:marBottom w:val="160"/>
      <w:divBdr>
        <w:top w:val="none" w:sz="0" w:space="0" w:color="auto"/>
        <w:left w:val="none" w:sz="0" w:space="0" w:color="auto"/>
        <w:bottom w:val="none" w:sz="0" w:space="0" w:color="auto"/>
        <w:right w:val="none" w:sz="0" w:space="0" w:color="auto"/>
      </w:divBdr>
    </w:div>
    <w:div w:id="1963266883">
      <w:marLeft w:val="0"/>
      <w:marRight w:val="0"/>
      <w:marTop w:val="0"/>
      <w:marBottom w:val="200"/>
      <w:divBdr>
        <w:top w:val="none" w:sz="0" w:space="0" w:color="auto"/>
        <w:left w:val="none" w:sz="0" w:space="0" w:color="auto"/>
        <w:bottom w:val="none" w:sz="0" w:space="0" w:color="auto"/>
        <w:right w:val="none" w:sz="0" w:space="0" w:color="auto"/>
      </w:divBdr>
    </w:div>
    <w:div w:id="1964146429">
      <w:marLeft w:val="0"/>
      <w:marRight w:val="0"/>
      <w:marTop w:val="0"/>
      <w:marBottom w:val="0"/>
      <w:divBdr>
        <w:top w:val="none" w:sz="0" w:space="0" w:color="auto"/>
        <w:left w:val="none" w:sz="0" w:space="0" w:color="auto"/>
        <w:bottom w:val="none" w:sz="0" w:space="0" w:color="auto"/>
        <w:right w:val="none" w:sz="0" w:space="0" w:color="auto"/>
      </w:divBdr>
    </w:div>
    <w:div w:id="1975716898">
      <w:marLeft w:val="0"/>
      <w:marRight w:val="0"/>
      <w:marTop w:val="100"/>
      <w:marBottom w:val="0"/>
      <w:divBdr>
        <w:top w:val="none" w:sz="0" w:space="0" w:color="auto"/>
        <w:left w:val="none" w:sz="0" w:space="0" w:color="auto"/>
        <w:bottom w:val="none" w:sz="0" w:space="0" w:color="auto"/>
        <w:right w:val="none" w:sz="0" w:space="0" w:color="auto"/>
      </w:divBdr>
    </w:div>
    <w:div w:id="1977026853">
      <w:marLeft w:val="0"/>
      <w:marRight w:val="0"/>
      <w:marTop w:val="0"/>
      <w:marBottom w:val="0"/>
      <w:divBdr>
        <w:top w:val="none" w:sz="0" w:space="0" w:color="auto"/>
        <w:left w:val="none" w:sz="0" w:space="0" w:color="auto"/>
        <w:bottom w:val="none" w:sz="0" w:space="0" w:color="auto"/>
        <w:right w:val="none" w:sz="0" w:space="0" w:color="auto"/>
      </w:divBdr>
      <w:divsChild>
        <w:div w:id="1049454015">
          <w:marLeft w:val="0"/>
          <w:marRight w:val="0"/>
          <w:marTop w:val="0"/>
          <w:marBottom w:val="0"/>
          <w:divBdr>
            <w:top w:val="none" w:sz="0" w:space="0" w:color="auto"/>
            <w:left w:val="none" w:sz="0" w:space="0" w:color="auto"/>
            <w:bottom w:val="none" w:sz="0" w:space="0" w:color="auto"/>
            <w:right w:val="none" w:sz="0" w:space="0" w:color="auto"/>
          </w:divBdr>
        </w:div>
      </w:divsChild>
    </w:div>
    <w:div w:id="1981688005">
      <w:marLeft w:val="0"/>
      <w:marRight w:val="0"/>
      <w:marTop w:val="0"/>
      <w:marBottom w:val="200"/>
      <w:divBdr>
        <w:top w:val="none" w:sz="0" w:space="0" w:color="auto"/>
        <w:left w:val="none" w:sz="0" w:space="0" w:color="auto"/>
        <w:bottom w:val="none" w:sz="0" w:space="0" w:color="auto"/>
        <w:right w:val="none" w:sz="0" w:space="0" w:color="auto"/>
      </w:divBdr>
    </w:div>
    <w:div w:id="1986277741">
      <w:marLeft w:val="0"/>
      <w:marRight w:val="0"/>
      <w:marTop w:val="180"/>
      <w:marBottom w:val="0"/>
      <w:divBdr>
        <w:top w:val="none" w:sz="0" w:space="0" w:color="auto"/>
        <w:left w:val="none" w:sz="0" w:space="0" w:color="auto"/>
        <w:bottom w:val="none" w:sz="0" w:space="0" w:color="auto"/>
        <w:right w:val="none" w:sz="0" w:space="0" w:color="auto"/>
      </w:divBdr>
    </w:div>
    <w:div w:id="1999770615">
      <w:marLeft w:val="0"/>
      <w:marRight w:val="0"/>
      <w:marTop w:val="120"/>
      <w:marBottom w:val="0"/>
      <w:divBdr>
        <w:top w:val="none" w:sz="0" w:space="0" w:color="auto"/>
        <w:left w:val="none" w:sz="0" w:space="0" w:color="auto"/>
        <w:bottom w:val="none" w:sz="0" w:space="0" w:color="auto"/>
        <w:right w:val="none" w:sz="0" w:space="0" w:color="auto"/>
      </w:divBdr>
    </w:div>
    <w:div w:id="2016569056">
      <w:marLeft w:val="0"/>
      <w:marRight w:val="0"/>
      <w:marTop w:val="0"/>
      <w:marBottom w:val="200"/>
      <w:divBdr>
        <w:top w:val="none" w:sz="0" w:space="0" w:color="auto"/>
        <w:left w:val="none" w:sz="0" w:space="0" w:color="auto"/>
        <w:bottom w:val="none" w:sz="0" w:space="0" w:color="auto"/>
        <w:right w:val="none" w:sz="0" w:space="0" w:color="auto"/>
      </w:divBdr>
    </w:div>
    <w:div w:id="2016610836">
      <w:marLeft w:val="0"/>
      <w:marRight w:val="0"/>
      <w:marTop w:val="100"/>
      <w:marBottom w:val="100"/>
      <w:divBdr>
        <w:top w:val="none" w:sz="0" w:space="0" w:color="auto"/>
        <w:left w:val="none" w:sz="0" w:space="0" w:color="auto"/>
        <w:bottom w:val="none" w:sz="0" w:space="0" w:color="auto"/>
        <w:right w:val="none" w:sz="0" w:space="0" w:color="auto"/>
      </w:divBdr>
    </w:div>
    <w:div w:id="2018002520">
      <w:marLeft w:val="0"/>
      <w:marRight w:val="0"/>
      <w:marTop w:val="0"/>
      <w:marBottom w:val="200"/>
      <w:divBdr>
        <w:top w:val="none" w:sz="0" w:space="0" w:color="auto"/>
        <w:left w:val="none" w:sz="0" w:space="0" w:color="auto"/>
        <w:bottom w:val="none" w:sz="0" w:space="0" w:color="auto"/>
        <w:right w:val="none" w:sz="0" w:space="0" w:color="auto"/>
      </w:divBdr>
    </w:div>
    <w:div w:id="2019037148">
      <w:marLeft w:val="0"/>
      <w:marRight w:val="0"/>
      <w:marTop w:val="0"/>
      <w:marBottom w:val="0"/>
      <w:divBdr>
        <w:top w:val="none" w:sz="0" w:space="0" w:color="auto"/>
        <w:left w:val="none" w:sz="0" w:space="0" w:color="auto"/>
        <w:bottom w:val="none" w:sz="0" w:space="0" w:color="auto"/>
        <w:right w:val="none" w:sz="0" w:space="0" w:color="auto"/>
      </w:divBdr>
    </w:div>
    <w:div w:id="2044094242">
      <w:marLeft w:val="0"/>
      <w:marRight w:val="0"/>
      <w:marTop w:val="0"/>
      <w:marBottom w:val="0"/>
      <w:divBdr>
        <w:top w:val="none" w:sz="0" w:space="0" w:color="auto"/>
        <w:left w:val="none" w:sz="0" w:space="0" w:color="auto"/>
        <w:bottom w:val="none" w:sz="0" w:space="0" w:color="auto"/>
        <w:right w:val="none" w:sz="0" w:space="0" w:color="auto"/>
      </w:divBdr>
    </w:div>
    <w:div w:id="2044281634">
      <w:marLeft w:val="0"/>
      <w:marRight w:val="0"/>
      <w:marTop w:val="0"/>
      <w:marBottom w:val="0"/>
      <w:divBdr>
        <w:top w:val="none" w:sz="0" w:space="0" w:color="auto"/>
        <w:left w:val="none" w:sz="0" w:space="0" w:color="auto"/>
        <w:bottom w:val="none" w:sz="0" w:space="0" w:color="auto"/>
        <w:right w:val="none" w:sz="0" w:space="0" w:color="auto"/>
      </w:divBdr>
      <w:divsChild>
        <w:div w:id="284695270">
          <w:marLeft w:val="0"/>
          <w:marRight w:val="0"/>
          <w:marTop w:val="0"/>
          <w:marBottom w:val="0"/>
          <w:divBdr>
            <w:top w:val="none" w:sz="0" w:space="0" w:color="auto"/>
            <w:left w:val="none" w:sz="0" w:space="0" w:color="auto"/>
            <w:bottom w:val="none" w:sz="0" w:space="0" w:color="auto"/>
            <w:right w:val="none" w:sz="0" w:space="0" w:color="auto"/>
          </w:divBdr>
        </w:div>
      </w:divsChild>
    </w:div>
    <w:div w:id="2057855374">
      <w:marLeft w:val="0"/>
      <w:marRight w:val="0"/>
      <w:marTop w:val="100"/>
      <w:marBottom w:val="160"/>
      <w:divBdr>
        <w:top w:val="none" w:sz="0" w:space="0" w:color="auto"/>
        <w:left w:val="none" w:sz="0" w:space="0" w:color="auto"/>
        <w:bottom w:val="none" w:sz="0" w:space="0" w:color="auto"/>
        <w:right w:val="none" w:sz="0" w:space="0" w:color="auto"/>
      </w:divBdr>
    </w:div>
    <w:div w:id="2061707382">
      <w:marLeft w:val="0"/>
      <w:marRight w:val="0"/>
      <w:marTop w:val="0"/>
      <w:marBottom w:val="0"/>
      <w:divBdr>
        <w:top w:val="none" w:sz="0" w:space="0" w:color="auto"/>
        <w:left w:val="none" w:sz="0" w:space="0" w:color="auto"/>
        <w:bottom w:val="none" w:sz="0" w:space="0" w:color="auto"/>
        <w:right w:val="none" w:sz="0" w:space="0" w:color="auto"/>
      </w:divBdr>
      <w:divsChild>
        <w:div w:id="1860579094">
          <w:marLeft w:val="0"/>
          <w:marRight w:val="0"/>
          <w:marTop w:val="0"/>
          <w:marBottom w:val="0"/>
          <w:divBdr>
            <w:top w:val="none" w:sz="0" w:space="0" w:color="auto"/>
            <w:left w:val="none" w:sz="0" w:space="0" w:color="auto"/>
            <w:bottom w:val="none" w:sz="0" w:space="0" w:color="auto"/>
            <w:right w:val="none" w:sz="0" w:space="0" w:color="auto"/>
          </w:divBdr>
        </w:div>
        <w:div w:id="1768228724">
          <w:marLeft w:val="0"/>
          <w:marRight w:val="0"/>
          <w:marTop w:val="180"/>
          <w:marBottom w:val="0"/>
          <w:divBdr>
            <w:top w:val="none" w:sz="0" w:space="0" w:color="auto"/>
            <w:left w:val="none" w:sz="0" w:space="0" w:color="auto"/>
            <w:bottom w:val="none" w:sz="0" w:space="0" w:color="auto"/>
            <w:right w:val="none" w:sz="0" w:space="0" w:color="auto"/>
          </w:divBdr>
        </w:div>
      </w:divsChild>
    </w:div>
    <w:div w:id="2063405502">
      <w:marLeft w:val="0"/>
      <w:marRight w:val="0"/>
      <w:marTop w:val="0"/>
      <w:marBottom w:val="160"/>
      <w:divBdr>
        <w:top w:val="none" w:sz="0" w:space="0" w:color="auto"/>
        <w:left w:val="none" w:sz="0" w:space="0" w:color="auto"/>
        <w:bottom w:val="none" w:sz="0" w:space="0" w:color="auto"/>
        <w:right w:val="none" w:sz="0" w:space="0" w:color="auto"/>
      </w:divBdr>
    </w:div>
    <w:div w:id="2078505907">
      <w:marLeft w:val="0"/>
      <w:marRight w:val="0"/>
      <w:marTop w:val="0"/>
      <w:marBottom w:val="160"/>
      <w:divBdr>
        <w:top w:val="none" w:sz="0" w:space="0" w:color="auto"/>
        <w:left w:val="none" w:sz="0" w:space="0" w:color="auto"/>
        <w:bottom w:val="none" w:sz="0" w:space="0" w:color="auto"/>
        <w:right w:val="none" w:sz="0" w:space="0" w:color="auto"/>
      </w:divBdr>
    </w:div>
    <w:div w:id="2082825151">
      <w:marLeft w:val="0"/>
      <w:marRight w:val="0"/>
      <w:marTop w:val="0"/>
      <w:marBottom w:val="200"/>
      <w:divBdr>
        <w:top w:val="none" w:sz="0" w:space="0" w:color="auto"/>
        <w:left w:val="none" w:sz="0" w:space="0" w:color="auto"/>
        <w:bottom w:val="none" w:sz="0" w:space="0" w:color="auto"/>
        <w:right w:val="none" w:sz="0" w:space="0" w:color="auto"/>
      </w:divBdr>
    </w:div>
    <w:div w:id="2089305839">
      <w:marLeft w:val="0"/>
      <w:marRight w:val="0"/>
      <w:marTop w:val="0"/>
      <w:marBottom w:val="0"/>
      <w:divBdr>
        <w:top w:val="none" w:sz="0" w:space="0" w:color="auto"/>
        <w:left w:val="none" w:sz="0" w:space="0" w:color="auto"/>
        <w:bottom w:val="none" w:sz="0" w:space="0" w:color="auto"/>
        <w:right w:val="none" w:sz="0" w:space="0" w:color="auto"/>
      </w:divBdr>
      <w:divsChild>
        <w:div w:id="594940899">
          <w:marLeft w:val="0"/>
          <w:marRight w:val="0"/>
          <w:marTop w:val="0"/>
          <w:marBottom w:val="0"/>
          <w:divBdr>
            <w:top w:val="none" w:sz="0" w:space="0" w:color="auto"/>
            <w:left w:val="none" w:sz="0" w:space="0" w:color="auto"/>
            <w:bottom w:val="none" w:sz="0" w:space="0" w:color="auto"/>
            <w:right w:val="none" w:sz="0" w:space="0" w:color="auto"/>
          </w:divBdr>
        </w:div>
      </w:divsChild>
    </w:div>
    <w:div w:id="2092503473">
      <w:marLeft w:val="0"/>
      <w:marRight w:val="0"/>
      <w:marTop w:val="0"/>
      <w:marBottom w:val="0"/>
      <w:divBdr>
        <w:top w:val="none" w:sz="0" w:space="0" w:color="auto"/>
        <w:left w:val="none" w:sz="0" w:space="0" w:color="auto"/>
        <w:bottom w:val="none" w:sz="0" w:space="0" w:color="auto"/>
        <w:right w:val="none" w:sz="0" w:space="0" w:color="auto"/>
      </w:divBdr>
      <w:divsChild>
        <w:div w:id="98649736">
          <w:marLeft w:val="0"/>
          <w:marRight w:val="0"/>
          <w:marTop w:val="0"/>
          <w:marBottom w:val="0"/>
          <w:divBdr>
            <w:top w:val="none" w:sz="0" w:space="0" w:color="auto"/>
            <w:left w:val="none" w:sz="0" w:space="0" w:color="auto"/>
            <w:bottom w:val="none" w:sz="0" w:space="0" w:color="auto"/>
            <w:right w:val="none" w:sz="0" w:space="0" w:color="auto"/>
          </w:divBdr>
        </w:div>
      </w:divsChild>
    </w:div>
    <w:div w:id="2094426215">
      <w:marLeft w:val="0"/>
      <w:marRight w:val="0"/>
      <w:marTop w:val="0"/>
      <w:marBottom w:val="200"/>
      <w:divBdr>
        <w:top w:val="none" w:sz="0" w:space="0" w:color="auto"/>
        <w:left w:val="none" w:sz="0" w:space="0" w:color="auto"/>
        <w:bottom w:val="none" w:sz="0" w:space="0" w:color="auto"/>
        <w:right w:val="none" w:sz="0" w:space="0" w:color="auto"/>
      </w:divBdr>
    </w:div>
    <w:div w:id="2094819000">
      <w:marLeft w:val="0"/>
      <w:marRight w:val="0"/>
      <w:marTop w:val="360"/>
      <w:marBottom w:val="0"/>
      <w:divBdr>
        <w:top w:val="none" w:sz="0" w:space="0" w:color="auto"/>
        <w:left w:val="none" w:sz="0" w:space="0" w:color="auto"/>
        <w:bottom w:val="none" w:sz="0" w:space="0" w:color="auto"/>
        <w:right w:val="none" w:sz="0" w:space="0" w:color="auto"/>
      </w:divBdr>
    </w:div>
    <w:div w:id="2100905430">
      <w:marLeft w:val="0"/>
      <w:marRight w:val="0"/>
      <w:marTop w:val="0"/>
      <w:marBottom w:val="200"/>
      <w:divBdr>
        <w:top w:val="none" w:sz="0" w:space="0" w:color="auto"/>
        <w:left w:val="none" w:sz="0" w:space="0" w:color="auto"/>
        <w:bottom w:val="none" w:sz="0" w:space="0" w:color="auto"/>
        <w:right w:val="none" w:sz="0" w:space="0" w:color="auto"/>
      </w:divBdr>
    </w:div>
    <w:div w:id="2101245334">
      <w:marLeft w:val="0"/>
      <w:marRight w:val="0"/>
      <w:marTop w:val="0"/>
      <w:marBottom w:val="0"/>
      <w:divBdr>
        <w:top w:val="none" w:sz="0" w:space="0" w:color="auto"/>
        <w:left w:val="none" w:sz="0" w:space="0" w:color="auto"/>
        <w:bottom w:val="none" w:sz="0" w:space="0" w:color="auto"/>
        <w:right w:val="none" w:sz="0" w:space="0" w:color="auto"/>
      </w:divBdr>
      <w:divsChild>
        <w:div w:id="2098282157">
          <w:marLeft w:val="0"/>
          <w:marRight w:val="0"/>
          <w:marTop w:val="0"/>
          <w:marBottom w:val="0"/>
          <w:divBdr>
            <w:top w:val="none" w:sz="0" w:space="0" w:color="auto"/>
            <w:left w:val="none" w:sz="0" w:space="0" w:color="auto"/>
            <w:bottom w:val="none" w:sz="0" w:space="0" w:color="auto"/>
            <w:right w:val="none" w:sz="0" w:space="0" w:color="auto"/>
          </w:divBdr>
        </w:div>
      </w:divsChild>
    </w:div>
    <w:div w:id="2103641501">
      <w:marLeft w:val="0"/>
      <w:marRight w:val="0"/>
      <w:marTop w:val="0"/>
      <w:marBottom w:val="200"/>
      <w:divBdr>
        <w:top w:val="none" w:sz="0" w:space="0" w:color="auto"/>
        <w:left w:val="none" w:sz="0" w:space="0" w:color="auto"/>
        <w:bottom w:val="none" w:sz="0" w:space="0" w:color="auto"/>
        <w:right w:val="none" w:sz="0" w:space="0" w:color="auto"/>
      </w:divBdr>
    </w:div>
    <w:div w:id="2105370681">
      <w:marLeft w:val="0"/>
      <w:marRight w:val="0"/>
      <w:marTop w:val="0"/>
      <w:marBottom w:val="0"/>
      <w:divBdr>
        <w:top w:val="none" w:sz="0" w:space="0" w:color="auto"/>
        <w:left w:val="none" w:sz="0" w:space="0" w:color="auto"/>
        <w:bottom w:val="none" w:sz="0" w:space="0" w:color="auto"/>
        <w:right w:val="none" w:sz="0" w:space="0" w:color="auto"/>
      </w:divBdr>
      <w:divsChild>
        <w:div w:id="2051370328">
          <w:marLeft w:val="0"/>
          <w:marRight w:val="0"/>
          <w:marTop w:val="0"/>
          <w:marBottom w:val="0"/>
          <w:divBdr>
            <w:top w:val="none" w:sz="0" w:space="0" w:color="auto"/>
            <w:left w:val="none" w:sz="0" w:space="0" w:color="auto"/>
            <w:bottom w:val="none" w:sz="0" w:space="0" w:color="auto"/>
            <w:right w:val="none" w:sz="0" w:space="0" w:color="auto"/>
          </w:divBdr>
        </w:div>
      </w:divsChild>
    </w:div>
    <w:div w:id="2117023767">
      <w:marLeft w:val="0"/>
      <w:marRight w:val="0"/>
      <w:marTop w:val="0"/>
      <w:marBottom w:val="200"/>
      <w:divBdr>
        <w:top w:val="none" w:sz="0" w:space="0" w:color="auto"/>
        <w:left w:val="none" w:sz="0" w:space="0" w:color="auto"/>
        <w:bottom w:val="none" w:sz="0" w:space="0" w:color="auto"/>
        <w:right w:val="none" w:sz="0" w:space="0" w:color="auto"/>
      </w:divBdr>
    </w:div>
    <w:div w:id="2118913279">
      <w:marLeft w:val="0"/>
      <w:marRight w:val="0"/>
      <w:marTop w:val="0"/>
      <w:marBottom w:val="200"/>
      <w:divBdr>
        <w:top w:val="none" w:sz="0" w:space="0" w:color="auto"/>
        <w:left w:val="none" w:sz="0" w:space="0" w:color="auto"/>
        <w:bottom w:val="none" w:sz="0" w:space="0" w:color="auto"/>
        <w:right w:val="none" w:sz="0" w:space="0" w:color="auto"/>
      </w:divBdr>
    </w:div>
    <w:div w:id="2124567482">
      <w:marLeft w:val="0"/>
      <w:marRight w:val="0"/>
      <w:marTop w:val="0"/>
      <w:marBottom w:val="200"/>
      <w:divBdr>
        <w:top w:val="none" w:sz="0" w:space="0" w:color="auto"/>
        <w:left w:val="none" w:sz="0" w:space="0" w:color="auto"/>
        <w:bottom w:val="none" w:sz="0" w:space="0" w:color="auto"/>
        <w:right w:val="none" w:sz="0" w:space="0" w:color="auto"/>
      </w:divBdr>
    </w:div>
    <w:div w:id="2139256418">
      <w:marLeft w:val="0"/>
      <w:marRight w:val="0"/>
      <w:marTop w:val="0"/>
      <w:marBottom w:val="0"/>
      <w:divBdr>
        <w:top w:val="none" w:sz="0" w:space="0" w:color="auto"/>
        <w:left w:val="none" w:sz="0" w:space="0" w:color="auto"/>
        <w:bottom w:val="none" w:sz="0" w:space="0" w:color="auto"/>
        <w:right w:val="none" w:sz="0" w:space="0" w:color="auto"/>
      </w:divBdr>
      <w:divsChild>
        <w:div w:id="152723893">
          <w:marLeft w:val="0"/>
          <w:marRight w:val="0"/>
          <w:marTop w:val="0"/>
          <w:marBottom w:val="0"/>
          <w:divBdr>
            <w:top w:val="none" w:sz="0" w:space="0" w:color="auto"/>
            <w:left w:val="none" w:sz="0" w:space="0" w:color="auto"/>
            <w:bottom w:val="none" w:sz="0" w:space="0" w:color="auto"/>
            <w:right w:val="none" w:sz="0" w:space="0" w:color="auto"/>
          </w:divBdr>
        </w:div>
        <w:div w:id="98111799">
          <w:marLeft w:val="0"/>
          <w:marRight w:val="0"/>
          <w:marTop w:val="180"/>
          <w:marBottom w:val="0"/>
          <w:divBdr>
            <w:top w:val="none" w:sz="0" w:space="0" w:color="auto"/>
            <w:left w:val="none" w:sz="0" w:space="0" w:color="auto"/>
            <w:bottom w:val="none" w:sz="0" w:space="0" w:color="auto"/>
            <w:right w:val="none" w:sz="0" w:space="0" w:color="auto"/>
          </w:divBdr>
        </w:div>
      </w:divsChild>
    </w:div>
    <w:div w:id="2142109823">
      <w:marLeft w:val="0"/>
      <w:marRight w:val="0"/>
      <w:marTop w:val="0"/>
      <w:marBottom w:val="200"/>
      <w:divBdr>
        <w:top w:val="none" w:sz="0" w:space="0" w:color="auto"/>
        <w:left w:val="none" w:sz="0" w:space="0" w:color="auto"/>
        <w:bottom w:val="none" w:sz="0" w:space="0" w:color="auto"/>
        <w:right w:val="none" w:sz="0" w:space="0" w:color="auto"/>
      </w:divBdr>
    </w:div>
    <w:div w:id="2146970773">
      <w:marLeft w:val="0"/>
      <w:marRight w:val="0"/>
      <w:marTop w:val="0"/>
      <w:marBottom w:val="0"/>
      <w:divBdr>
        <w:top w:val="none" w:sz="0" w:space="0" w:color="auto"/>
        <w:left w:val="none" w:sz="0" w:space="0" w:color="auto"/>
        <w:bottom w:val="none" w:sz="0" w:space="0" w:color="auto"/>
        <w:right w:val="none" w:sz="0" w:space="0" w:color="auto"/>
      </w:divBdr>
      <w:divsChild>
        <w:div w:id="205458977">
          <w:marLeft w:val="0"/>
          <w:marRight w:val="0"/>
          <w:marTop w:val="0"/>
          <w:marBottom w:val="0"/>
          <w:divBdr>
            <w:top w:val="none" w:sz="0" w:space="0" w:color="auto"/>
            <w:left w:val="none" w:sz="0" w:space="0" w:color="auto"/>
            <w:bottom w:val="none" w:sz="0" w:space="0" w:color="auto"/>
            <w:right w:val="none" w:sz="0" w:space="0" w:color="auto"/>
          </w:divBdr>
        </w:div>
        <w:div w:id="571624703">
          <w:marLeft w:val="0"/>
          <w:marRight w:val="0"/>
          <w:marTop w:val="18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gicorpq36302020ex312.htm" TargetMode="External"/><Relationship Id="rId3" Type="http://schemas.openxmlformats.org/officeDocument/2006/relationships/webSettings" Target="webSettings.xml"/><Relationship Id="rId7" Type="http://schemas.openxmlformats.org/officeDocument/2006/relationships/hyperlink" Target="ugicorpq36302020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ugicorpq36302020ex32.htm" TargetMode="External"/><Relationship Id="rId11" Type="http://schemas.openxmlformats.org/officeDocument/2006/relationships/theme" Target="theme/theme1.xml"/><Relationship Id="rId5" Type="http://schemas.openxmlformats.org/officeDocument/2006/relationships/hyperlink" Target="ugicorpq36302020ex312.htm" TargetMode="External"/><Relationship Id="rId10" Type="http://schemas.openxmlformats.org/officeDocument/2006/relationships/fontTable" Target="fontTable.xml"/><Relationship Id="rId4" Type="http://schemas.openxmlformats.org/officeDocument/2006/relationships/hyperlink" Target="ugicorpq36302020ex311.htm" TargetMode="External"/><Relationship Id="rId9" Type="http://schemas.openxmlformats.org/officeDocument/2006/relationships/hyperlink" Target="ugicorpq36302020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49902</Words>
  <Characters>284447</Characters>
  <Application>Microsoft Office Word</Application>
  <DocSecurity>0</DocSecurity>
  <Lines>2370</Lines>
  <Paragraphs>667</Paragraphs>
  <ScaleCrop>false</ScaleCrop>
  <Company/>
  <LinksUpToDate>false</LinksUpToDate>
  <CharactersWithSpaces>333682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ugi-20200630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