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F1733">
      <w:pPr>
        <w:divId w:val="529421018"/>
        <w:rPr>
          <w:rFonts w:eastAsia="Times New Roman"/>
          <w:vanish/>
        </w:rPr>
      </w:pPr>
      <w:r>
        <w:rPr>
          <w:rFonts w:eastAsia="Times New Roman"/>
          <w:vanish/>
        </w:rPr>
        <w:t>0000884614FALSE2021Q29/3000008846142020-10-012021-03-31xbrli:shares00008846142021-04-30iso4217:USD00008846142021-03-3100008846142020-09-3000008846142020-03-3100008846142021-01-012021-03-3100008846142020-01-012020-03-3100008846142019-10-01</w:t>
      </w:r>
      <w:r>
        <w:rPr>
          <w:rFonts w:eastAsia="Times New Roman"/>
          <w:vanish/>
        </w:rPr>
        <w:t>2020-03-31iso4217:USDxbrli:shares00008846142019-09-300000884614us-gaap:CommonStockIncludingAdditionalPaidInCapitalMember2020-12-310000884614us-gaap:CommonStockIncludingAdditionalPaidInCapitalMember2019-12-310000884614us-gaap:CommonStockIncludingAdditionalP</w:t>
      </w:r>
      <w:r>
        <w:rPr>
          <w:rFonts w:eastAsia="Times New Roman"/>
          <w:vanish/>
        </w:rPr>
        <w:t>aidInCapitalMember2020-09-300000884614us-gaap:CommonStockIncludingAdditionalPaidInCapitalMember2019-09-300000884614us-gaap:CommonStockIncludingAdditionalPaidInCapitalMember2021-01-012021-03-310000884614us-gaap:CommonStockIncludingAdditionalPaidInCapitalMem</w:t>
      </w:r>
      <w:r>
        <w:rPr>
          <w:rFonts w:eastAsia="Times New Roman"/>
          <w:vanish/>
        </w:rPr>
        <w:t>ber2020-01-012020-03-310000884614us-gaap:CommonStockIncludingAdditionalPaidInCapitalMember2020-10-012021-03-310000884614us-gaap:CommonStockIncludingAdditionalPaidInCapitalMember2019-10-012020-03-310000884614us-gaap:CommonStockIncludingAdditionalPaidInCapit</w:t>
      </w:r>
      <w:r>
        <w:rPr>
          <w:rFonts w:eastAsia="Times New Roman"/>
          <w:vanish/>
        </w:rPr>
        <w:t>alMember2021-03-310000884614us-gaap:CommonStockIncludingAdditionalPaidInCapitalMember2020-03-310000884614us-gaap:RetainedEarningsMember2020-12-310000884614us-gaap:RetainedEarningsMember2019-12-310000884614us-gaap:RetainedEarningsMember2020-09-300000884614u</w:t>
      </w:r>
      <w:r>
        <w:rPr>
          <w:rFonts w:eastAsia="Times New Roman"/>
          <w:vanish/>
        </w:rPr>
        <w:t>s-gaap:RetainedEarningsMember2019-09-300000884614us-gaap:RetainedEarningsMember2021-01-012021-03-310000884614us-gaap:RetainedEarningsMember2020-01-012020-03-310000884614us-gaap:RetainedEarningsMember2020-10-012021-03-310000884614us-gaap:RetainedEarningsMem</w:t>
      </w:r>
      <w:r>
        <w:rPr>
          <w:rFonts w:eastAsia="Times New Roman"/>
          <w:vanish/>
        </w:rPr>
        <w:t>ber2019-10-012020-03-310000884614us-gaap:RetainedEarningsMember2021-03-310000884614us-gaap:RetainedEarningsMember2020-03-310000884614us-gaap:AociIncludingPortionAttributableToNoncontrollingInterestMember2020-12-310000884614us-gaap:AociIncludingPortionAttri</w:t>
      </w:r>
      <w:r>
        <w:rPr>
          <w:rFonts w:eastAsia="Times New Roman"/>
          <w:vanish/>
        </w:rPr>
        <w:t>butableToNoncontrollingInterestMember2019-12-310000884614us-gaap:AociIncludingPortionAttributableToNoncontrollingInterestMember2020-09-300000884614us-gaap:AociIncludingPortionAttributableToNoncontrollingInterestMember2019-09-300000884614us-gaap:AociIncludi</w:t>
      </w:r>
      <w:r>
        <w:rPr>
          <w:rFonts w:eastAsia="Times New Roman"/>
          <w:vanish/>
        </w:rPr>
        <w:t>ngPortionAttributableToNoncontrollingInterestMember2021-01-012021-03-310000884614us-gaap:AociIncludingPortionAttributableToNoncontrollingInterestMember2020-01-012020-03-310000884614us-gaap:AociIncludingPortionAttributableToNoncontrollingInterestMember2020-</w:t>
      </w:r>
      <w:r>
        <w:rPr>
          <w:rFonts w:eastAsia="Times New Roman"/>
          <w:vanish/>
        </w:rPr>
        <w:t>10-012021-03-310000884614us-gaap:AociIncludingPortionAttributableToNoncontrollingInterestMember2019-10-012020-03-310000884614us-gaap:AociIncludingPortionAttributableToNoncontrollingInterestMember2021-03-310000884614us-gaap:AociIncludingPortionAttributableT</w:t>
      </w:r>
      <w:r>
        <w:rPr>
          <w:rFonts w:eastAsia="Times New Roman"/>
          <w:vanish/>
        </w:rPr>
        <w:t>oNoncontrollingInterestMember2020-03-310000884614us-gaap:TreasuryStockMember2020-12-310000884614us-gaap:TreasuryStockMember2019-12-310000884614us-gaap:TreasuryStockMember2020-09-300000884614us-gaap:TreasuryStockMember2019-09-300000884614us-gaap:TreasurySto</w:t>
      </w:r>
      <w:r>
        <w:rPr>
          <w:rFonts w:eastAsia="Times New Roman"/>
          <w:vanish/>
        </w:rPr>
        <w:t>ckMember2021-01-012021-03-310000884614us-gaap:TreasuryStockMember2020-01-012020-03-310000884614us-gaap:TreasuryStockMember2020-10-012021-03-310000884614us-gaap:TreasuryStockMember2019-10-012020-03-310000884614us-gaap:TreasuryStockMember2021-03-310000884614</w:t>
      </w:r>
      <w:r>
        <w:rPr>
          <w:rFonts w:eastAsia="Times New Roman"/>
          <w:vanish/>
        </w:rPr>
        <w:t>us-gaap:TreasuryStockMember2020-03-310000884614us-gaap:ParentMember2021-03-310000884614us-gaap:ParentMember2020-03-310000884614us-gaap:NoncontrollingInterestMember2020-12-310000884614us-gaap:NoncontrollingInterestMember2019-12-310000884614us-gaap:Noncontro</w:t>
      </w:r>
      <w:r>
        <w:rPr>
          <w:rFonts w:eastAsia="Times New Roman"/>
          <w:vanish/>
        </w:rPr>
        <w:t>llingInterestMember2020-09-300000884614us-gaap:NoncontrollingInterestMember2019-09-300000884614us-gaap:NoncontrollingInterestMember2019-10-012020-03-310000884614us-gaap:NoncontrollingInterestMember2021-03-310000884614us-gaap:NoncontrollingInterestMember202</w:t>
      </w:r>
      <w:r>
        <w:rPr>
          <w:rFonts w:eastAsia="Times New Roman"/>
          <w:vanish/>
        </w:rPr>
        <w:t>0-03-31ugi:county0000884614stpr:MDsrt:SubsidiariesMember2020-10-012021-03-310000884614us-gaap:ScenarioPlanMemberugi:MountaineerMember2020-12-292020-12-29ugi:Customer0000884614ugi:PineRunMidstreamLLCMember2021-02-012021-02-28utr:mi0000884614ugi:PineRunMidst</w:t>
      </w:r>
      <w:r>
        <w:rPr>
          <w:rFonts w:eastAsia="Times New Roman"/>
          <w:vanish/>
        </w:rPr>
        <w:t>reamLLCMember2021-03-31xbrli:pure0000884614ugi:EnergyServicesMemberugi:PineRunMidstreamLLCMember2021-03-310000884614ugi:EnergyServicesMemberugi:PineRunMidstreamLLCMember2021-01-012021-03-310000884614ugi:EnbridgeIncMemberugi:PennEastPipelineCompanyLLCMember</w:t>
      </w:r>
      <w:r>
        <w:rPr>
          <w:rFonts w:eastAsia="Times New Roman"/>
          <w:vanish/>
        </w:rPr>
        <w:t>srt:AffiliatedEntityMember2021-03-310000884614ugi:SouthernCompanyMemberugi:PennEastPipelineCompanyLLCMembersrt:AffiliatedEntityMember2021-03-310000884614ugi:PennEastPipelineCompanyLLCMemberugi:NewJerseyResourcesMembersrt:AffiliatedEntityMember2021-03-31000</w:t>
      </w:r>
      <w:r>
        <w:rPr>
          <w:rFonts w:eastAsia="Times New Roman"/>
          <w:vanish/>
        </w:rPr>
        <w:t>0884614ugi:PennEastPipelineCompanyLLCMemberugi:UGIPennEastLLCMembersrt:AffiliatedEntityMember2021-03-310000884614ugi:SouthJerseyIndustriesMemberugi:PennEastPipelineCompanyLLCMembersrt:AffiliatedEntityMember2021-03-310000884614ugi:ResidentialMember2021-01-0</w:t>
      </w:r>
      <w:r>
        <w:rPr>
          <w:rFonts w:eastAsia="Times New Roman"/>
          <w:vanish/>
        </w:rPr>
        <w:t>12021-03-310000884614ugi:ResidentialMemberus-gaap:IntersegmentEliminationMember2021-01-012021-03-310000884614ugi:ResidentialMemberugi:AmerigasPropaneMemberus-gaap:OperatingSegmentsMember2021-01-012021-03-310000884614ugi:UGIInternationalMemberugi:Residentia</w:t>
      </w:r>
      <w:r>
        <w:rPr>
          <w:rFonts w:eastAsia="Times New Roman"/>
          <w:vanish/>
        </w:rPr>
        <w:t>lMemberus-gaap:OperatingSegmentsMember2021-01-012021-03-310000884614ugi:ResidentialMemberugi:MidstreamAndMarketingMemberus-gaap:OperatingSegmentsMember2021-01-012021-03-310000884614ugi:ResidentialMemberugi:UgiUtilitiesMemberus-gaap:OperatingSegmentsMember2</w:t>
      </w:r>
      <w:r>
        <w:rPr>
          <w:rFonts w:eastAsia="Times New Roman"/>
          <w:vanish/>
        </w:rPr>
        <w:t>021-01-012021-03-310000884614us-gaap:CorporateNonSegmentMemberugi:ResidentialMember2021-01-012021-03-310000884614ugi:CommercialandIndustrialMember2021-01-012021-03-310000884614ugi:CommercialandIndustrialMemberus-gaap:IntersegmentEliminationMember2021-01-01</w:t>
      </w:r>
      <w:r>
        <w:rPr>
          <w:rFonts w:eastAsia="Times New Roman"/>
          <w:vanish/>
        </w:rPr>
        <w:t>2021-03-310000884614ugi:AmerigasPropaneMemberus-gaap:OperatingSegmentsMemberugi:CommercialandIndustrialMember2021-01-012021-03-310000884614ugi:UGIInternationalMemberus-gaap:OperatingSegmentsMemberugi:CommercialandIndustrialMember2021-01-012021-03-310000884</w:t>
      </w:r>
      <w:r>
        <w:rPr>
          <w:rFonts w:eastAsia="Times New Roman"/>
          <w:vanish/>
        </w:rPr>
        <w:t>614ugi:MidstreamAndMarketingMemberus-gaap:OperatingSegmentsMemberugi:CommercialandIndustrialMember2021-01-012021-03-310000884614ugi:UgiUtilitiesMemberus-gaap:OperatingSegmentsMemberugi:CommercialandIndustrialMember2021-01-012021-03-310000884614us-gaap:Corp</w:t>
      </w:r>
      <w:r>
        <w:rPr>
          <w:rFonts w:eastAsia="Times New Roman"/>
          <w:vanish/>
        </w:rPr>
        <w:t>orateNonSegmentMemberugi:CommercialandIndustrialMember2021-01-012021-03-310000884614ugi:LargeDeliveryServiceMember2021-01-012021-03-310000884614ugi:LargeDeliveryServiceMemberus-gaap:IntersegmentEliminationMember2021-01-012021-03-310000884614ugi:AmerigasPro</w:t>
      </w:r>
      <w:r>
        <w:rPr>
          <w:rFonts w:eastAsia="Times New Roman"/>
          <w:vanish/>
        </w:rPr>
        <w:t>paneMemberus-gaap:OperatingSegmentsMemberugi:LargeDeliveryServiceMember2021-01-012021-03-310000884614ugi:UGIInternationalMemberus-gaap:OperatingSegmentsMemberugi:LargeDeliveryServiceMember2021-01-012021-03-310000884614ugi:MidstreamAndMarketingMemberus-gaap</w:t>
      </w:r>
      <w:r>
        <w:rPr>
          <w:rFonts w:eastAsia="Times New Roman"/>
          <w:vanish/>
        </w:rPr>
        <w:t>:OperatingSegmentsMemberugi:LargeDeliveryServiceMember2021-01-012021-03-310000884614ugi:UgiUtilitiesMemberus-gaap:OperatingSegmentsMemberugi:LargeDeliveryServiceMember2021-01-012021-03-310000884614us-gaap:CorporateNonSegmentMemberugi:LargeDeliveryServiceMe</w:t>
      </w:r>
      <w:r>
        <w:rPr>
          <w:rFonts w:eastAsia="Times New Roman"/>
          <w:vanish/>
        </w:rPr>
        <w:t>mber2021-01-012021-03-310000884614ugi:OffSystemSalesandCapacityReleasesMember2021-01-012021-03-310000884614ugi:OffSystemSalesandCapacityReleasesMemberus-gaap:IntersegmentEliminationMember2021-01-012021-03-310000884614ugi:OffSystemSalesandCapacityReleasesMe</w:t>
      </w:r>
      <w:r>
        <w:rPr>
          <w:rFonts w:eastAsia="Times New Roman"/>
          <w:vanish/>
        </w:rPr>
        <w:t>mberugi:AmerigasPropaneMemberus-gaap:OperatingSegmentsMember2021-01-012021-03-310000884614ugi:UGIInternationalMemberugi:OffSystemSalesandCapacityReleasesMemberus-gaap:OperatingSegmentsMember2021-01-012021-03-310000884614ugi:OffSystemSalesandCapacityRelease</w:t>
      </w:r>
      <w:r>
        <w:rPr>
          <w:rFonts w:eastAsia="Times New Roman"/>
          <w:vanish/>
        </w:rPr>
        <w:t>sMemberugi:MidstreamAndMarketingMemberus-gaap:OperatingSegmentsMember2021-01-012021-03-310000884614ugi:OffSystemSalesandCapacityReleasesMemberugi:UgiUtilitiesMemberus-gaap:OperatingSegmentsMember2021-01-012021-03-310000884614us-gaap:CorporateNonSegmentMemb</w:t>
      </w:r>
      <w:r>
        <w:rPr>
          <w:rFonts w:eastAsia="Times New Roman"/>
          <w:vanish/>
        </w:rPr>
        <w:t>erugi:OffSystemSalesandCapacityReleasesMember2021-01-012021-03-310000884614ugi:UtilityOtherMember2021-01-012021-03-310000884614ugi:UtilityOtherMemberus-gaap:IntersegmentEliminationMember2021-01-012021-03-310000884614ugi:AmerigasPropaneMemberus-gaap:Operati</w:t>
      </w:r>
      <w:r>
        <w:rPr>
          <w:rFonts w:eastAsia="Times New Roman"/>
          <w:vanish/>
        </w:rPr>
        <w:t>ngSegmentsMemberugi:UtilityOtherMember2021-01-012021-03-310000884614ugi:UGIInternationalMemberus-gaap:OperatingSegmentsMemberugi:UtilityOtherMember2021-01-012021-03-310000884614ugi:MidstreamAndMarketingMemberus-gaap:OperatingSegmentsMemberugi:UtilityOtherM</w:t>
      </w:r>
      <w:r>
        <w:rPr>
          <w:rFonts w:eastAsia="Times New Roman"/>
          <w:vanish/>
        </w:rPr>
        <w:t>ember2021-01-012021-03-310000884614ugi:UgiUtilitiesMemberus-gaap:OperatingSegmentsMemberugi:UtilityOtherMember2021-01-012021-03-310000884614us-gaap:CorporateNonSegmentMemberugi:UtilityOtherMember2021-01-012021-03-310000884614ugi:UtilityMember2021-01-012021</w:t>
      </w:r>
      <w:r>
        <w:rPr>
          <w:rFonts w:eastAsia="Times New Roman"/>
          <w:vanish/>
        </w:rPr>
        <w:t>-03-310000884614ugi:UtilityMemberus-gaap:IntersegmentEliminationMember2021-01-012021-03-310000884614ugi:UtilityMemberugi:AmerigasPropaneMemberus-gaap:OperatingSegmentsMember2021-01-012021-03-310000884614ugi:UGIInternationalMemberugi:UtilityMemberus-gaap:Op</w:t>
      </w:r>
      <w:r>
        <w:rPr>
          <w:rFonts w:eastAsia="Times New Roman"/>
          <w:vanish/>
        </w:rPr>
        <w:t>eratingSegmentsMember2021-01-012021-03-310000884614ugi:UtilityMemberugi:MidstreamAndMarketingMemberus-gaap:OperatingSegmentsMember2021-01-012021-03-310000884614ugi:UtilityMemberugi:UgiUtilitiesMemberus-gaap:OperatingSegmentsMember2021-01-012021-03-31000088</w:t>
      </w:r>
      <w:r>
        <w:rPr>
          <w:rFonts w:eastAsia="Times New Roman"/>
          <w:vanish/>
        </w:rPr>
        <w:t>4614us-gaap:CorporateNonSegmentMemberugi:UtilityMember2021-01-012021-03-310000884614us-gaap:RetailMember2021-01-012021-03-310000884614us-gaap:RetailMemberus-gaap:IntersegmentEliminationMember2021-01-012021-03-310000884614ugi:AmerigasPropaneMemberus-gaap:Re</w:t>
      </w:r>
      <w:r>
        <w:rPr>
          <w:rFonts w:eastAsia="Times New Roman"/>
          <w:vanish/>
        </w:rPr>
        <w:t>tailMemberus-gaap:OperatingSegmentsMember2021-01-012021-03-310000884614ugi:UGIInternationalMemberus-gaap:RetailMemberus-gaap:OperatingSegmentsMember2021-01-012021-03-310000884614us-gaap:RetailMemberugi:MidstreamAndMarketingMemberus-gaap:OperatingSegmentsMe</w:t>
      </w:r>
      <w:r>
        <w:rPr>
          <w:rFonts w:eastAsia="Times New Roman"/>
          <w:vanish/>
        </w:rPr>
        <w:t>mber2021-01-012021-03-310000884614ugi:UgiUtilitiesMemberus-gaap:RetailMemberus-gaap:OperatingSegmentsMember2021-01-012021-03-310000884614us-gaap:CorporateNonSegmentMemberus-gaap:RetailMember2021-01-012021-03-310000884614ugi:WholesaleMember2021-01-012021-03</w:t>
      </w:r>
      <w:r>
        <w:rPr>
          <w:rFonts w:eastAsia="Times New Roman"/>
          <w:vanish/>
        </w:rPr>
        <w:t>-310000884614ugi:WholesaleMemberus-gaap:IntersegmentEliminationMember2021-01-012021-03-310000884614ugi:WholesaleMemberugi:AmerigasPropaneMemberus-gaap:OperatingSegmentsMember2021-01-012021-03-310000884614ugi:UGIInternationalMemberugi:WholesaleMemberus-gaap</w:t>
      </w:r>
      <w:r>
        <w:rPr>
          <w:rFonts w:eastAsia="Times New Roman"/>
          <w:vanish/>
        </w:rPr>
        <w:t>:OperatingSegmentsMember2021-01-012021-03-310000884614ugi:WholesaleMemberugi:MidstreamAndMarketingMemberus-gaap:OperatingSegmentsMember2021-01-012021-03-310000884614ugi:WholesaleMemberugi:UgiUtilitiesMemberus-gaap:OperatingSegmentsMember2021-01-012021-03-3</w:t>
      </w:r>
      <w:r>
        <w:rPr>
          <w:rFonts w:eastAsia="Times New Roman"/>
          <w:vanish/>
        </w:rPr>
        <w:t>10000884614us-gaap:CorporateNonSegmentMemberugi:WholesaleMember2021-01-012021-03-310000884614ugi:EnergyMarketingMember2021-01-012021-03-310000884614us-gaap:IntersegmentEliminationMemberugi:EnergyMarketingMember2021-01-012021-03-310000884614ugi:AmerigasProp</w:t>
      </w:r>
      <w:r>
        <w:rPr>
          <w:rFonts w:eastAsia="Times New Roman"/>
          <w:vanish/>
        </w:rPr>
        <w:t>aneMemberus-gaap:OperatingSegmentsMemberugi:EnergyMarketingMember2021-01-012021-03-310000884614ugi:UGIInternationalMemberus-gaap:OperatingSegmentsMemberugi:EnergyMarketingMember2021-01-012021-03-310000884614ugi:MidstreamAndMarketingMemberus-gaap:OperatingS</w:t>
      </w:r>
      <w:r>
        <w:rPr>
          <w:rFonts w:eastAsia="Times New Roman"/>
          <w:vanish/>
        </w:rPr>
        <w:t>egmentsMemberugi:EnergyMarketingMember2021-01-012021-03-310000884614ugi:UgiUtilitiesMemberus-gaap:OperatingSegmentsMemberugi:EnergyMarketingMember2021-01-012021-03-310000884614us-gaap:CorporateNonSegmentMemberugi:EnergyMarketingMember2021-01-012021-03-3100</w:t>
      </w:r>
      <w:r>
        <w:rPr>
          <w:rFonts w:eastAsia="Times New Roman"/>
          <w:vanish/>
        </w:rPr>
        <w:t>00884614ugi:PipelineMember2021-01-012021-03-310000884614ugi:PipelineMemberus-gaap:IntersegmentEliminationMember2021-01-012021-03-310000884614ugi:PipelineMemberugi:AmerigasPropaneMemberus-gaap:OperatingSegmentsMember2021-01-012021-03-310000884614ugi:UGIInte</w:t>
      </w:r>
      <w:r>
        <w:rPr>
          <w:rFonts w:eastAsia="Times New Roman"/>
          <w:vanish/>
        </w:rPr>
        <w:t>rnationalMemberugi:PipelineMemberus-gaap:OperatingSegmentsMember2021-01-012021-03-310000884614ugi:PipelineMemberugi:MidstreamAndMarketingMemberus-gaap:OperatingSegmentsMember2021-01-012021-03-310000884614ugi:PipelineMemberugi:UgiUtilitiesMemberus-gaap:Oper</w:t>
      </w:r>
      <w:r>
        <w:rPr>
          <w:rFonts w:eastAsia="Times New Roman"/>
          <w:vanish/>
        </w:rPr>
        <w:t>atingSegmentsMember2021-01-012021-03-310000884614us-gaap:CorporateNonSegmentMemberugi:PipelineMember2021-01-012021-03-310000884614ugi:PeakingMember2021-01-012021-03-310000884614ugi:PeakingMemberus-gaap:IntersegmentEliminationMember2021-01-012021-03-3100008</w:t>
      </w:r>
      <w:r>
        <w:rPr>
          <w:rFonts w:eastAsia="Times New Roman"/>
          <w:vanish/>
        </w:rPr>
        <w:t>84614ugi:AmerigasPropaneMemberus-gaap:OperatingSegmentsMemberugi:PeakingMember2021-01-012021-03-310000884614ugi:UGIInternationalMemberus-gaap:OperatingSegmentsMemberugi:PeakingMember2021-01-012021-03-310000884614ugi:MidstreamAndMarketingMemberus-gaap:Opera</w:t>
      </w:r>
      <w:r>
        <w:rPr>
          <w:rFonts w:eastAsia="Times New Roman"/>
          <w:vanish/>
        </w:rPr>
        <w:t>tingSegmentsMemberugi:PeakingMember2021-01-012021-03-310000884614ugi:UgiUtilitiesMemberus-gaap:OperatingSegmentsMemberugi:PeakingMember2021-01-012021-03-310000884614us-gaap:CorporateNonSegmentMemberugi:PeakingMember2021-01-012021-03-310000884614ugi:Midstre</w:t>
      </w:r>
      <w:r>
        <w:rPr>
          <w:rFonts w:eastAsia="Times New Roman"/>
          <w:vanish/>
        </w:rPr>
        <w:t>amOtherMember2021-01-012021-03-310000884614us-gaap:IntersegmentEliminationMemberugi:MidstreamOtherMember2021-01-012021-03-310000884614ugi:AmerigasPropaneMemberus-gaap:OperatingSegmentsMemberugi:MidstreamOtherMember2021-01-012021-03-310000884614ugi:UGIInter</w:t>
      </w:r>
      <w:r>
        <w:rPr>
          <w:rFonts w:eastAsia="Times New Roman"/>
          <w:vanish/>
        </w:rPr>
        <w:t>nationalMemberus-gaap:OperatingSegmentsMemberugi:MidstreamOtherMember2021-01-012021-03-310000884614ugi:MidstreamAndMarketingMemberus-gaap:OperatingSegmentsMemberugi:MidstreamOtherMember2021-01-012021-03-310000884614ugi:UgiUtilitiesMemberus-gaap:OperatingSe</w:t>
      </w:r>
      <w:r>
        <w:rPr>
          <w:rFonts w:eastAsia="Times New Roman"/>
          <w:vanish/>
        </w:rPr>
        <w:t>gmentsMemberugi:MidstreamOtherMember2021-01-012021-03-310000884614us-gaap:CorporateNonSegmentMemberugi:MidstreamOtherMember2021-01-012021-03-310000884614us-gaap:ElectricityGenerationMember2021-01-012021-03-310000884614us-gaap:ElectricityGenerationMemberus-</w:t>
      </w:r>
      <w:r>
        <w:rPr>
          <w:rFonts w:eastAsia="Times New Roman"/>
          <w:vanish/>
        </w:rPr>
        <w:t>gaap:IntersegmentEliminationMember2021-01-012021-03-310000884614ugi:AmerigasPropaneMemberus-gaap:ElectricityGenerationMemberus-gaap:OperatingSegmentsMember2021-01-012021-03-310000884614ugi:UGIInternationalMemberus-gaap:ElectricityGenerationMemberus-gaap:Op</w:t>
      </w:r>
      <w:r>
        <w:rPr>
          <w:rFonts w:eastAsia="Times New Roman"/>
          <w:vanish/>
        </w:rPr>
        <w:t>eratingSegmentsMember2021-01-012021-03-310000884614ugi:MidstreamAndMarketingMemberus-gaap:ElectricityGenerationMemberus-gaap:OperatingSegmentsMember2021-01-012021-03-310000884614ugi:UgiUtilitiesMemberus-gaap:ElectricityGenerationMemberus-gaap:OperatingSegm</w:t>
      </w:r>
      <w:r>
        <w:rPr>
          <w:rFonts w:eastAsia="Times New Roman"/>
          <w:vanish/>
        </w:rPr>
        <w:t>entsMember2021-01-012021-03-310000884614us-gaap:CorporateNonSegmentMemberus-gaap:ElectricityGenerationMember2021-01-012021-03-310000884614ugi:NonutilityOtherMember2021-01-012021-03-310000884614ugi:NonutilityOtherMemberus-gaap:IntersegmentEliminationMember2</w:t>
      </w:r>
      <w:r>
        <w:rPr>
          <w:rFonts w:eastAsia="Times New Roman"/>
          <w:vanish/>
        </w:rPr>
        <w:t>021-01-012021-03-310000884614ugi:NonutilityOtherMemberugi:AmerigasPropaneMemberus-gaap:OperatingSegmentsMember2021-01-012021-03-310000884614ugi:UGIInternationalMemberugi:NonutilityOtherMemberus-gaap:OperatingSegmentsMember2021-01-012021-03-310000884614ugi:</w:t>
      </w:r>
      <w:r>
        <w:rPr>
          <w:rFonts w:eastAsia="Times New Roman"/>
          <w:vanish/>
        </w:rPr>
        <w:t>NonutilityOtherMemberugi:MidstreamAndMarketingMemberus-gaap:OperatingSegmentsMember2021-01-012021-03-310000884614ugi:NonutilityOtherMemberugi:UgiUtilitiesMemberus-gaap:OperatingSegmentsMember2021-01-012021-03-310000884614us-gaap:CorporateNonSegmentMemberug</w:t>
      </w:r>
      <w:r>
        <w:rPr>
          <w:rFonts w:eastAsia="Times New Roman"/>
          <w:vanish/>
        </w:rPr>
        <w:t>i:NonutilityOtherMember2021-01-012021-03-310000884614ugi:NonutilityMember2021-01-012021-03-310000884614ugi:NonutilityMemberus-gaap:IntersegmentEliminationMember2021-01-012021-03-310000884614ugi:NonutilityMemberugi:AmerigasPropaneMemberus-gaap:OperatingSegm</w:t>
      </w:r>
      <w:r>
        <w:rPr>
          <w:rFonts w:eastAsia="Times New Roman"/>
          <w:vanish/>
        </w:rPr>
        <w:t>entsMember2021-01-012021-03-310000884614ugi:UGIInternationalMemberugi:NonutilityMemberus-gaap:OperatingSegmentsMember2021-01-012021-03-310000884614ugi:NonutilityMemberugi:MidstreamAndMarketingMemberus-gaap:OperatingSegmentsMember2021-01-012021-03-310000884</w:t>
      </w:r>
      <w:r>
        <w:rPr>
          <w:rFonts w:eastAsia="Times New Roman"/>
          <w:vanish/>
        </w:rPr>
        <w:t>614ugi:NonutilityMemberugi:UgiUtilitiesMemberus-gaap:OperatingSegmentsMember2021-01-012021-03-310000884614us-gaap:CorporateNonSegmentMemberugi:NonutilityMember2021-01-012021-03-310000884614us-gaap:IntersegmentEliminationMember2021-01-012021-03-310000884614</w:t>
      </w:r>
      <w:r>
        <w:rPr>
          <w:rFonts w:eastAsia="Times New Roman"/>
          <w:vanish/>
        </w:rPr>
        <w:t>ugi:AmerigasPropaneMemberus-gaap:OperatingSegmentsMember2021-01-012021-03-310000884614ugi:UGIInternationalMemberus-gaap:OperatingSegmentsMember2021-01-012021-03-310000884614ugi:MidstreamAndMarketingMemberus-gaap:OperatingSegmentsMember2021-01-012021-03-310</w:t>
      </w:r>
      <w:r>
        <w:rPr>
          <w:rFonts w:eastAsia="Times New Roman"/>
          <w:vanish/>
        </w:rPr>
        <w:t>000884614ugi:UgiUtilitiesMemberus-gaap:OperatingSegmentsMember2021-01-012021-03-310000884614us-gaap:CorporateNonSegmentMember2021-01-012021-03-310000884614ugi:ResidentialMember2020-01-012020-03-310000884614ugi:ResidentialMemberus-gaap:IntersegmentEliminati</w:t>
      </w:r>
      <w:r>
        <w:rPr>
          <w:rFonts w:eastAsia="Times New Roman"/>
          <w:vanish/>
        </w:rPr>
        <w:t>onMember2020-01-012020-03-310000884614ugi:ResidentialMemberugi:AmerigasPropaneMemberus-gaap:OperatingSegmentsMember2020-01-012020-03-310000884614ugi:UGIInternationalMemberugi:ResidentialMemberus-gaap:OperatingSegmentsMember2020-01-012020-03-310000884614ugi</w:t>
      </w:r>
      <w:r>
        <w:rPr>
          <w:rFonts w:eastAsia="Times New Roman"/>
          <w:vanish/>
        </w:rPr>
        <w:t>:ResidentialMemberugi:MidstreamAndMarketingMemberus-gaap:OperatingSegmentsMember2020-01-012020-03-310000884614ugi:ResidentialMemberugi:UgiUtilitiesMemberus-gaap:OperatingSegmentsMember2020-01-012020-03-310000884614us-gaap:CorporateNonSegmentMemberugi:Resid</w:t>
      </w:r>
      <w:r>
        <w:rPr>
          <w:rFonts w:eastAsia="Times New Roman"/>
          <w:vanish/>
        </w:rPr>
        <w:t>entialMember2020-01-012020-03-310000884614ugi:CommercialandIndustrialMember2020-01-012020-03-310000884614ugi:CommercialandIndustrialMemberus-gaap:IntersegmentEliminationMember2020-01-012020-03-310000884614ugi:AmerigasPropaneMemberus-gaap:OperatingSegmentsM</w:t>
      </w:r>
      <w:r>
        <w:rPr>
          <w:rFonts w:eastAsia="Times New Roman"/>
          <w:vanish/>
        </w:rPr>
        <w:t>emberugi:CommercialandIndustrialMember2020-01-012020-03-310000884614ugi:UGIInternationalMemberus-gaap:OperatingSegmentsMemberugi:CommercialandIndustrialMember2020-01-012020-03-310000884614ugi:MidstreamAndMarketingMemberus-gaap:OperatingSegmentsMemberugi:Co</w:t>
      </w:r>
      <w:r>
        <w:rPr>
          <w:rFonts w:eastAsia="Times New Roman"/>
          <w:vanish/>
        </w:rPr>
        <w:t>mmercialandIndustrialMember2020-01-012020-03-310000884614ugi:UgiUtilitiesMemberus-gaap:OperatingSegmentsMemberugi:CommercialandIndustrialMember2020-01-012020-03-310000884614us-gaap:CorporateNonSegmentMemberugi:CommercialandIndustrialMember2020-01-012020-03</w:t>
      </w:r>
      <w:r>
        <w:rPr>
          <w:rFonts w:eastAsia="Times New Roman"/>
          <w:vanish/>
        </w:rPr>
        <w:t>-310000884614ugi:LargeDeliveryServiceMember2020-01-012020-03-310000884614ugi:LargeDeliveryServiceMemberus-gaap:IntersegmentEliminationMember2020-01-012020-03-310000884614ugi:AmerigasPropaneMemberus-gaap:OperatingSegmentsMemberugi:LargeDeliveryServiceMember</w:t>
      </w:r>
      <w:r>
        <w:rPr>
          <w:rFonts w:eastAsia="Times New Roman"/>
          <w:vanish/>
        </w:rPr>
        <w:t>2020-01-012020-03-310000884614ugi:UGIInternationalMemberus-gaap:OperatingSegmentsMemberugi:LargeDeliveryServiceMember2020-01-012020-03-310000884614ugi:MidstreamAndMarketingMemberus-gaap:OperatingSegmentsMemberugi:LargeDeliveryServiceMember2020-01-012020-03</w:t>
      </w:r>
      <w:r>
        <w:rPr>
          <w:rFonts w:eastAsia="Times New Roman"/>
          <w:vanish/>
        </w:rPr>
        <w:t>-310000884614ugi:UgiUtilitiesMemberus-gaap:OperatingSegmentsMemberugi:LargeDeliveryServiceMember2020-01-012020-03-310000884614us-gaap:CorporateNonSegmentMemberugi:LargeDeliveryServiceMember2020-01-012020-03-310000884614ugi:OffSystemSalesandCapacityReleases</w:t>
      </w:r>
      <w:r>
        <w:rPr>
          <w:rFonts w:eastAsia="Times New Roman"/>
          <w:vanish/>
        </w:rPr>
        <w:t>Member2020-01-012020-03-310000884614ugi:OffSystemSalesandCapacityReleasesMemberus-gaap:IntersegmentEliminationMember2020-01-012020-03-310000884614ugi:OffSystemSalesandCapacityReleasesMemberugi:AmerigasPropaneMemberus-gaap:OperatingSegmentsMember2020-01-012</w:t>
      </w:r>
      <w:r>
        <w:rPr>
          <w:rFonts w:eastAsia="Times New Roman"/>
          <w:vanish/>
        </w:rPr>
        <w:t>020-03-310000884614ugi:UGIInternationalMemberugi:OffSystemSalesandCapacityReleasesMemberus-gaap:OperatingSegmentsMember2020-01-012020-03-310000884614ugi:OffSystemSalesandCapacityReleasesMemberugi:MidstreamAndMarketingMemberus-gaap:OperatingSegmentsMember20</w:t>
      </w:r>
      <w:r>
        <w:rPr>
          <w:rFonts w:eastAsia="Times New Roman"/>
          <w:vanish/>
        </w:rPr>
        <w:t>20-01-012020-03-310000884614ugi:OffSystemSalesandCapacityReleasesMemberugi:UgiUtilitiesMemberus-gaap:OperatingSegmentsMember2020-01-012020-03-310000884614us-gaap:CorporateNonSegmentMemberugi:OffSystemSalesandCapacityReleasesMember2020-01-012020-03-31000088</w:t>
      </w:r>
      <w:r>
        <w:rPr>
          <w:rFonts w:eastAsia="Times New Roman"/>
          <w:vanish/>
        </w:rPr>
        <w:t>4614ugi:UtilityOtherMember2020-01-012020-03-310000884614ugi:UtilityOtherMemberus-gaap:IntersegmentEliminationMember2020-01-012020-03-310000884614ugi:AmerigasPropaneMemberus-gaap:OperatingSegmentsMemberugi:UtilityOtherMember2020-01-012020-03-310000884614ugi</w:t>
      </w:r>
      <w:r>
        <w:rPr>
          <w:rFonts w:eastAsia="Times New Roman"/>
          <w:vanish/>
        </w:rPr>
        <w:t>:UGIInternationalMemberus-gaap:OperatingSegmentsMemberugi:UtilityOtherMember2020-01-012020-03-310000884614ugi:MidstreamAndMarketingMemberus-gaap:OperatingSegmentsMemberugi:UtilityOtherMember2020-01-012020-03-310000884614ugi:UgiUtilitiesMemberus-gaap:Operat</w:t>
      </w:r>
      <w:r>
        <w:rPr>
          <w:rFonts w:eastAsia="Times New Roman"/>
          <w:vanish/>
        </w:rPr>
        <w:t>ingSegmentsMemberugi:UtilityOtherMember2020-01-012020-03-310000884614us-gaap:CorporateNonSegmentMemberugi:UtilityOtherMember2020-01-012020-03-310000884614ugi:UtilityMember2020-01-012020-03-310000884614ugi:UtilityMemberus-gaap:IntersegmentEliminationMember2</w:t>
      </w:r>
      <w:r>
        <w:rPr>
          <w:rFonts w:eastAsia="Times New Roman"/>
          <w:vanish/>
        </w:rPr>
        <w:t>020-01-012020-03-310000884614ugi:UtilityMemberugi:AmerigasPropaneMemberus-gaap:OperatingSegmentsMember2020-01-012020-03-310000884614ugi:UGIInternationalMemberugi:UtilityMemberus-gaap:OperatingSegmentsMember2020-01-012020-03-310000884614ugi:UtilityMemberugi</w:t>
      </w:r>
      <w:r>
        <w:rPr>
          <w:rFonts w:eastAsia="Times New Roman"/>
          <w:vanish/>
        </w:rPr>
        <w:t>:MidstreamAndMarketingMemberus-gaap:OperatingSegmentsMember2020-01-012020-03-310000884614ugi:UtilityMemberugi:UgiUtilitiesMemberus-gaap:OperatingSegmentsMember2020-01-012020-03-310000884614us-gaap:CorporateNonSegmentMemberugi:UtilityMember2020-01-012020-03</w:t>
      </w:r>
      <w:r>
        <w:rPr>
          <w:rFonts w:eastAsia="Times New Roman"/>
          <w:vanish/>
        </w:rPr>
        <w:t>-310000884614us-gaap:RetailMember2020-01-012020-03-310000884614us-gaap:RetailMemberus-gaap:IntersegmentEliminationMember2020-01-012020-03-310000884614ugi:AmerigasPropaneMemberus-gaap:RetailMemberus-gaap:OperatingSegmentsMember2020-01-012020-03-310000884614</w:t>
      </w:r>
      <w:r>
        <w:rPr>
          <w:rFonts w:eastAsia="Times New Roman"/>
          <w:vanish/>
        </w:rPr>
        <w:t>ugi:UGIInternationalMemberus-gaap:RetailMemberus-gaap:OperatingSegmentsMember2020-01-012020-03-310000884614us-gaap:RetailMemberugi:MidstreamAndMarketingMemberus-gaap:OperatingSegmentsMember2020-01-012020-03-310000884614ugi:UgiUtilitiesMemberus-gaap:RetailM</w:t>
      </w:r>
      <w:r>
        <w:rPr>
          <w:rFonts w:eastAsia="Times New Roman"/>
          <w:vanish/>
        </w:rPr>
        <w:t>emberus-gaap:OperatingSegmentsMember2020-01-012020-03-310000884614us-gaap:CorporateNonSegmentMemberus-gaap:RetailMember2020-01-012020-03-310000884614ugi:WholesaleMember2020-01-012020-03-310000884614ugi:WholesaleMemberus-gaap:IntersegmentEliminationMember20</w:t>
      </w:r>
      <w:r>
        <w:rPr>
          <w:rFonts w:eastAsia="Times New Roman"/>
          <w:vanish/>
        </w:rPr>
        <w:t>20-01-012020-03-310000884614ugi:WholesaleMemberugi:AmerigasPropaneMemberus-gaap:OperatingSegmentsMember2020-01-012020-03-310000884614ugi:UGIInternationalMemberugi:WholesaleMemberus-gaap:OperatingSegmentsMember2020-01-012020-03-310000884614ugi:WholesaleMemb</w:t>
      </w:r>
      <w:r>
        <w:rPr>
          <w:rFonts w:eastAsia="Times New Roman"/>
          <w:vanish/>
        </w:rPr>
        <w:t>erugi:MidstreamAndMarketingMemberus-gaap:OperatingSegmentsMember2020-01-012020-03-310000884614ugi:WholesaleMemberugi:UgiUtilitiesMemberus-gaap:OperatingSegmentsMember2020-01-012020-03-310000884614us-gaap:CorporateNonSegmentMemberugi:WholesaleMember2020-01-</w:t>
      </w:r>
      <w:r>
        <w:rPr>
          <w:rFonts w:eastAsia="Times New Roman"/>
          <w:vanish/>
        </w:rPr>
        <w:t>012020-03-310000884614ugi:EnergyMarketingMember2020-01-012020-03-310000884614us-gaap:IntersegmentEliminationMemberugi:EnergyMarketingMember2020-01-012020-03-310000884614ugi:AmerigasPropaneMemberus-gaap:OperatingSegmentsMemberugi:EnergyMarketingMember2020-0</w:t>
      </w:r>
      <w:r>
        <w:rPr>
          <w:rFonts w:eastAsia="Times New Roman"/>
          <w:vanish/>
        </w:rPr>
        <w:t>1-012020-03-310000884614ugi:UGIInternationalMemberus-gaap:OperatingSegmentsMemberugi:EnergyMarketingMember2020-01-012020-03-310000884614ugi:MidstreamAndMarketingMemberus-gaap:OperatingSegmentsMemberugi:EnergyMarketingMember2020-01-012020-03-310000884614ugi</w:t>
      </w:r>
      <w:r>
        <w:rPr>
          <w:rFonts w:eastAsia="Times New Roman"/>
          <w:vanish/>
        </w:rPr>
        <w:t>:UgiUtilitiesMemberus-gaap:OperatingSegmentsMemberugi:EnergyMarketingMember2020-01-012020-03-310000884614us-gaap:CorporateNonSegmentMemberugi:EnergyMarketingMember2020-01-012020-03-310000884614ugi:PipelineMember2020-01-012020-03-310000884614ugi:PipelineMem</w:t>
      </w:r>
      <w:r>
        <w:rPr>
          <w:rFonts w:eastAsia="Times New Roman"/>
          <w:vanish/>
        </w:rPr>
        <w:t>berus-gaap:IntersegmentEliminationMember2020-01-012020-03-310000884614ugi:PipelineMemberugi:AmerigasPropaneMemberus-gaap:OperatingSegmentsMember2020-01-012020-03-310000884614ugi:UGIInternationalMemberugi:PipelineMemberus-gaap:OperatingSegmentsMember2020-01</w:t>
      </w:r>
      <w:r>
        <w:rPr>
          <w:rFonts w:eastAsia="Times New Roman"/>
          <w:vanish/>
        </w:rPr>
        <w:t>-012020-03-310000884614ugi:PipelineMemberugi:MidstreamAndMarketingMemberus-gaap:OperatingSegmentsMember2020-01-012020-03-310000884614ugi:PipelineMemberugi:UgiUtilitiesMemberus-gaap:OperatingSegmentsMember2020-01-012020-03-310000884614us-gaap:CorporateNonSe</w:t>
      </w:r>
      <w:r>
        <w:rPr>
          <w:rFonts w:eastAsia="Times New Roman"/>
          <w:vanish/>
        </w:rPr>
        <w:t>gmentMemberugi:PipelineMember2020-01-012020-03-310000884614ugi:PeakingMember2020-01-012020-03-310000884614ugi:PeakingMemberus-gaap:IntersegmentEliminationMember2020-01-012020-03-310000884614ugi:AmerigasPropaneMemberus-gaap:OperatingSegmentsMemberugi:Peakin</w:t>
      </w:r>
      <w:r>
        <w:rPr>
          <w:rFonts w:eastAsia="Times New Roman"/>
          <w:vanish/>
        </w:rPr>
        <w:t>gMember2020-01-012020-03-310000884614ugi:UGIInternationalMemberus-gaap:OperatingSegmentsMemberugi:PeakingMember2020-01-012020-03-310000884614ugi:MidstreamAndMarketingMemberus-gaap:OperatingSegmentsMemberugi:PeakingMember2020-01-012020-03-310000884614ugi:Ug</w:t>
      </w:r>
      <w:r>
        <w:rPr>
          <w:rFonts w:eastAsia="Times New Roman"/>
          <w:vanish/>
        </w:rPr>
        <w:t>iUtilitiesMemberus-gaap:OperatingSegmentsMemberugi:PeakingMember2020-01-012020-03-310000884614us-gaap:CorporateNonSegmentMemberugi:PeakingMember2020-01-012020-03-310000884614ugi:MidstreamOtherMember2020-01-012020-03-310000884614us-gaap:IntersegmentEliminat</w:t>
      </w:r>
      <w:r>
        <w:rPr>
          <w:rFonts w:eastAsia="Times New Roman"/>
          <w:vanish/>
        </w:rPr>
        <w:t>ionMemberugi:MidstreamOtherMember2020-01-012020-03-310000884614ugi:AmerigasPropaneMemberus-gaap:OperatingSegmentsMemberugi:MidstreamOtherMember2020-01-012020-03-310000884614ugi:UGIInternationalMemberus-gaap:OperatingSegmentsMemberugi:MidstreamOtherMember20</w:t>
      </w:r>
      <w:r>
        <w:rPr>
          <w:rFonts w:eastAsia="Times New Roman"/>
          <w:vanish/>
        </w:rPr>
        <w:t>20-01-012020-03-310000884614ugi:MidstreamAndMarketingMemberus-gaap:OperatingSegmentsMemberugi:MidstreamOtherMember2020-01-012020-03-310000884614ugi:UgiUtilitiesMemberus-gaap:OperatingSegmentsMemberugi:MidstreamOtherMember2020-01-012020-03-310000884614us-ga</w:t>
      </w:r>
      <w:r>
        <w:rPr>
          <w:rFonts w:eastAsia="Times New Roman"/>
          <w:vanish/>
        </w:rPr>
        <w:t>ap:CorporateNonSegmentMemberugi:MidstreamOtherMember2020-01-012020-03-310000884614us-gaap:ElectricityGenerationMember2020-01-012020-03-310000884614us-gaap:ElectricityGenerationMemberus-gaap:IntersegmentEliminationMember2020-01-012020-03-310000884614ugi:Ame</w:t>
      </w:r>
      <w:r>
        <w:rPr>
          <w:rFonts w:eastAsia="Times New Roman"/>
          <w:vanish/>
        </w:rPr>
        <w:t>rigasPropaneMemberus-gaap:ElectricityGenerationMemberus-gaap:OperatingSegmentsMember2020-01-012020-03-310000884614ugi:UGIInternationalMemberus-gaap:ElectricityGenerationMemberus-gaap:OperatingSegmentsMember2020-01-012020-03-310000884614ugi:MidstreamAndMark</w:t>
      </w:r>
      <w:r>
        <w:rPr>
          <w:rFonts w:eastAsia="Times New Roman"/>
          <w:vanish/>
        </w:rPr>
        <w:t>etingMemberus-gaap:ElectricityGenerationMemberus-gaap:OperatingSegmentsMember2020-01-012020-03-310000884614ugi:UgiUtilitiesMemberus-gaap:ElectricityGenerationMemberus-gaap:OperatingSegmentsMember2020-01-012020-03-310000884614us-gaap:CorporateNonSegmentMemb</w:t>
      </w:r>
      <w:r>
        <w:rPr>
          <w:rFonts w:eastAsia="Times New Roman"/>
          <w:vanish/>
        </w:rPr>
        <w:t>erus-gaap:ElectricityGenerationMember2020-01-012020-03-310000884614ugi:NonutilityOtherMember2020-01-012020-03-310000884614ugi:NonutilityOtherMemberus-gaap:IntersegmentEliminationMember2020-01-012020-03-310000884614ugi:NonutilityOtherMemberugi:AmerigasPropa</w:t>
      </w:r>
      <w:r>
        <w:rPr>
          <w:rFonts w:eastAsia="Times New Roman"/>
          <w:vanish/>
        </w:rPr>
        <w:t>neMemberus-gaap:OperatingSegmentsMember2020-01-012020-03-310000884614ugi:UGIInternationalMemberugi:NonutilityOtherMemberus-gaap:OperatingSegmentsMember2020-01-012020-03-310000884614ugi:NonutilityOtherMemberugi:MidstreamAndMarketingMemberus-gaap:OperatingSe</w:t>
      </w:r>
      <w:r>
        <w:rPr>
          <w:rFonts w:eastAsia="Times New Roman"/>
          <w:vanish/>
        </w:rPr>
        <w:t>gmentsMember2020-01-012020-03-310000884614ugi:NonutilityOtherMemberugi:UgiUtilitiesMemberus-gaap:OperatingSegmentsMember2020-01-012020-03-310000884614us-gaap:CorporateNonSegmentMemberugi:NonutilityOtherMember2020-01-012020-03-310000884614ugi:NonutilityMemb</w:t>
      </w:r>
      <w:r>
        <w:rPr>
          <w:rFonts w:eastAsia="Times New Roman"/>
          <w:vanish/>
        </w:rPr>
        <w:t>er2020-01-012020-03-310000884614ugi:NonutilityMemberus-gaap:IntersegmentEliminationMember2020-01-012020-03-310000884614ugi:NonutilityMemberugi:AmerigasPropaneMemberus-gaap:OperatingSegmentsMember2020-01-012020-03-310000884614ugi:UGIInternationalMemberugi:N</w:t>
      </w:r>
      <w:r>
        <w:rPr>
          <w:rFonts w:eastAsia="Times New Roman"/>
          <w:vanish/>
        </w:rPr>
        <w:t>onutilityMemberus-gaap:OperatingSegmentsMember2020-01-012020-03-310000884614ugi:NonutilityMemberugi:MidstreamAndMarketingMemberus-gaap:OperatingSegmentsMember2020-01-012020-03-310000884614ugi:NonutilityMemberugi:UgiUtilitiesMemberus-gaap:OperatingSegmentsM</w:t>
      </w:r>
      <w:r>
        <w:rPr>
          <w:rFonts w:eastAsia="Times New Roman"/>
          <w:vanish/>
        </w:rPr>
        <w:t>ember2020-01-012020-03-310000884614us-gaap:CorporateNonSegmentMemberugi:NonutilityMember2020-01-012020-03-310000884614us-gaap:IntersegmentEliminationMember2020-01-012020-03-310000884614ugi:AmerigasPropaneMemberus-gaap:OperatingSegmentsMember2020-01-012020-</w:t>
      </w:r>
      <w:r>
        <w:rPr>
          <w:rFonts w:eastAsia="Times New Roman"/>
          <w:vanish/>
        </w:rPr>
        <w:t>03-310000884614ugi:UGIInternationalMemberus-gaap:OperatingSegmentsMember2020-01-012020-03-310000884614ugi:MidstreamAndMarketingMemberus-gaap:OperatingSegmentsMember2020-01-012020-03-310000884614ugi:UgiUtilitiesMemberus-gaap:OperatingSegmentsMember2020-01-0</w:t>
      </w:r>
      <w:r>
        <w:rPr>
          <w:rFonts w:eastAsia="Times New Roman"/>
          <w:vanish/>
        </w:rPr>
        <w:t>12020-03-310000884614us-gaap:CorporateNonSegmentMember2020-01-012020-03-310000884614ugi:ResidentialMember2020-10-012021-03-310000884614ugi:ResidentialMemberus-gaap:IntersegmentEliminationMember2020-10-012021-03-310000884614ugi:ResidentialMemberugi:Amerigas</w:t>
      </w:r>
      <w:r>
        <w:rPr>
          <w:rFonts w:eastAsia="Times New Roman"/>
          <w:vanish/>
        </w:rPr>
        <w:t>PropaneMemberus-gaap:OperatingSegmentsMember2020-10-012021-03-310000884614ugi:UGIInternationalMemberugi:ResidentialMemberus-gaap:OperatingSegmentsMember2020-10-012021-03-310000884614ugi:ResidentialMemberugi:MidstreamAndMarketingMemberus-gaap:OperatingSegme</w:t>
      </w:r>
      <w:r>
        <w:rPr>
          <w:rFonts w:eastAsia="Times New Roman"/>
          <w:vanish/>
        </w:rPr>
        <w:t>ntsMember2020-10-012021-03-310000884614ugi:ResidentialMemberugi:UgiUtilitiesMemberus-gaap:OperatingSegmentsMember2020-10-012021-03-310000884614us-gaap:CorporateNonSegmentMemberugi:ResidentialMember2020-10-012021-03-310000884614ugi:CommercialandIndustrialMe</w:t>
      </w:r>
      <w:r>
        <w:rPr>
          <w:rFonts w:eastAsia="Times New Roman"/>
          <w:vanish/>
        </w:rPr>
        <w:t>mber2020-10-012021-03-310000884614ugi:CommercialandIndustrialMemberus-gaap:IntersegmentEliminationMember2020-10-012021-03-310000884614ugi:AmerigasPropaneMemberus-gaap:OperatingSegmentsMemberugi:CommercialandIndustrialMember2020-10-012021-03-310000884614ugi</w:t>
      </w:r>
      <w:r>
        <w:rPr>
          <w:rFonts w:eastAsia="Times New Roman"/>
          <w:vanish/>
        </w:rPr>
        <w:t>:UGIInternationalMemberus-gaap:OperatingSegmentsMemberugi:CommercialandIndustrialMember2020-10-012021-03-310000884614ugi:MidstreamAndMarketingMemberus-gaap:OperatingSegmentsMemberugi:CommercialandIndustrialMember2020-10-012021-03-310000884614ugi:UgiUtiliti</w:t>
      </w:r>
      <w:r>
        <w:rPr>
          <w:rFonts w:eastAsia="Times New Roman"/>
          <w:vanish/>
        </w:rPr>
        <w:t>esMemberus-gaap:OperatingSegmentsMemberugi:CommercialandIndustrialMember2020-10-012021-03-310000884614us-gaap:CorporateNonSegmentMemberugi:CommercialandIndustrialMember2020-10-012021-03-310000884614ugi:LargeDeliveryServiceMember2020-10-012021-03-3100008846</w:t>
      </w:r>
      <w:r>
        <w:rPr>
          <w:rFonts w:eastAsia="Times New Roman"/>
          <w:vanish/>
        </w:rPr>
        <w:t>14ugi:LargeDeliveryServiceMemberus-gaap:IntersegmentEliminationMember2020-10-012021-03-310000884614ugi:AmerigasPropaneMemberus-gaap:OperatingSegmentsMemberugi:LargeDeliveryServiceMember2020-10-012021-03-310000884614ugi:UGIInternationalMemberus-gaap:Operati</w:t>
      </w:r>
      <w:r>
        <w:rPr>
          <w:rFonts w:eastAsia="Times New Roman"/>
          <w:vanish/>
        </w:rPr>
        <w:t>ngSegmentsMemberugi:LargeDeliveryServiceMember2020-10-012021-03-310000884614ugi:MidstreamAndMarketingMemberus-gaap:OperatingSegmentsMemberugi:LargeDeliveryServiceMember2020-10-012021-03-310000884614ugi:UgiUtilitiesMemberus-gaap:OperatingSegmentsMemberugi:L</w:t>
      </w:r>
      <w:r>
        <w:rPr>
          <w:rFonts w:eastAsia="Times New Roman"/>
          <w:vanish/>
        </w:rPr>
        <w:t>argeDeliveryServiceMember2020-10-012021-03-310000884614us-gaap:CorporateNonSegmentMemberugi:LargeDeliveryServiceMember2020-10-012021-03-310000884614ugi:OffSystemSalesandCapacityReleasesMember2020-10-012021-03-310000884614ugi:OffSystemSalesandCapacityReleas</w:t>
      </w:r>
      <w:r>
        <w:rPr>
          <w:rFonts w:eastAsia="Times New Roman"/>
          <w:vanish/>
        </w:rPr>
        <w:t>esMemberus-gaap:IntersegmentEliminationMember2020-10-012021-03-310000884614ugi:OffSystemSalesandCapacityReleasesMemberugi:AmerigasPropaneMemberus-gaap:OperatingSegmentsMember2020-10-012021-03-310000884614ugi:UGIInternationalMemberugi:OffSystemSalesandCapac</w:t>
      </w:r>
      <w:r>
        <w:rPr>
          <w:rFonts w:eastAsia="Times New Roman"/>
          <w:vanish/>
        </w:rPr>
        <w:t>ityReleasesMemberus-gaap:OperatingSegmentsMember2020-10-012021-03-310000884614ugi:OffSystemSalesandCapacityReleasesMemberugi:MidstreamAndMarketingMemberus-gaap:OperatingSegmentsMember2020-10-012021-03-310000884614ugi:OffSystemSalesandCapacityReleasesMember</w:t>
      </w:r>
      <w:r>
        <w:rPr>
          <w:rFonts w:eastAsia="Times New Roman"/>
          <w:vanish/>
        </w:rPr>
        <w:t>ugi:UgiUtilitiesMemberus-gaap:OperatingSegmentsMember2020-10-012021-03-310000884614us-gaap:CorporateNonSegmentMemberugi:OffSystemSalesandCapacityReleasesMember2020-10-012021-03-310000884614ugi:UtilityOtherMember2020-10-012021-03-310000884614ugi:UtilityOthe</w:t>
      </w:r>
      <w:r>
        <w:rPr>
          <w:rFonts w:eastAsia="Times New Roman"/>
          <w:vanish/>
        </w:rPr>
        <w:t>rMemberus-gaap:IntersegmentEliminationMember2020-10-012021-03-310000884614ugi:AmerigasPropaneMemberus-gaap:OperatingSegmentsMemberugi:UtilityOtherMember2020-10-012021-03-310000884614ugi:UGIInternationalMemberus-gaap:OperatingSegmentsMemberugi:UtilityOtherM</w:t>
      </w:r>
      <w:r>
        <w:rPr>
          <w:rFonts w:eastAsia="Times New Roman"/>
          <w:vanish/>
        </w:rPr>
        <w:t>ember2020-10-012021-03-310000884614ugi:MidstreamAndMarketingMemberus-gaap:OperatingSegmentsMemberugi:UtilityOtherMember2020-10-012021-03-310000884614ugi:UgiUtilitiesMemberus-gaap:OperatingSegmentsMemberugi:UtilityOtherMember2020-10-012021-03-310000884614us</w:t>
      </w:r>
      <w:r>
        <w:rPr>
          <w:rFonts w:eastAsia="Times New Roman"/>
          <w:vanish/>
        </w:rPr>
        <w:t>-gaap:CorporateNonSegmentMemberugi:UtilityOtherMember2020-10-012021-03-310000884614ugi:UtilityMember2020-10-012021-03-310000884614ugi:UtilityMemberus-gaap:IntersegmentEliminationMember2020-10-012021-03-310000884614ugi:UtilityMemberugi:AmerigasPropaneMember</w:t>
      </w:r>
      <w:r>
        <w:rPr>
          <w:rFonts w:eastAsia="Times New Roman"/>
          <w:vanish/>
        </w:rPr>
        <w:t>us-gaap:OperatingSegmentsMember2020-10-012021-03-310000884614ugi:UGIInternationalMemberugi:UtilityMemberus-gaap:OperatingSegmentsMember2020-10-012021-03-310000884614ugi:UtilityMemberugi:MidstreamAndMarketingMemberus-gaap:OperatingSegmentsMember2020-10-0120</w:t>
      </w:r>
      <w:r>
        <w:rPr>
          <w:rFonts w:eastAsia="Times New Roman"/>
          <w:vanish/>
        </w:rPr>
        <w:t>21-03-310000884614ugi:UtilityMemberugi:UgiUtilitiesMemberus-gaap:OperatingSegmentsMember2020-10-012021-03-310000884614us-gaap:CorporateNonSegmentMemberugi:UtilityMember2020-10-012021-03-310000884614us-gaap:RetailMember2020-10-012021-03-310000884614us-gaap:</w:t>
      </w:r>
      <w:r>
        <w:rPr>
          <w:rFonts w:eastAsia="Times New Roman"/>
          <w:vanish/>
        </w:rPr>
        <w:t>RetailMemberus-gaap:IntersegmentEliminationMember2020-10-012021-03-310000884614ugi:AmerigasPropaneMemberus-gaap:RetailMemberus-gaap:OperatingSegmentsMember2020-10-012021-03-310000884614ugi:UGIInternationalMemberus-gaap:RetailMemberus-gaap:OperatingSegments</w:t>
      </w:r>
      <w:r>
        <w:rPr>
          <w:rFonts w:eastAsia="Times New Roman"/>
          <w:vanish/>
        </w:rPr>
        <w:t>Member2020-10-012021-03-310000884614us-gaap:RetailMemberugi:MidstreamAndMarketingMemberus-gaap:OperatingSegmentsMember2020-10-012021-03-310000884614ugi:UgiUtilitiesMemberus-gaap:RetailMemberus-gaap:OperatingSegmentsMember2020-10-012021-03-310000884614us-ga</w:t>
      </w:r>
      <w:r>
        <w:rPr>
          <w:rFonts w:eastAsia="Times New Roman"/>
          <w:vanish/>
        </w:rPr>
        <w:t>ap:CorporateNonSegmentMemberus-gaap:RetailMember2020-10-012021-03-310000884614ugi:WholesaleMember2020-10-012021-03-310000884614ugi:WholesaleMemberus-gaap:IntersegmentEliminationMember2020-10-012021-03-310000884614ugi:WholesaleMemberugi:AmerigasPropaneMembe</w:t>
      </w:r>
      <w:r>
        <w:rPr>
          <w:rFonts w:eastAsia="Times New Roman"/>
          <w:vanish/>
        </w:rPr>
        <w:t>rus-gaap:OperatingSegmentsMember2020-10-012021-03-310000884614ugi:UGIInternationalMemberugi:WholesaleMemberus-gaap:OperatingSegmentsMember2020-10-012021-03-310000884614ugi:WholesaleMemberugi:MidstreamAndMarketingMemberus-gaap:OperatingSegmentsMember2020-10</w:t>
      </w:r>
      <w:r>
        <w:rPr>
          <w:rFonts w:eastAsia="Times New Roman"/>
          <w:vanish/>
        </w:rPr>
        <w:t>-012021-03-310000884614ugi:WholesaleMemberugi:UgiUtilitiesMemberus-gaap:OperatingSegmentsMember2020-10-012021-03-310000884614us-gaap:CorporateNonSegmentMemberugi:WholesaleMember2020-10-012021-03-310000884614ugi:EnergyMarketingMember2020-10-012021-03-310000</w:t>
      </w:r>
      <w:r>
        <w:rPr>
          <w:rFonts w:eastAsia="Times New Roman"/>
          <w:vanish/>
        </w:rPr>
        <w:t>884614us-gaap:IntersegmentEliminationMemberugi:EnergyMarketingMember2020-10-012021-03-310000884614ugi:AmerigasPropaneMemberus-gaap:OperatingSegmentsMemberugi:EnergyMarketingMember2020-10-012021-03-310000884614ugi:UGIInternationalMemberus-gaap:OperatingSegm</w:t>
      </w:r>
      <w:r>
        <w:rPr>
          <w:rFonts w:eastAsia="Times New Roman"/>
          <w:vanish/>
        </w:rPr>
        <w:t>entsMemberugi:EnergyMarketingMember2020-10-012021-03-310000884614ugi:MidstreamAndMarketingMemberus-gaap:OperatingSegmentsMemberugi:EnergyMarketingMember2020-10-012021-03-310000884614ugi:UgiUtilitiesMemberus-gaap:OperatingSegmentsMemberugi:EnergyMarketingMe</w:t>
      </w:r>
      <w:r>
        <w:rPr>
          <w:rFonts w:eastAsia="Times New Roman"/>
          <w:vanish/>
        </w:rPr>
        <w:t>mber2020-10-012021-03-310000884614us-gaap:CorporateNonSegmentMemberugi:EnergyMarketingMember2020-10-012021-03-310000884614ugi:PipelineMember2020-10-012021-03-310000884614ugi:PipelineMemberus-gaap:IntersegmentEliminationMember2020-10-012021-03-310000884614u</w:t>
      </w:r>
      <w:r>
        <w:rPr>
          <w:rFonts w:eastAsia="Times New Roman"/>
          <w:vanish/>
        </w:rPr>
        <w:t>gi:PipelineMemberugi:AmerigasPropaneMemberus-gaap:OperatingSegmentsMember2020-10-012021-03-310000884614ugi:UGIInternationalMemberugi:PipelineMemberus-gaap:OperatingSegmentsMember2020-10-012021-03-310000884614ugi:PipelineMemberugi:MidstreamAndMarketingMembe</w:t>
      </w:r>
      <w:r>
        <w:rPr>
          <w:rFonts w:eastAsia="Times New Roman"/>
          <w:vanish/>
        </w:rPr>
        <w:t>rus-gaap:OperatingSegmentsMember2020-10-012021-03-310000884614ugi:PipelineMemberugi:UgiUtilitiesMemberus-gaap:OperatingSegmentsMember2020-10-012021-03-310000884614us-gaap:CorporateNonSegmentMemberugi:PipelineMember2020-10-012021-03-310000884614ugi:PeakingM</w:t>
      </w:r>
      <w:r>
        <w:rPr>
          <w:rFonts w:eastAsia="Times New Roman"/>
          <w:vanish/>
        </w:rPr>
        <w:t>ember2020-10-012021-03-310000884614ugi:PeakingMemberus-gaap:IntersegmentEliminationMember2020-10-012021-03-310000884614ugi:AmerigasPropaneMemberus-gaap:OperatingSegmentsMemberugi:PeakingMember2020-10-012021-03-310000884614ugi:UGIInternationalMemberus-gaap:</w:t>
      </w:r>
      <w:r>
        <w:rPr>
          <w:rFonts w:eastAsia="Times New Roman"/>
          <w:vanish/>
        </w:rPr>
        <w:t>OperatingSegmentsMemberugi:PeakingMember2020-10-012021-03-310000884614ugi:MidstreamAndMarketingMemberus-gaap:OperatingSegmentsMemberugi:PeakingMember2020-10-012021-03-310000884614ugi:UgiUtilitiesMemberus-gaap:OperatingSegmentsMemberugi:PeakingMember2020-10</w:t>
      </w:r>
      <w:r>
        <w:rPr>
          <w:rFonts w:eastAsia="Times New Roman"/>
          <w:vanish/>
        </w:rPr>
        <w:t>-012021-03-310000884614us-gaap:CorporateNonSegmentMemberugi:PeakingMember2020-10-012021-03-310000884614ugi:MidstreamOtherMember2020-10-012021-03-310000884614us-gaap:IntersegmentEliminationMemberugi:MidstreamOtherMember2020-10-012021-03-310000884614ugi:Amer</w:t>
      </w:r>
      <w:r>
        <w:rPr>
          <w:rFonts w:eastAsia="Times New Roman"/>
          <w:vanish/>
        </w:rPr>
        <w:t>igasPropaneMemberus-gaap:OperatingSegmentsMemberugi:MidstreamOtherMember2020-10-012021-03-310000884614ugi:UGIInternationalMemberus-gaap:OperatingSegmentsMemberugi:MidstreamOtherMember2020-10-012021-03-310000884614ugi:MidstreamAndMarketingMemberus-gaap:Oper</w:t>
      </w:r>
      <w:r>
        <w:rPr>
          <w:rFonts w:eastAsia="Times New Roman"/>
          <w:vanish/>
        </w:rPr>
        <w:t>atingSegmentsMemberugi:MidstreamOtherMember2020-10-012021-03-310000884614ugi:UgiUtilitiesMemberus-gaap:OperatingSegmentsMemberugi:MidstreamOtherMember2020-10-012021-03-310000884614us-gaap:CorporateNonSegmentMemberugi:MidstreamOtherMember2020-10-012021-03-3</w:t>
      </w:r>
      <w:r>
        <w:rPr>
          <w:rFonts w:eastAsia="Times New Roman"/>
          <w:vanish/>
        </w:rPr>
        <w:t>10000884614us-gaap:ElectricityGenerationMember2020-10-012021-03-310000884614us-gaap:ElectricityGenerationMemberus-gaap:IntersegmentEliminationMember2020-10-012021-03-310000884614ugi:AmerigasPropaneMemberus-gaap:ElectricityGenerationMemberus-gaap:OperatingS</w:t>
      </w:r>
      <w:r>
        <w:rPr>
          <w:rFonts w:eastAsia="Times New Roman"/>
          <w:vanish/>
        </w:rPr>
        <w:t>egmentsMember2020-10-012021-03-310000884614ugi:UGIInternationalMemberus-gaap:ElectricityGenerationMemberus-gaap:OperatingSegmentsMember2020-10-012021-03-310000884614ugi:MidstreamAndMarketingMemberus-gaap:ElectricityGenerationMemberus-gaap:OperatingSegments</w:t>
      </w:r>
      <w:r>
        <w:rPr>
          <w:rFonts w:eastAsia="Times New Roman"/>
          <w:vanish/>
        </w:rPr>
        <w:t>Member2020-10-012021-03-310000884614ugi:UgiUtilitiesMemberus-gaap:ElectricityGenerationMemberus-gaap:OperatingSegmentsMember2020-10-012021-03-310000884614us-gaap:CorporateNonSegmentMemberus-gaap:ElectricityGenerationMember2020-10-012021-03-310000884614ugi:</w:t>
      </w:r>
      <w:r>
        <w:rPr>
          <w:rFonts w:eastAsia="Times New Roman"/>
          <w:vanish/>
        </w:rPr>
        <w:t>NonutilityOtherMember2020-10-012021-03-310000884614ugi:NonutilityOtherMemberus-gaap:IntersegmentEliminationMember2020-10-012021-03-310000884614ugi:NonutilityOtherMemberugi:AmerigasPropaneMemberus-gaap:OperatingSegmentsMember2020-10-012021-03-310000884614ug</w:t>
      </w:r>
      <w:r>
        <w:rPr>
          <w:rFonts w:eastAsia="Times New Roman"/>
          <w:vanish/>
        </w:rPr>
        <w:t>i:UGIInternationalMemberugi:NonutilityOtherMemberus-gaap:OperatingSegmentsMember2020-10-012021-03-310000884614ugi:NonutilityOtherMemberugi:MidstreamAndMarketingMemberus-gaap:OperatingSegmentsMember2020-10-012021-03-310000884614ugi:NonutilityOtherMemberugi:</w:t>
      </w:r>
      <w:r>
        <w:rPr>
          <w:rFonts w:eastAsia="Times New Roman"/>
          <w:vanish/>
        </w:rPr>
        <w:t>UgiUtilitiesMemberus-gaap:OperatingSegmentsMember2020-10-012021-03-310000884614us-gaap:CorporateNonSegmentMemberugi:NonutilityOtherMember2020-10-012021-03-310000884614ugi:NonutilityMember2020-10-012021-03-310000884614ugi:NonutilityMemberus-gaap:Intersegmen</w:t>
      </w:r>
      <w:r>
        <w:rPr>
          <w:rFonts w:eastAsia="Times New Roman"/>
          <w:vanish/>
        </w:rPr>
        <w:t>tEliminationMember2020-10-012021-03-310000884614ugi:NonutilityMemberugi:AmerigasPropaneMemberus-gaap:OperatingSegmentsMember2020-10-012021-03-310000884614ugi:UGIInternationalMemberugi:NonutilityMemberus-gaap:OperatingSegmentsMember2020-10-012021-03-3100008</w:t>
      </w:r>
      <w:r>
        <w:rPr>
          <w:rFonts w:eastAsia="Times New Roman"/>
          <w:vanish/>
        </w:rPr>
        <w:t>84614ugi:NonutilityMemberugi:MidstreamAndMarketingMemberus-gaap:OperatingSegmentsMember2020-10-012021-03-310000884614ugi:NonutilityMemberugi:UgiUtilitiesMemberus-gaap:OperatingSegmentsMember2020-10-012021-03-310000884614us-gaap:CorporateNonSegmentMemberugi</w:t>
      </w:r>
      <w:r>
        <w:rPr>
          <w:rFonts w:eastAsia="Times New Roman"/>
          <w:vanish/>
        </w:rPr>
        <w:t>:NonutilityMember2020-10-012021-03-310000884614us-gaap:IntersegmentEliminationMember2020-10-012021-03-310000884614ugi:AmerigasPropaneMemberus-gaap:OperatingSegmentsMember2020-10-012021-03-310000884614ugi:UGIInternationalMemberus-gaap:OperatingSegmentsMembe</w:t>
      </w:r>
      <w:r>
        <w:rPr>
          <w:rFonts w:eastAsia="Times New Roman"/>
          <w:vanish/>
        </w:rPr>
        <w:t>r2020-10-012021-03-310000884614ugi:MidstreamAndMarketingMemberus-gaap:OperatingSegmentsMember2020-10-012021-03-310000884614ugi:UgiUtilitiesMemberus-gaap:OperatingSegmentsMember2020-10-012021-03-310000884614us-gaap:CorporateNonSegmentMember2020-10-012021-03</w:t>
      </w:r>
      <w:r>
        <w:rPr>
          <w:rFonts w:eastAsia="Times New Roman"/>
          <w:vanish/>
        </w:rPr>
        <w:t>-310000884614ugi:ResidentialMember2019-10-012020-03-310000884614ugi:ResidentialMemberus-gaap:IntersegmentEliminationMember2019-10-012020-03-310000884614ugi:ResidentialMemberugi:AmerigasPropaneMemberus-gaap:OperatingSegmentsMember2019-10-012020-03-310000884</w:t>
      </w:r>
      <w:r>
        <w:rPr>
          <w:rFonts w:eastAsia="Times New Roman"/>
          <w:vanish/>
        </w:rPr>
        <w:t>614ugi:UGIInternationalMemberugi:ResidentialMemberus-gaap:OperatingSegmentsMember2019-10-012020-03-310000884614ugi:ResidentialMemberugi:MidstreamAndMarketingMemberus-gaap:OperatingSegmentsMember2019-10-012020-03-310000884614ugi:ResidentialMemberugi:UgiUtil</w:t>
      </w:r>
      <w:r>
        <w:rPr>
          <w:rFonts w:eastAsia="Times New Roman"/>
          <w:vanish/>
        </w:rPr>
        <w:t>itiesMemberus-gaap:OperatingSegmentsMember2019-10-012020-03-310000884614us-gaap:CorporateNonSegmentMemberugi:ResidentialMember2019-10-012020-03-310000884614ugi:CommercialandIndustrialMember2019-10-012020-03-310000884614ugi:CommercialandIndustrialMemberus-g</w:t>
      </w:r>
      <w:r>
        <w:rPr>
          <w:rFonts w:eastAsia="Times New Roman"/>
          <w:vanish/>
        </w:rPr>
        <w:t>aap:IntersegmentEliminationMember2019-10-012020-03-310000884614ugi:AmerigasPropaneMemberus-gaap:OperatingSegmentsMemberugi:CommercialandIndustrialMember2019-10-012020-03-310000884614ugi:UGIInternationalMemberus-gaap:OperatingSegmentsMemberugi:Commercialand</w:t>
      </w:r>
      <w:r>
        <w:rPr>
          <w:rFonts w:eastAsia="Times New Roman"/>
          <w:vanish/>
        </w:rPr>
        <w:t>IndustrialMember2019-10-012020-03-310000884614ugi:MidstreamAndMarketingMemberus-gaap:OperatingSegmentsMemberugi:CommercialandIndustrialMember2019-10-012020-03-310000884614ugi:UgiUtilitiesMemberus-gaap:OperatingSegmentsMemberugi:CommercialandIndustrialMembe</w:t>
      </w:r>
      <w:r>
        <w:rPr>
          <w:rFonts w:eastAsia="Times New Roman"/>
          <w:vanish/>
        </w:rPr>
        <w:t>r2019-10-012020-03-310000884614us-gaap:CorporateNonSegmentMemberugi:CommercialandIndustrialMember2019-10-012020-03-310000884614ugi:LargeDeliveryServiceMember2019-10-012020-03-310000884614ugi:LargeDeliveryServiceMemberus-gaap:IntersegmentEliminationMember20</w:t>
      </w:r>
      <w:r>
        <w:rPr>
          <w:rFonts w:eastAsia="Times New Roman"/>
          <w:vanish/>
        </w:rPr>
        <w:t>19-10-012020-03-310000884614ugi:AmerigasPropaneMemberus-gaap:OperatingSegmentsMemberugi:LargeDeliveryServiceMember2019-10-012020-03-310000884614ugi:UGIInternationalMemberus-gaap:OperatingSegmentsMemberugi:LargeDeliveryServiceMember2019-10-012020-03-3100008</w:t>
      </w:r>
      <w:r>
        <w:rPr>
          <w:rFonts w:eastAsia="Times New Roman"/>
          <w:vanish/>
        </w:rPr>
        <w:t>84614ugi:MidstreamAndMarketingMemberus-gaap:OperatingSegmentsMemberugi:LargeDeliveryServiceMember2019-10-012020-03-310000884614ugi:UgiUtilitiesMemberus-gaap:OperatingSegmentsMemberugi:LargeDeliveryServiceMember2019-10-012020-03-310000884614us-gaap:Corporat</w:t>
      </w:r>
      <w:r>
        <w:rPr>
          <w:rFonts w:eastAsia="Times New Roman"/>
          <w:vanish/>
        </w:rPr>
        <w:t>eNonSegmentMemberugi:LargeDeliveryServiceMember2019-10-012020-03-310000884614ugi:OffSystemSalesandCapacityReleasesMember2019-10-012020-03-310000884614ugi:OffSystemSalesandCapacityReleasesMemberus-gaap:IntersegmentEliminationMember2019-10-012020-03-31000088</w:t>
      </w:r>
      <w:r>
        <w:rPr>
          <w:rFonts w:eastAsia="Times New Roman"/>
          <w:vanish/>
        </w:rPr>
        <w:t>4614ugi:OffSystemSalesandCapacityReleasesMemberugi:AmerigasPropaneMemberus-gaap:OperatingSegmentsMember2019-10-012020-03-310000884614ugi:UGIInternationalMemberugi:OffSystemSalesandCapacityReleasesMemberus-gaap:OperatingSegmentsMember2019-10-012020-03-31000</w:t>
      </w:r>
      <w:r>
        <w:rPr>
          <w:rFonts w:eastAsia="Times New Roman"/>
          <w:vanish/>
        </w:rPr>
        <w:t>0884614ugi:OffSystemSalesandCapacityReleasesMemberugi:MidstreamAndMarketingMemberus-gaap:OperatingSegmentsMember2019-10-012020-03-310000884614ugi:OffSystemSalesandCapacityReleasesMemberugi:UgiUtilitiesMemberus-gaap:OperatingSegmentsMember2019-10-012020-03-</w:t>
      </w:r>
      <w:r>
        <w:rPr>
          <w:rFonts w:eastAsia="Times New Roman"/>
          <w:vanish/>
        </w:rPr>
        <w:t>310000884614us-gaap:CorporateNonSegmentMemberugi:OffSystemSalesandCapacityReleasesMember2019-10-012020-03-310000884614ugi:UtilityOtherMember2019-10-012020-03-310000884614ugi:UtilityOtherMemberus-gaap:IntersegmentEliminationMember2019-10-012020-03-310000884</w:t>
      </w:r>
      <w:r>
        <w:rPr>
          <w:rFonts w:eastAsia="Times New Roman"/>
          <w:vanish/>
        </w:rPr>
        <w:t>614ugi:AmerigasPropaneMemberus-gaap:OperatingSegmentsMemberugi:UtilityOtherMember2019-10-012020-03-310000884614ugi:UGIInternationalMemberus-gaap:OperatingSegmentsMemberugi:UtilityOtherMember2019-10-012020-03-310000884614ugi:MidstreamAndMarketingMemberus-ga</w:t>
      </w:r>
      <w:r>
        <w:rPr>
          <w:rFonts w:eastAsia="Times New Roman"/>
          <w:vanish/>
        </w:rPr>
        <w:t>ap:OperatingSegmentsMemberugi:UtilityOtherMember2019-10-012020-03-310000884614ugi:UgiUtilitiesMemberus-gaap:OperatingSegmentsMemberugi:UtilityOtherMember2019-10-012020-03-310000884614us-gaap:CorporateNonSegmentMemberugi:UtilityOtherMember2019-10-012020-03-</w:t>
      </w:r>
      <w:r>
        <w:rPr>
          <w:rFonts w:eastAsia="Times New Roman"/>
          <w:vanish/>
        </w:rPr>
        <w:t>310000884614ugi:UtilityMember2019-10-012020-03-310000884614ugi:UtilityMemberus-gaap:IntersegmentEliminationMember2019-10-012020-03-310000884614ugi:UtilityMemberugi:AmerigasPropaneMemberus-gaap:OperatingSegmentsMember2019-10-012020-03-310000884614ugi:UGIInt</w:t>
      </w:r>
      <w:r>
        <w:rPr>
          <w:rFonts w:eastAsia="Times New Roman"/>
          <w:vanish/>
        </w:rPr>
        <w:t>ernationalMemberugi:UtilityMemberus-gaap:OperatingSegmentsMember2019-10-012020-03-310000884614ugi:UtilityMemberugi:MidstreamAndMarketingMemberus-gaap:OperatingSegmentsMember2019-10-012020-03-310000884614ugi:UtilityMemberugi:UgiUtilitiesMemberus-gaap:Operat</w:t>
      </w:r>
      <w:r>
        <w:rPr>
          <w:rFonts w:eastAsia="Times New Roman"/>
          <w:vanish/>
        </w:rPr>
        <w:t>ingSegmentsMember2019-10-012020-03-310000884614us-gaap:CorporateNonSegmentMemberugi:UtilityMember2019-10-012020-03-310000884614us-gaap:RetailMember2019-10-012020-03-310000884614us-gaap:RetailMemberus-gaap:IntersegmentEliminationMember2019-10-012020-03-3100</w:t>
      </w:r>
      <w:r>
        <w:rPr>
          <w:rFonts w:eastAsia="Times New Roman"/>
          <w:vanish/>
        </w:rPr>
        <w:t>00884614ugi:AmerigasPropaneMemberus-gaap:RetailMemberus-gaap:OperatingSegmentsMember2019-10-012020-03-310000884614ugi:UGIInternationalMemberus-gaap:RetailMemberus-gaap:OperatingSegmentsMember2019-10-012020-03-310000884614us-gaap:RetailMemberugi:MidstreamAn</w:t>
      </w:r>
      <w:r>
        <w:rPr>
          <w:rFonts w:eastAsia="Times New Roman"/>
          <w:vanish/>
        </w:rPr>
        <w:t>dMarketingMemberus-gaap:OperatingSegmentsMember2019-10-012020-03-310000884614ugi:UgiUtilitiesMemberus-gaap:RetailMemberus-gaap:OperatingSegmentsMember2019-10-012020-03-310000884614us-gaap:CorporateNonSegmentMemberus-gaap:RetailMember2019-10-012020-03-31000</w:t>
      </w:r>
      <w:r>
        <w:rPr>
          <w:rFonts w:eastAsia="Times New Roman"/>
          <w:vanish/>
        </w:rPr>
        <w:t>0884614ugi:WholesaleMember2019-10-012020-03-310000884614ugi:WholesaleMemberus-gaap:IntersegmentEliminationMember2019-10-012020-03-310000884614ugi:WholesaleMemberugi:AmerigasPropaneMemberus-gaap:OperatingSegmentsMember2019-10-012020-03-310000884614ugi:UGIIn</w:t>
      </w:r>
      <w:r>
        <w:rPr>
          <w:rFonts w:eastAsia="Times New Roman"/>
          <w:vanish/>
        </w:rPr>
        <w:t>ternationalMemberugi:WholesaleMemberus-gaap:OperatingSegmentsMember2019-10-012020-03-310000884614ugi:WholesaleMemberugi:MidstreamAndMarketingMemberus-gaap:OperatingSegmentsMember2019-10-012020-03-310000884614ugi:WholesaleMemberugi:UgiUtilitiesMemberus-gaap</w:t>
      </w:r>
      <w:r>
        <w:rPr>
          <w:rFonts w:eastAsia="Times New Roman"/>
          <w:vanish/>
        </w:rPr>
        <w:t>:OperatingSegmentsMember2019-10-012020-03-310000884614us-gaap:CorporateNonSegmentMemberugi:WholesaleMember2019-10-012020-03-310000884614ugi:EnergyMarketingMember2019-10-012020-03-310000884614us-gaap:IntersegmentEliminationMemberugi:EnergyMarketingMember201</w:t>
      </w:r>
      <w:r>
        <w:rPr>
          <w:rFonts w:eastAsia="Times New Roman"/>
          <w:vanish/>
        </w:rPr>
        <w:t>9-10-012020-03-310000884614ugi:AmerigasPropaneMemberus-gaap:OperatingSegmentsMemberugi:EnergyMarketingMember2019-10-012020-03-310000884614ugi:UGIInternationalMemberus-gaap:OperatingSegmentsMemberugi:EnergyMarketingMember2019-10-012020-03-310000884614ugi:Mi</w:t>
      </w:r>
      <w:r>
        <w:rPr>
          <w:rFonts w:eastAsia="Times New Roman"/>
          <w:vanish/>
        </w:rPr>
        <w:t>dstreamAndMarketingMemberus-gaap:OperatingSegmentsMemberugi:EnergyMarketingMember2019-10-012020-03-310000884614ugi:UgiUtilitiesMemberus-gaap:OperatingSegmentsMemberugi:EnergyMarketingMember2019-10-012020-03-310000884614us-gaap:CorporateNonSegmentMemberugi:</w:t>
      </w:r>
      <w:r>
        <w:rPr>
          <w:rFonts w:eastAsia="Times New Roman"/>
          <w:vanish/>
        </w:rPr>
        <w:t>EnergyMarketingMember2019-10-012020-03-310000884614ugi:PipelineMember2019-10-012020-03-310000884614ugi:PipelineMemberus-gaap:IntersegmentEliminationMember2019-10-012020-03-310000884614ugi:PipelineMemberugi:AmerigasPropaneMemberus-gaap:OperatingSegmentsMemb</w:t>
      </w:r>
      <w:r>
        <w:rPr>
          <w:rFonts w:eastAsia="Times New Roman"/>
          <w:vanish/>
        </w:rPr>
        <w:t>er2019-10-012020-03-310000884614ugi:UGIInternationalMemberugi:PipelineMemberus-gaap:OperatingSegmentsMember2019-10-012020-03-310000884614ugi:PipelineMemberugi:MidstreamAndMarketingMemberus-gaap:OperatingSegmentsMember2019-10-012020-03-310000884614ugi:Pipel</w:t>
      </w:r>
      <w:r>
        <w:rPr>
          <w:rFonts w:eastAsia="Times New Roman"/>
          <w:vanish/>
        </w:rPr>
        <w:t>ineMemberugi:UgiUtilitiesMemberus-gaap:OperatingSegmentsMember2019-10-012020-03-310000884614us-gaap:CorporateNonSegmentMemberugi:PipelineMember2019-10-012020-03-310000884614ugi:PeakingMember2019-10-012020-03-310000884614ugi:PeakingMemberus-gaap:Intersegmen</w:t>
      </w:r>
      <w:r>
        <w:rPr>
          <w:rFonts w:eastAsia="Times New Roman"/>
          <w:vanish/>
        </w:rPr>
        <w:t>tEliminationMember2019-10-012020-03-310000884614ugi:AmerigasPropaneMemberus-gaap:OperatingSegmentsMemberugi:PeakingMember2019-10-012020-03-310000884614ugi:UGIInternationalMemberus-gaap:OperatingSegmentsMemberugi:PeakingMember2019-10-012020-03-310000884614u</w:t>
      </w:r>
      <w:r>
        <w:rPr>
          <w:rFonts w:eastAsia="Times New Roman"/>
          <w:vanish/>
        </w:rPr>
        <w:t>gi:MidstreamAndMarketingMemberus-gaap:OperatingSegmentsMemberugi:PeakingMember2019-10-012020-03-310000884614ugi:UgiUtilitiesMemberus-gaap:OperatingSegmentsMemberugi:PeakingMember2019-10-012020-03-310000884614us-gaap:CorporateNonSegmentMemberugi:PeakingMemb</w:t>
      </w:r>
      <w:r>
        <w:rPr>
          <w:rFonts w:eastAsia="Times New Roman"/>
          <w:vanish/>
        </w:rPr>
        <w:t>er2019-10-012020-03-310000884614ugi:MidstreamOtherMember2019-10-012020-03-310000884614us-gaap:IntersegmentEliminationMemberugi:MidstreamOtherMember2019-10-012020-03-310000884614ugi:AmerigasPropaneMemberus-gaap:OperatingSegmentsMemberugi:MidstreamOtherMembe</w:t>
      </w:r>
      <w:r>
        <w:rPr>
          <w:rFonts w:eastAsia="Times New Roman"/>
          <w:vanish/>
        </w:rPr>
        <w:t>r2019-10-012020-03-310000884614ugi:UGIInternationalMemberus-gaap:OperatingSegmentsMemberugi:MidstreamOtherMember2019-10-012020-03-310000884614ugi:MidstreamAndMarketingMemberus-gaap:OperatingSegmentsMemberugi:MidstreamOtherMember2019-10-012020-03-3100008846</w:t>
      </w:r>
      <w:r>
        <w:rPr>
          <w:rFonts w:eastAsia="Times New Roman"/>
          <w:vanish/>
        </w:rPr>
        <w:t>14ugi:UgiUtilitiesMemberus-gaap:OperatingSegmentsMemberugi:MidstreamOtherMember2019-10-012020-03-310000884614us-gaap:CorporateNonSegmentMemberugi:MidstreamOtherMember2019-10-012020-03-310000884614us-gaap:ElectricityGenerationMember2019-10-012020-03-3100008</w:t>
      </w:r>
      <w:r>
        <w:rPr>
          <w:rFonts w:eastAsia="Times New Roman"/>
          <w:vanish/>
        </w:rPr>
        <w:t>84614us-gaap:ElectricityGenerationMemberus-gaap:IntersegmentEliminationMember2019-10-012020-03-310000884614ugi:AmerigasPropaneMemberus-gaap:ElectricityGenerationMemberus-gaap:OperatingSegmentsMember2019-10-012020-03-310000884614ugi:UGIInternationalMemberus</w:t>
      </w:r>
      <w:r>
        <w:rPr>
          <w:rFonts w:eastAsia="Times New Roman"/>
          <w:vanish/>
        </w:rPr>
        <w:t>-gaap:ElectricityGenerationMemberus-gaap:OperatingSegmentsMember2019-10-012020-03-310000884614ugi:MidstreamAndMarketingMemberus-gaap:ElectricityGenerationMemberus-gaap:OperatingSegmentsMember2019-10-012020-03-310000884614ugi:UgiUtilitiesMemberus-gaap:Elect</w:t>
      </w:r>
      <w:r>
        <w:rPr>
          <w:rFonts w:eastAsia="Times New Roman"/>
          <w:vanish/>
        </w:rPr>
        <w:t>ricityGenerationMemberus-gaap:OperatingSegmentsMember2019-10-012020-03-310000884614us-gaap:CorporateNonSegmentMemberus-gaap:ElectricityGenerationMember2019-10-012020-03-310000884614ugi:NonutilityOtherMember2019-10-012020-03-310000884614ugi:NonutilityOtherM</w:t>
      </w:r>
      <w:r>
        <w:rPr>
          <w:rFonts w:eastAsia="Times New Roman"/>
          <w:vanish/>
        </w:rPr>
        <w:t>emberus-gaap:IntersegmentEliminationMember2019-10-012020-03-310000884614ugi:NonutilityOtherMemberugi:AmerigasPropaneMemberus-gaap:OperatingSegmentsMember2019-10-012020-03-310000884614ugi:UGIInternationalMemberugi:NonutilityOtherMemberus-gaap:OperatingSegme</w:t>
      </w:r>
      <w:r>
        <w:rPr>
          <w:rFonts w:eastAsia="Times New Roman"/>
          <w:vanish/>
        </w:rPr>
        <w:t>ntsMember2019-10-012020-03-310000884614ugi:NonutilityOtherMemberugi:MidstreamAndMarketingMemberus-gaap:OperatingSegmentsMember2019-10-012020-03-310000884614ugi:NonutilityOtherMemberugi:UgiUtilitiesMemberus-gaap:OperatingSegmentsMember2019-10-012020-03-3100</w:t>
      </w:r>
      <w:r>
        <w:rPr>
          <w:rFonts w:eastAsia="Times New Roman"/>
          <w:vanish/>
        </w:rPr>
        <w:t>00884614us-gaap:CorporateNonSegmentMemberugi:NonutilityOtherMember2019-10-012020-03-310000884614ugi:NonutilityMember2019-10-012020-03-310000884614ugi:NonutilityMemberus-gaap:IntersegmentEliminationMember2019-10-012020-03-310000884614ugi:NonutilityMemberugi</w:t>
      </w:r>
      <w:r>
        <w:rPr>
          <w:rFonts w:eastAsia="Times New Roman"/>
          <w:vanish/>
        </w:rPr>
        <w:t>:AmerigasPropaneMemberus-gaap:OperatingSegmentsMember2019-10-012020-03-310000884614ugi:UGIInternationalMemberugi:NonutilityMemberus-gaap:OperatingSegmentsMember2019-10-012020-03-310000884614ugi:NonutilityMemberugi:MidstreamAndMarketingMemberus-gaap:Operati</w:t>
      </w:r>
      <w:r>
        <w:rPr>
          <w:rFonts w:eastAsia="Times New Roman"/>
          <w:vanish/>
        </w:rPr>
        <w:t>ngSegmentsMember2019-10-012020-03-310000884614ugi:NonutilityMemberugi:UgiUtilitiesMemberus-gaap:OperatingSegmentsMember2019-10-012020-03-310000884614us-gaap:CorporateNonSegmentMemberugi:NonutilityMember2019-10-012020-03-310000884614us-gaap:IntersegmentElim</w:t>
      </w:r>
      <w:r>
        <w:rPr>
          <w:rFonts w:eastAsia="Times New Roman"/>
          <w:vanish/>
        </w:rPr>
        <w:t>inationMember2019-10-012020-03-310000884614ugi:AmerigasPropaneMemberus-gaap:OperatingSegmentsMember2019-10-012020-03-310000884614ugi:UGIInternationalMemberus-gaap:OperatingSegmentsMember2019-10-012020-03-310000884614ugi:MidstreamAndMarketingMemberus-gaap:O</w:t>
      </w:r>
      <w:r>
        <w:rPr>
          <w:rFonts w:eastAsia="Times New Roman"/>
          <w:vanish/>
        </w:rPr>
        <w:t>peratingSegmentsMember2019-10-012020-03-310000884614ugi:UgiUtilitiesMemberus-gaap:OperatingSegmentsMember2019-10-012020-03-310000884614us-gaap:CorporateNonSegmentMember2019-10-012020-03-310000884614ugi:MidstreamAndMarketingMember2021-03-310000884614ugi:Ugi</w:t>
      </w:r>
      <w:r>
        <w:rPr>
          <w:rFonts w:eastAsia="Times New Roman"/>
          <w:vanish/>
        </w:rPr>
        <w:t>UtilitiesMember2020-03-310000884614ugi:NonUtilityLpgAndNaturalGasMember2021-03-310000884614ugi:NonUtilityLpgAndNaturalGasMember2020-09-300000884614ugi:NonUtilityLpgAndNaturalGasMember2020-03-310000884614ugi:GasUtilityNaturalGasMember2021-03-310000884614ugi</w:t>
      </w:r>
      <w:r>
        <w:rPr>
          <w:rFonts w:eastAsia="Times New Roman"/>
          <w:vanish/>
        </w:rPr>
        <w:t>:GasUtilityNaturalGasMember2020-09-300000884614ugi:GasUtilityNaturalGasMember2020-03-310000884614ugi:MaterialsSuppliesAndOtherMember2021-03-310000884614ugi:MaterialsSuppliesAndOtherMember2020-09-300000884614ugi:MaterialsSuppliesAndOtherMember2020-03-310000</w:t>
      </w:r>
      <w:r>
        <w:rPr>
          <w:rFonts w:eastAsia="Times New Roman"/>
          <w:vanish/>
        </w:rPr>
        <w:t>884614ugi:IncomeTaxesRecoverableMemberugi:UgiUtilitiesMember2021-03-310000884614ugi:IncomeTaxesRecoverableMemberugi:UgiUtilitiesMember2020-09-300000884614ugi:IncomeTaxesRecoverableMemberugi:UgiUtilitiesMember2020-03-310000884614us-gaap:PensionCostsMemberug</w:t>
      </w:r>
      <w:r>
        <w:rPr>
          <w:rFonts w:eastAsia="Times New Roman"/>
          <w:vanish/>
        </w:rPr>
        <w:t>i:UgiUtilitiesMember2021-03-310000884614us-gaap:PensionCostsMemberugi:UgiUtilitiesMember2020-09-300000884614us-gaap:PensionCostsMemberugi:UgiUtilitiesMember2020-03-310000884614us-gaap:EnvironmentalRestorationCostsMemberugi:UgiUtilitiesMember2021-03-3100008</w:t>
      </w:r>
      <w:r>
        <w:rPr>
          <w:rFonts w:eastAsia="Times New Roman"/>
          <w:vanish/>
        </w:rPr>
        <w:t>84614us-gaap:EnvironmentalRestorationCostsMemberugi:UgiUtilitiesMember2020-09-300000884614us-gaap:EnvironmentalRestorationCostsMemberugi:UgiUtilitiesMember2020-03-310000884614ugi:RemovalCostsNetMemberugi:UgiUtilitiesMember2021-03-310000884614ugi:RemovalCos</w:t>
      </w:r>
      <w:r>
        <w:rPr>
          <w:rFonts w:eastAsia="Times New Roman"/>
          <w:vanish/>
        </w:rPr>
        <w:t>tsNetMemberugi:UgiUtilitiesMember2020-09-300000884614ugi:RemovalCostsNetMemberugi:UgiUtilitiesMember2020-03-310000884614ugi:OtherRegulatoryAssetsMemberugi:UgiUtilitiesMember2021-03-310000884614ugi:OtherRegulatoryAssetsMemberugi:UgiUtilitiesMember2020-09-30</w:t>
      </w:r>
      <w:r>
        <w:rPr>
          <w:rFonts w:eastAsia="Times New Roman"/>
          <w:vanish/>
        </w:rPr>
        <w:t>0000884614ugi:OtherRegulatoryAssetsMemberugi:UgiUtilitiesMember2020-03-310000884614ugi:UgiUtilitiesMember2021-03-310000884614ugi:UgiUtilitiesMember2020-09-300000884614ugi:UgiUtilitiesMember2020-03-310000884614us-gaap:PostretirementBenefitCostsMemberugi:Ugi</w:t>
      </w:r>
      <w:r>
        <w:rPr>
          <w:rFonts w:eastAsia="Times New Roman"/>
          <w:vanish/>
        </w:rPr>
        <w:t>UtilitiesMember2021-03-310000884614us-gaap:PostretirementBenefitCostsMemberugi:UgiUtilitiesMember2020-09-300000884614us-gaap:PostretirementBenefitCostsMemberugi:UgiUtilitiesMember2020-03-310000884614ugi:DeferredFuelAndPowerRefundsMemberugi:UgiUtilitiesMemb</w:t>
      </w:r>
      <w:r>
        <w:rPr>
          <w:rFonts w:eastAsia="Times New Roman"/>
          <w:vanish/>
        </w:rPr>
        <w:t>er2021-03-310000884614ugi:DeferredFuelAndPowerRefundsMemberugi:UgiUtilitiesMember2020-09-300000884614ugi:DeferredFuelAndPowerRefundsMemberugi:UgiUtilitiesMember2020-03-310000884614us-gaap:DeferredIncomeTaxChargesMemberugi:UgiUtilitiesMember2021-03-31000088</w:t>
      </w:r>
      <w:r>
        <w:rPr>
          <w:rFonts w:eastAsia="Times New Roman"/>
          <w:vanish/>
        </w:rPr>
        <w:t>4614us-gaap:DeferredIncomeTaxChargesMemberugi:UgiUtilitiesMember2020-09-300000884614us-gaap:DeferredIncomeTaxChargesMemberugi:UgiUtilitiesMember2020-03-310000884614ugi:PAPUCTemporaryRatesOrderMemberugi:UgiUtilitiesMember2021-03-310000884614ugi:PAPUCTempora</w:t>
      </w:r>
      <w:r>
        <w:rPr>
          <w:rFonts w:eastAsia="Times New Roman"/>
          <w:vanish/>
        </w:rPr>
        <w:t>ryRatesOrderMemberugi:UgiUtilitiesMember2020-09-300000884614ugi:PAPUCTemporaryRatesOrderMemberugi:UgiUtilitiesMember2020-03-310000884614ugi:ExcessFederalDeferredIncomeTaxesMemberugi:UgiUtilitiesMember2021-03-310000884614ugi:ExcessFederalDeferredIncomeTaxes</w:t>
      </w:r>
      <w:r>
        <w:rPr>
          <w:rFonts w:eastAsia="Times New Roman"/>
          <w:vanish/>
        </w:rPr>
        <w:t>Memberugi:UgiUtilitiesMember2020-09-300000884614ugi:ExcessFederalDeferredIncomeTaxesMemberugi:UgiUtilitiesMember2020-03-310000884614us-gaap:OtherLiabilitiesMemberugi:UgiUtilitiesMember2021-03-310000884614us-gaap:OtherLiabilitiesMemberugi:UgiUtilitiesMember</w:t>
      </w:r>
      <w:r>
        <w:rPr>
          <w:rFonts w:eastAsia="Times New Roman"/>
          <w:vanish/>
        </w:rPr>
        <w:t>2020-09-300000884614us-gaap:OtherLiabilitiesMemberugi:UgiUtilitiesMember2020-03-310000884614ugi:GasUtilityMember2021-03-310000884614ugi:GasUtilityMember2020-09-300000884614ugi:GasUtilityMember2020-03-310000884614ugi:PennsylvaniaPublicUtilityCommissionMembe</w:t>
      </w:r>
      <w:r>
        <w:rPr>
          <w:rFonts w:eastAsia="Times New Roman"/>
          <w:vanish/>
        </w:rPr>
        <w:t>rugi:UGIElectricMember2021-02-082021-02-080000884614ugi:UGIGasMemberugi:PennsylvaniaPublicUtilityCommissionMember2020-01-282020-01-280000884614ugi:UGIGasMemberugi:PennsylvaniaPublicUtilityCommissionMember2020-10-082020-10-080000884614ugi:UGIGasMemberugi:Pu</w:t>
      </w:r>
      <w:r>
        <w:rPr>
          <w:rFonts w:eastAsia="Times New Roman"/>
          <w:vanish/>
        </w:rPr>
        <w:t>blicUtilityRequestedRateIncreaseTermOneMemberugi:PennsylvaniaPublicUtilityCommissionMember2020-10-082020-10-080000884614ugi:UGIGasMemberugi:PennsylvaniaPublicUtilityCommissionMemberugi:PublicUtilityRequestedRateIncreaseTermTwoMember2020-10-082020-10-080000</w:t>
      </w:r>
      <w:r>
        <w:rPr>
          <w:rFonts w:eastAsia="Times New Roman"/>
          <w:vanish/>
        </w:rPr>
        <w:t>884614ugi:UGIGasMemberugi:PennsylvaniaPublicUtilityCommissionMember2020-10-080000884614ugi:UGIGasMemberugi:PennsylvaniaPublicUtilityCommissionMember2019-01-282019-01-280000884614ugi:UGIGasMemberugi:PennsylvaniaPublicUtilityCommissionMember2019-10-112019-10</w:t>
      </w:r>
      <w:r>
        <w:rPr>
          <w:rFonts w:eastAsia="Times New Roman"/>
          <w:vanish/>
        </w:rPr>
        <w:t>-110000884614us-gaap:LineOfCreditMemberus-gaap:SubsequentEventMemberus-gaap:RevolvingCreditFacilityMember2021-04-292021-04-290000884614us-gaap:LineOfCreditMemberus-gaap:SubsequentEventMemberus-gaap:RevolvingCreditFacilityMember2021-04-300000884614us-gaap:L</w:t>
      </w:r>
      <w:r>
        <w:rPr>
          <w:rFonts w:eastAsia="Times New Roman"/>
          <w:vanish/>
        </w:rPr>
        <w:t>ineOfCreditMemberus-gaap:RevolvingCreditFacilityMember2021-03-310000884614us-gaap:SubsequentEventMemberugi:UGICorporationSeniorCreditFacilityMemberugi:TermLoanMember2021-05-032021-05-030000884614us-gaap:SubsequentEventMemberugi:UGICorporationSeniorCreditFa</w:t>
      </w:r>
      <w:r>
        <w:rPr>
          <w:rFonts w:eastAsia="Times New Roman"/>
          <w:vanish/>
        </w:rPr>
        <w:t>cilityMemberugi:TermLoanMember2021-05-030000884614us-gaap:SubsequentEventMemberugi:UGICorporationSeniorCreditFacilityMemberugi:TermLoanMember2021-05-042021-05-040000884614us-gaap:SubsequentEventMemberugi:UGICorporationSeniorCreditFacilityMemberugi:TermLoan</w:t>
      </w:r>
      <w:r>
        <w:rPr>
          <w:rFonts w:eastAsia="Times New Roman"/>
          <w:vanish/>
        </w:rPr>
        <w:t>Member2021-05-040000884614us-gaap:LineOfCreditMemberus-gaap:SubsequentEventMemberus-gaap:PrimeRateMembersrt:MinimumMemberugi:UGICorporationSeniorCreditFacilityMember2021-05-042021-05-040000884614us-gaap:LineOfCreditMemberus-gaap:SubsequentEventMemberus-gaa</w:t>
      </w:r>
      <w:r>
        <w:rPr>
          <w:rFonts w:eastAsia="Times New Roman"/>
          <w:vanish/>
        </w:rPr>
        <w:t>p:PrimeRateMembersrt:MaximumMemberugi:UGICorporationSeniorCreditFacilityMember2021-05-042021-05-040000884614us-gaap:LineOfCreditMemberus-gaap:SubsequentEventMembersrt:MinimumMemberus-gaap:LondonInterbankOfferedRateLIBORMemberugi:UGICorporationSeniorCreditF</w:t>
      </w:r>
      <w:r>
        <w:rPr>
          <w:rFonts w:eastAsia="Times New Roman"/>
          <w:vanish/>
        </w:rPr>
        <w:t>acilityMember2021-05-042021-05-040000884614us-gaap:LineOfCreditMemberus-gaap:SubsequentEventMemberus-gaap:LondonInterbankOfferedRateLIBORMembersrt:MaximumMemberugi:UGICorporationSeniorCreditFacilityMember2021-05-042021-05-040000884614us-gaap:LineOfCreditMe</w:t>
      </w:r>
      <w:r>
        <w:rPr>
          <w:rFonts w:eastAsia="Times New Roman"/>
          <w:vanish/>
        </w:rPr>
        <w:t>mberus-gaap:SubsequentEventMemberugi:UGICorporationSeniorCreditFacilityMember2021-05-04ugi:subsidiary0000884614ugi:PNGandCPGMemberugi:UgiUtilitiesMember2021-03-310000884614ugi:CPGCOA.PNGCOAandUGIGasCOAMember2021-03-310000884614ugi:CPGCOA.PNGCOAandUGIGasCOA</w:t>
      </w:r>
      <w:r>
        <w:rPr>
          <w:rFonts w:eastAsia="Times New Roman"/>
          <w:vanish/>
        </w:rPr>
        <w:t>Member2020-09-300000884614ugi:CPGCOA.PNGCOAandUGIGasCOAMember2020-03-31ugi:record_of_decision0000884614ugi:NewYorkStateDepartmentofEnvironmentConservationRemediationPlanMemberugi:SaranacLakeNewYorkMemberugi:AmeriGasOLPMember2017-01-012017-12-310000884614ug</w:t>
      </w:r>
      <w:r>
        <w:rPr>
          <w:rFonts w:eastAsia="Times New Roman"/>
          <w:vanish/>
        </w:rPr>
        <w:t>i:NewYorkStateDepartmentofEnvironmentConservationRemediationPlanMemberugi:SaranacLakeNewYorkMemberugi:AmeriGasOLPMember2017-12-310000884614ugi:NewYorkStateDepartmentofEnvironmentConservationRemediationPlanMemberugi:SaranacLakeNewYorkMemberugi:AmeriGasOLPMe</w:t>
      </w:r>
      <w:r>
        <w:rPr>
          <w:rFonts w:eastAsia="Times New Roman"/>
          <w:vanish/>
        </w:rPr>
        <w:t>mber2021-03-31utr:lb00008846142007-01-012007-12-3100008846142008-01-012008-12-310000884614us-gaap:PensionPlansDefinedBenefitMember2021-01-012021-03-310000884614us-gaap:PensionPlansDefinedBenefitMember2020-01-012020-03-310000884614us-gaap:PensionPlansDefine</w:t>
      </w:r>
      <w:r>
        <w:rPr>
          <w:rFonts w:eastAsia="Times New Roman"/>
          <w:vanish/>
        </w:rPr>
        <w:t>dBenefitMember2020-10-012021-03-310000884614us-gaap:PensionPlansDefinedBenefitMember2019-10-012020-03-310000884614us-gaap:FairValueMeasurementsRecurringMemberus-gaap:CommodityContractMemberus-gaap:FairValueInputsLevel1Member2021-03-310000884614us-gaap:Fair</w:t>
      </w:r>
      <w:r>
        <w:rPr>
          <w:rFonts w:eastAsia="Times New Roman"/>
          <w:vanish/>
        </w:rPr>
        <w:t>ValueMeasurementsRecurringMemberus-gaap:CommodityContractMemberus-gaap:FairValueInputsLevel2Member2021-03-310000884614us-gaap:FairValueInputsLevel3Memberus-gaap:FairValueMeasurementsRecurringMemberus-gaap:CommodityContractMember2021-03-310000884614us-gaap:</w:t>
      </w:r>
      <w:r>
        <w:rPr>
          <w:rFonts w:eastAsia="Times New Roman"/>
          <w:vanish/>
        </w:rPr>
        <w:t>FairValueMeasurementsRecurringMemberus-gaap:CommodityContractMember2021-03-310000884614us-gaap:FairValueMeasurementsRecurringMemberus-gaap:FairValueInputsLevel1Memberus-gaap:ForeignExchangeContractMember2021-03-310000884614us-gaap:FairValueMeasurementsRecu</w:t>
      </w:r>
      <w:r>
        <w:rPr>
          <w:rFonts w:eastAsia="Times New Roman"/>
          <w:vanish/>
        </w:rPr>
        <w:t>rringMemberus-gaap:FairValueInputsLevel2Memberus-gaap:ForeignExchangeContractMember2021-03-310000884614us-gaap:FairValueInputsLevel3Memberus-gaap:FairValueMeasurementsRecurringMemberus-gaap:ForeignExchangeContractMember2021-03-310000884614us-gaap:FairValue</w:t>
      </w:r>
      <w:r>
        <w:rPr>
          <w:rFonts w:eastAsia="Times New Roman"/>
          <w:vanish/>
        </w:rPr>
        <w:t>MeasurementsRecurringMemberus-gaap:ForeignExchangeContractMember2021-03-310000884614us-gaap:FairValueMeasurementsRecurringMemberus-gaap:FairValueInputsLevel1Memberus-gaap:InterestRateContractMember2021-03-310000884614us-gaap:FairValueMeasurementsRecurringM</w:t>
      </w:r>
      <w:r>
        <w:rPr>
          <w:rFonts w:eastAsia="Times New Roman"/>
          <w:vanish/>
        </w:rPr>
        <w:t>emberus-gaap:FairValueInputsLevel2Memberus-gaap:InterestRateContractMember2021-03-310000884614us-gaap:FairValueInputsLevel3Memberus-gaap:FairValueMeasurementsRecurringMemberus-gaap:InterestRateContractMember2021-03-310000884614us-gaap:FairValueMeasurements</w:t>
      </w:r>
      <w:r>
        <w:rPr>
          <w:rFonts w:eastAsia="Times New Roman"/>
          <w:vanish/>
        </w:rPr>
        <w:t>RecurringMemberus-gaap:InterestRateContractMember2021-03-310000884614us-gaap:FairValueMeasurementsRecurringMemberus-gaap:FairValueInputsLevel1Member2021-03-310000884614us-gaap:FairValueMeasurementsRecurringMemberus-gaap:FairValueInputsLevel2Member2021-03-3</w:t>
      </w:r>
      <w:r>
        <w:rPr>
          <w:rFonts w:eastAsia="Times New Roman"/>
          <w:vanish/>
        </w:rPr>
        <w:t>10000884614us-gaap:FairValueInputsLevel3Memberus-gaap:FairValueMeasurementsRecurringMember2021-03-310000884614us-gaap:FairValueMeasurementsRecurringMember2021-03-310000884614us-gaap:FairValueMeasurementsRecurringMemberus-gaap:CommodityContractMemberus-gaap</w:t>
      </w:r>
      <w:r>
        <w:rPr>
          <w:rFonts w:eastAsia="Times New Roman"/>
          <w:vanish/>
        </w:rPr>
        <w:t>:FairValueInputsLevel1Member2020-09-300000884614us-gaap:FairValueMeasurementsRecurringMemberus-gaap:CommodityContractMemberus-gaap:FairValueInputsLevel2Member2020-09-300000884614us-gaap:FairValueInputsLevel3Memberus-gaap:FairValueMeasurementsRecurringMembe</w:t>
      </w:r>
      <w:r>
        <w:rPr>
          <w:rFonts w:eastAsia="Times New Roman"/>
          <w:vanish/>
        </w:rPr>
        <w:t>rus-gaap:CommodityContractMember2020-09-300000884614us-gaap:FairValueMeasurementsRecurringMemberus-gaap:CommodityContractMember2020-09-300000884614us-gaap:FairValueMeasurementsRecurringMemberus-gaap:FairValueInputsLevel1Memberus-gaap:ForeignExchangeContrac</w:t>
      </w:r>
      <w:r>
        <w:rPr>
          <w:rFonts w:eastAsia="Times New Roman"/>
          <w:vanish/>
        </w:rPr>
        <w:t>tMember2020-09-300000884614us-gaap:FairValueMeasurementsRecurringMemberus-gaap:FairValueInputsLevel2Memberus-gaap:ForeignExchangeContractMember2020-09-300000884614us-gaap:FairValueInputsLevel3Memberus-gaap:FairValueMeasurementsRecurringMemberus-gaap:Foreig</w:t>
      </w:r>
      <w:r>
        <w:rPr>
          <w:rFonts w:eastAsia="Times New Roman"/>
          <w:vanish/>
        </w:rPr>
        <w:t>nExchangeContractMember2020-09-300000884614us-gaap:FairValueMeasurementsRecurringMemberus-gaap:ForeignExchangeContractMember2020-09-300000884614us-gaap:FairValueMeasurementsRecurringMemberus-gaap:FairValueInputsLevel1Memberus-gaap:InterestRateContractMembe</w:t>
      </w:r>
      <w:r>
        <w:rPr>
          <w:rFonts w:eastAsia="Times New Roman"/>
          <w:vanish/>
        </w:rPr>
        <w:t>r2020-09-300000884614us-gaap:FairValueMeasurementsRecurringMemberus-gaap:FairValueInputsLevel2Memberus-gaap:InterestRateContractMember2020-09-300000884614us-gaap:FairValueInputsLevel3Memberus-gaap:FairValueMeasurementsRecurringMemberus-gaap:InterestRateCon</w:t>
      </w:r>
      <w:r>
        <w:rPr>
          <w:rFonts w:eastAsia="Times New Roman"/>
          <w:vanish/>
        </w:rPr>
        <w:t>tractMember2020-09-300000884614us-gaap:FairValueMeasurementsRecurringMemberus-gaap:InterestRateContractMember2020-09-300000884614us-gaap:FairValueMeasurementsRecurringMemberus-gaap:FairValueInputsLevel1Member2020-09-300000884614us-gaap:FairValueMeasurement</w:t>
      </w:r>
      <w:r>
        <w:rPr>
          <w:rFonts w:eastAsia="Times New Roman"/>
          <w:vanish/>
        </w:rPr>
        <w:t>sRecurringMemberus-gaap:FairValueInputsLevel2Member2020-09-300000884614us-gaap:FairValueInputsLevel3Memberus-gaap:FairValueMeasurementsRecurringMember2020-09-300000884614us-gaap:FairValueMeasurementsRecurringMember2020-09-300000884614us-gaap:FairValueMeasu</w:t>
      </w:r>
      <w:r>
        <w:rPr>
          <w:rFonts w:eastAsia="Times New Roman"/>
          <w:vanish/>
        </w:rPr>
        <w:t>rementsRecurringMemberus-gaap:CommodityContractMemberus-gaap:FairValueInputsLevel1Member2020-03-310000884614us-gaap:FairValueMeasurementsRecurringMemberus-gaap:CommodityContractMemberus-gaap:FairValueInputsLevel2Member2020-03-310000884614us-gaap:FairValueI</w:t>
      </w:r>
      <w:r>
        <w:rPr>
          <w:rFonts w:eastAsia="Times New Roman"/>
          <w:vanish/>
        </w:rPr>
        <w:t>nputsLevel3Memberus-gaap:FairValueMeasurementsRecurringMemberus-gaap:CommodityContractMember2020-03-310000884614us-gaap:FairValueMeasurementsRecurringMemberus-gaap:CommodityContractMember2020-03-310000884614us-gaap:FairValueMeasurementsRecurringMemberus-ga</w:t>
      </w:r>
      <w:r>
        <w:rPr>
          <w:rFonts w:eastAsia="Times New Roman"/>
          <w:vanish/>
        </w:rPr>
        <w:t>ap:FairValueInputsLevel1Memberus-gaap:ForeignExchangeContractMember2020-03-310000884614us-gaap:FairValueMeasurementsRecurringMemberus-gaap:FairValueInputsLevel2Memberus-gaap:ForeignExchangeContractMember2020-03-310000884614us-gaap:FairValueInputsLevel3Memb</w:t>
      </w:r>
      <w:r>
        <w:rPr>
          <w:rFonts w:eastAsia="Times New Roman"/>
          <w:vanish/>
        </w:rPr>
        <w:t>erus-gaap:FairValueMeasurementsRecurringMemberus-gaap:ForeignExchangeContractMember2020-03-310000884614us-gaap:FairValueMeasurementsRecurringMemberus-gaap:ForeignExchangeContractMember2020-03-310000884614us-gaap:FairValueMeasurementsRecurringMemberus-gaap:</w:t>
      </w:r>
      <w:r>
        <w:rPr>
          <w:rFonts w:eastAsia="Times New Roman"/>
          <w:vanish/>
        </w:rPr>
        <w:t>FairValueInputsLevel1Memberus-gaap:InterestRateContractMember2020-03-310000884614us-gaap:FairValueMeasurementsRecurringMemberus-gaap:FairValueInputsLevel2Memberus-gaap:InterestRateContractMember2020-03-310000884614us-gaap:FairValueInputsLevel3Memberus-gaap</w:t>
      </w:r>
      <w:r>
        <w:rPr>
          <w:rFonts w:eastAsia="Times New Roman"/>
          <w:vanish/>
        </w:rPr>
        <w:t>:FairValueMeasurementsRecurringMemberus-gaap:InterestRateContractMember2020-03-310000884614us-gaap:FairValueMeasurementsRecurringMemberus-gaap:InterestRateContractMember2020-03-310000884614us-gaap:FairValueMeasurementsRecurringMemberus-gaap:FairValueInputs</w:t>
      </w:r>
      <w:r>
        <w:rPr>
          <w:rFonts w:eastAsia="Times New Roman"/>
          <w:vanish/>
        </w:rPr>
        <w:t>Level1Member2020-03-310000884614us-gaap:FairValueMeasurementsRecurringMemberus-gaap:FairValueInputsLevel2Member2020-03-310000884614us-gaap:FairValueInputsLevel3Memberus-gaap:FairValueMeasurementsRecurringMember2020-03-310000884614us-gaap:FairValueMeasureme</w:t>
      </w:r>
      <w:r>
        <w:rPr>
          <w:rFonts w:eastAsia="Times New Roman"/>
          <w:vanish/>
        </w:rPr>
        <w:t>ntsRecurringMember2020-03-310000884614us-gaap:CarryingReportedAmountFairValueDisclosureMember2021-03-310000884614us-gaap:CarryingReportedAmountFairValueDisclosureMember2020-09-300000884614us-gaap:CarryingReportedAmountFairValueDisclosureMember2020-03-31000</w:t>
      </w:r>
      <w:r>
        <w:rPr>
          <w:rFonts w:eastAsia="Times New Roman"/>
          <w:vanish/>
        </w:rPr>
        <w:t>0884614us-gaap:EstimateOfFairValueFairValueDisclosureMember2021-03-310000884614us-gaap:EstimateOfFairValueFairValueDisclosureMember2020-09-300000884614us-gaap:EstimateOfFairValueFairValueDisclosureMember2020-03-310000884614ugi:InterestRateProtectionAgreeme</w:t>
      </w:r>
      <w:r>
        <w:rPr>
          <w:rFonts w:eastAsia="Times New Roman"/>
          <w:vanish/>
        </w:rPr>
        <w:t>ntsMember2020-03-310000884614ugi:InterestRateProtectionAgreementsMember2020-09-300000884614ugi:InterestRateProtectionAgreementsMember2021-03-310000884614us-gaap:ForeignExchangeForwardMember2021-03-31ugi:DTH0000884614us-gaap:CommodityContractMemberus-gaap:R</w:t>
      </w:r>
      <w:r>
        <w:rPr>
          <w:rFonts w:eastAsia="Times New Roman"/>
          <w:vanish/>
        </w:rPr>
        <w:t>egulatedOperationMemberugi:NaturalGasMember2021-03-310000884614us-gaap:CommodityContractMemberus-gaap:RegulatedOperationMemberugi:NaturalGasMember2020-09-300000884614us-gaap:CommodityContractMemberus-gaap:RegulatedOperationMemberugi:NaturalGasMember2020-03</w:t>
      </w:r>
      <w:r>
        <w:rPr>
          <w:rFonts w:eastAsia="Times New Roman"/>
          <w:vanish/>
        </w:rPr>
        <w:t>-31utr:gal0000884614us-gaap:UnregulatedOperationMemberus-gaap:CommodityContractMemberus-gaap:PublicUtilitiesInventoryPropaneMember2021-03-310000884614us-gaap:UnregulatedOperationMemberus-gaap:CommodityContractMemberus-gaap:PublicUtilitiesInventoryPropaneMe</w:t>
      </w:r>
      <w:r>
        <w:rPr>
          <w:rFonts w:eastAsia="Times New Roman"/>
          <w:vanish/>
        </w:rPr>
        <w:t>mber2020-09-300000884614us-gaap:UnregulatedOperationMemberus-gaap:CommodityContractMemberus-gaap:PublicUtilitiesInventoryPropaneMember2020-03-310000884614ugi:NaturalGasFuturesForwardAndPipelineContractsMemberus-gaap:UnregulatedOperationMemberugi:NaturalGas</w:t>
      </w:r>
      <w:r>
        <w:rPr>
          <w:rFonts w:eastAsia="Times New Roman"/>
          <w:vanish/>
        </w:rPr>
        <w:t>Member2021-03-310000884614ugi:NaturalGasFuturesForwardAndPipelineContractsMemberus-gaap:UnregulatedOperationMemberugi:NaturalGasMember2020-09-300000884614ugi:NaturalGasFuturesForwardAndPipelineContractsMemberus-gaap:UnregulatedOperationMemberugi:NaturalGas</w:t>
      </w:r>
      <w:r>
        <w:rPr>
          <w:rFonts w:eastAsia="Times New Roman"/>
          <w:vanish/>
        </w:rPr>
        <w:t>Member2020-03-31utr:kWh0000884614us-gaap:UnregulatedOperationMemberus-gaap:CommodityContractMemberus-gaap:LongMemberus-gaap:ElectricityMember2021-03-310000884614us-gaap:UnregulatedOperationMemberus-gaap:CommodityContractMemberus-gaap:LongMemberus-gaap:Elec</w:t>
      </w:r>
      <w:r>
        <w:rPr>
          <w:rFonts w:eastAsia="Times New Roman"/>
          <w:vanish/>
        </w:rPr>
        <w:t>tricityMember2020-09-300000884614us-gaap:UnregulatedOperationMemberus-gaap:CommodityContractMemberus-gaap:LongMemberus-gaap:ElectricityMember2020-03-31iso4217:EUR0000884614us-gaap:InterestRateSwapMember2021-03-310000884614us-gaap:InterestRateSwapMember2020</w:t>
      </w:r>
      <w:r>
        <w:rPr>
          <w:rFonts w:eastAsia="Times New Roman"/>
          <w:vanish/>
        </w:rPr>
        <w:t>-09-300000884614us-gaap:InterestRateSwapMember2020-03-310000884614us-gaap:ForeignExchangeContractMember2021-03-310000884614us-gaap:ForeignExchangeContractMember2020-09-300000884614us-gaap:ForeignExchangeContractMember2020-03-310000884614us-gaap:DesignatedA</w:t>
      </w:r>
      <w:r>
        <w:rPr>
          <w:rFonts w:eastAsia="Times New Roman"/>
          <w:vanish/>
        </w:rPr>
        <w:t>sHedgingInstrumentMemberus-gaap:ForeignExchangeContractMember2021-03-310000884614us-gaap:DesignatedAsHedgingInstrumentMemberus-gaap:ForeignExchangeContractMember2020-09-300000884614us-gaap:DesignatedAsHedgingInstrumentMemberus-gaap:ForeignExchangeContractM</w:t>
      </w:r>
      <w:r>
        <w:rPr>
          <w:rFonts w:eastAsia="Times New Roman"/>
          <w:vanish/>
        </w:rPr>
        <w:t>ember2020-03-310000884614us-gaap:CommodityContractMember2021-03-310000884614us-gaap:CommodityContractMember2020-09-300000884614us-gaap:CommodityContractMember2020-03-310000884614us-gaap:NondesignatedMemberus-gaap:CommodityContractMember2021-03-310000884614</w:t>
      </w:r>
      <w:r>
        <w:rPr>
          <w:rFonts w:eastAsia="Times New Roman"/>
          <w:vanish/>
        </w:rPr>
        <w:t>us-gaap:NondesignatedMemberus-gaap:CommodityContractMember2020-09-300000884614us-gaap:NondesignatedMemberus-gaap:CommodityContractMember2020-03-310000884614us-gaap:NondesignatedMemberus-gaap:ForeignExchangeContractMember2021-03-310000884614us-gaap:Nondesig</w:t>
      </w:r>
      <w:r>
        <w:rPr>
          <w:rFonts w:eastAsia="Times New Roman"/>
          <w:vanish/>
        </w:rPr>
        <w:t>natedMemberus-gaap:ForeignExchangeContractMember2020-09-300000884614us-gaap:NondesignatedMemberus-gaap:ForeignExchangeContractMember2020-03-310000884614us-gaap:NondesignatedMember2021-03-310000884614us-gaap:NondesignatedMember2020-09-300000884614us-gaap:No</w:t>
      </w:r>
      <w:r>
        <w:rPr>
          <w:rFonts w:eastAsia="Times New Roman"/>
          <w:vanish/>
        </w:rPr>
        <w:t>ndesignatedMember2020-03-310000884614us-gaap:DesignatedAsHedgingInstrumentMemberus-gaap:InterestRateContractMember2021-03-310000884614us-gaap:DesignatedAsHedgingInstrumentMemberus-gaap:InterestRateContractMember2020-09-300000884614us-gaap:DesignatedAsHedgi</w:t>
      </w:r>
      <w:r>
        <w:rPr>
          <w:rFonts w:eastAsia="Times New Roman"/>
          <w:vanish/>
        </w:rPr>
        <w:t>ngInstrumentMemberus-gaap:InterestRateContractMember2020-03-310000884614us-gaap:CashFlowHedgingMemberus-gaap:InterestRateContractMember2021-01-012021-03-310000884614us-gaap:CashFlowHedgingMemberus-gaap:InterestRateContractMember2020-01-012020-03-3100008846</w:t>
      </w:r>
      <w:r>
        <w:rPr>
          <w:rFonts w:eastAsia="Times New Roman"/>
          <w:vanish/>
        </w:rPr>
        <w:t>14us-gaap:InterestExpenseMemberus-gaap:CashFlowHedgingMemberus-gaap:InterestRateContractMember2021-01-012021-03-310000884614us-gaap:InterestExpenseMemberus-gaap:CashFlowHedgingMemberus-gaap:InterestRateContractMember2020-01-012020-03-310000884614us-gaap:Ne</w:t>
      </w:r>
      <w:r>
        <w:rPr>
          <w:rFonts w:eastAsia="Times New Roman"/>
          <w:vanish/>
        </w:rPr>
        <w:t>tInvestmentHedgingMemberus-gaap:ForeignExchangeContractMember2021-01-012021-03-310000884614us-gaap:NetInvestmentHedgingMemberus-gaap:ForeignExchangeContractMember2020-01-012020-03-310000884614us-gaap:NondesignatedMemberus-gaap:CommodityContractMemberus-gaa</w:t>
      </w:r>
      <w:r>
        <w:rPr>
          <w:rFonts w:eastAsia="Times New Roman"/>
          <w:vanish/>
        </w:rPr>
        <w:t>p:SalesRevenueNetMember2021-01-012021-03-310000884614us-gaap:NondesignatedMemberus-gaap:CommodityContractMemberus-gaap:SalesRevenueNetMember2020-01-012020-03-310000884614us-gaap:CostOfSalesMemberus-gaap:NondesignatedMemberus-gaap:CommodityContractMember202</w:t>
      </w:r>
      <w:r>
        <w:rPr>
          <w:rFonts w:eastAsia="Times New Roman"/>
          <w:vanish/>
        </w:rPr>
        <w:t>1-01-012021-03-310000884614us-gaap:CostOfSalesMemberus-gaap:NondesignatedMemberus-gaap:CommodityContractMember2020-01-012020-03-310000884614ugi:OperatingExpensesAndOtherIncomeMemberus-gaap:NondesignatedMemberus-gaap:CommodityContractMember2021-01-012021-03</w:t>
      </w:r>
      <w:r>
        <w:rPr>
          <w:rFonts w:eastAsia="Times New Roman"/>
          <w:vanish/>
        </w:rPr>
        <w:t>-310000884614ugi:OperatingExpensesAndOtherIncomeMemberus-gaap:NondesignatedMemberus-gaap:CommodityContractMember2020-01-012020-03-310000884614us-gaap:NondesignatedMemberus-gaap:OtherIncomeMemberus-gaap:ForeignExchangeContractMember2021-01-012021-03-3100008</w:t>
      </w:r>
      <w:r>
        <w:rPr>
          <w:rFonts w:eastAsia="Times New Roman"/>
          <w:vanish/>
        </w:rPr>
        <w:t>84614us-gaap:NondesignatedMemberus-gaap:OtherIncomeMemberus-gaap:ForeignExchangeContractMember2020-01-012020-03-310000884614us-gaap:NondesignatedMember2021-01-012021-03-310000884614us-gaap:NondesignatedMember2020-01-012020-03-310000884614us-gaap:CashFlowHe</w:t>
      </w:r>
      <w:r>
        <w:rPr>
          <w:rFonts w:eastAsia="Times New Roman"/>
          <w:vanish/>
        </w:rPr>
        <w:t>dgingMemberus-gaap:InterestRateContractMember2020-10-012021-03-310000884614us-gaap:CashFlowHedgingMemberus-gaap:InterestRateContractMember2019-10-012020-03-310000884614us-gaap:InterestExpenseMemberus-gaap:CashFlowHedgingMemberus-gaap:InterestRateContractMe</w:t>
      </w:r>
      <w:r>
        <w:rPr>
          <w:rFonts w:eastAsia="Times New Roman"/>
          <w:vanish/>
        </w:rPr>
        <w:t>mber2020-10-012021-03-310000884614us-gaap:InterestExpenseMemberus-gaap:CashFlowHedgingMemberus-gaap:InterestRateContractMember2019-10-012020-03-310000884614us-gaap:NetInvestmentHedgingMemberus-gaap:ForeignExchangeContractMember2020-10-012021-03-31000088461</w:t>
      </w:r>
      <w:r>
        <w:rPr>
          <w:rFonts w:eastAsia="Times New Roman"/>
          <w:vanish/>
        </w:rPr>
        <w:t>4us-gaap:NetInvestmentHedgingMemberus-gaap:ForeignExchangeContractMember2019-10-012020-03-310000884614us-gaap:NondesignatedMemberus-gaap:CommodityContractMemberus-gaap:SalesRevenueNetMember2020-10-012021-03-310000884614us-gaap:NondesignatedMemberus-gaap:Co</w:t>
      </w:r>
      <w:r>
        <w:rPr>
          <w:rFonts w:eastAsia="Times New Roman"/>
          <w:vanish/>
        </w:rPr>
        <w:t>mmodityContractMemberus-gaap:SalesRevenueNetMember2019-10-012020-03-310000884614us-gaap:CostOfSalesMemberus-gaap:NondesignatedMemberus-gaap:CommodityContractMember2020-10-012021-03-310000884614us-gaap:CostOfSalesMemberus-gaap:NondesignatedMemberus-gaap:Com</w:t>
      </w:r>
      <w:r>
        <w:rPr>
          <w:rFonts w:eastAsia="Times New Roman"/>
          <w:vanish/>
        </w:rPr>
        <w:t>modityContractMember2019-10-012020-03-310000884614us-gaap:NondesignatedMemberus-gaap:CommodityContractMemberus-gaap:OtherOperatingIncomeExpenseMember2020-10-012021-03-310000884614us-gaap:NondesignatedMemberus-gaap:CommodityContractMemberus-gaap:OtherOperat</w:t>
      </w:r>
      <w:r>
        <w:rPr>
          <w:rFonts w:eastAsia="Times New Roman"/>
          <w:vanish/>
        </w:rPr>
        <w:t>ingIncomeExpenseMember2019-10-012020-03-310000884614us-gaap:NondesignatedMemberus-gaap:OtherIncomeMemberus-gaap:ForeignExchangeContractMember2020-10-012021-03-310000884614us-gaap:NondesignatedMemberus-gaap:OtherIncomeMemberus-gaap:ForeignExchangeContractMe</w:t>
      </w:r>
      <w:r>
        <w:rPr>
          <w:rFonts w:eastAsia="Times New Roman"/>
          <w:vanish/>
        </w:rPr>
        <w:t>mber2019-10-012020-03-310000884614us-gaap:NondesignatedMember2020-10-012021-03-310000884614us-gaap:NondesignatedMember2019-10-012020-03-310000884614us-gaap:AccumulatedDefinedBenefitPlansAdjustmentMember2020-12-310000884614us-gaap:AccumulatedGainLossNetCash</w:t>
      </w:r>
      <w:r>
        <w:rPr>
          <w:rFonts w:eastAsia="Times New Roman"/>
          <w:vanish/>
        </w:rPr>
        <w:t>FlowHedgeParentMember2020-12-310000884614us-gaap:AccumulatedTranslationAdjustmentMember2020-12-310000884614us-gaap:AccumulatedOtherComprehensiveIncomeMember2020-12-310000884614us-gaap:AccumulatedDefinedBenefitPlansAdjustmentMember2021-01-012021-03-31000088</w:t>
      </w:r>
      <w:r>
        <w:rPr>
          <w:rFonts w:eastAsia="Times New Roman"/>
          <w:vanish/>
        </w:rPr>
        <w:t>4614us-gaap:AccumulatedGainLossNetCashFlowHedgeParentMember2021-01-012021-03-310000884614us-gaap:AccumulatedTranslationAdjustmentMember2021-01-012021-03-310000884614us-gaap:AccumulatedDefinedBenefitPlansAdjustmentMember2021-03-310000884614us-gaap:Accumulat</w:t>
      </w:r>
      <w:r>
        <w:rPr>
          <w:rFonts w:eastAsia="Times New Roman"/>
          <w:vanish/>
        </w:rPr>
        <w:t>edGainLossNetCashFlowHedgeParentMember2021-03-310000884614us-gaap:AccumulatedTranslationAdjustmentMember2021-03-310000884614us-gaap:AccumulatedOtherComprehensiveIncomeMember2021-03-310000884614us-gaap:AccumulatedDefinedBenefitPlansAdjustmentMember2019-12-3</w:t>
      </w:r>
      <w:r>
        <w:rPr>
          <w:rFonts w:eastAsia="Times New Roman"/>
          <w:vanish/>
        </w:rPr>
        <w:t>10000884614us-gaap:AccumulatedGainLossNetCashFlowHedgeParentMember2019-12-310000884614us-gaap:AccumulatedTranslationAdjustmentMember2019-12-310000884614us-gaap:AccumulatedOtherComprehensiveIncomeMember2019-12-310000884614us-gaap:AccumulatedDefinedBenefitPl</w:t>
      </w:r>
      <w:r>
        <w:rPr>
          <w:rFonts w:eastAsia="Times New Roman"/>
          <w:vanish/>
        </w:rPr>
        <w:t>ansAdjustmentMember2020-01-012020-03-310000884614us-gaap:AccumulatedGainLossNetCashFlowHedgeParentMember2020-01-012020-03-310000884614us-gaap:AccumulatedTranslationAdjustmentMember2020-01-012020-03-310000884614us-gaap:AccumulatedDefinedBenefitPlansAdjustme</w:t>
      </w:r>
      <w:r>
        <w:rPr>
          <w:rFonts w:eastAsia="Times New Roman"/>
          <w:vanish/>
        </w:rPr>
        <w:t>ntMember2020-03-310000884614us-gaap:AccumulatedGainLossNetCashFlowHedgeParentMember2020-03-310000884614us-gaap:AccumulatedTranslationAdjustmentMember2020-03-310000884614us-gaap:AccumulatedOtherComprehensiveIncomeMember2020-03-310000884614us-gaap:Accumulate</w:t>
      </w:r>
      <w:r>
        <w:rPr>
          <w:rFonts w:eastAsia="Times New Roman"/>
          <w:vanish/>
        </w:rPr>
        <w:t>dDefinedBenefitPlansAdjustmentMember2020-09-300000884614us-gaap:AccumulatedGainLossNetCashFlowHedgeParentMember2020-09-300000884614us-gaap:AccumulatedTranslationAdjustmentMember2020-09-300000884614us-gaap:AccumulatedOtherComprehensiveIncomeMember2020-09-30</w:t>
      </w:r>
      <w:r>
        <w:rPr>
          <w:rFonts w:eastAsia="Times New Roman"/>
          <w:vanish/>
        </w:rPr>
        <w:t>0000884614us-gaap:AccumulatedDefinedBenefitPlansAdjustmentMember2020-10-012021-03-310000884614us-gaap:AccumulatedGainLossNetCashFlowHedgeParentMember2020-10-012021-03-310000884614us-gaap:AccumulatedTranslationAdjustmentMember2020-10-012021-03-310000884614u</w:t>
      </w:r>
      <w:r>
        <w:rPr>
          <w:rFonts w:eastAsia="Times New Roman"/>
          <w:vanish/>
        </w:rPr>
        <w:t>s-gaap:AccumulatedDefinedBenefitPlansAdjustmentMember2019-09-300000884614us-gaap:AccumulatedGainLossNetCashFlowHedgeParentMember2019-09-300000884614us-gaap:AccumulatedTranslationAdjustmentMember2019-09-300000884614us-gaap:AccumulatedOtherComprehensiveIncom</w:t>
      </w:r>
      <w:r>
        <w:rPr>
          <w:rFonts w:eastAsia="Times New Roman"/>
          <w:vanish/>
        </w:rPr>
        <w:t>eMember2019-09-300000884614us-gaap:AccumulatedDefinedBenefitPlansAdjustmentMember2019-10-012020-03-310000884614us-gaap:AccumulatedGainLossNetCashFlowHedgeParentMember2019-10-012020-03-310000884614us-gaap:AccumulatedTranslationAdjustmentMember2019-10-012020</w:t>
      </w:r>
      <w:r>
        <w:rPr>
          <w:rFonts w:eastAsia="Times New Roman"/>
          <w:vanish/>
        </w:rPr>
        <w:t>-03-31ugi:segment0000884614ugi:CorporateAndReconcilingItemsMember2021-01-012021-03-310000884614ugi:AmerigasPropaneMemberus-gaap:IntersegmentEliminationMember2021-01-012021-03-310000884614ugi:UGIInternationalMemberus-gaap:IntersegmentEliminationMember2021-0</w:t>
      </w:r>
      <w:r>
        <w:rPr>
          <w:rFonts w:eastAsia="Times New Roman"/>
          <w:vanish/>
        </w:rPr>
        <w:t>1-012021-03-310000884614ugi:MidstreamAndMarketingMemberus-gaap:IntersegmentEliminationMember2021-01-012021-03-310000884614ugi:UgiUtilitiesMemberus-gaap:IntersegmentEliminationMember2021-01-012021-03-310000884614ugi:CorporateReconcilingItemsAndEliminationsM</w:t>
      </w:r>
      <w:r>
        <w:rPr>
          <w:rFonts w:eastAsia="Times New Roman"/>
          <w:vanish/>
        </w:rPr>
        <w:t>ember2021-01-012021-03-310000884614ugi:CorporateAndReconcilingItemsMember2020-01-012020-03-310000884614ugi:AmerigasPropaneMemberus-gaap:IntersegmentEliminationMember2020-01-012020-03-310000884614ugi:UGIInternationalMemberus-gaap:IntersegmentEliminationMemb</w:t>
      </w:r>
      <w:r>
        <w:rPr>
          <w:rFonts w:eastAsia="Times New Roman"/>
          <w:vanish/>
        </w:rPr>
        <w:t>er2020-01-012020-03-310000884614ugi:MidstreamAndMarketingMemberus-gaap:IntersegmentEliminationMember2020-01-012020-03-310000884614ugi:UgiUtilitiesMemberus-gaap:IntersegmentEliminationMember2020-01-012020-03-310000884614ugi:CorporateReconcilingItemsAndElimi</w:t>
      </w:r>
      <w:r>
        <w:rPr>
          <w:rFonts w:eastAsia="Times New Roman"/>
          <w:vanish/>
        </w:rPr>
        <w:t>nationsMember2020-01-012020-03-310000884614ugi:CorporateAndReconcilingItemsMember2020-10-012021-03-310000884614ugi:AmerigasPropaneMemberus-gaap:IntersegmentEliminationMember2020-10-012021-03-310000884614ugi:UGIInternationalMemberus-gaap:IntersegmentElimina</w:t>
      </w:r>
      <w:r>
        <w:rPr>
          <w:rFonts w:eastAsia="Times New Roman"/>
          <w:vanish/>
        </w:rPr>
        <w:t>tionMember2020-10-012021-03-310000884614ugi:MidstreamAndMarketingMemberus-gaap:IntersegmentEliminationMember2020-10-012021-03-310000884614ugi:UgiUtilitiesMemberus-gaap:IntersegmentEliminationMember2020-10-012021-03-310000884614ugi:CorporateReconcilingItems</w:t>
      </w:r>
      <w:r>
        <w:rPr>
          <w:rFonts w:eastAsia="Times New Roman"/>
          <w:vanish/>
        </w:rPr>
        <w:t>AndEliminationsMember2020-10-012021-03-310000884614us-gaap:IntersegmentEliminationMember2021-03-310000884614ugi:AmerigasPropaneMemberus-gaap:OperatingSegmentsMember2021-03-310000884614ugi:UGIInternationalMemberus-gaap:OperatingSegmentsMember2021-03-3100008</w:t>
      </w:r>
      <w:r>
        <w:rPr>
          <w:rFonts w:eastAsia="Times New Roman"/>
          <w:vanish/>
        </w:rPr>
        <w:t>84614ugi:MidstreamAndMarketingMemberus-gaap:OperatingSegmentsMember2021-03-310000884614ugi:UgiUtilitiesMemberus-gaap:OperatingSegmentsMember2021-03-310000884614ugi:CorporateAndReconcilingItemsMember2021-03-310000884614ugi:CorporateAndReconcilingItemsMember</w:t>
      </w:r>
      <w:r>
        <w:rPr>
          <w:rFonts w:eastAsia="Times New Roman"/>
          <w:vanish/>
        </w:rPr>
        <w:t>2019-10-012020-03-310000884614ugi:AmerigasPropaneMemberus-gaap:IntersegmentEliminationMember2019-10-012020-03-310000884614ugi:UGIInternationalMemberus-gaap:IntersegmentEliminationMember2019-10-012020-03-310000884614ugi:MidstreamAndMarketingMemberus-gaap:In</w:t>
      </w:r>
      <w:r>
        <w:rPr>
          <w:rFonts w:eastAsia="Times New Roman"/>
          <w:vanish/>
        </w:rPr>
        <w:t>tersegmentEliminationMember2019-10-012020-03-310000884614ugi:UgiUtilitiesMemberus-gaap:IntersegmentEliminationMember2019-10-012020-03-310000884614ugi:CorporateReconcilingItemsAndEliminationsMember2019-10-012020-03-310000884614us-gaap:IntersegmentEliminatio</w:t>
      </w:r>
      <w:r>
        <w:rPr>
          <w:rFonts w:eastAsia="Times New Roman"/>
          <w:vanish/>
        </w:rPr>
        <w:t>nMember2020-03-310000884614ugi:AmerigasPropaneMemberus-gaap:OperatingSegmentsMember2020-03-310000884614ugi:UGIInternationalMemberus-gaap:OperatingSegmentsMember2020-03-310000884614ugi:MidstreamAndMarketingMemberus-gaap:OperatingSegmentsMember2020-03-310000</w:t>
      </w:r>
      <w:r>
        <w:rPr>
          <w:rFonts w:eastAsia="Times New Roman"/>
          <w:vanish/>
        </w:rPr>
        <w:t>884614ugi:UgiUtilitiesMemberus-gaap:OperatingSegmentsMember2020-03-310000884614ugi:CorporateAndReconcilingItemsMember2020-03-310000884614ugi:AmerigasPropaneMemberus-gaap:OperatingSegmentsMemberus-gaap:SalesMember2021-01-012021-03-310000884614ugi:UGIInterna</w:t>
      </w:r>
      <w:r>
        <w:rPr>
          <w:rFonts w:eastAsia="Times New Roman"/>
          <w:vanish/>
        </w:rPr>
        <w:t>tionalMemberus-gaap:OperatingSegmentsMemberus-gaap:SalesMember2021-01-012021-03-310000884614ugi:MidstreamAndMarketingMemberus-gaap:OperatingSegmentsMemberus-gaap:SalesMember2021-01-012021-03-310000884614us-gaap:CostOfSalesMemberugi:AmerigasPropaneMemberus-</w:t>
      </w:r>
      <w:r>
        <w:rPr>
          <w:rFonts w:eastAsia="Times New Roman"/>
          <w:vanish/>
        </w:rPr>
        <w:t>gaap:OperatingSegmentsMember2021-01-012021-03-310000884614ugi:UGIInternationalMemberus-gaap:CostOfSalesMemberus-gaap:OperatingSegmentsMember2021-01-012021-03-310000884614us-gaap:CostOfSalesMemberugi:MidstreamAndMarketingMemberus-gaap:OperatingSegmentsMembe</w:t>
      </w:r>
      <w:r>
        <w:rPr>
          <w:rFonts w:eastAsia="Times New Roman"/>
          <w:vanish/>
        </w:rPr>
        <w:t>r2021-01-012021-03-310000884614ugi:AmerigasPropaneMemberus-gaap:OperatingSegmentsMemberus-gaap:OtherNonoperatingIncomeExpenseMember2021-01-012021-03-310000884614ugi:UGIInternationalMemberus-gaap:OperatingSegmentsMemberus-gaap:OtherNonoperatingIncomeExpense</w:t>
      </w:r>
      <w:r>
        <w:rPr>
          <w:rFonts w:eastAsia="Times New Roman"/>
          <w:vanish/>
        </w:rPr>
        <w:t>Member2021-01-012021-03-310000884614ugi:MidstreamAndMarketingMemberus-gaap:OperatingSegmentsMemberus-gaap:OtherNonoperatingIncomeExpenseMember2021-01-012021-03-310000884614ugi:AmerigasPropaneMemberus-gaap:GeneralAndAdministrativeExpenseMemberus-gaap:Operat</w:t>
      </w:r>
      <w:r>
        <w:rPr>
          <w:rFonts w:eastAsia="Times New Roman"/>
          <w:vanish/>
        </w:rPr>
        <w:t>ingSegmentsMember2021-01-012021-03-310000884614ugi:UGIInternationalMemberus-gaap:GeneralAndAdministrativeExpenseMemberus-gaap:OperatingSegmentsMember2021-01-012021-03-310000884614ugi:MidstreamAndMarketingMemberus-gaap:GeneralAndAdministrativeExpenseMemberu</w:t>
      </w:r>
      <w:r>
        <w:rPr>
          <w:rFonts w:eastAsia="Times New Roman"/>
          <w:vanish/>
        </w:rPr>
        <w:t>s-gaap:OperatingSegmentsMember2021-01-012021-03-310000884614ugi:AmerigasPropaneMemberus-gaap:OperatingSegmentsMemberus-gaap:SalesMember2020-01-012020-03-310000884614ugi:UGIInternationalMemberus-gaap:OperatingSegmentsMemberus-gaap:SalesMember2020-01-012020-</w:t>
      </w:r>
      <w:r>
        <w:rPr>
          <w:rFonts w:eastAsia="Times New Roman"/>
          <w:vanish/>
        </w:rPr>
        <w:t>03-310000884614ugi:MidstreamAndMarketingMemberus-gaap:OperatingSegmentsMemberus-gaap:SalesMember2020-01-012020-03-310000884614us-gaap:CostOfSalesMemberugi:AmerigasPropaneMemberus-gaap:OperatingSegmentsMember2020-01-012020-03-310000884614ugi:UGIInternationa</w:t>
      </w:r>
      <w:r>
        <w:rPr>
          <w:rFonts w:eastAsia="Times New Roman"/>
          <w:vanish/>
        </w:rPr>
        <w:t>lMemberus-gaap:CostOfSalesMemberus-gaap:OperatingSegmentsMember2020-01-012020-03-310000884614us-gaap:CostOfSalesMemberugi:MidstreamAndMarketingMemberus-gaap:OperatingSegmentsMember2020-01-012020-03-310000884614ugi:AmerigasPropaneMemberus-gaap:OperatingSegm</w:t>
      </w:r>
      <w:r>
        <w:rPr>
          <w:rFonts w:eastAsia="Times New Roman"/>
          <w:vanish/>
        </w:rPr>
        <w:t>entsMemberus-gaap:OtherNonoperatingIncomeExpenseMember2020-01-012020-03-310000884614ugi:UGIInternationalMemberus-gaap:OperatingSegmentsMemberus-gaap:OtherNonoperatingIncomeExpenseMember2020-01-012020-03-310000884614ugi:MidstreamAndMarketingMemberus-gaap:Op</w:t>
      </w:r>
      <w:r>
        <w:rPr>
          <w:rFonts w:eastAsia="Times New Roman"/>
          <w:vanish/>
        </w:rPr>
        <w:t>eratingSegmentsMemberus-gaap:OtherNonoperatingIncomeExpenseMember2020-01-012020-03-310000884614ugi:ColumbiaMidstreamGroupLLCAndColumbiaPennantLLCMemberugi:AmerigasPropaneMemberus-gaap:GeneralAndAdministrativeExpenseMemberus-gaap:OperatingSegmentsMember2020</w:t>
      </w:r>
      <w:r>
        <w:rPr>
          <w:rFonts w:eastAsia="Times New Roman"/>
          <w:vanish/>
        </w:rPr>
        <w:t>-01-012020-03-310000884614ugi:UGIInternationalMemberugi:ColumbiaMidstreamGroupLLCAndColumbiaPennantLLCMemberus-gaap:GeneralAndAdministrativeExpenseMemberus-gaap:OperatingSegmentsMember2020-01-012020-03-310000884614ugi:ColumbiaMidstreamGroupLLCAndColumbiaPe</w:t>
      </w:r>
      <w:r>
        <w:rPr>
          <w:rFonts w:eastAsia="Times New Roman"/>
          <w:vanish/>
        </w:rPr>
        <w:t>nnantLLCMemberugi:MidstreamAndMarketingMemberus-gaap:GeneralAndAdministrativeExpenseMemberus-gaap:OperatingSegmentsMember2020-01-012020-03-310000884614ugi:AmerigasPropaneMemberus-gaap:GeneralAndAdministrativeExpenseMemberus-gaap:OperatingSegmentsMember2020</w:t>
      </w:r>
      <w:r>
        <w:rPr>
          <w:rFonts w:eastAsia="Times New Roman"/>
          <w:vanish/>
        </w:rPr>
        <w:t>-01-012020-03-310000884614ugi:UGIInternationalMemberus-gaap:GeneralAndAdministrativeExpenseMemberus-gaap:OperatingSegmentsMember2020-01-012020-03-310000884614ugi:MidstreamAndMarketingMemberus-gaap:GeneralAndAdministrativeExpenseMemberus-gaap:OperatingSegme</w:t>
      </w:r>
      <w:r>
        <w:rPr>
          <w:rFonts w:eastAsia="Times New Roman"/>
          <w:vanish/>
        </w:rPr>
        <w:t>ntsMember2020-01-012020-03-310000884614us-gaap:CostOfSalesMemberugi:AmerigasPropaneMemberus-gaap:OperatingSegmentsMember2020-10-012021-03-310000884614ugi:UGIInternationalMemberus-gaap:CostOfSalesMemberus-gaap:OperatingSegmentsMember2020-10-012021-03-310000</w:t>
      </w:r>
      <w:r>
        <w:rPr>
          <w:rFonts w:eastAsia="Times New Roman"/>
          <w:vanish/>
        </w:rPr>
        <w:t>884614us-gaap:CostOfSalesMemberugi:MidstreamAndMarketingMemberus-gaap:OperatingSegmentsMember2020-10-012021-03-310000884614ugi:AmerigasPropaneMemberus-gaap:OperatingSegmentsMemberus-gaap:OtherNonoperatingIncomeExpenseMember2020-10-012021-03-310000884614ugi</w:t>
      </w:r>
      <w:r>
        <w:rPr>
          <w:rFonts w:eastAsia="Times New Roman"/>
          <w:vanish/>
        </w:rPr>
        <w:t>:UGIInternationalMemberus-gaap:OperatingSegmentsMemberus-gaap:OtherNonoperatingIncomeExpenseMember2020-10-012021-03-310000884614ugi:MidstreamAndMarketingMemberus-gaap:OperatingSegmentsMemberus-gaap:OtherNonoperatingIncomeExpenseMember2020-10-012021-03-3100</w:t>
      </w:r>
      <w:r>
        <w:rPr>
          <w:rFonts w:eastAsia="Times New Roman"/>
          <w:vanish/>
        </w:rPr>
        <w:t>00884614ugi:AmerigasPropaneMemberus-gaap:GeneralAndAdministrativeExpenseMemberus-gaap:OperatingSegmentsMember2020-10-012021-03-310000884614ugi:UGIInternationalMemberus-gaap:GeneralAndAdministrativeExpenseMemberus-gaap:OperatingSegmentsMember2020-10-012021-</w:t>
      </w:r>
      <w:r>
        <w:rPr>
          <w:rFonts w:eastAsia="Times New Roman"/>
          <w:vanish/>
        </w:rPr>
        <w:t>03-310000884614ugi:MidstreamAndMarketingMemberus-gaap:GeneralAndAdministrativeExpenseMemberus-gaap:OperatingSegmentsMember2020-10-012021-03-310000884614ugi:AmerigasPropaneMemberus-gaap:OperatingSegmentsMemberus-gaap:SalesMember2019-10-012020-03-31000088461</w:t>
      </w:r>
      <w:r>
        <w:rPr>
          <w:rFonts w:eastAsia="Times New Roman"/>
          <w:vanish/>
        </w:rPr>
        <w:t>4ugi:UGIInternationalMemberus-gaap:OperatingSegmentsMemberus-gaap:SalesMember2019-10-012020-03-310000884614ugi:MidstreamAndMarketingMemberus-gaap:OperatingSegmentsMemberus-gaap:SalesMember2019-10-012020-03-310000884614us-gaap:CostOfSalesMemberugi:AmerigasP</w:t>
      </w:r>
      <w:r>
        <w:rPr>
          <w:rFonts w:eastAsia="Times New Roman"/>
          <w:vanish/>
        </w:rPr>
        <w:t>ropaneMemberus-gaap:OperatingSegmentsMember2019-10-012020-03-310000884614ugi:UGIInternationalMemberus-gaap:CostOfSalesMemberus-gaap:OperatingSegmentsMember2019-10-012020-03-310000884614us-gaap:CostOfSalesMemberugi:MidstreamAndMarketingMemberus-gaap:Operati</w:t>
      </w:r>
      <w:r>
        <w:rPr>
          <w:rFonts w:eastAsia="Times New Roman"/>
          <w:vanish/>
        </w:rPr>
        <w:t>ngSegmentsMember2019-10-012020-03-310000884614ugi:AmerigasPropaneMemberus-gaap:OperatingSegmentsMemberus-gaap:OtherNonoperatingIncomeExpenseMember2019-10-012020-03-310000884614ugi:UGIInternationalMemberus-gaap:OperatingSegmentsMemberus-gaap:OtherNonoperati</w:t>
      </w:r>
      <w:r>
        <w:rPr>
          <w:rFonts w:eastAsia="Times New Roman"/>
          <w:vanish/>
        </w:rPr>
        <w:t>ngIncomeExpenseMember2019-10-012020-03-310000884614ugi:MidstreamAndMarketingMemberus-gaap:OperatingSegmentsMemberus-gaap:OtherNonoperatingIncomeExpenseMember2019-10-012020-03-310000884614ugi:ColumbiaMidstreamGroupLLCAndColumbiaPennantLLCMemberugi:AmerigasP</w:t>
      </w:r>
      <w:r>
        <w:rPr>
          <w:rFonts w:eastAsia="Times New Roman"/>
          <w:vanish/>
        </w:rPr>
        <w:t>ropaneMemberus-gaap:GeneralAndAdministrativeExpenseMemberus-gaap:OperatingSegmentsMember2019-10-012020-03-310000884614ugi:UGIInternationalMemberugi:ColumbiaMidstreamGroupLLCAndColumbiaPennantLLCMemberus-gaap:GeneralAndAdministrativeExpenseMemberus-gaap:Ope</w:t>
      </w:r>
      <w:r>
        <w:rPr>
          <w:rFonts w:eastAsia="Times New Roman"/>
          <w:vanish/>
        </w:rPr>
        <w:t>ratingSegmentsMember2019-10-012020-03-310000884614ugi:ColumbiaMidstreamGroupLLCAndColumbiaPennantLLCMemberugi:MidstreamAndMarketingMemberus-gaap:GeneralAndAdministrativeExpenseMemberus-gaap:OperatingSegmentsMember2019-10-012020-03-310000884614ugi:AmerigasP</w:t>
      </w:r>
      <w:r>
        <w:rPr>
          <w:rFonts w:eastAsia="Times New Roman"/>
          <w:vanish/>
        </w:rPr>
        <w:t>ropaneMemberus-gaap:GeneralAndAdministrativeExpenseMemberus-gaap:OperatingSegmentsMember2019-10-012020-03-310000884614ugi:UGIInternationalMemberus-gaap:GeneralAndAdministrativeExpenseMemberus-gaap:OperatingSegmentsMember2019-10-012020-03-310000884614ugi:Mi</w:t>
      </w:r>
      <w:r>
        <w:rPr>
          <w:rFonts w:eastAsia="Times New Roman"/>
          <w:vanish/>
        </w:rPr>
        <w:t>dstreamAndMarketingMemberus-gaap:GeneralAndAdministrativeExpenseMemberus-gaap:OperatingSegmentsMember2019-10-012020-03-31</w:t>
      </w:r>
    </w:p>
    <w:p w:rsidR="00000000" w:rsidRDefault="003F1733">
      <w:pPr>
        <w:divId w:val="228227502"/>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526749930"/>
        <w:rPr>
          <w:rFonts w:eastAsia="Times New Roman"/>
        </w:rPr>
      </w:pPr>
    </w:p>
    <w:p w:rsidR="00000000" w:rsidRDefault="003F1733">
      <w:pPr>
        <w:divId w:val="95586897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1729"/>
        <w:gridCol w:w="36"/>
        <w:gridCol w:w="69"/>
        <w:gridCol w:w="1510"/>
        <w:gridCol w:w="36"/>
        <w:gridCol w:w="69"/>
        <w:gridCol w:w="1510"/>
        <w:gridCol w:w="36"/>
        <w:gridCol w:w="69"/>
        <w:gridCol w:w="1510"/>
        <w:gridCol w:w="36"/>
        <w:gridCol w:w="69"/>
        <w:gridCol w:w="1510"/>
        <w:gridCol w:w="36"/>
      </w:tblGrid>
      <w:tr w:rsidR="00000000">
        <w:trPr>
          <w:divId w:val="679700288"/>
          <w:jc w:val="center"/>
        </w:trPr>
        <w:tc>
          <w:tcPr>
            <w:tcW w:w="50" w:type="pct"/>
            <w:vAlign w:val="center"/>
            <w:hideMark/>
          </w:tcPr>
          <w:p w:rsidR="00000000" w:rsidRDefault="003F1733">
            <w:pPr>
              <w:rPr>
                <w:rFonts w:eastAsia="Times New Roman"/>
              </w:rPr>
            </w:pPr>
          </w:p>
        </w:tc>
        <w:tc>
          <w:tcPr>
            <w:tcW w:w="105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679700288"/>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r>
    </w:tbl>
    <w:p w:rsidR="00000000" w:rsidRDefault="003F1733">
      <w:pPr>
        <w:jc w:val="center"/>
        <w:divId w:val="986132538"/>
        <w:rPr>
          <w:rFonts w:eastAsia="Times New Roman"/>
        </w:rPr>
      </w:pPr>
      <w:r>
        <w:rPr>
          <w:rFonts w:eastAsia="Times New Roman"/>
          <w:b/>
          <w:bCs/>
          <w:color w:val="000000"/>
          <w:sz w:val="36"/>
          <w:szCs w:val="36"/>
        </w:rPr>
        <w:t>UNITED STATES</w:t>
      </w:r>
    </w:p>
    <w:p w:rsidR="00000000" w:rsidRDefault="003F1733">
      <w:pPr>
        <w:jc w:val="center"/>
        <w:rPr>
          <w:rFonts w:eastAsia="Times New Roman"/>
        </w:rPr>
      </w:pPr>
      <w:r>
        <w:rPr>
          <w:rFonts w:eastAsia="Times New Roman"/>
          <w:b/>
          <w:bCs/>
          <w:color w:val="000000"/>
          <w:sz w:val="36"/>
          <w:szCs w:val="36"/>
        </w:rPr>
        <w:t>SECURITIES AND EXCHANGE COMMISSION</w:t>
      </w:r>
    </w:p>
    <w:p w:rsidR="00000000" w:rsidRDefault="003F1733">
      <w:pPr>
        <w:jc w:val="center"/>
        <w:divId w:val="962267994"/>
        <w:rPr>
          <w:rFonts w:eastAsia="Times New Roman"/>
        </w:rPr>
      </w:pPr>
      <w:r>
        <w:rPr>
          <w:rFonts w:eastAsia="Times New Roman"/>
          <w:b/>
          <w:bCs/>
          <w:color w:val="000000"/>
        </w:rPr>
        <w:t>Washington, D.C. 20549</w:t>
      </w:r>
    </w:p>
    <w:p w:rsidR="00000000" w:rsidRDefault="003F1733">
      <w:pPr>
        <w:jc w:val="center"/>
        <w:divId w:val="1983267462"/>
        <w:rPr>
          <w:rFonts w:eastAsia="Times New Roman"/>
        </w:rPr>
      </w:pPr>
      <w:r>
        <w:rPr>
          <w:rFonts w:eastAsia="Times New Roman"/>
          <w:b/>
          <w:bCs/>
          <w:color w:val="000000"/>
          <w:sz w:val="36"/>
          <w:szCs w:val="36"/>
        </w:rPr>
        <w:t xml:space="preserve">FORM 10-Q </w:t>
      </w:r>
    </w:p>
    <w:p w:rsidR="00000000" w:rsidRDefault="003F1733">
      <w:pPr>
        <w:jc w:val="center"/>
        <w:divId w:val="416831404"/>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230"/>
        <w:gridCol w:w="36"/>
        <w:gridCol w:w="39"/>
        <w:gridCol w:w="7928"/>
        <w:gridCol w:w="36"/>
      </w:tblGrid>
      <w:tr w:rsidR="00000000">
        <w:trPr>
          <w:divId w:val="1697463273"/>
        </w:trPr>
        <w:tc>
          <w:tcPr>
            <w:tcW w:w="5" w:type="pct"/>
            <w:vAlign w:val="center"/>
            <w:hideMark/>
          </w:tcPr>
          <w:p w:rsidR="00000000" w:rsidRDefault="003F1733">
            <w:pPr>
              <w:jc w:val="center"/>
              <w:rPr>
                <w:rFonts w:eastAsia="Times New Roman"/>
              </w:rPr>
            </w:pPr>
          </w:p>
        </w:tc>
        <w:tc>
          <w:tcPr>
            <w:tcW w:w="13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7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697463273"/>
        </w:trPr>
        <w:tc>
          <w:tcPr>
            <w:tcW w:w="0" w:type="auto"/>
            <w:gridSpan w:val="3"/>
            <w:tcMar>
              <w:top w:w="30" w:type="dxa"/>
              <w:left w:w="20" w:type="dxa"/>
              <w:bottom w:w="30" w:type="dxa"/>
              <w:right w:w="20" w:type="dxa"/>
            </w:tcMar>
            <w:hideMark/>
          </w:tcPr>
          <w:p w:rsidR="00000000" w:rsidRDefault="003F1733">
            <w:pPr>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3F1733">
            <w:pPr>
              <w:jc w:val="both"/>
              <w:rPr>
                <w:rFonts w:eastAsia="Times New Roman"/>
              </w:rPr>
            </w:pPr>
            <w:r>
              <w:rPr>
                <w:rFonts w:eastAsia="Times New Roman"/>
                <w:b/>
                <w:bCs/>
                <w:color w:val="000000"/>
              </w:rPr>
              <w:t>QUARTERLY REPORT PURSUANT TO SECTION 13 OR 15(d) OF THE SECURITIES EXCHANGE ACT OF 1934</w:t>
            </w:r>
          </w:p>
        </w:tc>
      </w:tr>
    </w:tbl>
    <w:p w:rsidR="00000000" w:rsidRDefault="003F1733">
      <w:pPr>
        <w:jc w:val="center"/>
        <w:divId w:val="1907908989"/>
        <w:rPr>
          <w:rFonts w:eastAsia="Times New Roman"/>
        </w:rPr>
      </w:pPr>
      <w:r>
        <w:rPr>
          <w:rFonts w:eastAsia="Times New Roman"/>
          <w:b/>
          <w:bCs/>
          <w:color w:val="000000"/>
          <w:sz w:val="20"/>
          <w:szCs w:val="20"/>
        </w:rPr>
        <w:t xml:space="preserve">For the quarterly period ended March 31, 2021 </w:t>
      </w:r>
    </w:p>
    <w:p w:rsidR="00000000" w:rsidRDefault="003F1733">
      <w:pPr>
        <w:jc w:val="center"/>
        <w:divId w:val="300697175"/>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37"/>
        <w:gridCol w:w="230"/>
        <w:gridCol w:w="36"/>
        <w:gridCol w:w="39"/>
        <w:gridCol w:w="7928"/>
        <w:gridCol w:w="36"/>
      </w:tblGrid>
      <w:tr w:rsidR="00000000">
        <w:trPr>
          <w:divId w:val="117140004"/>
        </w:trPr>
        <w:tc>
          <w:tcPr>
            <w:tcW w:w="5" w:type="pct"/>
            <w:vAlign w:val="center"/>
            <w:hideMark/>
          </w:tcPr>
          <w:p w:rsidR="00000000" w:rsidRDefault="003F1733">
            <w:pPr>
              <w:jc w:val="center"/>
              <w:rPr>
                <w:rFonts w:eastAsia="Times New Roman"/>
              </w:rPr>
            </w:pPr>
          </w:p>
        </w:tc>
        <w:tc>
          <w:tcPr>
            <w:tcW w:w="13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7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17140004"/>
        </w:trPr>
        <w:tc>
          <w:tcPr>
            <w:tcW w:w="0" w:type="auto"/>
            <w:gridSpan w:val="3"/>
            <w:tcMar>
              <w:top w:w="30" w:type="dxa"/>
              <w:left w:w="20" w:type="dxa"/>
              <w:bottom w:w="30" w:type="dxa"/>
              <w:right w:w="20" w:type="dxa"/>
            </w:tcMar>
            <w:hideMark/>
          </w:tcPr>
          <w:p w:rsidR="00000000" w:rsidRDefault="003F1733">
            <w:pPr>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3F1733">
            <w:pPr>
              <w:jc w:val="both"/>
              <w:rPr>
                <w:rFonts w:eastAsia="Times New Roman"/>
              </w:rPr>
            </w:pPr>
            <w:r>
              <w:rPr>
                <w:rFonts w:eastAsia="Times New Roman"/>
                <w:b/>
                <w:bCs/>
                <w:color w:val="000000"/>
              </w:rPr>
              <w:t>TRANSITION REPORT PURSUANT TO SECTION 13 OR 15(d) OF THE SECURITIES EXCHANGE ACT OF 1934</w:t>
            </w:r>
          </w:p>
        </w:tc>
      </w:tr>
    </w:tbl>
    <w:p w:rsidR="00000000" w:rsidRDefault="003F1733">
      <w:pPr>
        <w:jc w:val="center"/>
        <w:divId w:val="2092002096"/>
        <w:rPr>
          <w:rFonts w:eastAsia="Times New Roman"/>
        </w:rPr>
      </w:pPr>
      <w:r>
        <w:rPr>
          <w:rFonts w:eastAsia="Times New Roman"/>
          <w:b/>
          <w:bCs/>
          <w:color w:val="000000"/>
          <w:sz w:val="20"/>
          <w:szCs w:val="20"/>
        </w:rPr>
        <w:t>For the transition period from  ________ to ________            </w:t>
      </w:r>
    </w:p>
    <w:p w:rsidR="00000000" w:rsidRDefault="003F1733">
      <w:pPr>
        <w:jc w:val="center"/>
        <w:divId w:val="1238786414"/>
        <w:rPr>
          <w:rFonts w:eastAsia="Times New Roman"/>
        </w:rPr>
      </w:pPr>
      <w:r>
        <w:rPr>
          <w:rFonts w:eastAsia="Times New Roman"/>
          <w:b/>
          <w:bCs/>
          <w:color w:val="000000"/>
          <w:sz w:val="20"/>
          <w:szCs w:val="20"/>
        </w:rPr>
        <w:t xml:space="preserve">Commission file number 1-11071 </w:t>
      </w:r>
    </w:p>
    <w:p w:rsidR="00000000" w:rsidRDefault="003F1733">
      <w:pPr>
        <w:jc w:val="center"/>
        <w:divId w:val="1546063499"/>
        <w:rPr>
          <w:rFonts w:eastAsia="Times New Roman"/>
        </w:rPr>
      </w:pPr>
      <w:r>
        <w:rPr>
          <w:rFonts w:eastAsia="Times New Roman"/>
          <w:b/>
          <w:bCs/>
          <w:color w:val="000000"/>
          <w:sz w:val="48"/>
          <w:szCs w:val="48"/>
        </w:rPr>
        <w:t xml:space="preserve">UGI CORPORATION </w:t>
      </w:r>
    </w:p>
    <w:p w:rsidR="00000000" w:rsidRDefault="003F1733">
      <w:pPr>
        <w:jc w:val="center"/>
        <w:rPr>
          <w:rFonts w:eastAsia="Times New Roman"/>
        </w:rPr>
      </w:pPr>
      <w:r>
        <w:rPr>
          <w:rFonts w:eastAsia="Times New Roman"/>
          <w:b/>
          <w:bCs/>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877"/>
        <w:gridCol w:w="36"/>
        <w:gridCol w:w="69"/>
        <w:gridCol w:w="222"/>
        <w:gridCol w:w="36"/>
        <w:gridCol w:w="69"/>
        <w:gridCol w:w="3891"/>
        <w:gridCol w:w="37"/>
      </w:tblGrid>
      <w:tr w:rsidR="00000000">
        <w:trPr>
          <w:divId w:val="1303657438"/>
          <w:jc w:val="center"/>
        </w:trPr>
        <w:tc>
          <w:tcPr>
            <w:tcW w:w="50" w:type="pct"/>
            <w:vAlign w:val="center"/>
            <w:hideMark/>
          </w:tcPr>
          <w:p w:rsidR="00000000" w:rsidRDefault="003F1733">
            <w:pPr>
              <w:jc w:val="center"/>
              <w:rPr>
                <w:rFonts w:eastAsia="Times New Roman"/>
              </w:rPr>
            </w:pPr>
          </w:p>
        </w:tc>
        <w:tc>
          <w:tcPr>
            <w:tcW w:w="234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14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235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303657438"/>
          <w:jc w:val="center"/>
        </w:trPr>
        <w:tc>
          <w:tcPr>
            <w:tcW w:w="0" w:type="auto"/>
            <w:gridSpan w:val="3"/>
            <w:tcMar>
              <w:top w:w="30" w:type="dxa"/>
              <w:left w:w="20" w:type="dxa"/>
              <w:bottom w:w="30" w:type="dxa"/>
              <w:right w:w="20" w:type="dxa"/>
            </w:tcMar>
            <w:hideMark/>
          </w:tcPr>
          <w:p w:rsidR="00000000" w:rsidRDefault="003F1733">
            <w:pPr>
              <w:jc w:val="center"/>
              <w:rPr>
                <w:rFonts w:eastAsia="Times New Roman"/>
              </w:rPr>
            </w:pPr>
            <w:r>
              <w:rPr>
                <w:rFonts w:eastAsia="Times New Roman"/>
                <w:b/>
                <w:bCs/>
                <w:color w:val="000000"/>
                <w:sz w:val="20"/>
                <w:szCs w:val="20"/>
              </w:rPr>
              <w:t>Pennsylvania</w:t>
            </w: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F1733">
            <w:pPr>
              <w:jc w:val="center"/>
              <w:rPr>
                <w:rFonts w:eastAsia="Times New Roman"/>
              </w:rPr>
            </w:pPr>
            <w:r>
              <w:rPr>
                <w:rFonts w:eastAsia="Times New Roman"/>
                <w:b/>
                <w:bCs/>
                <w:color w:val="000000"/>
                <w:sz w:val="20"/>
                <w:szCs w:val="20"/>
              </w:rPr>
              <w:t>23-2668356</w:t>
            </w:r>
          </w:p>
        </w:tc>
      </w:tr>
      <w:tr w:rsidR="00000000">
        <w:trPr>
          <w:divId w:val="1303657438"/>
          <w:jc w:val="center"/>
        </w:trPr>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rsidR="00000000" w:rsidRDefault="003F1733">
      <w:pPr>
        <w:jc w:val="center"/>
        <w:divId w:val="1017468944"/>
        <w:rPr>
          <w:rFonts w:eastAsia="Times New Roman"/>
        </w:rPr>
      </w:pPr>
      <w:r>
        <w:rPr>
          <w:rFonts w:eastAsia="Times New Roman"/>
          <w:b/>
          <w:bCs/>
          <w:color w:val="000000"/>
          <w:sz w:val="20"/>
          <w:szCs w:val="20"/>
        </w:rPr>
        <w:t xml:space="preserve">460 North Gulph Road, </w:t>
      </w:r>
      <w:r>
        <w:rPr>
          <w:rFonts w:eastAsia="Times New Roman"/>
          <w:b/>
          <w:bCs/>
          <w:color w:val="000000"/>
          <w:sz w:val="20"/>
          <w:szCs w:val="20"/>
        </w:rPr>
        <w:t xml:space="preserve">King of Prussia, PA 19406 </w:t>
      </w:r>
    </w:p>
    <w:p w:rsidR="00000000" w:rsidRDefault="003F1733">
      <w:pPr>
        <w:jc w:val="center"/>
        <w:rPr>
          <w:rFonts w:eastAsia="Times New Roman"/>
        </w:rPr>
      </w:pPr>
      <w:r>
        <w:rPr>
          <w:rFonts w:eastAsia="Times New Roman"/>
          <w:b/>
          <w:bCs/>
          <w:color w:val="000000"/>
          <w:sz w:val="16"/>
          <w:szCs w:val="16"/>
        </w:rPr>
        <w:t>(Address of Principal Executive Offices) (Zip Code)</w:t>
      </w:r>
    </w:p>
    <w:p w:rsidR="00000000" w:rsidRDefault="003F1733">
      <w:pPr>
        <w:jc w:val="center"/>
        <w:rPr>
          <w:rFonts w:eastAsia="Times New Roman"/>
        </w:rPr>
      </w:pPr>
    </w:p>
    <w:p w:rsidR="00000000" w:rsidRDefault="003F1733">
      <w:pPr>
        <w:jc w:val="center"/>
        <w:rPr>
          <w:rFonts w:eastAsia="Times New Roman"/>
        </w:rPr>
      </w:pPr>
      <w:r>
        <w:rPr>
          <w:rFonts w:eastAsia="Times New Roman"/>
          <w:b/>
          <w:bCs/>
          <w:color w:val="000000"/>
          <w:sz w:val="20"/>
          <w:szCs w:val="20"/>
        </w:rPr>
        <w:t xml:space="preserve">(610) 337-1000 </w:t>
      </w:r>
    </w:p>
    <w:p w:rsidR="00000000" w:rsidRDefault="003F1733">
      <w:pPr>
        <w:jc w:val="center"/>
        <w:rPr>
          <w:rFonts w:eastAsia="Times New Roman"/>
        </w:rPr>
      </w:pPr>
      <w:r>
        <w:rPr>
          <w:rFonts w:eastAsia="Times New Roman"/>
          <w:b/>
          <w:bCs/>
          <w:color w:val="000000"/>
          <w:sz w:val="16"/>
          <w:szCs w:val="16"/>
        </w:rPr>
        <w:t>(Registrant’s telephone number, including area code)</w:t>
      </w:r>
    </w:p>
    <w:p w:rsidR="00000000" w:rsidRDefault="003F1733">
      <w:pPr>
        <w:jc w:val="center"/>
        <w:rPr>
          <w:rFonts w:eastAsia="Times New Roman"/>
        </w:rPr>
      </w:pPr>
      <w:r>
        <w:rPr>
          <w:rFonts w:eastAsia="Times New Roman"/>
          <w:b/>
          <w:bCs/>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246"/>
        <w:gridCol w:w="37"/>
        <w:gridCol w:w="69"/>
        <w:gridCol w:w="2081"/>
        <w:gridCol w:w="36"/>
        <w:gridCol w:w="69"/>
        <w:gridCol w:w="2664"/>
        <w:gridCol w:w="36"/>
      </w:tblGrid>
      <w:tr w:rsidR="00000000">
        <w:trPr>
          <w:divId w:val="481896498"/>
          <w:jc w:val="center"/>
        </w:trPr>
        <w:tc>
          <w:tcPr>
            <w:tcW w:w="50" w:type="pct"/>
            <w:vAlign w:val="center"/>
            <w:hideMark/>
          </w:tcPr>
          <w:p w:rsidR="00000000" w:rsidRDefault="003F1733">
            <w:pPr>
              <w:jc w:val="center"/>
              <w:rPr>
                <w:rFonts w:eastAsia="Times New Roman"/>
              </w:rPr>
            </w:pPr>
          </w:p>
        </w:tc>
        <w:tc>
          <w:tcPr>
            <w:tcW w:w="196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126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161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481896498"/>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3F1733">
            <w:pPr>
              <w:jc w:val="center"/>
              <w:divId w:val="1905793477"/>
              <w:rPr>
                <w:rFonts w:eastAsia="Times New Roman"/>
              </w:rPr>
            </w:pPr>
            <w:r>
              <w:rPr>
                <w:rFonts w:eastAsia="Times New Roman"/>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3F1733">
            <w:pPr>
              <w:jc w:val="center"/>
              <w:divId w:val="676268144"/>
              <w:rPr>
                <w:rFonts w:eastAsia="Times New Roman"/>
              </w:rPr>
            </w:pPr>
            <w:r>
              <w:rPr>
                <w:rFonts w:eastAsia="Times New Roman"/>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3F1733">
            <w:pPr>
              <w:jc w:val="center"/>
              <w:divId w:val="1217934817"/>
              <w:rPr>
                <w:rFonts w:eastAsia="Times New Roman"/>
              </w:rPr>
            </w:pPr>
            <w:r>
              <w:rPr>
                <w:rFonts w:eastAsia="Times New Roman"/>
                <w:color w:val="000000"/>
                <w:sz w:val="18"/>
                <w:szCs w:val="18"/>
              </w:rPr>
              <w:t>Name of each exchange on which registered:</w:t>
            </w:r>
          </w:p>
        </w:tc>
      </w:tr>
      <w:tr w:rsidR="00000000">
        <w:trPr>
          <w:divId w:val="481896498"/>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3F1733">
            <w:pPr>
              <w:jc w:val="center"/>
              <w:divId w:val="542448360"/>
              <w:rPr>
                <w:rFonts w:eastAsia="Times New Roman"/>
              </w:rPr>
            </w:pPr>
            <w:r>
              <w:rPr>
                <w:rFonts w:eastAsia="Times New Roman"/>
                <w:color w:val="000000"/>
                <w:sz w:val="18"/>
                <w:szCs w:val="18"/>
              </w:rPr>
              <w:t>Common Stock, without par value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3F1733">
            <w:pPr>
              <w:jc w:val="center"/>
              <w:divId w:val="1279753597"/>
              <w:rPr>
                <w:rFonts w:eastAsia="Times New Roman"/>
              </w:rPr>
            </w:pPr>
            <w:r>
              <w:rPr>
                <w:rFonts w:eastAsia="Times New Roman"/>
                <w:color w:val="000000"/>
                <w:sz w:val="18"/>
                <w:szCs w:val="18"/>
              </w:rPr>
              <w:t>UGI</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3F1733">
            <w:pPr>
              <w:jc w:val="center"/>
              <w:divId w:val="1220509175"/>
              <w:rPr>
                <w:rFonts w:eastAsia="Times New Roman"/>
              </w:rPr>
            </w:pPr>
            <w:r>
              <w:rPr>
                <w:rFonts w:eastAsia="Times New Roman"/>
                <w:color w:val="000000"/>
                <w:sz w:val="18"/>
                <w:szCs w:val="18"/>
              </w:rPr>
              <w:t>New York Stock Exchange</w:t>
            </w:r>
          </w:p>
        </w:tc>
      </w:tr>
    </w:tbl>
    <w:p w:rsidR="00000000" w:rsidRDefault="003F1733">
      <w:pPr>
        <w:jc w:val="both"/>
        <w:divId w:val="122356495"/>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    Yes  </w:t>
      </w:r>
      <w:r>
        <w:rPr>
          <w:rFonts w:ascii="Wingdings" w:eastAsia="Times New Roman" w:hAnsi="Wingdings"/>
          <w:color w:val="000000"/>
          <w:sz w:val="20"/>
          <w:szCs w:val="20"/>
        </w:rPr>
        <w:t>ý</w:t>
      </w:r>
      <w:r>
        <w:rPr>
          <w:rFonts w:eastAsia="Times New Roman"/>
          <w:color w:val="000000"/>
          <w:sz w:val="20"/>
          <w:szCs w:val="20"/>
        </w:rPr>
        <w:t>    No  </w:t>
      </w:r>
      <w:r>
        <w:rPr>
          <w:rFonts w:ascii="Wingdings" w:eastAsia="Times New Roman" w:hAnsi="Wingdings"/>
          <w:color w:val="000000"/>
          <w:sz w:val="20"/>
          <w:szCs w:val="20"/>
        </w:rPr>
        <w:t>¨</w:t>
      </w:r>
    </w:p>
    <w:p w:rsidR="00000000" w:rsidRDefault="003F1733">
      <w:pPr>
        <w:jc w:val="both"/>
        <w:divId w:val="1671717077"/>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w:t>
      </w:r>
      <w:r>
        <w:rPr>
          <w:rFonts w:eastAsia="Times New Roman"/>
          <w:color w:val="000000"/>
          <w:sz w:val="20"/>
          <w:szCs w:val="20"/>
        </w:rPr>
        <w:t xml:space="preserve"> of Regulation S-T (§232.405 of this chapter) during the preceding 12 months (or for such shorter period that the registrant was required to submit and post such files). Yes </w:t>
      </w:r>
      <w:r>
        <w:rPr>
          <w:rFonts w:ascii="Wingdings" w:eastAsia="Times New Roman" w:hAnsi="Wingdings"/>
          <w:color w:val="000000"/>
          <w:sz w:val="20"/>
          <w:szCs w:val="20"/>
        </w:rPr>
        <w:t>ý</w:t>
      </w:r>
      <w:r>
        <w:rPr>
          <w:rFonts w:eastAsia="Times New Roman"/>
          <w:color w:val="000000"/>
          <w:sz w:val="20"/>
          <w:szCs w:val="20"/>
        </w:rPr>
        <w:t>    No  </w:t>
      </w:r>
      <w:r>
        <w:rPr>
          <w:rFonts w:ascii="Wingdings" w:eastAsia="Times New Roman" w:hAnsi="Wingdings"/>
          <w:color w:val="000000"/>
          <w:sz w:val="20"/>
          <w:szCs w:val="20"/>
        </w:rPr>
        <w:t>¨</w:t>
      </w:r>
    </w:p>
    <w:p w:rsidR="00000000" w:rsidRDefault="003F1733">
      <w:pPr>
        <w:jc w:val="both"/>
        <w:divId w:val="1899048011"/>
        <w:rPr>
          <w:rFonts w:eastAsia="Times New Roman"/>
        </w:rPr>
      </w:pPr>
      <w:r>
        <w:rPr>
          <w:rFonts w:eastAsia="Times New Roman"/>
          <w:color w:val="000000"/>
          <w:sz w:val="20"/>
          <w:szCs w:val="20"/>
        </w:rPr>
        <w:t>Indicate by check mark whether the registrant is a large accelerated fi</w:t>
      </w:r>
      <w:r>
        <w:rPr>
          <w:rFonts w:eastAsia="Times New Roman"/>
          <w:color w:val="000000"/>
          <w:sz w:val="20"/>
          <w:szCs w:val="20"/>
        </w:rPr>
        <w:t>ler, an accelerated filer, a non-accelerated filer, smaller reporting company, or an emerging growth company. See the definitions of “large accelerated filer,” “accelerated filer,” “smaller reporting company,” and “emerging growth company” in Rule 12b-2 of</w:t>
      </w:r>
      <w:r>
        <w:rPr>
          <w:rFonts w:eastAsia="Times New Roman"/>
          <w:color w:val="000000"/>
          <w:sz w:val="20"/>
          <w:szCs w:val="20"/>
        </w:rPr>
        <w:t xml:space="preserve">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923"/>
        <w:gridCol w:w="36"/>
        <w:gridCol w:w="72"/>
        <w:gridCol w:w="146"/>
        <w:gridCol w:w="36"/>
        <w:gridCol w:w="69"/>
        <w:gridCol w:w="622"/>
        <w:gridCol w:w="36"/>
        <w:gridCol w:w="69"/>
        <w:gridCol w:w="1923"/>
        <w:gridCol w:w="36"/>
        <w:gridCol w:w="70"/>
        <w:gridCol w:w="148"/>
        <w:gridCol w:w="36"/>
        <w:gridCol w:w="70"/>
        <w:gridCol w:w="623"/>
        <w:gridCol w:w="36"/>
        <w:gridCol w:w="70"/>
        <w:gridCol w:w="1924"/>
        <w:gridCol w:w="36"/>
        <w:gridCol w:w="70"/>
        <w:gridCol w:w="150"/>
        <w:gridCol w:w="36"/>
      </w:tblGrid>
      <w:tr w:rsidR="00000000">
        <w:trPr>
          <w:divId w:val="1353531842"/>
        </w:trPr>
        <w:tc>
          <w:tcPr>
            <w:tcW w:w="50" w:type="pct"/>
            <w:vAlign w:val="center"/>
            <w:hideMark/>
          </w:tcPr>
          <w:p w:rsidR="00000000" w:rsidRDefault="003F1733">
            <w:pPr>
              <w:jc w:val="both"/>
              <w:rPr>
                <w:rFonts w:eastAsia="Times New Roman"/>
              </w:rPr>
            </w:pPr>
          </w:p>
        </w:tc>
        <w:tc>
          <w:tcPr>
            <w:tcW w:w="116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8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116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8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116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353531842"/>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lastRenderedPageBreak/>
              <w:t>Large accelerated filer</w:t>
            </w: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ascii="Wingdings" w:eastAsia="Times New Roman" w:hAnsi="Wingdings"/>
                <w:color w:val="000000"/>
                <w:sz w:val="20"/>
                <w:szCs w:val="20"/>
              </w:rPr>
              <w:t>ý</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ascii="Segoe UI Symbol" w:eastAsia="Times New Roman" w:hAnsi="Segoe UI Symbol" w:cs="Segoe UI Symbol"/>
                <w:color w:val="000000"/>
                <w:sz w:val="20"/>
                <w:szCs w:val="20"/>
              </w:rPr>
              <w:t>☐</w:t>
            </w:r>
          </w:p>
        </w:tc>
      </w:tr>
      <w:tr w:rsidR="00000000">
        <w:trPr>
          <w:divId w:val="1353531842"/>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bl>
    <w:p w:rsidR="00000000" w:rsidRDefault="003F1733">
      <w:pPr>
        <w:jc w:val="both"/>
        <w:divId w:val="1322924217"/>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rsidR="00000000" w:rsidRDefault="003F1733">
      <w:pPr>
        <w:jc w:val="both"/>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Wingdings" w:eastAsia="Times New Roman" w:hAnsi="Wingdings"/>
          <w:color w:val="000000"/>
          <w:sz w:val="20"/>
          <w:szCs w:val="20"/>
        </w:rPr>
        <w:t>ý</w:t>
      </w:r>
    </w:p>
    <w:p w:rsidR="00000000" w:rsidRDefault="003F1733">
      <w:pPr>
        <w:divId w:val="681249109"/>
        <w:rPr>
          <w:rFonts w:eastAsia="Times New Roman"/>
        </w:rPr>
      </w:pPr>
      <w:r>
        <w:rPr>
          <w:rFonts w:eastAsia="Times New Roman"/>
          <w:color w:val="000000"/>
          <w:sz w:val="20"/>
          <w:szCs w:val="20"/>
        </w:rPr>
        <w:t>At April 30, 2021, there were 208,702,316 shares of UGI Corporation Common Stock, without par value,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1729"/>
        <w:gridCol w:w="36"/>
        <w:gridCol w:w="69"/>
        <w:gridCol w:w="1510"/>
        <w:gridCol w:w="36"/>
        <w:gridCol w:w="69"/>
        <w:gridCol w:w="1510"/>
        <w:gridCol w:w="36"/>
        <w:gridCol w:w="69"/>
        <w:gridCol w:w="1510"/>
        <w:gridCol w:w="36"/>
        <w:gridCol w:w="69"/>
        <w:gridCol w:w="1510"/>
        <w:gridCol w:w="36"/>
      </w:tblGrid>
      <w:tr w:rsidR="00000000">
        <w:trPr>
          <w:divId w:val="314604594"/>
          <w:jc w:val="center"/>
        </w:trPr>
        <w:tc>
          <w:tcPr>
            <w:tcW w:w="50" w:type="pct"/>
            <w:vAlign w:val="center"/>
            <w:hideMark/>
          </w:tcPr>
          <w:p w:rsidR="00000000" w:rsidRDefault="003F1733">
            <w:pPr>
              <w:rPr>
                <w:rFonts w:eastAsia="Times New Roman"/>
              </w:rPr>
            </w:pPr>
          </w:p>
        </w:tc>
        <w:tc>
          <w:tcPr>
            <w:tcW w:w="105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314604594"/>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r>
    </w:tbl>
    <w:p w:rsidR="00000000" w:rsidRDefault="003F1733">
      <w:pPr>
        <w:divId w:val="788471139"/>
        <w:rPr>
          <w:rFonts w:eastAsia="Times New Roman"/>
        </w:rPr>
      </w:pPr>
    </w:p>
    <w:p w:rsidR="00000000" w:rsidRDefault="003F1733">
      <w:pPr>
        <w:rPr>
          <w:rFonts w:eastAsia="Times New Roman"/>
        </w:rPr>
      </w:pPr>
      <w:r>
        <w:rPr>
          <w:rFonts w:eastAsia="Times New Roman"/>
        </w:rPr>
        <w:pict>
          <v:rect id="_x0000_i1025" style="width:0;height:1.5pt" o:hralign="center" o:hrstd="t" o:hr="t" fillcolor="#a0a0a0" stroked="f"/>
        </w:pict>
      </w:r>
    </w:p>
    <w:p w:rsidR="00000000" w:rsidRDefault="003F1733">
      <w:pPr>
        <w:divId w:val="396630002"/>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634482914"/>
        <w:rPr>
          <w:rFonts w:eastAsia="Times New Roman"/>
        </w:rPr>
      </w:pPr>
    </w:p>
    <w:p w:rsidR="00000000" w:rsidRDefault="003F1733">
      <w:pPr>
        <w:divId w:val="908879008"/>
        <w:rPr>
          <w:rFonts w:eastAsia="Times New Roman"/>
        </w:rPr>
      </w:pPr>
    </w:p>
    <w:p w:rsidR="00000000" w:rsidRDefault="003F1733">
      <w:pPr>
        <w:jc w:val="center"/>
        <w:rPr>
          <w:rFonts w:eastAsia="Times New Roman"/>
        </w:rPr>
      </w:pPr>
      <w:r>
        <w:rPr>
          <w:rFonts w:eastAsia="Times New Roman"/>
          <w:b/>
          <w:bCs/>
          <w:color w:val="000000"/>
        </w:rPr>
        <w:t>UGI CORPORATION AND SUBSIDIARIES</w:t>
      </w:r>
    </w:p>
    <w:p w:rsidR="00000000" w:rsidRDefault="003F1733">
      <w:pPr>
        <w:jc w:val="center"/>
        <w:divId w:val="359012226"/>
        <w:rPr>
          <w:rFonts w:eastAsia="Times New Roman"/>
        </w:rPr>
      </w:pPr>
      <w:r>
        <w:rPr>
          <w:rFonts w:eastAsia="Times New Roman"/>
          <w:b/>
          <w:bCs/>
          <w:color w:val="000000"/>
          <w:sz w:val="20"/>
          <w:szCs w:val="20"/>
        </w:rPr>
        <w:t>TABLE OF CONTENTS</w:t>
      </w:r>
    </w:p>
    <w:p w:rsidR="00000000" w:rsidRDefault="003F1733">
      <w:pPr>
        <w:divId w:val="1980374645"/>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7569"/>
        <w:gridCol w:w="37"/>
        <w:gridCol w:w="69"/>
        <w:gridCol w:w="513"/>
        <w:gridCol w:w="36"/>
      </w:tblGrid>
      <w:tr w:rsidR="00000000">
        <w:trPr>
          <w:divId w:val="932127027"/>
        </w:trPr>
        <w:tc>
          <w:tcPr>
            <w:tcW w:w="50" w:type="pct"/>
            <w:vAlign w:val="center"/>
            <w:hideMark/>
          </w:tcPr>
          <w:p w:rsidR="00000000" w:rsidRDefault="003F1733">
            <w:pPr>
              <w:rPr>
                <w:rFonts w:eastAsia="Times New Roman"/>
              </w:rPr>
            </w:pPr>
          </w:p>
        </w:tc>
        <w:tc>
          <w:tcPr>
            <w:tcW w:w="457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Page</w:t>
            </w:r>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1857377563"/>
              <w:rPr>
                <w:rFonts w:eastAsia="Times New Roman"/>
              </w:rPr>
            </w:pPr>
            <w:hyperlink w:anchor="id9c6bfb9fb8b448daec852530d7d2c30_10" w:history="1">
              <w:r>
                <w:rPr>
                  <w:rStyle w:val="a3"/>
                  <w:rFonts w:eastAsia="Times New Roman"/>
                  <w:sz w:val="20"/>
                  <w:szCs w:val="20"/>
                </w:rPr>
                <w:t>Glossary of Terms and Abbreviations</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10" w:history="1">
              <w:r>
                <w:rPr>
                  <w:rStyle w:val="a3"/>
                  <w:rFonts w:eastAsia="Times New Roman"/>
                  <w:sz w:val="20"/>
                  <w:szCs w:val="20"/>
                </w:rPr>
                <w:t>1</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2115510338"/>
              <w:rPr>
                <w:rFonts w:eastAsia="Times New Roman"/>
              </w:rPr>
            </w:pPr>
            <w:hyperlink w:anchor="id9c6bfb9fb8b448daec852530d7d2c30_13" w:history="1">
              <w:r>
                <w:rPr>
                  <w:rStyle w:val="a3"/>
                  <w:rFonts w:eastAsia="Times New Roman"/>
                  <w:b/>
                  <w:bCs/>
                  <w:sz w:val="20"/>
                  <w:szCs w:val="20"/>
                </w:rPr>
                <w:t>Part I Financial Information</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114835028"/>
              <w:rPr>
                <w:rFonts w:eastAsia="Times New Roman"/>
              </w:rPr>
            </w:pPr>
            <w:hyperlink w:anchor="id9c6bfb9fb8b448daec852530d7d2c30_13" w:history="1">
              <w:r>
                <w:rPr>
                  <w:rStyle w:val="a3"/>
                  <w:rFonts w:eastAsia="Times New Roman"/>
                  <w:sz w:val="20"/>
                  <w:szCs w:val="20"/>
                </w:rPr>
                <w:t>Item 1. Financial Statements (unaudited)</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1076167641"/>
              <w:rPr>
                <w:rFonts w:eastAsia="Times New Roman"/>
              </w:rPr>
            </w:pPr>
            <w:hyperlink w:anchor="id9c6bfb9fb8b448daec852530d7d2c30_16" w:history="1">
              <w:r>
                <w:rPr>
                  <w:rStyle w:val="a3"/>
                  <w:rFonts w:eastAsia="Times New Roman"/>
                  <w:sz w:val="20"/>
                  <w:szCs w:val="20"/>
                </w:rPr>
                <w:t>Condensed Consolidated Balance Sheets as of March 31, 2021, September 30, 2020 and March 31, 2020</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16" w:history="1">
              <w:r>
                <w:rPr>
                  <w:rStyle w:val="a3"/>
                  <w:rFonts w:eastAsia="Times New Roman"/>
                  <w:sz w:val="20"/>
                  <w:szCs w:val="20"/>
                </w:rPr>
                <w:t>5</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764032874"/>
              <w:rPr>
                <w:rFonts w:eastAsia="Times New Roman"/>
              </w:rPr>
            </w:pPr>
            <w:hyperlink w:anchor="id9c6bfb9fb8b448daec852530d7d2c30_19" w:history="1">
              <w:r>
                <w:rPr>
                  <w:rStyle w:val="a3"/>
                  <w:rFonts w:eastAsia="Times New Roman"/>
                  <w:sz w:val="20"/>
                  <w:szCs w:val="20"/>
                </w:rPr>
                <w:t>Condensed Consolidated Statements of Income for the three and six months ended March 31, 2021 and 2020</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19" w:history="1">
              <w:r>
                <w:rPr>
                  <w:rStyle w:val="a3"/>
                  <w:rFonts w:eastAsia="Times New Roman"/>
                  <w:sz w:val="20"/>
                  <w:szCs w:val="20"/>
                </w:rPr>
                <w:t>6</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1854299037"/>
              <w:rPr>
                <w:rFonts w:eastAsia="Times New Roman"/>
              </w:rPr>
            </w:pPr>
            <w:hyperlink w:anchor="id9c6bfb9fb8b448daec852530d7d2c30_22" w:history="1">
              <w:r>
                <w:rPr>
                  <w:rStyle w:val="a3"/>
                  <w:rFonts w:eastAsia="Times New Roman"/>
                  <w:sz w:val="20"/>
                  <w:szCs w:val="20"/>
                </w:rPr>
                <w:t>Condensed Consolidated Statements of Comprehensive Income for the three and six months ended March 31, 2021 and 2020</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22" w:history="1">
              <w:r>
                <w:rPr>
                  <w:rStyle w:val="a3"/>
                  <w:rFonts w:eastAsia="Times New Roman"/>
                  <w:sz w:val="20"/>
                  <w:szCs w:val="20"/>
                </w:rPr>
                <w:t>7</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1158499634"/>
              <w:rPr>
                <w:rFonts w:eastAsia="Times New Roman"/>
              </w:rPr>
            </w:pPr>
            <w:hyperlink w:anchor="id9c6bfb9fb8b448daec852530d7d2c30_25" w:history="1">
              <w:r>
                <w:rPr>
                  <w:rStyle w:val="a3"/>
                  <w:rFonts w:eastAsia="Times New Roman"/>
                  <w:sz w:val="20"/>
                  <w:szCs w:val="20"/>
                </w:rPr>
                <w:t>Condensed Consolidated Statements of Cash Flows for the six months ended March 31, 2021 and 2020</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25" w:history="1">
              <w:r>
                <w:rPr>
                  <w:rStyle w:val="a3"/>
                  <w:rFonts w:eastAsia="Times New Roman"/>
                  <w:sz w:val="20"/>
                  <w:szCs w:val="20"/>
                </w:rPr>
                <w:t>8</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281305164"/>
              <w:rPr>
                <w:rFonts w:eastAsia="Times New Roman"/>
              </w:rPr>
            </w:pPr>
            <w:hyperlink w:anchor="id9c6bfb9fb8b448daec852530d7d2c30_28" w:history="1">
              <w:r>
                <w:rPr>
                  <w:rStyle w:val="a3"/>
                  <w:rFonts w:eastAsia="Times New Roman"/>
                  <w:sz w:val="20"/>
                  <w:szCs w:val="20"/>
                </w:rPr>
                <w:t>Condensed Consolidated Statements of Changes in Equity for the three and six months ended March 31, 2021 and 2020</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28" w:history="1">
              <w:r>
                <w:rPr>
                  <w:rStyle w:val="a3"/>
                  <w:rFonts w:eastAsia="Times New Roman"/>
                  <w:sz w:val="20"/>
                  <w:szCs w:val="20"/>
                </w:rPr>
                <w:t>9</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2048479495"/>
              <w:rPr>
                <w:rFonts w:eastAsia="Times New Roman"/>
              </w:rPr>
            </w:pPr>
            <w:hyperlink w:anchor="id9c6bfb9fb8b448daec852530d7d2c30_31" w:history="1">
              <w:r>
                <w:rPr>
                  <w:rStyle w:val="a3"/>
                  <w:rFonts w:eastAsia="Times New Roman"/>
                  <w:sz w:val="20"/>
                  <w:szCs w:val="20"/>
                </w:rPr>
                <w:t>Notes to C</w:t>
              </w:r>
              <w:r>
                <w:rPr>
                  <w:rStyle w:val="a3"/>
                  <w:rFonts w:eastAsia="Times New Roman"/>
                  <w:sz w:val="20"/>
                  <w:szCs w:val="20"/>
                </w:rPr>
                <w:t>ondensed Consolidated Financial Statements</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31" w:history="1">
              <w:r>
                <w:rPr>
                  <w:rStyle w:val="a3"/>
                  <w:rFonts w:eastAsia="Times New Roman"/>
                  <w:sz w:val="20"/>
                  <w:szCs w:val="20"/>
                </w:rPr>
                <w:t>10</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385299463"/>
              <w:rPr>
                <w:rFonts w:eastAsia="Times New Roman"/>
              </w:rPr>
            </w:pPr>
            <w:hyperlink w:anchor="id9c6bfb9fb8b448daec852530d7d2c30_76" w:history="1">
              <w:r>
                <w:rPr>
                  <w:rStyle w:val="a3"/>
                  <w:rFonts w:eastAsia="Times New Roman"/>
                  <w:sz w:val="20"/>
                  <w:szCs w:val="20"/>
                </w:rPr>
                <w:t>Item 2. Management’</w:t>
              </w:r>
              <w:r>
                <w:rPr>
                  <w:rStyle w:val="a3"/>
                  <w:rFonts w:eastAsia="Times New Roman"/>
                  <w:sz w:val="20"/>
                  <w:szCs w:val="20"/>
                </w:rPr>
                <w: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76" w:history="1">
              <w:r>
                <w:rPr>
                  <w:rStyle w:val="a3"/>
                  <w:rFonts w:eastAsia="Times New Roman"/>
                  <w:sz w:val="20"/>
                  <w:szCs w:val="20"/>
                </w:rPr>
                <w:t>34</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122315922"/>
              <w:rPr>
                <w:rFonts w:eastAsia="Times New Roman"/>
              </w:rPr>
            </w:pPr>
            <w:hyperlink w:anchor="id9c6bfb9fb8b448daec852530d7d2c30_85" w:history="1">
              <w:r>
                <w:rPr>
                  <w:rStyle w:val="a3"/>
                  <w:rFonts w:eastAsia="Times New Roman"/>
                  <w:sz w:val="20"/>
                  <w:szCs w:val="20"/>
                </w:rPr>
                <w:t>Item 3. Quantitative and Qualitative Disclosures</w:t>
              </w:r>
              <w:r>
                <w:rPr>
                  <w:rStyle w:val="a3"/>
                  <w:rFonts w:eastAsia="Times New Roman"/>
                  <w:sz w:val="20"/>
                  <w:szCs w:val="20"/>
                </w:rPr>
                <w:t xml:space="preserve"> About Market Risk</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85" w:history="1">
              <w:r>
                <w:rPr>
                  <w:rStyle w:val="a3"/>
                  <w:rFonts w:eastAsia="Times New Roman"/>
                  <w:sz w:val="20"/>
                  <w:szCs w:val="20"/>
                </w:rPr>
                <w:t>51</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1746758365"/>
              <w:rPr>
                <w:rFonts w:eastAsia="Times New Roman"/>
              </w:rPr>
            </w:pPr>
            <w:hyperlink w:anchor="id9c6bfb9fb8b448daec852530d7d2c30_88"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88" w:history="1">
              <w:r>
                <w:rPr>
                  <w:rStyle w:val="a3"/>
                  <w:rFonts w:eastAsia="Times New Roman"/>
                  <w:sz w:val="20"/>
                  <w:szCs w:val="20"/>
                </w:rPr>
                <w:t>53</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1069228901"/>
              <w:rPr>
                <w:rFonts w:eastAsia="Times New Roman"/>
              </w:rPr>
            </w:pPr>
            <w:hyperlink w:anchor="id9c6bfb9fb8b448daec852530d7d2c30_91" w:history="1">
              <w:r>
                <w:rPr>
                  <w:rStyle w:val="a3"/>
                  <w:rFonts w:eastAsia="Times New Roman"/>
                  <w:b/>
                  <w:bCs/>
                  <w:sz w:val="20"/>
                  <w:szCs w:val="20"/>
                </w:rPr>
                <w:t>Part II Other Information</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932127027"/>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1768885819"/>
              <w:rPr>
                <w:rFonts w:eastAsia="Times New Roman"/>
              </w:rPr>
            </w:pPr>
            <w:hyperlink w:anchor="id9c6bfb9fb8b448daec852530d7d2c30_94"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94" w:history="1">
              <w:r>
                <w:rPr>
                  <w:rStyle w:val="a3"/>
                  <w:rFonts w:eastAsia="Times New Roman"/>
                  <w:sz w:val="20"/>
                  <w:szCs w:val="20"/>
                </w:rPr>
                <w:t>54</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2142534372"/>
              <w:rPr>
                <w:rFonts w:eastAsia="Times New Roman"/>
              </w:rPr>
            </w:pPr>
            <w:hyperlink w:anchor="id9c6bfb9fb8b448daec852530d7d2c30_97" w:history="1">
              <w:r>
                <w:rPr>
                  <w:rStyle w:val="a3"/>
                  <w:rFonts w:eastAsia="Times New Roman"/>
                  <w:sz w:val="20"/>
                  <w:szCs w:val="20"/>
                </w:rPr>
                <w:t>Item 6. Exhibits</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94" w:history="1">
              <w:r>
                <w:rPr>
                  <w:rStyle w:val="a3"/>
                  <w:rFonts w:eastAsia="Times New Roman"/>
                  <w:sz w:val="20"/>
                  <w:szCs w:val="20"/>
                </w:rPr>
                <w:t>54</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932127027"/>
        </w:trPr>
        <w:tc>
          <w:tcPr>
            <w:tcW w:w="0" w:type="auto"/>
            <w:gridSpan w:val="3"/>
            <w:tcMar>
              <w:top w:w="30" w:type="dxa"/>
              <w:left w:w="20" w:type="dxa"/>
              <w:bottom w:w="30" w:type="dxa"/>
              <w:right w:w="20" w:type="dxa"/>
            </w:tcMar>
            <w:hideMark/>
          </w:tcPr>
          <w:p w:rsidR="00000000" w:rsidRDefault="003F1733">
            <w:pPr>
              <w:divId w:val="877278601"/>
              <w:rPr>
                <w:rFonts w:eastAsia="Times New Roman"/>
              </w:rPr>
            </w:pPr>
            <w:hyperlink w:anchor="id9c6bfb9fb8b448daec852530d7d2c30_103" w:history="1">
              <w:r>
                <w:rPr>
                  <w:rStyle w:val="a3"/>
                  <w:rFonts w:eastAsia="Times New Roman"/>
                  <w:sz w:val="20"/>
                  <w:szCs w:val="20"/>
                </w:rPr>
                <w:t>Signatures</w:t>
              </w:r>
            </w:hyperlink>
          </w:p>
        </w:tc>
        <w:tc>
          <w:tcPr>
            <w:tcW w:w="0" w:type="auto"/>
            <w:gridSpan w:val="3"/>
            <w:tcMar>
              <w:top w:w="30" w:type="dxa"/>
              <w:left w:w="20" w:type="dxa"/>
              <w:bottom w:w="30" w:type="dxa"/>
              <w:right w:w="20" w:type="dxa"/>
            </w:tcMar>
            <w:hideMark/>
          </w:tcPr>
          <w:p w:rsidR="00000000" w:rsidRDefault="003F1733">
            <w:pPr>
              <w:jc w:val="right"/>
              <w:rPr>
                <w:rFonts w:eastAsia="Times New Roman"/>
              </w:rPr>
            </w:pPr>
            <w:hyperlink w:anchor="id9c6bfb9fb8b448daec852530d7d2c30_103" w:history="1">
              <w:r>
                <w:rPr>
                  <w:rStyle w:val="a3"/>
                  <w:rFonts w:eastAsia="Times New Roman"/>
                  <w:sz w:val="20"/>
                  <w:szCs w:val="20"/>
                </w:rPr>
                <w:t>56</w:t>
              </w:r>
            </w:hyperlink>
          </w:p>
        </w:tc>
      </w:tr>
      <w:tr w:rsidR="00000000">
        <w:trPr>
          <w:divId w:val="932127027"/>
          <w:trHeight w:val="6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bl>
    <w:p w:rsidR="00000000" w:rsidRDefault="003F1733">
      <w:pPr>
        <w:divId w:val="993492010"/>
        <w:rPr>
          <w:rFonts w:eastAsia="Times New Roman"/>
        </w:rPr>
      </w:pPr>
      <w:r>
        <w:rPr>
          <w:rFonts w:eastAsia="Times New Roman"/>
          <w:color w:val="000000"/>
          <w:sz w:val="16"/>
          <w:szCs w:val="16"/>
        </w:rPr>
        <w:t> </w:t>
      </w:r>
    </w:p>
    <w:p w:rsidR="00000000" w:rsidRDefault="003F1733">
      <w:pPr>
        <w:jc w:val="center"/>
        <w:divId w:val="262418776"/>
        <w:rPr>
          <w:rFonts w:eastAsia="Times New Roman"/>
        </w:rPr>
      </w:pPr>
      <w:r>
        <w:rPr>
          <w:rFonts w:eastAsia="Times New Roman"/>
          <w:color w:val="000000"/>
          <w:sz w:val="20"/>
          <w:szCs w:val="20"/>
        </w:rPr>
        <w:t>i</w:t>
      </w:r>
    </w:p>
    <w:p w:rsidR="00000000" w:rsidRDefault="003F1733">
      <w:pPr>
        <w:rPr>
          <w:rFonts w:eastAsia="Times New Roman"/>
        </w:rPr>
      </w:pPr>
      <w:r>
        <w:rPr>
          <w:rFonts w:eastAsia="Times New Roman"/>
        </w:rPr>
        <w:pict>
          <v:rect id="_x0000_i1026" style="width:0;height:1.5pt" o:hralign="center" o:hrstd="t" o:hr="t" fillcolor="#a0a0a0" stroked="f"/>
        </w:pict>
      </w:r>
    </w:p>
    <w:p w:rsidR="00000000" w:rsidRDefault="003F1733">
      <w:pPr>
        <w:divId w:val="448090173"/>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564100723"/>
        <w:rPr>
          <w:rFonts w:eastAsia="Times New Roman"/>
        </w:rPr>
      </w:pPr>
    </w:p>
    <w:p w:rsidR="00000000" w:rsidRDefault="003F1733">
      <w:pPr>
        <w:divId w:val="1205482834"/>
        <w:rPr>
          <w:rFonts w:eastAsia="Times New Roman"/>
        </w:rPr>
      </w:pPr>
    </w:p>
    <w:p w:rsidR="00000000" w:rsidRDefault="003F1733">
      <w:pPr>
        <w:jc w:val="center"/>
        <w:rPr>
          <w:rFonts w:eastAsia="Times New Roman"/>
        </w:rPr>
      </w:pPr>
      <w:r>
        <w:rPr>
          <w:rFonts w:eastAsia="Times New Roman"/>
          <w:b/>
          <w:bCs/>
          <w:color w:val="000000"/>
          <w:sz w:val="20"/>
          <w:szCs w:val="20"/>
        </w:rPr>
        <w:t>GLOSSARY OF TERMS AND ABBREVIATIONS</w:t>
      </w:r>
    </w:p>
    <w:p w:rsidR="00000000" w:rsidRDefault="003F1733">
      <w:pPr>
        <w:divId w:val="949775423"/>
        <w:rPr>
          <w:rFonts w:eastAsia="Times New Roman"/>
        </w:rPr>
      </w:pPr>
    </w:p>
    <w:p w:rsidR="00000000" w:rsidRDefault="003F1733">
      <w:pPr>
        <w:divId w:val="1114515091"/>
        <w:rPr>
          <w:rFonts w:eastAsia="Times New Roman"/>
        </w:rPr>
      </w:pPr>
      <w:r>
        <w:rPr>
          <w:rFonts w:eastAsia="Times New Roman"/>
          <w:color w:val="000000"/>
          <w:sz w:val="20"/>
          <w:szCs w:val="20"/>
        </w:rPr>
        <w:t>Terms and abbreviations used in this Form 10-Q are defined below:</w:t>
      </w:r>
    </w:p>
    <w:p w:rsidR="00000000" w:rsidRDefault="003F1733">
      <w:pPr>
        <w:divId w:val="1514491636"/>
        <w:rPr>
          <w:rFonts w:eastAsia="Times New Roman"/>
        </w:rPr>
      </w:pPr>
    </w:p>
    <w:p w:rsidR="00000000" w:rsidRDefault="003F1733">
      <w:pPr>
        <w:jc w:val="center"/>
        <w:rPr>
          <w:rFonts w:eastAsia="Times New Roman"/>
        </w:rPr>
      </w:pPr>
      <w:r>
        <w:rPr>
          <w:rFonts w:eastAsia="Times New Roman"/>
          <w:b/>
          <w:bCs/>
          <w:i/>
          <w:iCs/>
          <w:color w:val="000000"/>
          <w:sz w:val="20"/>
          <w:szCs w:val="20"/>
          <w:u w:val="single"/>
        </w:rPr>
        <w:t>UGI Corporation and Related Entities</w:t>
      </w:r>
    </w:p>
    <w:p w:rsidR="00000000" w:rsidRDefault="003F1733">
      <w:pPr>
        <w:jc w:val="center"/>
        <w:rPr>
          <w:rFonts w:eastAsia="Times New Roman"/>
        </w:rPr>
      </w:pPr>
    </w:p>
    <w:p w:rsidR="00000000" w:rsidRDefault="003F1733">
      <w:pPr>
        <w:jc w:val="both"/>
        <w:divId w:val="181555126"/>
        <w:rPr>
          <w:rFonts w:eastAsia="Times New Roman"/>
        </w:rPr>
      </w:pPr>
      <w:r>
        <w:rPr>
          <w:rFonts w:eastAsia="Times New Roman"/>
          <w:b/>
          <w:bCs/>
          <w:i/>
          <w:iCs/>
          <w:color w:val="000000"/>
          <w:sz w:val="20"/>
          <w:szCs w:val="20"/>
        </w:rPr>
        <w:t xml:space="preserve">AmeriGas OLP - </w:t>
      </w:r>
      <w:r>
        <w:rPr>
          <w:rFonts w:eastAsia="Times New Roman"/>
          <w:color w:val="000000"/>
          <w:sz w:val="20"/>
          <w:szCs w:val="20"/>
        </w:rPr>
        <w:t>AmeriGas Propane, L.P., the principal operating subsidiary of AmeriGas Partners</w:t>
      </w:r>
    </w:p>
    <w:p w:rsidR="00000000" w:rsidRDefault="003F1733">
      <w:pPr>
        <w:jc w:val="both"/>
        <w:divId w:val="435100200"/>
        <w:rPr>
          <w:rFonts w:eastAsia="Times New Roman"/>
        </w:rPr>
      </w:pPr>
      <w:r>
        <w:rPr>
          <w:rFonts w:eastAsia="Times New Roman"/>
          <w:b/>
          <w:bCs/>
          <w:i/>
          <w:iCs/>
          <w:color w:val="000000"/>
          <w:sz w:val="20"/>
          <w:szCs w:val="20"/>
        </w:rPr>
        <w:t>AmeriGas Partners -</w:t>
      </w:r>
      <w:r>
        <w:rPr>
          <w:rFonts w:eastAsia="Times New Roman"/>
          <w:color w:val="000000"/>
          <w:sz w:val="20"/>
          <w:szCs w:val="20"/>
        </w:rPr>
        <w:t xml:space="preserve"> AmeriGas Partners, L.P., a Delaware limited partnership and an indirect wholly-owned subsidiary of UGI</w:t>
      </w:r>
      <w:r>
        <w:rPr>
          <w:rFonts w:eastAsia="Times New Roman"/>
          <w:color w:val="000000"/>
          <w:sz w:val="20"/>
          <w:szCs w:val="20"/>
        </w:rPr>
        <w:t>; also referred to as the “Partnership”</w:t>
      </w:r>
    </w:p>
    <w:p w:rsidR="00000000" w:rsidRDefault="003F1733">
      <w:pPr>
        <w:jc w:val="both"/>
        <w:divId w:val="214506619"/>
        <w:rPr>
          <w:rFonts w:eastAsia="Times New Roman"/>
        </w:rPr>
      </w:pPr>
      <w:r>
        <w:rPr>
          <w:rFonts w:eastAsia="Times New Roman"/>
          <w:b/>
          <w:bCs/>
          <w:i/>
          <w:iCs/>
          <w:color w:val="000000"/>
          <w:sz w:val="20"/>
          <w:szCs w:val="20"/>
        </w:rPr>
        <w:t>AmeriGas Propane -</w:t>
      </w:r>
      <w:r>
        <w:rPr>
          <w:rFonts w:eastAsia="Times New Roman"/>
          <w:color w:val="000000"/>
          <w:sz w:val="20"/>
          <w:szCs w:val="20"/>
        </w:rPr>
        <w:t xml:space="preserve"> Reportable segment comprising AmeriGas Propane, Inc. and its subsidiaries, including AmeriGas Partners and AmeriGas OLP</w:t>
      </w:r>
    </w:p>
    <w:p w:rsidR="00000000" w:rsidRDefault="003F1733">
      <w:pPr>
        <w:jc w:val="both"/>
        <w:divId w:val="639503531"/>
        <w:rPr>
          <w:rFonts w:eastAsia="Times New Roman"/>
        </w:rPr>
      </w:pPr>
      <w:r>
        <w:rPr>
          <w:rFonts w:eastAsia="Times New Roman"/>
          <w:b/>
          <w:bCs/>
          <w:i/>
          <w:iCs/>
          <w:color w:val="000000"/>
          <w:sz w:val="20"/>
          <w:szCs w:val="20"/>
        </w:rPr>
        <w:t>AmeriGas Propane, Inc. -</w:t>
      </w:r>
      <w:r>
        <w:rPr>
          <w:rFonts w:eastAsia="Times New Roman"/>
          <w:color w:val="000000"/>
          <w:sz w:val="20"/>
          <w:szCs w:val="20"/>
        </w:rPr>
        <w:t xml:space="preserve"> A wholly owned second-tier subsidiary of UGI and the</w:t>
      </w:r>
      <w:r>
        <w:rPr>
          <w:rFonts w:eastAsia="Times New Roman"/>
          <w:color w:val="000000"/>
          <w:sz w:val="20"/>
          <w:szCs w:val="20"/>
        </w:rPr>
        <w:t xml:space="preserve"> general partner of AmeriGas Partners; also referred to as the “General Partner”</w:t>
      </w:r>
    </w:p>
    <w:p w:rsidR="00000000" w:rsidRDefault="003F1733">
      <w:pPr>
        <w:jc w:val="both"/>
        <w:divId w:val="1966737400"/>
        <w:rPr>
          <w:rFonts w:eastAsia="Times New Roman"/>
        </w:rPr>
      </w:pPr>
      <w:r>
        <w:rPr>
          <w:rFonts w:eastAsia="Times New Roman"/>
          <w:b/>
          <w:bCs/>
          <w:i/>
          <w:iCs/>
          <w:color w:val="000000"/>
          <w:sz w:val="20"/>
          <w:szCs w:val="20"/>
        </w:rPr>
        <w:t>AvantiGas -</w:t>
      </w:r>
      <w:r>
        <w:rPr>
          <w:rFonts w:eastAsia="Times New Roman"/>
          <w:color w:val="000000"/>
          <w:sz w:val="20"/>
          <w:szCs w:val="20"/>
        </w:rPr>
        <w:t xml:space="preserve"> AvantiGas Limited, an indirect wholly owned subsidiary of UGI International, LLC</w:t>
      </w:r>
    </w:p>
    <w:p w:rsidR="00000000" w:rsidRDefault="003F1733">
      <w:pPr>
        <w:jc w:val="both"/>
        <w:divId w:val="855197596"/>
        <w:rPr>
          <w:rFonts w:eastAsia="Times New Roman"/>
        </w:rPr>
      </w:pPr>
      <w:r>
        <w:rPr>
          <w:rFonts w:eastAsia="Times New Roman"/>
          <w:b/>
          <w:bCs/>
          <w:i/>
          <w:iCs/>
          <w:color w:val="000000"/>
          <w:sz w:val="20"/>
          <w:szCs w:val="20"/>
        </w:rPr>
        <w:t>Company -</w:t>
      </w:r>
      <w:r>
        <w:rPr>
          <w:rFonts w:eastAsia="Times New Roman"/>
          <w:color w:val="000000"/>
          <w:sz w:val="20"/>
          <w:szCs w:val="20"/>
        </w:rPr>
        <w:t xml:space="preserve"> UGI and its consolidated subsidiaries collectively</w:t>
      </w:r>
    </w:p>
    <w:p w:rsidR="00000000" w:rsidRDefault="003F1733">
      <w:pPr>
        <w:jc w:val="both"/>
        <w:divId w:val="1245534555"/>
        <w:rPr>
          <w:rFonts w:eastAsia="Times New Roman"/>
        </w:rPr>
      </w:pPr>
      <w:r>
        <w:rPr>
          <w:rFonts w:eastAsia="Times New Roman"/>
          <w:b/>
          <w:bCs/>
          <w:i/>
          <w:iCs/>
          <w:color w:val="000000"/>
          <w:sz w:val="20"/>
          <w:szCs w:val="20"/>
        </w:rPr>
        <w:t>DVEP -</w:t>
      </w:r>
      <w:r>
        <w:rPr>
          <w:rFonts w:eastAsia="Times New Roman"/>
          <w:color w:val="000000"/>
          <w:sz w:val="20"/>
          <w:szCs w:val="20"/>
        </w:rPr>
        <w:t xml:space="preserve"> DVEP Investeri</w:t>
      </w:r>
      <w:r>
        <w:rPr>
          <w:rFonts w:eastAsia="Times New Roman"/>
          <w:color w:val="000000"/>
          <w:sz w:val="20"/>
          <w:szCs w:val="20"/>
        </w:rPr>
        <w:t>ngen B.V., an indirect wholly owned subsidiary of UGI International, LLC</w:t>
      </w:r>
    </w:p>
    <w:p w:rsidR="00000000" w:rsidRDefault="003F1733">
      <w:pPr>
        <w:jc w:val="both"/>
        <w:divId w:val="604458655"/>
        <w:rPr>
          <w:rFonts w:eastAsia="Times New Roman"/>
        </w:rPr>
      </w:pPr>
      <w:r>
        <w:rPr>
          <w:rFonts w:eastAsia="Times New Roman"/>
          <w:b/>
          <w:bCs/>
          <w:i/>
          <w:iCs/>
          <w:color w:val="000000"/>
          <w:sz w:val="20"/>
          <w:szCs w:val="20"/>
        </w:rPr>
        <w:t>Electric Utility -</w:t>
      </w:r>
      <w:r>
        <w:rPr>
          <w:rFonts w:eastAsia="Times New Roman"/>
          <w:color w:val="000000"/>
          <w:sz w:val="20"/>
          <w:szCs w:val="20"/>
        </w:rPr>
        <w:t xml:space="preserve"> UGI Utilities’ regulated electric distribution utility</w:t>
      </w:r>
    </w:p>
    <w:p w:rsidR="00000000" w:rsidRDefault="003F1733">
      <w:pPr>
        <w:jc w:val="both"/>
        <w:divId w:val="1135836483"/>
        <w:rPr>
          <w:rFonts w:eastAsia="Times New Roman"/>
        </w:rPr>
      </w:pPr>
      <w:r>
        <w:rPr>
          <w:rFonts w:eastAsia="Times New Roman"/>
          <w:b/>
          <w:bCs/>
          <w:i/>
          <w:iCs/>
          <w:color w:val="000000"/>
          <w:sz w:val="20"/>
          <w:szCs w:val="20"/>
        </w:rPr>
        <w:t>Energy Services -</w:t>
      </w:r>
      <w:r>
        <w:rPr>
          <w:rFonts w:eastAsia="Times New Roman"/>
          <w:color w:val="000000"/>
          <w:sz w:val="20"/>
          <w:szCs w:val="20"/>
        </w:rPr>
        <w:t xml:space="preserve"> UGI Energy Services, LLC, a wholly owned second-tier subsidiary of UGI</w:t>
      </w:r>
    </w:p>
    <w:p w:rsidR="00000000" w:rsidRDefault="003F1733">
      <w:pPr>
        <w:jc w:val="both"/>
        <w:divId w:val="398291458"/>
        <w:rPr>
          <w:rFonts w:eastAsia="Times New Roman"/>
        </w:rPr>
      </w:pPr>
      <w:r>
        <w:rPr>
          <w:rFonts w:eastAsia="Times New Roman"/>
          <w:b/>
          <w:bCs/>
          <w:i/>
          <w:iCs/>
          <w:color w:val="000000"/>
          <w:sz w:val="20"/>
          <w:szCs w:val="20"/>
        </w:rPr>
        <w:t>ESFC -</w:t>
      </w:r>
      <w:r>
        <w:rPr>
          <w:rFonts w:eastAsia="Times New Roman"/>
          <w:color w:val="000000"/>
          <w:sz w:val="20"/>
          <w:szCs w:val="20"/>
        </w:rPr>
        <w:t xml:space="preserve"> Energy Servic</w:t>
      </w:r>
      <w:r>
        <w:rPr>
          <w:rFonts w:eastAsia="Times New Roman"/>
          <w:color w:val="000000"/>
          <w:sz w:val="20"/>
          <w:szCs w:val="20"/>
        </w:rPr>
        <w:t>es Funding Corporation, a wholly owned subsidiary of Energy Services</w:t>
      </w:r>
    </w:p>
    <w:p w:rsidR="00000000" w:rsidRDefault="003F1733">
      <w:pPr>
        <w:jc w:val="both"/>
        <w:divId w:val="1660498008"/>
        <w:rPr>
          <w:rFonts w:eastAsia="Times New Roman"/>
        </w:rPr>
      </w:pPr>
      <w:r>
        <w:rPr>
          <w:rFonts w:eastAsia="Times New Roman"/>
          <w:b/>
          <w:bCs/>
          <w:i/>
          <w:iCs/>
          <w:color w:val="000000"/>
          <w:sz w:val="20"/>
          <w:szCs w:val="20"/>
        </w:rPr>
        <w:t xml:space="preserve">Flaga - </w:t>
      </w:r>
      <w:r>
        <w:rPr>
          <w:rFonts w:eastAsia="Times New Roman"/>
          <w:color w:val="000000"/>
          <w:sz w:val="20"/>
          <w:szCs w:val="20"/>
        </w:rPr>
        <w:t>Flaga GmbH, an indirect wholly owned subsidiary of UGI International, LLC</w:t>
      </w:r>
    </w:p>
    <w:p w:rsidR="00000000" w:rsidRDefault="003F1733">
      <w:pPr>
        <w:jc w:val="both"/>
        <w:divId w:val="977153185"/>
        <w:rPr>
          <w:rFonts w:eastAsia="Times New Roman"/>
        </w:rPr>
      </w:pPr>
      <w:r>
        <w:rPr>
          <w:rFonts w:eastAsia="Times New Roman"/>
          <w:b/>
          <w:bCs/>
          <w:i/>
          <w:iCs/>
          <w:color w:val="000000"/>
          <w:sz w:val="20"/>
          <w:szCs w:val="20"/>
        </w:rPr>
        <w:t>Gas Utility -</w:t>
      </w:r>
      <w:r>
        <w:rPr>
          <w:rFonts w:eastAsia="Times New Roman"/>
          <w:color w:val="000000"/>
          <w:sz w:val="20"/>
          <w:szCs w:val="20"/>
        </w:rPr>
        <w:t xml:space="preserve"> UGI Utilities’ regulated natural gas distribution business, comprising the natural gas util</w:t>
      </w:r>
      <w:r>
        <w:rPr>
          <w:rFonts w:eastAsia="Times New Roman"/>
          <w:color w:val="000000"/>
          <w:sz w:val="20"/>
          <w:szCs w:val="20"/>
        </w:rPr>
        <w:t>ity businesses owned and operated by UGI Utilities</w:t>
      </w:r>
    </w:p>
    <w:p w:rsidR="00000000" w:rsidRDefault="003F1733">
      <w:pPr>
        <w:jc w:val="both"/>
        <w:divId w:val="1140196006"/>
        <w:rPr>
          <w:rFonts w:eastAsia="Times New Roman"/>
        </w:rPr>
      </w:pPr>
      <w:r>
        <w:rPr>
          <w:rFonts w:eastAsia="Times New Roman"/>
          <w:b/>
          <w:bCs/>
          <w:i/>
          <w:iCs/>
          <w:color w:val="000000"/>
          <w:sz w:val="20"/>
          <w:szCs w:val="20"/>
        </w:rPr>
        <w:t>General Partner</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AmeriGas Propane, Inc., the general partner of AmeriGas Partners</w:t>
      </w:r>
    </w:p>
    <w:p w:rsidR="00000000" w:rsidRDefault="003F1733">
      <w:pPr>
        <w:jc w:val="both"/>
        <w:divId w:val="906645952"/>
        <w:rPr>
          <w:rFonts w:eastAsia="Times New Roman"/>
        </w:rPr>
      </w:pPr>
      <w:r>
        <w:rPr>
          <w:rFonts w:eastAsia="Times New Roman"/>
          <w:b/>
          <w:bCs/>
          <w:i/>
          <w:iCs/>
          <w:color w:val="000000"/>
          <w:sz w:val="20"/>
          <w:szCs w:val="20"/>
        </w:rPr>
        <w:t xml:space="preserve">GHI - </w:t>
      </w:r>
      <w:r>
        <w:rPr>
          <w:rFonts w:eastAsia="Times New Roman"/>
          <w:color w:val="000000"/>
          <w:sz w:val="20"/>
          <w:szCs w:val="20"/>
        </w:rPr>
        <w:t>GHI Energy, LLC, which was acquired by Energy Services in Fiscal 2020</w:t>
      </w:r>
    </w:p>
    <w:p w:rsidR="00000000" w:rsidRDefault="003F1733">
      <w:pPr>
        <w:jc w:val="both"/>
        <w:divId w:val="1666203633"/>
        <w:rPr>
          <w:rFonts w:eastAsia="Times New Roman"/>
        </w:rPr>
      </w:pPr>
      <w:r>
        <w:rPr>
          <w:rFonts w:eastAsia="Times New Roman"/>
          <w:b/>
          <w:bCs/>
          <w:i/>
          <w:iCs/>
          <w:color w:val="000000"/>
          <w:sz w:val="20"/>
          <w:szCs w:val="20"/>
        </w:rPr>
        <w:t>HVAC</w:t>
      </w:r>
      <w:r>
        <w:rPr>
          <w:rFonts w:eastAsia="Times New Roman"/>
          <w:color w:val="000000"/>
          <w:sz w:val="20"/>
          <w:szCs w:val="20"/>
        </w:rPr>
        <w:t xml:space="preserve"> - UGI HVAC Enterprises, Inc., a wholly owned second-tier subsidiary of UGI, which was sold in September 2020</w:t>
      </w:r>
    </w:p>
    <w:p w:rsidR="00000000" w:rsidRDefault="003F1733">
      <w:pPr>
        <w:jc w:val="both"/>
        <w:divId w:val="372853655"/>
        <w:rPr>
          <w:rFonts w:eastAsia="Times New Roman"/>
        </w:rPr>
      </w:pPr>
      <w:r>
        <w:rPr>
          <w:rFonts w:eastAsia="Times New Roman"/>
          <w:b/>
          <w:bCs/>
          <w:i/>
          <w:iCs/>
          <w:color w:val="000000"/>
          <w:sz w:val="20"/>
          <w:szCs w:val="20"/>
        </w:rPr>
        <w:t>Midstream &amp; Marketing -</w:t>
      </w:r>
      <w:r>
        <w:rPr>
          <w:rFonts w:eastAsia="Times New Roman"/>
          <w:color w:val="000000"/>
          <w:sz w:val="20"/>
          <w:szCs w:val="20"/>
        </w:rPr>
        <w:t xml:space="preserve"> Reportable segment comprising Energy Services, U</w:t>
      </w:r>
      <w:r>
        <w:rPr>
          <w:rFonts w:eastAsia="Times New Roman"/>
          <w:color w:val="000000"/>
          <w:sz w:val="20"/>
          <w:szCs w:val="20"/>
        </w:rPr>
        <w:t>GID and, prior to its sale in September 2020, HVAC</w:t>
      </w:r>
    </w:p>
    <w:p w:rsidR="00000000" w:rsidRDefault="003F1733">
      <w:pPr>
        <w:jc w:val="both"/>
        <w:divId w:val="1911646406"/>
        <w:rPr>
          <w:rFonts w:eastAsia="Times New Roman"/>
        </w:rPr>
      </w:pPr>
      <w:r>
        <w:rPr>
          <w:rFonts w:eastAsia="Times New Roman"/>
          <w:b/>
          <w:bCs/>
          <w:i/>
          <w:iCs/>
          <w:color w:val="000000"/>
          <w:sz w:val="20"/>
          <w:szCs w:val="20"/>
        </w:rPr>
        <w:t>Partnership -</w:t>
      </w:r>
      <w:r>
        <w:rPr>
          <w:rFonts w:eastAsia="Times New Roman"/>
          <w:color w:val="000000"/>
          <w:sz w:val="20"/>
          <w:szCs w:val="20"/>
        </w:rPr>
        <w:t xml:space="preserve"> AmeriGas Partners and its consolidated subsidiaries, including AmeriGas OLP</w:t>
      </w:r>
    </w:p>
    <w:p w:rsidR="00000000" w:rsidRDefault="003F1733">
      <w:pPr>
        <w:jc w:val="both"/>
        <w:divId w:val="373391082"/>
        <w:rPr>
          <w:rFonts w:eastAsia="Times New Roman"/>
        </w:rPr>
      </w:pPr>
      <w:r>
        <w:rPr>
          <w:rFonts w:eastAsia="Times New Roman"/>
          <w:b/>
          <w:bCs/>
          <w:i/>
          <w:iCs/>
          <w:color w:val="000000"/>
          <w:sz w:val="20"/>
          <w:szCs w:val="20"/>
        </w:rPr>
        <w:t>Pennant -</w:t>
      </w:r>
      <w:r>
        <w:rPr>
          <w:rFonts w:eastAsia="Times New Roman"/>
          <w:color w:val="000000"/>
          <w:sz w:val="20"/>
          <w:szCs w:val="20"/>
        </w:rPr>
        <w:t xml:space="preserve"> Pennant Midstream, LLC, a Delaware limited liability corporation</w:t>
      </w:r>
    </w:p>
    <w:p w:rsidR="00000000" w:rsidRDefault="003F1733">
      <w:pPr>
        <w:jc w:val="both"/>
        <w:divId w:val="87041532"/>
        <w:rPr>
          <w:rFonts w:eastAsia="Times New Roman"/>
        </w:rPr>
      </w:pPr>
      <w:r>
        <w:rPr>
          <w:rFonts w:eastAsia="Times New Roman"/>
          <w:b/>
          <w:bCs/>
          <w:i/>
          <w:iCs/>
          <w:color w:val="000000"/>
          <w:sz w:val="20"/>
          <w:szCs w:val="20"/>
        </w:rPr>
        <w:t>PennEast -</w:t>
      </w:r>
      <w:r>
        <w:rPr>
          <w:rFonts w:eastAsia="Times New Roman"/>
          <w:color w:val="000000"/>
          <w:sz w:val="20"/>
          <w:szCs w:val="20"/>
        </w:rPr>
        <w:t xml:space="preserve"> PennEast Pipeline Company, LL</w:t>
      </w:r>
      <w:r>
        <w:rPr>
          <w:rFonts w:eastAsia="Times New Roman"/>
          <w:color w:val="000000"/>
          <w:sz w:val="20"/>
          <w:szCs w:val="20"/>
        </w:rPr>
        <w:t>C</w:t>
      </w:r>
    </w:p>
    <w:p w:rsidR="00000000" w:rsidRDefault="003F1733">
      <w:pPr>
        <w:jc w:val="both"/>
        <w:divId w:val="1516765934"/>
        <w:rPr>
          <w:rFonts w:eastAsia="Times New Roman"/>
        </w:rPr>
      </w:pPr>
      <w:r>
        <w:rPr>
          <w:rFonts w:eastAsia="Times New Roman"/>
          <w:b/>
          <w:bCs/>
          <w:i/>
          <w:iCs/>
          <w:color w:val="000000"/>
          <w:sz w:val="20"/>
          <w:szCs w:val="20"/>
        </w:rPr>
        <w:t>Pine Run</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Pine Run Gathering, LLC</w:t>
      </w:r>
    </w:p>
    <w:p w:rsidR="00000000" w:rsidRDefault="003F1733">
      <w:pPr>
        <w:jc w:val="both"/>
        <w:divId w:val="1955668989"/>
        <w:rPr>
          <w:rFonts w:eastAsia="Times New Roman"/>
        </w:rPr>
      </w:pPr>
      <w:r>
        <w:rPr>
          <w:rFonts w:eastAsia="Times New Roman"/>
          <w:b/>
          <w:bCs/>
          <w:i/>
          <w:iCs/>
          <w:color w:val="000000"/>
          <w:sz w:val="20"/>
          <w:szCs w:val="20"/>
        </w:rPr>
        <w:t>UGI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Corporation</w:t>
      </w:r>
    </w:p>
    <w:p w:rsidR="00000000" w:rsidRDefault="003F1733">
      <w:pPr>
        <w:jc w:val="both"/>
        <w:divId w:val="1054430966"/>
        <w:rPr>
          <w:rFonts w:eastAsia="Times New Roman"/>
        </w:rPr>
      </w:pPr>
      <w:r>
        <w:rPr>
          <w:rFonts w:eastAsia="Times New Roman"/>
          <w:b/>
          <w:bCs/>
          <w:i/>
          <w:iCs/>
          <w:color w:val="000000"/>
          <w:sz w:val="20"/>
          <w:szCs w:val="20"/>
        </w:rPr>
        <w:t>UGI Appalachia -</w:t>
      </w:r>
      <w:r>
        <w:rPr>
          <w:rFonts w:eastAsia="Times New Roman"/>
          <w:color w:val="000000"/>
          <w:sz w:val="20"/>
          <w:szCs w:val="20"/>
        </w:rPr>
        <w:t xml:space="preserve"> UGI Appalachia, LLC, a wholly owned subsidiary of Energy Services</w:t>
      </w:r>
    </w:p>
    <w:p w:rsidR="00000000" w:rsidRDefault="003F1733">
      <w:pPr>
        <w:jc w:val="both"/>
        <w:divId w:val="1166701365"/>
        <w:rPr>
          <w:rFonts w:eastAsia="Times New Roman"/>
        </w:rPr>
      </w:pPr>
      <w:r>
        <w:rPr>
          <w:rFonts w:eastAsia="Times New Roman"/>
          <w:b/>
          <w:bCs/>
          <w:i/>
          <w:iCs/>
          <w:color w:val="000000"/>
          <w:sz w:val="20"/>
          <w:szCs w:val="20"/>
        </w:rPr>
        <w:t xml:space="preserve">UGI France - </w:t>
      </w:r>
      <w:r>
        <w:rPr>
          <w:rFonts w:eastAsia="Times New Roman"/>
          <w:color w:val="000000"/>
          <w:sz w:val="20"/>
          <w:szCs w:val="20"/>
        </w:rPr>
        <w:t>UGI France SAS (</w:t>
      </w:r>
      <w:r>
        <w:rPr>
          <w:rFonts w:eastAsia="Times New Roman"/>
          <w:i/>
          <w:iCs/>
          <w:color w:val="000000"/>
          <w:sz w:val="20"/>
          <w:szCs w:val="20"/>
        </w:rPr>
        <w:t>a Société par actions simplifiée</w:t>
      </w:r>
      <w:r>
        <w:rPr>
          <w:rFonts w:eastAsia="Times New Roman"/>
          <w:color w:val="000000"/>
          <w:sz w:val="20"/>
          <w:szCs w:val="20"/>
        </w:rPr>
        <w:t>), an indirect wholly owned subsidiary of UGI Interna</w:t>
      </w:r>
      <w:r>
        <w:rPr>
          <w:rFonts w:eastAsia="Times New Roman"/>
          <w:color w:val="000000"/>
          <w:sz w:val="20"/>
          <w:szCs w:val="20"/>
        </w:rPr>
        <w:t>tional, LLC</w:t>
      </w:r>
    </w:p>
    <w:p w:rsidR="00000000" w:rsidRDefault="003F1733">
      <w:pPr>
        <w:jc w:val="both"/>
        <w:divId w:val="1660884017"/>
        <w:rPr>
          <w:rFonts w:eastAsia="Times New Roman"/>
        </w:rPr>
      </w:pPr>
      <w:r>
        <w:rPr>
          <w:rFonts w:eastAsia="Times New Roman"/>
          <w:b/>
          <w:bCs/>
          <w:i/>
          <w:iCs/>
          <w:color w:val="000000"/>
          <w:sz w:val="20"/>
          <w:szCs w:val="20"/>
        </w:rPr>
        <w:lastRenderedPageBreak/>
        <w:t>UGI International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Reportable segment principally comprising UGI’s foreign operations</w:t>
      </w:r>
    </w:p>
    <w:p w:rsidR="00000000" w:rsidRDefault="003F1733">
      <w:pPr>
        <w:jc w:val="both"/>
        <w:divId w:val="577642115"/>
        <w:rPr>
          <w:rFonts w:eastAsia="Times New Roman"/>
        </w:rPr>
      </w:pPr>
      <w:r>
        <w:rPr>
          <w:rFonts w:eastAsia="Times New Roman"/>
          <w:b/>
          <w:bCs/>
          <w:i/>
          <w:iCs/>
          <w:color w:val="000000"/>
          <w:sz w:val="20"/>
          <w:szCs w:val="20"/>
        </w:rPr>
        <w:t>UGI International, LLC</w:t>
      </w:r>
      <w:r>
        <w:rPr>
          <w:rFonts w:eastAsia="Times New Roman"/>
          <w:color w:val="000000"/>
          <w:sz w:val="20"/>
          <w:szCs w:val="20"/>
        </w:rPr>
        <w:t xml:space="preserve"> </w:t>
      </w:r>
      <w:r>
        <w:rPr>
          <w:rFonts w:eastAsia="Times New Roman"/>
          <w:b/>
          <w:bCs/>
          <w:i/>
          <w:iCs/>
          <w:color w:val="000000"/>
          <w:sz w:val="20"/>
          <w:szCs w:val="20"/>
        </w:rPr>
        <w:t xml:space="preserve">- </w:t>
      </w:r>
      <w:r>
        <w:rPr>
          <w:rFonts w:eastAsia="Times New Roman"/>
          <w:color w:val="000000"/>
          <w:sz w:val="20"/>
          <w:szCs w:val="20"/>
        </w:rPr>
        <w:t>UGI International, LLC, a wholly owned second-tier subsidiary of UGI</w:t>
      </w:r>
    </w:p>
    <w:p w:rsidR="00000000" w:rsidRDefault="003F1733">
      <w:pPr>
        <w:jc w:val="both"/>
        <w:divId w:val="706181866"/>
        <w:rPr>
          <w:rFonts w:eastAsia="Times New Roman"/>
        </w:rPr>
      </w:pPr>
      <w:r>
        <w:rPr>
          <w:rFonts w:eastAsia="Times New Roman"/>
          <w:b/>
          <w:bCs/>
          <w:i/>
          <w:iCs/>
          <w:color w:val="000000"/>
          <w:sz w:val="20"/>
          <w:szCs w:val="20"/>
        </w:rPr>
        <w:t>UGI PennEast, LLC -</w:t>
      </w:r>
      <w:r>
        <w:rPr>
          <w:rFonts w:eastAsia="Times New Roman"/>
          <w:color w:val="000000"/>
          <w:sz w:val="20"/>
          <w:szCs w:val="20"/>
        </w:rPr>
        <w:t xml:space="preserve"> A wholly owned subsidiary of Energy Service</w:t>
      </w:r>
      <w:r>
        <w:rPr>
          <w:rFonts w:eastAsia="Times New Roman"/>
          <w:color w:val="000000"/>
          <w:sz w:val="20"/>
          <w:szCs w:val="20"/>
        </w:rPr>
        <w:t>s that holds a 20% membership interest in PennEast</w:t>
      </w:r>
    </w:p>
    <w:p w:rsidR="00000000" w:rsidRDefault="003F1733">
      <w:pPr>
        <w:jc w:val="center"/>
        <w:divId w:val="4328840"/>
        <w:rPr>
          <w:rFonts w:eastAsia="Times New Roman"/>
        </w:rPr>
      </w:pPr>
      <w:r>
        <w:rPr>
          <w:rFonts w:eastAsia="Times New Roman"/>
          <w:color w:val="000000"/>
          <w:sz w:val="20"/>
          <w:szCs w:val="20"/>
        </w:rPr>
        <w:t>1</w:t>
      </w:r>
    </w:p>
    <w:p w:rsidR="00000000" w:rsidRDefault="003F1733">
      <w:pPr>
        <w:rPr>
          <w:rFonts w:eastAsia="Times New Roman"/>
        </w:rPr>
      </w:pPr>
      <w:r>
        <w:rPr>
          <w:rFonts w:eastAsia="Times New Roman"/>
        </w:rPr>
        <w:pict>
          <v:rect id="_x0000_i1027" style="width:0;height:1.5pt" o:hralign="center" o:hrstd="t" o:hr="t" fillcolor="#a0a0a0" stroked="f"/>
        </w:pict>
      </w:r>
    </w:p>
    <w:p w:rsidR="00000000" w:rsidRDefault="003F1733">
      <w:pPr>
        <w:divId w:val="191774074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291665199"/>
        <w:rPr>
          <w:rFonts w:eastAsia="Times New Roman"/>
        </w:rPr>
      </w:pPr>
    </w:p>
    <w:p w:rsidR="00000000" w:rsidRDefault="003F1733">
      <w:pPr>
        <w:divId w:val="1101952347"/>
        <w:rPr>
          <w:rFonts w:eastAsia="Times New Roman"/>
        </w:rPr>
      </w:pPr>
    </w:p>
    <w:p w:rsidR="00000000" w:rsidRDefault="003F1733">
      <w:pPr>
        <w:jc w:val="both"/>
        <w:divId w:val="180165084"/>
        <w:rPr>
          <w:rFonts w:eastAsia="Times New Roman"/>
        </w:rPr>
      </w:pPr>
      <w:r>
        <w:rPr>
          <w:rFonts w:eastAsia="Times New Roman"/>
          <w:b/>
          <w:bCs/>
          <w:i/>
          <w:iCs/>
          <w:color w:val="000000"/>
          <w:sz w:val="20"/>
          <w:szCs w:val="20"/>
        </w:rPr>
        <w:t xml:space="preserve">UGI Pine Run, LLC - </w:t>
      </w:r>
      <w:r>
        <w:rPr>
          <w:rFonts w:eastAsia="Times New Roman"/>
          <w:color w:val="000000"/>
          <w:sz w:val="20"/>
          <w:szCs w:val="20"/>
        </w:rPr>
        <w:t>A wholly owned subsidiary of Energy Services that holds a 49% membership interest in Pine Run</w:t>
      </w:r>
    </w:p>
    <w:p w:rsidR="00000000" w:rsidRDefault="003F1733">
      <w:pPr>
        <w:jc w:val="both"/>
        <w:divId w:val="474489985"/>
        <w:rPr>
          <w:rFonts w:eastAsia="Times New Roman"/>
        </w:rPr>
      </w:pPr>
      <w:r>
        <w:rPr>
          <w:rFonts w:eastAsia="Times New Roman"/>
          <w:b/>
          <w:bCs/>
          <w:i/>
          <w:iCs/>
          <w:color w:val="000000"/>
          <w:sz w:val="20"/>
          <w:szCs w:val="20"/>
        </w:rPr>
        <w:t>UGI Utilities -</w:t>
      </w:r>
      <w:r>
        <w:rPr>
          <w:rFonts w:eastAsia="Times New Roman"/>
          <w:color w:val="000000"/>
          <w:sz w:val="20"/>
          <w:szCs w:val="20"/>
        </w:rPr>
        <w:t xml:space="preserve"> UGI Utilities, Inc., a wholly owned subsidiary of UGI. Also a reportable segment of UGI comprising UGI Utilities, Inc. and its subsidiaries</w:t>
      </w:r>
    </w:p>
    <w:p w:rsidR="00000000" w:rsidRDefault="003F1733">
      <w:pPr>
        <w:jc w:val="both"/>
        <w:divId w:val="2067415444"/>
        <w:rPr>
          <w:rFonts w:eastAsia="Times New Roman"/>
        </w:rPr>
      </w:pPr>
      <w:r>
        <w:rPr>
          <w:rFonts w:eastAsia="Times New Roman"/>
          <w:b/>
          <w:bCs/>
          <w:i/>
          <w:iCs/>
          <w:color w:val="000000"/>
          <w:sz w:val="20"/>
          <w:szCs w:val="20"/>
        </w:rPr>
        <w:t>UGID -</w:t>
      </w:r>
      <w:r>
        <w:rPr>
          <w:rFonts w:eastAsia="Times New Roman"/>
          <w:color w:val="000000"/>
          <w:sz w:val="20"/>
          <w:szCs w:val="20"/>
        </w:rPr>
        <w:t xml:space="preserve"> UGI Development Company, a wholly owned subsidiary of Energy Services</w:t>
      </w:r>
    </w:p>
    <w:p w:rsidR="00000000" w:rsidRDefault="003F1733">
      <w:pPr>
        <w:jc w:val="both"/>
        <w:divId w:val="1664116756"/>
        <w:rPr>
          <w:rFonts w:eastAsia="Times New Roman"/>
        </w:rPr>
      </w:pPr>
      <w:r>
        <w:rPr>
          <w:rFonts w:eastAsia="Times New Roman"/>
          <w:b/>
          <w:bCs/>
          <w:i/>
          <w:iCs/>
          <w:color w:val="000000"/>
          <w:sz w:val="20"/>
          <w:szCs w:val="20"/>
        </w:rPr>
        <w:t>UniverGas -</w:t>
      </w:r>
      <w:r>
        <w:rPr>
          <w:rFonts w:eastAsia="Times New Roman"/>
          <w:color w:val="000000"/>
          <w:sz w:val="20"/>
          <w:szCs w:val="20"/>
        </w:rPr>
        <w:t xml:space="preserve"> UniverGas Italia S.r.l, an indirect wholly owned subsidiary of UGI International, LLC</w:t>
      </w:r>
    </w:p>
    <w:p w:rsidR="00000000" w:rsidRDefault="003F1733">
      <w:pPr>
        <w:jc w:val="center"/>
        <w:divId w:val="1689019612"/>
        <w:rPr>
          <w:rFonts w:eastAsia="Times New Roman"/>
        </w:rPr>
      </w:pPr>
      <w:r>
        <w:rPr>
          <w:rFonts w:eastAsia="Times New Roman"/>
          <w:b/>
          <w:bCs/>
          <w:i/>
          <w:iCs/>
          <w:color w:val="000000"/>
          <w:sz w:val="20"/>
          <w:szCs w:val="20"/>
          <w:u w:val="single"/>
        </w:rPr>
        <w:t>Other Terms and Abbreviations</w:t>
      </w:r>
    </w:p>
    <w:p w:rsidR="00000000" w:rsidRDefault="003F1733">
      <w:pPr>
        <w:jc w:val="both"/>
        <w:divId w:val="1700855934"/>
        <w:rPr>
          <w:rFonts w:eastAsia="Times New Roman"/>
        </w:rPr>
      </w:pPr>
      <w:r>
        <w:rPr>
          <w:rFonts w:eastAsia="Times New Roman"/>
          <w:b/>
          <w:bCs/>
          <w:i/>
          <w:iCs/>
          <w:color w:val="000000"/>
          <w:sz w:val="20"/>
          <w:szCs w:val="20"/>
        </w:rPr>
        <w:t>2020 Annual Report -</w:t>
      </w:r>
      <w:r>
        <w:rPr>
          <w:rFonts w:eastAsia="Times New Roman"/>
          <w:b/>
          <w:bCs/>
          <w:color w:val="000000"/>
          <w:sz w:val="20"/>
          <w:szCs w:val="20"/>
        </w:rPr>
        <w:t xml:space="preserve"> </w:t>
      </w:r>
      <w:r>
        <w:rPr>
          <w:rFonts w:eastAsia="Times New Roman"/>
          <w:color w:val="000000"/>
          <w:sz w:val="20"/>
          <w:szCs w:val="20"/>
        </w:rPr>
        <w:t>UGI Annual Report on Form 10-K for t</w:t>
      </w:r>
      <w:r>
        <w:rPr>
          <w:rFonts w:eastAsia="Times New Roman"/>
          <w:color w:val="000000"/>
          <w:sz w:val="20"/>
          <w:szCs w:val="20"/>
        </w:rPr>
        <w:t>he fiscal year ended September 30, 2020</w:t>
      </w:r>
    </w:p>
    <w:p w:rsidR="00000000" w:rsidRDefault="003F1733">
      <w:pPr>
        <w:jc w:val="both"/>
        <w:divId w:val="2013868179"/>
        <w:rPr>
          <w:rFonts w:eastAsia="Times New Roman"/>
        </w:rPr>
      </w:pPr>
      <w:r>
        <w:rPr>
          <w:rFonts w:eastAsia="Times New Roman"/>
          <w:b/>
          <w:bCs/>
          <w:i/>
          <w:iCs/>
          <w:color w:val="000000"/>
          <w:sz w:val="20"/>
          <w:szCs w:val="20"/>
        </w:rPr>
        <w:t>2020 six-month period -</w:t>
      </w:r>
      <w:r>
        <w:rPr>
          <w:rFonts w:eastAsia="Times New Roman"/>
          <w:b/>
          <w:bCs/>
          <w:color w:val="000000"/>
          <w:sz w:val="20"/>
          <w:szCs w:val="20"/>
        </w:rPr>
        <w:t xml:space="preserve"> </w:t>
      </w:r>
      <w:r>
        <w:rPr>
          <w:rFonts w:eastAsia="Times New Roman"/>
          <w:color w:val="000000"/>
          <w:sz w:val="20"/>
          <w:szCs w:val="20"/>
        </w:rPr>
        <w:t>Six months ended March 31, 2020</w:t>
      </w:r>
    </w:p>
    <w:p w:rsidR="00000000" w:rsidRDefault="003F1733">
      <w:pPr>
        <w:jc w:val="both"/>
        <w:divId w:val="182207687"/>
        <w:rPr>
          <w:rFonts w:eastAsia="Times New Roman"/>
        </w:rPr>
      </w:pPr>
      <w:r>
        <w:rPr>
          <w:rFonts w:eastAsia="Times New Roman"/>
          <w:b/>
          <w:bCs/>
          <w:i/>
          <w:iCs/>
          <w:color w:val="000000"/>
          <w:sz w:val="20"/>
          <w:szCs w:val="20"/>
        </w:rPr>
        <w:t>2020 three-month period -</w:t>
      </w:r>
      <w:r>
        <w:rPr>
          <w:rFonts w:eastAsia="Times New Roman"/>
          <w:b/>
          <w:bCs/>
          <w:color w:val="000000"/>
          <w:sz w:val="20"/>
          <w:szCs w:val="20"/>
        </w:rPr>
        <w:t xml:space="preserve"> </w:t>
      </w:r>
      <w:r>
        <w:rPr>
          <w:rFonts w:eastAsia="Times New Roman"/>
          <w:color w:val="000000"/>
          <w:sz w:val="20"/>
          <w:szCs w:val="20"/>
        </w:rPr>
        <w:t>Three months ended March 31, 2020</w:t>
      </w:r>
    </w:p>
    <w:p w:rsidR="00000000" w:rsidRDefault="003F1733">
      <w:pPr>
        <w:jc w:val="both"/>
        <w:divId w:val="872578184"/>
        <w:rPr>
          <w:rFonts w:eastAsia="Times New Roman"/>
        </w:rPr>
      </w:pPr>
      <w:r>
        <w:rPr>
          <w:rFonts w:eastAsia="Times New Roman"/>
          <w:b/>
          <w:bCs/>
          <w:i/>
          <w:iCs/>
          <w:color w:val="000000"/>
          <w:sz w:val="20"/>
          <w:szCs w:val="20"/>
        </w:rPr>
        <w:t>2021 six-month period -</w:t>
      </w:r>
      <w:r>
        <w:rPr>
          <w:rFonts w:eastAsia="Times New Roman"/>
          <w:b/>
          <w:bCs/>
          <w:color w:val="000000"/>
          <w:sz w:val="20"/>
          <w:szCs w:val="20"/>
        </w:rPr>
        <w:t xml:space="preserve"> </w:t>
      </w:r>
      <w:r>
        <w:rPr>
          <w:rFonts w:eastAsia="Times New Roman"/>
          <w:color w:val="000000"/>
          <w:sz w:val="20"/>
          <w:szCs w:val="20"/>
        </w:rPr>
        <w:t>Six months ended March 31, 2021</w:t>
      </w:r>
    </w:p>
    <w:p w:rsidR="00000000" w:rsidRDefault="003F1733">
      <w:pPr>
        <w:jc w:val="both"/>
        <w:divId w:val="536820799"/>
        <w:rPr>
          <w:rFonts w:eastAsia="Times New Roman"/>
        </w:rPr>
      </w:pPr>
      <w:r>
        <w:rPr>
          <w:rFonts w:eastAsia="Times New Roman"/>
          <w:b/>
          <w:bCs/>
          <w:i/>
          <w:iCs/>
          <w:color w:val="000000"/>
          <w:sz w:val="20"/>
          <w:szCs w:val="20"/>
        </w:rPr>
        <w:t>2021 three-month period -</w:t>
      </w:r>
      <w:r>
        <w:rPr>
          <w:rFonts w:eastAsia="Times New Roman"/>
          <w:b/>
          <w:bCs/>
          <w:color w:val="000000"/>
          <w:sz w:val="20"/>
          <w:szCs w:val="20"/>
        </w:rPr>
        <w:t xml:space="preserve"> </w:t>
      </w:r>
      <w:r>
        <w:rPr>
          <w:rFonts w:eastAsia="Times New Roman"/>
          <w:color w:val="000000"/>
          <w:sz w:val="20"/>
          <w:szCs w:val="20"/>
        </w:rPr>
        <w:t>Three months ended</w:t>
      </w:r>
      <w:r>
        <w:rPr>
          <w:rFonts w:eastAsia="Times New Roman"/>
          <w:color w:val="000000"/>
          <w:sz w:val="20"/>
          <w:szCs w:val="20"/>
        </w:rPr>
        <w:t xml:space="preserve"> March 31, 2021</w:t>
      </w:r>
    </w:p>
    <w:p w:rsidR="00000000" w:rsidRDefault="003F1733">
      <w:pPr>
        <w:jc w:val="both"/>
        <w:divId w:val="1305160825"/>
        <w:rPr>
          <w:rFonts w:eastAsia="Times New Roman"/>
        </w:rPr>
      </w:pPr>
      <w:r>
        <w:rPr>
          <w:rFonts w:eastAsia="Times New Roman"/>
          <w:b/>
          <w:bCs/>
          <w:i/>
          <w:iCs/>
          <w:color w:val="000000"/>
          <w:sz w:val="20"/>
          <w:szCs w:val="20"/>
        </w:rPr>
        <w:t>2021 UGI Corporation Senior Credit Facility</w:t>
      </w:r>
      <w:r>
        <w:rPr>
          <w:rFonts w:eastAsia="Times New Roman"/>
          <w:color w:val="000000"/>
          <w:sz w:val="20"/>
          <w:szCs w:val="20"/>
        </w:rPr>
        <w:t xml:space="preserve"> - An amended unsecured senior facilities agreement entered into on May 4, 2021, by UGI which extended the maturity date of the previous three-year $300 million term loan facility included in the U</w:t>
      </w:r>
      <w:r>
        <w:rPr>
          <w:rFonts w:eastAsia="Times New Roman"/>
          <w:color w:val="000000"/>
          <w:sz w:val="20"/>
          <w:szCs w:val="20"/>
        </w:rPr>
        <w:t>GI Corporation Senior Credit Facility, now due in May 2025 and includes a new four-year $300 million term loan commitment</w:t>
      </w:r>
    </w:p>
    <w:p w:rsidR="00000000" w:rsidRDefault="003F1733">
      <w:pPr>
        <w:jc w:val="both"/>
        <w:divId w:val="884173063"/>
        <w:rPr>
          <w:rFonts w:eastAsia="Times New Roman"/>
        </w:rPr>
      </w:pPr>
      <w:r>
        <w:rPr>
          <w:rFonts w:eastAsia="Times New Roman"/>
          <w:b/>
          <w:bCs/>
          <w:i/>
          <w:iCs/>
          <w:color w:val="000000"/>
          <w:sz w:val="20"/>
          <w:szCs w:val="20"/>
        </w:rPr>
        <w:t>AFUDC -</w:t>
      </w:r>
      <w:r>
        <w:rPr>
          <w:rFonts w:eastAsia="Times New Roman"/>
          <w:color w:val="000000"/>
          <w:sz w:val="20"/>
          <w:szCs w:val="20"/>
        </w:rPr>
        <w:t xml:space="preserve"> Allowance for Funds Used During Construction</w:t>
      </w:r>
    </w:p>
    <w:p w:rsidR="00000000" w:rsidRDefault="003F1733">
      <w:pPr>
        <w:jc w:val="both"/>
        <w:rPr>
          <w:rFonts w:eastAsia="Times New Roman"/>
        </w:rPr>
      </w:pPr>
      <w:r>
        <w:rPr>
          <w:rFonts w:eastAsia="Times New Roman"/>
          <w:b/>
          <w:bCs/>
          <w:i/>
          <w:iCs/>
          <w:color w:val="000000"/>
          <w:sz w:val="20"/>
          <w:szCs w:val="20"/>
        </w:rPr>
        <w:t xml:space="preserve">AOCI - </w:t>
      </w:r>
      <w:r>
        <w:rPr>
          <w:rFonts w:eastAsia="Times New Roman"/>
          <w:color w:val="000000"/>
          <w:sz w:val="20"/>
          <w:szCs w:val="20"/>
        </w:rPr>
        <w:t>Accumulated Other Comprehensive Income (Loss)</w:t>
      </w:r>
    </w:p>
    <w:p w:rsidR="00000000" w:rsidRDefault="003F1733">
      <w:pPr>
        <w:jc w:val="both"/>
        <w:rPr>
          <w:rFonts w:eastAsia="Times New Roman"/>
        </w:rPr>
      </w:pPr>
    </w:p>
    <w:p w:rsidR="00000000" w:rsidRDefault="003F1733">
      <w:pPr>
        <w:jc w:val="both"/>
        <w:divId w:val="1270969179"/>
        <w:rPr>
          <w:rFonts w:eastAsia="Times New Roman"/>
        </w:rPr>
      </w:pPr>
      <w:r>
        <w:rPr>
          <w:rFonts w:eastAsia="Times New Roman"/>
          <w:b/>
          <w:bCs/>
          <w:i/>
          <w:iCs/>
          <w:color w:val="000000"/>
          <w:sz w:val="20"/>
          <w:szCs w:val="20"/>
        </w:rPr>
        <w:t>ASC -</w:t>
      </w:r>
      <w:r>
        <w:rPr>
          <w:rFonts w:eastAsia="Times New Roman"/>
          <w:color w:val="000000"/>
          <w:sz w:val="20"/>
          <w:szCs w:val="20"/>
        </w:rPr>
        <w:t xml:space="preserve"> Accounting Standards</w:t>
      </w:r>
      <w:r>
        <w:rPr>
          <w:rFonts w:eastAsia="Times New Roman"/>
          <w:color w:val="000000"/>
          <w:sz w:val="20"/>
          <w:szCs w:val="20"/>
        </w:rPr>
        <w:t xml:space="preserve"> Codification</w:t>
      </w:r>
    </w:p>
    <w:p w:rsidR="00000000" w:rsidRDefault="003F1733">
      <w:pPr>
        <w:jc w:val="both"/>
        <w:divId w:val="113797115"/>
        <w:rPr>
          <w:rFonts w:eastAsia="Times New Roman"/>
        </w:rPr>
      </w:pPr>
      <w:r>
        <w:rPr>
          <w:rFonts w:eastAsia="Times New Roman"/>
          <w:b/>
          <w:bCs/>
          <w:i/>
          <w:iCs/>
          <w:color w:val="000000"/>
          <w:sz w:val="20"/>
          <w:szCs w:val="20"/>
        </w:rPr>
        <w:t>ASC 606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ASC 606, “Revenue from Contracts with Customers”</w:t>
      </w:r>
    </w:p>
    <w:p w:rsidR="00000000" w:rsidRDefault="003F1733">
      <w:pPr>
        <w:jc w:val="both"/>
        <w:divId w:val="778064634"/>
        <w:rPr>
          <w:rFonts w:eastAsia="Times New Roman"/>
        </w:rPr>
      </w:pPr>
      <w:r>
        <w:rPr>
          <w:rFonts w:eastAsia="Times New Roman"/>
          <w:b/>
          <w:bCs/>
          <w:i/>
          <w:iCs/>
          <w:color w:val="000000"/>
          <w:sz w:val="20"/>
          <w:szCs w:val="20"/>
        </w:rPr>
        <w:t xml:space="preserve">ASU - </w:t>
      </w:r>
      <w:r>
        <w:rPr>
          <w:rFonts w:eastAsia="Times New Roman"/>
          <w:color w:val="000000"/>
          <w:sz w:val="20"/>
          <w:szCs w:val="20"/>
        </w:rPr>
        <w:t>Accounting Standards Update</w:t>
      </w:r>
    </w:p>
    <w:p w:rsidR="00000000" w:rsidRDefault="003F1733">
      <w:pPr>
        <w:jc w:val="both"/>
        <w:divId w:val="1735808926"/>
        <w:rPr>
          <w:rFonts w:eastAsia="Times New Roman"/>
        </w:rPr>
      </w:pPr>
      <w:r>
        <w:rPr>
          <w:rFonts w:eastAsia="Times New Roman"/>
          <w:b/>
          <w:bCs/>
          <w:i/>
          <w:iCs/>
          <w:color w:val="000000"/>
          <w:sz w:val="20"/>
          <w:szCs w:val="20"/>
        </w:rPr>
        <w:t>Bcf -</w:t>
      </w:r>
      <w:r>
        <w:rPr>
          <w:rFonts w:eastAsia="Times New Roman"/>
          <w:color w:val="000000"/>
          <w:sz w:val="20"/>
          <w:szCs w:val="20"/>
        </w:rPr>
        <w:t xml:space="preserve"> Billions of cubic feet</w:t>
      </w:r>
    </w:p>
    <w:p w:rsidR="00000000" w:rsidRDefault="003F1733">
      <w:pPr>
        <w:jc w:val="both"/>
        <w:divId w:val="1924949858"/>
        <w:rPr>
          <w:rFonts w:eastAsia="Times New Roman"/>
        </w:rPr>
      </w:pPr>
      <w:r>
        <w:rPr>
          <w:rFonts w:eastAsia="Times New Roman"/>
          <w:b/>
          <w:bCs/>
          <w:i/>
          <w:iCs/>
          <w:color w:val="000000"/>
          <w:sz w:val="20"/>
          <w:szCs w:val="20"/>
        </w:rPr>
        <w:t xml:space="preserve">CARES Act - </w:t>
      </w:r>
      <w:r>
        <w:rPr>
          <w:rFonts w:eastAsia="Times New Roman"/>
          <w:color w:val="000000"/>
          <w:sz w:val="20"/>
          <w:szCs w:val="20"/>
        </w:rPr>
        <w:t>Coronavirus Aid, Relief, and Economic Security Act</w:t>
      </w:r>
    </w:p>
    <w:p w:rsidR="00000000" w:rsidRDefault="003F1733">
      <w:pPr>
        <w:jc w:val="both"/>
        <w:divId w:val="1213543149"/>
        <w:rPr>
          <w:rFonts w:eastAsia="Times New Roman"/>
        </w:rPr>
      </w:pPr>
      <w:r>
        <w:rPr>
          <w:rFonts w:eastAsia="Times New Roman"/>
          <w:b/>
          <w:bCs/>
          <w:i/>
          <w:iCs/>
          <w:color w:val="000000"/>
          <w:sz w:val="20"/>
          <w:szCs w:val="20"/>
        </w:rPr>
        <w:t>CDC</w:t>
      </w:r>
      <w:r>
        <w:rPr>
          <w:rFonts w:eastAsia="Times New Roman"/>
          <w:color w:val="000000"/>
          <w:sz w:val="20"/>
          <w:szCs w:val="20"/>
        </w:rPr>
        <w:t xml:space="preserve"> - Centers for Disease Control and Prevention</w:t>
      </w:r>
    </w:p>
    <w:p w:rsidR="00000000" w:rsidRDefault="003F1733">
      <w:pPr>
        <w:jc w:val="both"/>
        <w:rPr>
          <w:rFonts w:eastAsia="Times New Roman"/>
        </w:rPr>
      </w:pPr>
      <w:r>
        <w:rPr>
          <w:rFonts w:eastAsia="Times New Roman"/>
          <w:b/>
          <w:bCs/>
          <w:i/>
          <w:iCs/>
          <w:color w:val="000000"/>
          <w:sz w:val="20"/>
          <w:szCs w:val="20"/>
        </w:rPr>
        <w:t>CMG Acqu</w:t>
      </w:r>
      <w:r>
        <w:rPr>
          <w:rFonts w:eastAsia="Times New Roman"/>
          <w:b/>
          <w:bCs/>
          <w:i/>
          <w:iCs/>
          <w:color w:val="000000"/>
          <w:sz w:val="20"/>
          <w:szCs w:val="20"/>
        </w:rPr>
        <w:t>isition</w:t>
      </w:r>
      <w:r>
        <w:rPr>
          <w:rFonts w:eastAsia="Times New Roman"/>
          <w:b/>
          <w:bCs/>
          <w:color w:val="000000"/>
          <w:sz w:val="20"/>
          <w:szCs w:val="20"/>
        </w:rPr>
        <w:t xml:space="preserve"> -</w:t>
      </w:r>
      <w:r>
        <w:rPr>
          <w:rFonts w:eastAsia="Times New Roman"/>
          <w:color w:val="000000"/>
          <w:sz w:val="20"/>
          <w:szCs w:val="20"/>
        </w:rPr>
        <w:t xml:space="preserve"> Acquisition of Columbia Midstream Group, LLC and Columbia Pennant, LLC on August 1, 2019 pursuant to the CMG Acquisition Agreements</w:t>
      </w:r>
    </w:p>
    <w:p w:rsidR="00000000" w:rsidRDefault="003F1733">
      <w:pPr>
        <w:divId w:val="1458142521"/>
        <w:rPr>
          <w:rFonts w:eastAsia="Times New Roman"/>
        </w:rPr>
      </w:pPr>
    </w:p>
    <w:p w:rsidR="00000000" w:rsidRDefault="003F1733">
      <w:pPr>
        <w:jc w:val="both"/>
        <w:rPr>
          <w:rFonts w:eastAsia="Times New Roman"/>
        </w:rPr>
      </w:pPr>
      <w:r>
        <w:rPr>
          <w:rFonts w:eastAsia="Times New Roman"/>
          <w:b/>
          <w:bCs/>
          <w:i/>
          <w:iCs/>
          <w:color w:val="000000"/>
          <w:sz w:val="20"/>
          <w:szCs w:val="20"/>
        </w:rPr>
        <w:t>CMG Acquisition Agreements</w:t>
      </w:r>
      <w:r>
        <w:rPr>
          <w:rFonts w:eastAsia="Times New Roman"/>
          <w:color w:val="000000"/>
          <w:sz w:val="20"/>
          <w:szCs w:val="20"/>
        </w:rPr>
        <w:t xml:space="preserve"> - Agreements related to the CMG Acquisition comprising (1) a purchase and sale agreem</w:t>
      </w:r>
      <w:r>
        <w:rPr>
          <w:rFonts w:eastAsia="Times New Roman"/>
          <w:color w:val="000000"/>
          <w:sz w:val="20"/>
          <w:szCs w:val="20"/>
        </w:rPr>
        <w:t>ent related to the CMG acquisition, dated July 2, 2019, by and among Columbia Midstream &amp; Minerals Group, LLC, Energy Services, UGI and TransCanada PipeLine USA Ltd., and (2) a purchase and sale agreement related to the Columbia Pennant, LLC acquisition, d</w:t>
      </w:r>
      <w:r>
        <w:rPr>
          <w:rFonts w:eastAsia="Times New Roman"/>
          <w:color w:val="000000"/>
          <w:sz w:val="20"/>
          <w:szCs w:val="20"/>
        </w:rPr>
        <w:t xml:space="preserve">ated July 2, 2019, </w:t>
      </w:r>
      <w:r>
        <w:rPr>
          <w:rFonts w:eastAsia="Times New Roman"/>
          <w:color w:val="000000"/>
          <w:sz w:val="20"/>
          <w:szCs w:val="20"/>
        </w:rPr>
        <w:lastRenderedPageBreak/>
        <w:t>by and among Columbia Midstream &amp; Minerals Group, LLC, Energy Services, and TransCanada PipeLine USA Ltd.</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COA -</w:t>
      </w:r>
      <w:r>
        <w:rPr>
          <w:rFonts w:eastAsia="Times New Roman"/>
          <w:color w:val="000000"/>
          <w:sz w:val="20"/>
          <w:szCs w:val="20"/>
        </w:rPr>
        <w:t xml:space="preserve"> Consent Order and Agreement</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CODM -</w:t>
      </w:r>
      <w:r>
        <w:rPr>
          <w:rFonts w:eastAsia="Times New Roman"/>
          <w:color w:val="000000"/>
          <w:sz w:val="20"/>
          <w:szCs w:val="20"/>
        </w:rPr>
        <w:t xml:space="preserve"> </w:t>
      </w:r>
      <w:r>
        <w:rPr>
          <w:rFonts w:eastAsia="Times New Roman"/>
          <w:color w:val="000000"/>
          <w:sz w:val="20"/>
          <w:szCs w:val="20"/>
        </w:rPr>
        <w:t>Chief Operating Decision Maker as defined in ASC 280, “Segment Reporting”</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Common Stock - </w:t>
      </w:r>
      <w:r>
        <w:rPr>
          <w:rFonts w:eastAsia="Times New Roman"/>
          <w:color w:val="000000"/>
          <w:sz w:val="20"/>
          <w:szCs w:val="20"/>
        </w:rPr>
        <w:t>shares of UGI common stock</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Conemaugh - </w:t>
      </w:r>
      <w:r>
        <w:rPr>
          <w:rFonts w:eastAsia="Times New Roman"/>
          <w:color w:val="000000"/>
          <w:sz w:val="20"/>
          <w:szCs w:val="20"/>
        </w:rPr>
        <w:t>Conemaugh generation station, a 1,711-megawatt, coal-fired electricity generation station located near Johnstown, Pennsylvan</w:t>
      </w:r>
      <w:r>
        <w:rPr>
          <w:rFonts w:eastAsia="Times New Roman"/>
          <w:color w:val="000000"/>
          <w:sz w:val="20"/>
          <w:szCs w:val="20"/>
        </w:rPr>
        <w:t>ia</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COVID-19 -</w:t>
      </w:r>
      <w:r>
        <w:rPr>
          <w:rFonts w:eastAsia="Times New Roman"/>
          <w:color w:val="000000"/>
          <w:sz w:val="20"/>
          <w:szCs w:val="20"/>
        </w:rPr>
        <w:t xml:space="preserve"> A novel strain of coronavirus disease discovered in 2019</w:t>
      </w:r>
    </w:p>
    <w:p w:rsidR="00000000" w:rsidRDefault="003F1733">
      <w:pPr>
        <w:jc w:val="both"/>
        <w:rPr>
          <w:rFonts w:eastAsia="Times New Roman"/>
        </w:rPr>
      </w:pPr>
    </w:p>
    <w:p w:rsidR="00000000" w:rsidRDefault="003F1733">
      <w:pPr>
        <w:jc w:val="both"/>
        <w:divId w:val="790168122"/>
        <w:rPr>
          <w:rFonts w:eastAsia="Times New Roman"/>
        </w:rPr>
      </w:pPr>
      <w:r>
        <w:rPr>
          <w:rFonts w:eastAsia="Times New Roman"/>
          <w:b/>
          <w:bCs/>
          <w:i/>
          <w:iCs/>
          <w:color w:val="000000"/>
          <w:sz w:val="20"/>
          <w:szCs w:val="20"/>
        </w:rPr>
        <w:t>DS -</w:t>
      </w:r>
      <w:r>
        <w:rPr>
          <w:rFonts w:eastAsia="Times New Roman"/>
          <w:color w:val="000000"/>
          <w:sz w:val="20"/>
          <w:szCs w:val="20"/>
        </w:rPr>
        <w:t xml:space="preserve"> Default service</w:t>
      </w:r>
    </w:p>
    <w:p w:rsidR="00000000" w:rsidRDefault="003F1733">
      <w:pPr>
        <w:jc w:val="center"/>
        <w:divId w:val="1863351091"/>
        <w:rPr>
          <w:rFonts w:eastAsia="Times New Roman"/>
        </w:rPr>
      </w:pPr>
      <w:r>
        <w:rPr>
          <w:rFonts w:eastAsia="Times New Roman"/>
          <w:color w:val="000000"/>
          <w:sz w:val="20"/>
          <w:szCs w:val="20"/>
        </w:rPr>
        <w:t>2</w:t>
      </w:r>
    </w:p>
    <w:p w:rsidR="00000000" w:rsidRDefault="003F1733">
      <w:pPr>
        <w:rPr>
          <w:rFonts w:eastAsia="Times New Roman"/>
        </w:rPr>
      </w:pPr>
      <w:r>
        <w:rPr>
          <w:rFonts w:eastAsia="Times New Roman"/>
        </w:rPr>
        <w:pict>
          <v:rect id="_x0000_i1028" style="width:0;height:1.5pt" o:hralign="center" o:hrstd="t" o:hr="t" fillcolor="#a0a0a0" stroked="f"/>
        </w:pict>
      </w:r>
    </w:p>
    <w:p w:rsidR="00000000" w:rsidRDefault="003F1733">
      <w:pPr>
        <w:divId w:val="1462502122"/>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476878373"/>
        <w:rPr>
          <w:rFonts w:eastAsia="Times New Roman"/>
        </w:rPr>
      </w:pPr>
    </w:p>
    <w:p w:rsidR="00000000" w:rsidRDefault="003F1733">
      <w:pPr>
        <w:divId w:val="1526019698"/>
        <w:rPr>
          <w:rFonts w:eastAsia="Times New Roman"/>
        </w:rPr>
      </w:pPr>
    </w:p>
    <w:p w:rsidR="00000000" w:rsidRDefault="003F1733">
      <w:pPr>
        <w:jc w:val="both"/>
        <w:divId w:val="412775537"/>
        <w:rPr>
          <w:rFonts w:eastAsia="Times New Roman"/>
        </w:rPr>
      </w:pPr>
      <w:r>
        <w:rPr>
          <w:rFonts w:eastAsia="Times New Roman"/>
          <w:b/>
          <w:bCs/>
          <w:i/>
          <w:iCs/>
          <w:color w:val="000000"/>
          <w:sz w:val="20"/>
          <w:szCs w:val="20"/>
        </w:rPr>
        <w:t>DSIC</w:t>
      </w:r>
      <w:r>
        <w:rPr>
          <w:rFonts w:eastAsia="Times New Roman"/>
          <w:color w:val="000000"/>
          <w:sz w:val="20"/>
          <w:szCs w:val="20"/>
        </w:rPr>
        <w:t xml:space="preserve"> - Distribution System Improvement Cha</w:t>
      </w:r>
      <w:r>
        <w:rPr>
          <w:rFonts w:eastAsia="Times New Roman"/>
          <w:color w:val="000000"/>
          <w:sz w:val="20"/>
          <w:szCs w:val="20"/>
        </w:rPr>
        <w:t>rge</w:t>
      </w:r>
    </w:p>
    <w:p w:rsidR="00000000" w:rsidRDefault="003F1733">
      <w:pPr>
        <w:jc w:val="both"/>
        <w:divId w:val="801505728"/>
        <w:rPr>
          <w:rFonts w:eastAsia="Times New Roman"/>
        </w:rPr>
      </w:pPr>
      <w:r>
        <w:rPr>
          <w:rFonts w:eastAsia="Times New Roman"/>
          <w:b/>
          <w:bCs/>
          <w:i/>
          <w:iCs/>
          <w:color w:val="000000"/>
          <w:sz w:val="20"/>
          <w:szCs w:val="20"/>
        </w:rPr>
        <w:t>EBITDA</w:t>
      </w:r>
      <w:r>
        <w:rPr>
          <w:rFonts w:eastAsia="Times New Roman"/>
          <w:color w:val="000000"/>
          <w:sz w:val="20"/>
          <w:szCs w:val="20"/>
        </w:rPr>
        <w:t xml:space="preserve"> - Earnings before interest, taxes, depreciation, and amortization</w:t>
      </w:r>
    </w:p>
    <w:p w:rsidR="00000000" w:rsidRDefault="003F1733">
      <w:pPr>
        <w:jc w:val="both"/>
        <w:divId w:val="778065999"/>
        <w:rPr>
          <w:rFonts w:eastAsia="Times New Roman"/>
        </w:rPr>
      </w:pPr>
      <w:r>
        <w:rPr>
          <w:rFonts w:eastAsia="Times New Roman"/>
          <w:b/>
          <w:bCs/>
          <w:i/>
          <w:iCs/>
          <w:color w:val="000000"/>
          <w:sz w:val="20"/>
          <w:szCs w:val="20"/>
        </w:rPr>
        <w:t xml:space="preserve">Eighth Circuit - </w:t>
      </w:r>
      <w:r>
        <w:rPr>
          <w:rFonts w:eastAsia="Times New Roman"/>
          <w:color w:val="000000"/>
          <w:sz w:val="20"/>
          <w:szCs w:val="20"/>
        </w:rPr>
        <w:t>United States Court of Appeals for the Eighth Circuit</w:t>
      </w:r>
    </w:p>
    <w:p w:rsidR="00000000" w:rsidRDefault="003F1733">
      <w:pPr>
        <w:jc w:val="both"/>
        <w:rPr>
          <w:rFonts w:eastAsia="Times New Roman"/>
        </w:rPr>
      </w:pPr>
      <w:r>
        <w:rPr>
          <w:rFonts w:eastAsia="Times New Roman"/>
          <w:b/>
          <w:bCs/>
          <w:i/>
          <w:iCs/>
          <w:color w:val="000000"/>
          <w:sz w:val="20"/>
          <w:szCs w:val="20"/>
        </w:rPr>
        <w:t>Exchange Act -</w:t>
      </w:r>
      <w:r>
        <w:rPr>
          <w:rFonts w:eastAsia="Times New Roman"/>
          <w:color w:val="000000"/>
          <w:sz w:val="20"/>
          <w:szCs w:val="20"/>
        </w:rPr>
        <w:t xml:space="preserve"> Securities Exchange Act of 1934, as amended</w:t>
      </w:r>
    </w:p>
    <w:p w:rsidR="00000000" w:rsidRDefault="003F1733">
      <w:pPr>
        <w:jc w:val="both"/>
        <w:rPr>
          <w:rFonts w:eastAsia="Times New Roman"/>
        </w:rPr>
      </w:pPr>
    </w:p>
    <w:p w:rsidR="00000000" w:rsidRDefault="003F1733">
      <w:pPr>
        <w:jc w:val="both"/>
        <w:divId w:val="2132241590"/>
        <w:rPr>
          <w:rFonts w:eastAsia="Times New Roman"/>
        </w:rPr>
      </w:pPr>
      <w:r>
        <w:rPr>
          <w:rFonts w:eastAsia="Times New Roman"/>
          <w:b/>
          <w:bCs/>
          <w:i/>
          <w:iCs/>
          <w:color w:val="000000"/>
          <w:sz w:val="20"/>
          <w:szCs w:val="20"/>
        </w:rPr>
        <w:t>FASB -</w:t>
      </w:r>
      <w:r>
        <w:rPr>
          <w:rFonts w:eastAsia="Times New Roman"/>
          <w:color w:val="000000"/>
          <w:sz w:val="20"/>
          <w:szCs w:val="20"/>
        </w:rPr>
        <w:t xml:space="preserve"> Financial Accounting Standards Board</w:t>
      </w:r>
    </w:p>
    <w:p w:rsidR="00000000" w:rsidRDefault="003F1733">
      <w:pPr>
        <w:jc w:val="both"/>
        <w:divId w:val="995958483"/>
        <w:rPr>
          <w:rFonts w:eastAsia="Times New Roman"/>
        </w:rPr>
      </w:pPr>
      <w:r>
        <w:rPr>
          <w:rFonts w:eastAsia="Times New Roman"/>
          <w:b/>
          <w:bCs/>
          <w:i/>
          <w:iCs/>
          <w:color w:val="000000"/>
          <w:sz w:val="20"/>
          <w:szCs w:val="20"/>
        </w:rPr>
        <w:t>FDI</w:t>
      </w:r>
      <w:r>
        <w:rPr>
          <w:rFonts w:eastAsia="Times New Roman"/>
          <w:b/>
          <w:bCs/>
          <w:i/>
          <w:iCs/>
          <w:color w:val="000000"/>
          <w:sz w:val="20"/>
          <w:szCs w:val="20"/>
        </w:rPr>
        <w:t>C -</w:t>
      </w:r>
      <w:r>
        <w:rPr>
          <w:rFonts w:eastAsia="Times New Roman"/>
          <w:color w:val="000000"/>
          <w:sz w:val="20"/>
          <w:szCs w:val="20"/>
        </w:rPr>
        <w:t xml:space="preserve"> Federal Deposit Insurance Corporation</w:t>
      </w:r>
    </w:p>
    <w:p w:rsidR="00000000" w:rsidRDefault="003F1733">
      <w:pPr>
        <w:jc w:val="both"/>
        <w:divId w:val="213473094"/>
        <w:rPr>
          <w:rFonts w:eastAsia="Times New Roman"/>
        </w:rPr>
      </w:pPr>
      <w:r>
        <w:rPr>
          <w:rFonts w:eastAsia="Times New Roman"/>
          <w:b/>
          <w:bCs/>
          <w:i/>
          <w:iCs/>
          <w:color w:val="000000"/>
          <w:sz w:val="20"/>
          <w:szCs w:val="20"/>
        </w:rPr>
        <w:t>FERC -</w:t>
      </w:r>
      <w:r>
        <w:rPr>
          <w:rFonts w:eastAsia="Times New Roman"/>
          <w:color w:val="000000"/>
          <w:sz w:val="20"/>
          <w:szCs w:val="20"/>
        </w:rPr>
        <w:t xml:space="preserve"> Federal Energy Regulatory Commission</w:t>
      </w:r>
    </w:p>
    <w:p w:rsidR="00000000" w:rsidRDefault="003F1733">
      <w:pPr>
        <w:jc w:val="both"/>
        <w:divId w:val="923997127"/>
        <w:rPr>
          <w:rFonts w:eastAsia="Times New Roman"/>
        </w:rPr>
      </w:pPr>
      <w:r>
        <w:rPr>
          <w:rFonts w:eastAsia="Times New Roman"/>
          <w:b/>
          <w:bCs/>
          <w:i/>
          <w:iCs/>
          <w:color w:val="000000"/>
          <w:sz w:val="20"/>
          <w:szCs w:val="20"/>
        </w:rPr>
        <w:t>Fiscal 2019</w:t>
      </w:r>
      <w:r>
        <w:rPr>
          <w:rFonts w:eastAsia="Times New Roman"/>
          <w:color w:val="000000"/>
          <w:sz w:val="20"/>
          <w:szCs w:val="20"/>
        </w:rPr>
        <w:t xml:space="preserve"> - The fiscal year ended September 30, 2019</w:t>
      </w:r>
    </w:p>
    <w:p w:rsidR="00000000" w:rsidRDefault="003F1733">
      <w:pPr>
        <w:jc w:val="both"/>
        <w:divId w:val="1038821394"/>
        <w:rPr>
          <w:rFonts w:eastAsia="Times New Roman"/>
        </w:rPr>
      </w:pPr>
      <w:r>
        <w:rPr>
          <w:rFonts w:eastAsia="Times New Roman"/>
          <w:b/>
          <w:bCs/>
          <w:i/>
          <w:iCs/>
          <w:color w:val="000000"/>
          <w:sz w:val="20"/>
          <w:szCs w:val="20"/>
        </w:rPr>
        <w:t>Fiscal 2020</w:t>
      </w:r>
      <w:r>
        <w:rPr>
          <w:rFonts w:eastAsia="Times New Roman"/>
          <w:color w:val="000000"/>
          <w:sz w:val="20"/>
          <w:szCs w:val="20"/>
        </w:rPr>
        <w:t xml:space="preserve"> - The fiscal year ended September 30, 2020</w:t>
      </w:r>
    </w:p>
    <w:p w:rsidR="00000000" w:rsidRDefault="003F1733">
      <w:pPr>
        <w:jc w:val="both"/>
        <w:divId w:val="1222405424"/>
        <w:rPr>
          <w:rFonts w:eastAsia="Times New Roman"/>
        </w:rPr>
      </w:pPr>
      <w:r>
        <w:rPr>
          <w:rFonts w:eastAsia="Times New Roman"/>
          <w:b/>
          <w:bCs/>
          <w:i/>
          <w:iCs/>
          <w:color w:val="000000"/>
          <w:sz w:val="20"/>
          <w:szCs w:val="20"/>
        </w:rPr>
        <w:t>Fiscal 2021</w:t>
      </w:r>
      <w:r>
        <w:rPr>
          <w:rFonts w:eastAsia="Times New Roman"/>
          <w:color w:val="000000"/>
          <w:sz w:val="20"/>
          <w:szCs w:val="20"/>
        </w:rPr>
        <w:t xml:space="preserve"> - The fiscal year ending September 30, 2021</w:t>
      </w:r>
    </w:p>
    <w:p w:rsidR="00000000" w:rsidRDefault="003F1733">
      <w:pPr>
        <w:jc w:val="both"/>
        <w:divId w:val="1861819308"/>
        <w:rPr>
          <w:rFonts w:eastAsia="Times New Roman"/>
        </w:rPr>
      </w:pPr>
      <w:r>
        <w:rPr>
          <w:rFonts w:eastAsia="Times New Roman"/>
          <w:b/>
          <w:bCs/>
          <w:i/>
          <w:iCs/>
          <w:color w:val="000000"/>
          <w:sz w:val="20"/>
          <w:szCs w:val="20"/>
        </w:rPr>
        <w:t>Fiscal 2022</w:t>
      </w:r>
      <w:r>
        <w:rPr>
          <w:rFonts w:eastAsia="Times New Roman"/>
          <w:color w:val="000000"/>
          <w:sz w:val="20"/>
          <w:szCs w:val="20"/>
        </w:rPr>
        <w:t xml:space="preserve"> - The fiscal year ending September 30, 2022</w:t>
      </w:r>
    </w:p>
    <w:p w:rsidR="00000000" w:rsidRDefault="003F1733">
      <w:pPr>
        <w:jc w:val="both"/>
        <w:divId w:val="753093073"/>
        <w:rPr>
          <w:rFonts w:eastAsia="Times New Roman"/>
        </w:rPr>
      </w:pPr>
      <w:r>
        <w:rPr>
          <w:rFonts w:eastAsia="Times New Roman"/>
          <w:b/>
          <w:bCs/>
          <w:i/>
          <w:iCs/>
          <w:color w:val="000000"/>
          <w:sz w:val="20"/>
          <w:szCs w:val="20"/>
        </w:rPr>
        <w:t>GAAP -</w:t>
      </w:r>
      <w:r>
        <w:rPr>
          <w:rFonts w:eastAsia="Times New Roman"/>
          <w:color w:val="000000"/>
          <w:sz w:val="20"/>
          <w:szCs w:val="20"/>
        </w:rPr>
        <w:t xml:space="preserve"> U.S. generally accepted accounting principles</w:t>
      </w:r>
    </w:p>
    <w:p w:rsidR="00000000" w:rsidRDefault="003F1733">
      <w:pPr>
        <w:jc w:val="both"/>
        <w:divId w:val="1660772294"/>
        <w:rPr>
          <w:rFonts w:eastAsia="Times New Roman"/>
        </w:rPr>
      </w:pPr>
      <w:r>
        <w:rPr>
          <w:rFonts w:eastAsia="Times New Roman"/>
          <w:b/>
          <w:bCs/>
          <w:i/>
          <w:iCs/>
          <w:color w:val="000000"/>
          <w:sz w:val="20"/>
          <w:szCs w:val="20"/>
        </w:rPr>
        <w:t>GILTI</w:t>
      </w:r>
      <w:r>
        <w:rPr>
          <w:rFonts w:eastAsia="Times New Roman"/>
          <w:color w:val="000000"/>
          <w:sz w:val="20"/>
          <w:szCs w:val="20"/>
        </w:rPr>
        <w:t xml:space="preserve"> - Global Intangible Low Taxed Income</w:t>
      </w:r>
    </w:p>
    <w:p w:rsidR="00000000" w:rsidRDefault="003F1733">
      <w:pPr>
        <w:jc w:val="both"/>
        <w:divId w:val="1299649567"/>
        <w:rPr>
          <w:rFonts w:eastAsia="Times New Roman"/>
        </w:rPr>
      </w:pPr>
      <w:r>
        <w:rPr>
          <w:rFonts w:eastAsia="Times New Roman"/>
          <w:b/>
          <w:bCs/>
          <w:i/>
          <w:iCs/>
          <w:color w:val="000000"/>
          <w:sz w:val="20"/>
          <w:szCs w:val="20"/>
        </w:rPr>
        <w:t>Gwh -</w:t>
      </w:r>
      <w:r>
        <w:rPr>
          <w:rFonts w:eastAsia="Times New Roman"/>
          <w:color w:val="000000"/>
          <w:sz w:val="20"/>
          <w:szCs w:val="20"/>
        </w:rPr>
        <w:t xml:space="preserve"> Millions of kilowatt hours</w:t>
      </w:r>
    </w:p>
    <w:p w:rsidR="00000000" w:rsidRDefault="003F1733">
      <w:pPr>
        <w:jc w:val="both"/>
        <w:divId w:val="1960839099"/>
        <w:rPr>
          <w:rFonts w:eastAsia="Times New Roman"/>
        </w:rPr>
      </w:pPr>
      <w:r>
        <w:rPr>
          <w:rFonts w:eastAsia="Times New Roman"/>
          <w:b/>
          <w:bCs/>
          <w:i/>
          <w:iCs/>
          <w:color w:val="000000"/>
          <w:sz w:val="20"/>
          <w:szCs w:val="20"/>
        </w:rPr>
        <w:t>ICE -</w:t>
      </w:r>
      <w:r>
        <w:rPr>
          <w:rFonts w:eastAsia="Times New Roman"/>
          <w:color w:val="000000"/>
          <w:sz w:val="20"/>
          <w:szCs w:val="20"/>
        </w:rPr>
        <w:t xml:space="preserve"> Intercontinental Exchange</w:t>
      </w:r>
    </w:p>
    <w:p w:rsidR="00000000" w:rsidRDefault="003F1733">
      <w:pPr>
        <w:jc w:val="both"/>
        <w:divId w:val="421415324"/>
        <w:rPr>
          <w:rFonts w:eastAsia="Times New Roman"/>
        </w:rPr>
      </w:pPr>
      <w:r>
        <w:rPr>
          <w:rFonts w:eastAsia="Times New Roman"/>
          <w:b/>
          <w:bCs/>
          <w:i/>
          <w:iCs/>
          <w:color w:val="000000"/>
          <w:sz w:val="20"/>
          <w:szCs w:val="20"/>
        </w:rPr>
        <w:t>IRC</w:t>
      </w:r>
      <w:r>
        <w:rPr>
          <w:rFonts w:eastAsia="Times New Roman"/>
          <w:color w:val="000000"/>
          <w:sz w:val="20"/>
          <w:szCs w:val="20"/>
        </w:rPr>
        <w:t xml:space="preserve"> </w:t>
      </w:r>
      <w:r>
        <w:rPr>
          <w:rFonts w:eastAsia="Times New Roman"/>
          <w:color w:val="000000"/>
          <w:sz w:val="20"/>
          <w:szCs w:val="20"/>
        </w:rPr>
        <w:t>- Internal Revenue Code</w:t>
      </w:r>
    </w:p>
    <w:p w:rsidR="00000000" w:rsidRDefault="003F1733">
      <w:pPr>
        <w:jc w:val="both"/>
        <w:divId w:val="2140758067"/>
        <w:rPr>
          <w:rFonts w:eastAsia="Times New Roman"/>
        </w:rPr>
      </w:pPr>
      <w:r>
        <w:rPr>
          <w:rFonts w:eastAsia="Times New Roman"/>
          <w:b/>
          <w:bCs/>
          <w:i/>
          <w:iCs/>
          <w:color w:val="000000"/>
          <w:sz w:val="20"/>
          <w:szCs w:val="20"/>
        </w:rPr>
        <w:t>IRPA -</w:t>
      </w:r>
      <w:r>
        <w:rPr>
          <w:rFonts w:eastAsia="Times New Roman"/>
          <w:color w:val="000000"/>
          <w:sz w:val="20"/>
          <w:szCs w:val="20"/>
        </w:rPr>
        <w:t xml:space="preserve"> Interest rate protection agreement</w:t>
      </w:r>
    </w:p>
    <w:p w:rsidR="00000000" w:rsidRDefault="003F1733">
      <w:pPr>
        <w:jc w:val="both"/>
        <w:divId w:val="584151567"/>
        <w:rPr>
          <w:rFonts w:eastAsia="Times New Roman"/>
        </w:rPr>
      </w:pPr>
      <w:r>
        <w:rPr>
          <w:rFonts w:eastAsia="Times New Roman"/>
          <w:b/>
          <w:bCs/>
          <w:i/>
          <w:iCs/>
          <w:color w:val="000000"/>
          <w:sz w:val="20"/>
          <w:szCs w:val="20"/>
        </w:rPr>
        <w:t>IRS</w:t>
      </w:r>
      <w:r>
        <w:rPr>
          <w:rFonts w:eastAsia="Times New Roman"/>
          <w:color w:val="000000"/>
          <w:sz w:val="20"/>
          <w:szCs w:val="20"/>
        </w:rPr>
        <w:t xml:space="preserve"> - Internal Revenue Services</w:t>
      </w:r>
    </w:p>
    <w:p w:rsidR="00000000" w:rsidRDefault="003F1733">
      <w:pPr>
        <w:jc w:val="both"/>
        <w:divId w:val="1358001587"/>
        <w:rPr>
          <w:rFonts w:eastAsia="Times New Roman"/>
        </w:rPr>
      </w:pPr>
      <w:r>
        <w:rPr>
          <w:rFonts w:eastAsia="Times New Roman"/>
          <w:b/>
          <w:bCs/>
          <w:i/>
          <w:iCs/>
          <w:color w:val="000000"/>
          <w:sz w:val="20"/>
          <w:szCs w:val="20"/>
        </w:rPr>
        <w:t>IT -</w:t>
      </w:r>
      <w:r>
        <w:rPr>
          <w:rFonts w:eastAsia="Times New Roman"/>
          <w:color w:val="000000"/>
          <w:sz w:val="20"/>
          <w:szCs w:val="20"/>
        </w:rPr>
        <w:t xml:space="preserve"> Information technology</w:t>
      </w:r>
    </w:p>
    <w:p w:rsidR="00000000" w:rsidRDefault="003F1733">
      <w:pPr>
        <w:jc w:val="both"/>
        <w:divId w:val="62995838"/>
        <w:rPr>
          <w:rFonts w:eastAsia="Times New Roman"/>
        </w:rPr>
      </w:pPr>
      <w:r>
        <w:rPr>
          <w:rFonts w:eastAsia="Times New Roman"/>
          <w:b/>
          <w:bCs/>
          <w:i/>
          <w:iCs/>
          <w:color w:val="000000"/>
          <w:sz w:val="20"/>
          <w:szCs w:val="20"/>
        </w:rPr>
        <w:t>LNG -</w:t>
      </w:r>
      <w:r>
        <w:rPr>
          <w:rFonts w:eastAsia="Times New Roman"/>
          <w:color w:val="000000"/>
          <w:sz w:val="20"/>
          <w:szCs w:val="20"/>
        </w:rPr>
        <w:t xml:space="preserve"> Liquefied natural gas</w:t>
      </w:r>
    </w:p>
    <w:p w:rsidR="00000000" w:rsidRDefault="003F1733">
      <w:pPr>
        <w:jc w:val="both"/>
        <w:divId w:val="560677045"/>
        <w:rPr>
          <w:rFonts w:eastAsia="Times New Roman"/>
        </w:rPr>
      </w:pPr>
      <w:r>
        <w:rPr>
          <w:rFonts w:eastAsia="Times New Roman"/>
          <w:b/>
          <w:bCs/>
          <w:i/>
          <w:iCs/>
          <w:color w:val="000000"/>
          <w:sz w:val="20"/>
          <w:szCs w:val="20"/>
        </w:rPr>
        <w:lastRenderedPageBreak/>
        <w:t>LPG -</w:t>
      </w:r>
      <w:r>
        <w:rPr>
          <w:rFonts w:eastAsia="Times New Roman"/>
          <w:color w:val="000000"/>
          <w:sz w:val="20"/>
          <w:szCs w:val="20"/>
        </w:rPr>
        <w:t xml:space="preserve"> Liquefied petroleum gas</w:t>
      </w:r>
    </w:p>
    <w:p w:rsidR="00000000" w:rsidRDefault="003F1733">
      <w:pPr>
        <w:jc w:val="both"/>
        <w:divId w:val="61215727"/>
        <w:rPr>
          <w:rFonts w:eastAsia="Times New Roman"/>
        </w:rPr>
      </w:pPr>
      <w:r>
        <w:rPr>
          <w:rFonts w:eastAsia="Times New Roman"/>
          <w:b/>
          <w:bCs/>
          <w:i/>
          <w:iCs/>
          <w:color w:val="000000"/>
          <w:sz w:val="20"/>
          <w:szCs w:val="20"/>
        </w:rPr>
        <w:t xml:space="preserve">MDPSC - </w:t>
      </w:r>
      <w:r>
        <w:rPr>
          <w:rFonts w:eastAsia="Times New Roman"/>
          <w:color w:val="000000"/>
          <w:sz w:val="20"/>
          <w:szCs w:val="20"/>
        </w:rPr>
        <w:t>Maryland Public Service Commission</w:t>
      </w:r>
    </w:p>
    <w:p w:rsidR="00000000" w:rsidRDefault="003F1733">
      <w:pPr>
        <w:jc w:val="both"/>
        <w:divId w:val="1238201370"/>
        <w:rPr>
          <w:rFonts w:eastAsia="Times New Roman"/>
        </w:rPr>
      </w:pPr>
      <w:r>
        <w:rPr>
          <w:rFonts w:eastAsia="Times New Roman"/>
          <w:b/>
          <w:bCs/>
          <w:i/>
          <w:iCs/>
          <w:color w:val="000000"/>
          <w:sz w:val="20"/>
          <w:szCs w:val="20"/>
        </w:rPr>
        <w:t xml:space="preserve">MGP - </w:t>
      </w:r>
      <w:r>
        <w:rPr>
          <w:rFonts w:eastAsia="Times New Roman"/>
          <w:color w:val="000000"/>
          <w:sz w:val="20"/>
          <w:szCs w:val="20"/>
        </w:rPr>
        <w:t>Manufactured gas plant</w:t>
      </w:r>
    </w:p>
    <w:p w:rsidR="00000000" w:rsidRDefault="003F1733">
      <w:pPr>
        <w:jc w:val="both"/>
        <w:divId w:val="923879578"/>
        <w:rPr>
          <w:rFonts w:eastAsia="Times New Roman"/>
        </w:rPr>
      </w:pPr>
      <w:r>
        <w:rPr>
          <w:rFonts w:eastAsia="Times New Roman"/>
          <w:b/>
          <w:bCs/>
          <w:i/>
          <w:iCs/>
          <w:color w:val="000000"/>
          <w:sz w:val="20"/>
          <w:szCs w:val="20"/>
        </w:rPr>
        <w:t>Mountaineer</w:t>
      </w:r>
      <w:r>
        <w:rPr>
          <w:rFonts w:eastAsia="Times New Roman"/>
          <w:color w:val="000000"/>
          <w:sz w:val="20"/>
          <w:szCs w:val="20"/>
        </w:rPr>
        <w:t xml:space="preserve"> - Mountaineer Gas Company, a natural gas distribution company in West Virginia</w:t>
      </w:r>
    </w:p>
    <w:p w:rsidR="00000000" w:rsidRDefault="003F1733">
      <w:pPr>
        <w:jc w:val="both"/>
        <w:divId w:val="1382052802"/>
        <w:rPr>
          <w:rFonts w:eastAsia="Times New Roman"/>
        </w:rPr>
      </w:pPr>
      <w:r>
        <w:rPr>
          <w:rFonts w:eastAsia="Times New Roman"/>
          <w:b/>
          <w:bCs/>
          <w:i/>
          <w:iCs/>
          <w:color w:val="000000"/>
          <w:sz w:val="20"/>
          <w:szCs w:val="20"/>
        </w:rPr>
        <w:t>Mountaineer Acquisition</w:t>
      </w:r>
      <w:r>
        <w:rPr>
          <w:rFonts w:eastAsia="Times New Roman"/>
          <w:b/>
          <w:bCs/>
          <w:color w:val="000000"/>
          <w:sz w:val="20"/>
          <w:szCs w:val="20"/>
        </w:rPr>
        <w:t xml:space="preserve"> -</w:t>
      </w:r>
      <w:r>
        <w:rPr>
          <w:rFonts w:eastAsia="Times New Roman"/>
          <w:color w:val="000000"/>
          <w:sz w:val="20"/>
          <w:szCs w:val="20"/>
        </w:rPr>
        <w:t xml:space="preserve"> Pending acquisition of Mountaintop Energy Holdings LLC, indirect parent of Mountaineer, pursuant to a definitive agreement signed on Decemb</w:t>
      </w:r>
      <w:r>
        <w:rPr>
          <w:rFonts w:eastAsia="Times New Roman"/>
          <w:color w:val="000000"/>
          <w:sz w:val="20"/>
          <w:szCs w:val="20"/>
        </w:rPr>
        <w:t>er 29, 2020</w:t>
      </w:r>
    </w:p>
    <w:p w:rsidR="00000000" w:rsidRDefault="003F1733">
      <w:pPr>
        <w:jc w:val="both"/>
        <w:divId w:val="205410563"/>
        <w:rPr>
          <w:rFonts w:eastAsia="Times New Roman"/>
        </w:rPr>
      </w:pPr>
      <w:r>
        <w:rPr>
          <w:rFonts w:eastAsia="Times New Roman"/>
          <w:b/>
          <w:bCs/>
          <w:i/>
          <w:iCs/>
          <w:color w:val="000000"/>
          <w:sz w:val="20"/>
          <w:szCs w:val="20"/>
        </w:rPr>
        <w:t>NOAA -</w:t>
      </w:r>
      <w:r>
        <w:rPr>
          <w:rFonts w:eastAsia="Times New Roman"/>
          <w:color w:val="000000"/>
          <w:sz w:val="20"/>
          <w:szCs w:val="20"/>
        </w:rPr>
        <w:t xml:space="preserve"> National Oceanic and Atmospheric Administration</w:t>
      </w:r>
    </w:p>
    <w:p w:rsidR="00000000" w:rsidRDefault="003F1733">
      <w:pPr>
        <w:jc w:val="both"/>
        <w:divId w:val="95911687"/>
        <w:rPr>
          <w:rFonts w:eastAsia="Times New Roman"/>
        </w:rPr>
      </w:pPr>
      <w:r>
        <w:rPr>
          <w:rFonts w:eastAsia="Times New Roman"/>
          <w:b/>
          <w:bCs/>
          <w:i/>
          <w:iCs/>
          <w:color w:val="000000"/>
          <w:sz w:val="20"/>
          <w:szCs w:val="20"/>
        </w:rPr>
        <w:t>NOL</w:t>
      </w:r>
      <w:r>
        <w:rPr>
          <w:rFonts w:eastAsia="Times New Roman"/>
          <w:color w:val="000000"/>
          <w:sz w:val="20"/>
          <w:szCs w:val="20"/>
        </w:rPr>
        <w:t xml:space="preserve"> - Net operating loss</w:t>
      </w:r>
    </w:p>
    <w:p w:rsidR="00000000" w:rsidRDefault="003F1733">
      <w:pPr>
        <w:jc w:val="both"/>
        <w:divId w:val="1403677839"/>
        <w:rPr>
          <w:rFonts w:eastAsia="Times New Roman"/>
        </w:rPr>
      </w:pPr>
      <w:r>
        <w:rPr>
          <w:rFonts w:eastAsia="Times New Roman"/>
          <w:b/>
          <w:bCs/>
          <w:i/>
          <w:iCs/>
          <w:color w:val="000000"/>
          <w:sz w:val="20"/>
          <w:szCs w:val="20"/>
        </w:rPr>
        <w:t>NPNS -</w:t>
      </w:r>
      <w:r>
        <w:rPr>
          <w:rFonts w:eastAsia="Times New Roman"/>
          <w:color w:val="000000"/>
          <w:sz w:val="20"/>
          <w:szCs w:val="20"/>
        </w:rPr>
        <w:t xml:space="preserve"> Normal purchase and normal sale</w:t>
      </w:r>
    </w:p>
    <w:p w:rsidR="00000000" w:rsidRDefault="003F1733">
      <w:pPr>
        <w:jc w:val="both"/>
        <w:divId w:val="1179151235"/>
        <w:rPr>
          <w:rFonts w:eastAsia="Times New Roman"/>
        </w:rPr>
      </w:pPr>
      <w:r>
        <w:rPr>
          <w:rFonts w:eastAsia="Times New Roman"/>
          <w:b/>
          <w:bCs/>
          <w:i/>
          <w:iCs/>
          <w:color w:val="000000"/>
          <w:sz w:val="20"/>
          <w:szCs w:val="20"/>
        </w:rPr>
        <w:t xml:space="preserve">NYDEC - </w:t>
      </w:r>
      <w:r>
        <w:rPr>
          <w:rFonts w:eastAsia="Times New Roman"/>
          <w:color w:val="000000"/>
          <w:sz w:val="20"/>
          <w:szCs w:val="20"/>
        </w:rPr>
        <w:t>New York State Department of Environmental Conservation</w:t>
      </w:r>
    </w:p>
    <w:p w:rsidR="00000000" w:rsidRDefault="003F1733">
      <w:pPr>
        <w:jc w:val="both"/>
        <w:divId w:val="797409065"/>
        <w:rPr>
          <w:rFonts w:eastAsia="Times New Roman"/>
        </w:rPr>
      </w:pPr>
      <w:r>
        <w:rPr>
          <w:rFonts w:eastAsia="Times New Roman"/>
          <w:b/>
          <w:bCs/>
          <w:i/>
          <w:iCs/>
          <w:color w:val="000000"/>
          <w:sz w:val="20"/>
          <w:szCs w:val="20"/>
        </w:rPr>
        <w:t>NYMEX -</w:t>
      </w:r>
      <w:r>
        <w:rPr>
          <w:rFonts w:eastAsia="Times New Roman"/>
          <w:color w:val="000000"/>
          <w:sz w:val="20"/>
          <w:szCs w:val="20"/>
        </w:rPr>
        <w:t xml:space="preserve"> New York Mercantile Exchange</w:t>
      </w:r>
    </w:p>
    <w:p w:rsidR="00000000" w:rsidRDefault="003F1733">
      <w:pPr>
        <w:jc w:val="both"/>
        <w:divId w:val="1790933596"/>
        <w:rPr>
          <w:rFonts w:eastAsia="Times New Roman"/>
        </w:rPr>
      </w:pPr>
      <w:r>
        <w:rPr>
          <w:rFonts w:eastAsia="Times New Roman"/>
          <w:b/>
          <w:bCs/>
          <w:i/>
          <w:iCs/>
          <w:color w:val="000000"/>
          <w:sz w:val="20"/>
          <w:szCs w:val="20"/>
        </w:rPr>
        <w:t>PADEP -</w:t>
      </w:r>
      <w:r>
        <w:rPr>
          <w:rFonts w:eastAsia="Times New Roman"/>
          <w:color w:val="000000"/>
          <w:sz w:val="20"/>
          <w:szCs w:val="20"/>
        </w:rPr>
        <w:t xml:space="preserve"> Pennsylvania Dep</w:t>
      </w:r>
      <w:r>
        <w:rPr>
          <w:rFonts w:eastAsia="Times New Roman"/>
          <w:color w:val="000000"/>
          <w:sz w:val="20"/>
          <w:szCs w:val="20"/>
        </w:rPr>
        <w:t>artment of Environmental Protection</w:t>
      </w:r>
    </w:p>
    <w:p w:rsidR="00000000" w:rsidRDefault="003F1733">
      <w:pPr>
        <w:jc w:val="both"/>
        <w:divId w:val="1003896340"/>
        <w:rPr>
          <w:rFonts w:eastAsia="Times New Roman"/>
        </w:rPr>
      </w:pPr>
      <w:r>
        <w:rPr>
          <w:rFonts w:eastAsia="Times New Roman"/>
          <w:b/>
          <w:bCs/>
          <w:i/>
          <w:iCs/>
          <w:color w:val="000000"/>
          <w:sz w:val="20"/>
          <w:szCs w:val="20"/>
        </w:rPr>
        <w:t>PAPUC -</w:t>
      </w:r>
      <w:r>
        <w:rPr>
          <w:rFonts w:eastAsia="Times New Roman"/>
          <w:color w:val="000000"/>
          <w:sz w:val="20"/>
          <w:szCs w:val="20"/>
        </w:rPr>
        <w:t xml:space="preserve"> Pennsylvania Public Utility Commission</w:t>
      </w:r>
    </w:p>
    <w:p w:rsidR="00000000" w:rsidRDefault="003F1733">
      <w:pPr>
        <w:jc w:val="center"/>
        <w:divId w:val="480587694"/>
        <w:rPr>
          <w:rFonts w:eastAsia="Times New Roman"/>
        </w:rPr>
      </w:pPr>
      <w:r>
        <w:rPr>
          <w:rFonts w:eastAsia="Times New Roman"/>
          <w:color w:val="000000"/>
          <w:sz w:val="20"/>
          <w:szCs w:val="20"/>
        </w:rPr>
        <w:t>3</w:t>
      </w:r>
    </w:p>
    <w:p w:rsidR="00000000" w:rsidRDefault="003F1733">
      <w:pPr>
        <w:rPr>
          <w:rFonts w:eastAsia="Times New Roman"/>
        </w:rPr>
      </w:pPr>
      <w:r>
        <w:rPr>
          <w:rFonts w:eastAsia="Times New Roman"/>
        </w:rPr>
        <w:pict>
          <v:rect id="_x0000_i1029" style="width:0;height:1.5pt" o:hralign="center" o:hrstd="t" o:hr="t" fillcolor="#a0a0a0" stroked="f"/>
        </w:pict>
      </w:r>
    </w:p>
    <w:p w:rsidR="00000000" w:rsidRDefault="003F1733">
      <w:pPr>
        <w:divId w:val="668875100"/>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93464383"/>
        <w:rPr>
          <w:rFonts w:eastAsia="Times New Roman"/>
        </w:rPr>
      </w:pPr>
    </w:p>
    <w:p w:rsidR="00000000" w:rsidRDefault="003F1733">
      <w:pPr>
        <w:divId w:val="429157123"/>
        <w:rPr>
          <w:rFonts w:eastAsia="Times New Roman"/>
        </w:rPr>
      </w:pPr>
    </w:p>
    <w:p w:rsidR="00000000" w:rsidRDefault="003F1733">
      <w:pPr>
        <w:jc w:val="both"/>
        <w:divId w:val="1893232698"/>
        <w:rPr>
          <w:rFonts w:eastAsia="Times New Roman"/>
        </w:rPr>
      </w:pPr>
      <w:r>
        <w:rPr>
          <w:rFonts w:eastAsia="Times New Roman"/>
          <w:b/>
          <w:bCs/>
          <w:i/>
          <w:iCs/>
          <w:color w:val="000000"/>
          <w:sz w:val="20"/>
          <w:szCs w:val="20"/>
        </w:rPr>
        <w:t>PennEnergy -</w:t>
      </w:r>
      <w:r>
        <w:rPr>
          <w:rFonts w:eastAsia="Times New Roman"/>
          <w:color w:val="000000"/>
          <w:sz w:val="20"/>
          <w:szCs w:val="20"/>
        </w:rPr>
        <w:t xml:space="preserve"> </w:t>
      </w:r>
      <w:r>
        <w:rPr>
          <w:rFonts w:eastAsia="Times New Roman"/>
          <w:color w:val="000000"/>
          <w:sz w:val="20"/>
          <w:szCs w:val="20"/>
        </w:rPr>
        <w:t>PennEnergy Resources, LLC</w:t>
      </w:r>
    </w:p>
    <w:p w:rsidR="00000000" w:rsidRDefault="003F1733">
      <w:pPr>
        <w:jc w:val="both"/>
        <w:divId w:val="2111310485"/>
        <w:rPr>
          <w:rFonts w:eastAsia="Times New Roman"/>
        </w:rPr>
      </w:pPr>
      <w:r>
        <w:rPr>
          <w:rFonts w:eastAsia="Times New Roman"/>
          <w:b/>
          <w:bCs/>
          <w:i/>
          <w:iCs/>
          <w:color w:val="000000"/>
          <w:sz w:val="20"/>
          <w:szCs w:val="20"/>
        </w:rPr>
        <w:t>PGC -</w:t>
      </w:r>
      <w:r>
        <w:rPr>
          <w:rFonts w:eastAsia="Times New Roman"/>
          <w:color w:val="000000"/>
          <w:sz w:val="20"/>
          <w:szCs w:val="20"/>
        </w:rPr>
        <w:t xml:space="preserve"> Purchased gas costs</w:t>
      </w:r>
    </w:p>
    <w:p w:rsidR="00000000" w:rsidRDefault="003F1733">
      <w:pPr>
        <w:jc w:val="both"/>
        <w:divId w:val="221795463"/>
        <w:rPr>
          <w:rFonts w:eastAsia="Times New Roman"/>
        </w:rPr>
      </w:pPr>
      <w:r>
        <w:rPr>
          <w:rFonts w:eastAsia="Times New Roman"/>
          <w:b/>
          <w:bCs/>
          <w:i/>
          <w:iCs/>
          <w:color w:val="000000"/>
          <w:sz w:val="20"/>
          <w:szCs w:val="20"/>
        </w:rPr>
        <w:t xml:space="preserve">PRP - </w:t>
      </w:r>
      <w:r>
        <w:rPr>
          <w:rFonts w:eastAsia="Times New Roman"/>
          <w:color w:val="000000"/>
          <w:sz w:val="20"/>
          <w:szCs w:val="20"/>
        </w:rPr>
        <w:t>Potentially Responsible Party</w:t>
      </w:r>
    </w:p>
    <w:p w:rsidR="00000000" w:rsidRDefault="003F1733">
      <w:pPr>
        <w:jc w:val="both"/>
        <w:divId w:val="1354726380"/>
        <w:rPr>
          <w:rFonts w:eastAsia="Times New Roman"/>
        </w:rPr>
      </w:pPr>
      <w:r>
        <w:rPr>
          <w:rFonts w:eastAsia="Times New Roman"/>
          <w:b/>
          <w:bCs/>
          <w:i/>
          <w:iCs/>
          <w:color w:val="000000"/>
          <w:sz w:val="20"/>
          <w:szCs w:val="20"/>
        </w:rPr>
        <w:t>Receivables Facility -</w:t>
      </w:r>
      <w:r>
        <w:rPr>
          <w:rFonts w:eastAsia="Times New Roman"/>
          <w:color w:val="000000"/>
          <w:sz w:val="20"/>
          <w:szCs w:val="20"/>
        </w:rPr>
        <w:t xml:space="preserve"> </w:t>
      </w:r>
      <w:r>
        <w:rPr>
          <w:rFonts w:eastAsia="Times New Roman"/>
          <w:color w:val="000000"/>
          <w:sz w:val="20"/>
          <w:szCs w:val="20"/>
        </w:rPr>
        <w:t>A receivables purchase facility of Energy Services with an issuer of receivables-backed commercial paper</w:t>
      </w:r>
    </w:p>
    <w:p w:rsidR="00000000" w:rsidRDefault="003F1733">
      <w:pPr>
        <w:jc w:val="both"/>
        <w:divId w:val="1113596770"/>
        <w:rPr>
          <w:rFonts w:eastAsia="Times New Roman"/>
        </w:rPr>
      </w:pPr>
      <w:r>
        <w:rPr>
          <w:rFonts w:eastAsia="Times New Roman"/>
          <w:b/>
          <w:bCs/>
          <w:i/>
          <w:iCs/>
          <w:color w:val="000000"/>
          <w:sz w:val="20"/>
          <w:szCs w:val="20"/>
        </w:rPr>
        <w:t>Retail core-market -</w:t>
      </w:r>
      <w:r>
        <w:rPr>
          <w:rFonts w:eastAsia="Times New Roman"/>
          <w:color w:val="000000"/>
          <w:sz w:val="20"/>
          <w:szCs w:val="20"/>
        </w:rPr>
        <w:t xml:space="preserve"> Comprises firm residential, commercial and industrial customers to whom UGI Utilities has a statutory obligation to provide servic</w:t>
      </w:r>
      <w:r>
        <w:rPr>
          <w:rFonts w:eastAsia="Times New Roman"/>
          <w:color w:val="000000"/>
          <w:sz w:val="20"/>
          <w:szCs w:val="20"/>
        </w:rPr>
        <w:t>e that purchase their natural gas from Gas Utility</w:t>
      </w:r>
    </w:p>
    <w:p w:rsidR="00000000" w:rsidRDefault="003F1733">
      <w:pPr>
        <w:jc w:val="both"/>
        <w:divId w:val="1890678003"/>
        <w:rPr>
          <w:rFonts w:eastAsia="Times New Roman"/>
        </w:rPr>
      </w:pPr>
      <w:r>
        <w:rPr>
          <w:rFonts w:eastAsia="Times New Roman"/>
          <w:b/>
          <w:bCs/>
          <w:i/>
          <w:iCs/>
          <w:color w:val="000000"/>
          <w:sz w:val="20"/>
          <w:szCs w:val="20"/>
        </w:rPr>
        <w:t xml:space="preserve">ROD - </w:t>
      </w:r>
      <w:r>
        <w:rPr>
          <w:rFonts w:eastAsia="Times New Roman"/>
          <w:color w:val="000000"/>
          <w:sz w:val="20"/>
          <w:szCs w:val="20"/>
        </w:rPr>
        <w:t>Record of Decision</w:t>
      </w:r>
    </w:p>
    <w:p w:rsidR="00000000" w:rsidRDefault="003F1733">
      <w:pPr>
        <w:jc w:val="both"/>
        <w:divId w:val="794956099"/>
        <w:rPr>
          <w:rFonts w:eastAsia="Times New Roman"/>
        </w:rPr>
      </w:pPr>
      <w:r>
        <w:rPr>
          <w:rFonts w:eastAsia="Times New Roman"/>
          <w:b/>
          <w:bCs/>
          <w:i/>
          <w:iCs/>
          <w:color w:val="000000"/>
          <w:sz w:val="20"/>
          <w:szCs w:val="20"/>
        </w:rPr>
        <w:t>SCAA -</w:t>
      </w:r>
      <w:r>
        <w:rPr>
          <w:rFonts w:eastAsia="Times New Roman"/>
          <w:color w:val="000000"/>
          <w:sz w:val="20"/>
          <w:szCs w:val="20"/>
        </w:rPr>
        <w:t xml:space="preserve"> Storage Contract Administrative Agreements</w:t>
      </w:r>
    </w:p>
    <w:p w:rsidR="00000000" w:rsidRDefault="003F1733">
      <w:pPr>
        <w:jc w:val="both"/>
        <w:divId w:val="1059548753"/>
        <w:rPr>
          <w:rFonts w:eastAsia="Times New Roman"/>
        </w:rPr>
      </w:pPr>
      <w:r>
        <w:rPr>
          <w:rFonts w:eastAsia="Times New Roman"/>
          <w:b/>
          <w:bCs/>
          <w:i/>
          <w:iCs/>
          <w:color w:val="000000"/>
          <w:sz w:val="20"/>
          <w:szCs w:val="20"/>
        </w:rPr>
        <w:t>SEC -</w:t>
      </w:r>
      <w:r>
        <w:rPr>
          <w:rFonts w:eastAsia="Times New Roman"/>
          <w:color w:val="000000"/>
          <w:sz w:val="20"/>
          <w:szCs w:val="20"/>
        </w:rPr>
        <w:t xml:space="preserve"> U.S. Securities and Exchange Commission</w:t>
      </w:r>
    </w:p>
    <w:p w:rsidR="00000000" w:rsidRDefault="003F1733">
      <w:pPr>
        <w:jc w:val="both"/>
        <w:rPr>
          <w:rFonts w:eastAsia="Times New Roman"/>
        </w:rPr>
      </w:pPr>
      <w:r>
        <w:rPr>
          <w:rFonts w:eastAsia="Times New Roman"/>
          <w:b/>
          <w:bCs/>
          <w:i/>
          <w:iCs/>
          <w:color w:val="000000"/>
          <w:sz w:val="20"/>
          <w:szCs w:val="20"/>
        </w:rPr>
        <w:t>Stonehenge -</w:t>
      </w:r>
      <w:r>
        <w:rPr>
          <w:rFonts w:eastAsia="Times New Roman"/>
          <w:color w:val="000000"/>
          <w:sz w:val="20"/>
          <w:szCs w:val="20"/>
        </w:rPr>
        <w:t xml:space="preserve"> Stonehenge Energy Resources III, LLC, a portfolio company of Energy Spe</w:t>
      </w:r>
      <w:r>
        <w:rPr>
          <w:rFonts w:eastAsia="Times New Roman"/>
          <w:color w:val="000000"/>
          <w:sz w:val="20"/>
          <w:szCs w:val="20"/>
        </w:rPr>
        <w:t>ctrum Partners VIII, L.P.</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TCJA -</w:t>
      </w:r>
      <w:r>
        <w:rPr>
          <w:rFonts w:eastAsia="Times New Roman"/>
          <w:color w:val="000000"/>
          <w:sz w:val="20"/>
          <w:szCs w:val="20"/>
        </w:rPr>
        <w:t xml:space="preserve"> Tax Cuts and Jobs Act</w:t>
      </w:r>
    </w:p>
    <w:p w:rsidR="00000000" w:rsidRDefault="003F1733">
      <w:pPr>
        <w:jc w:val="both"/>
        <w:rPr>
          <w:rFonts w:eastAsia="Times New Roman"/>
        </w:rPr>
      </w:pPr>
    </w:p>
    <w:p w:rsidR="00000000" w:rsidRDefault="003F1733">
      <w:pPr>
        <w:divId w:val="1318345024"/>
        <w:rPr>
          <w:rFonts w:eastAsia="Times New Roman"/>
        </w:rPr>
      </w:pPr>
      <w:r>
        <w:rPr>
          <w:rFonts w:eastAsia="Times New Roman"/>
          <w:b/>
          <w:bCs/>
          <w:i/>
          <w:iCs/>
          <w:color w:val="000000"/>
          <w:sz w:val="20"/>
          <w:szCs w:val="20"/>
        </w:rPr>
        <w:t>Temporary Rates Order -</w:t>
      </w:r>
      <w:r>
        <w:rPr>
          <w:rFonts w:eastAsia="Times New Roman"/>
          <w:color w:val="000000"/>
          <w:sz w:val="20"/>
          <w:szCs w:val="20"/>
        </w:rPr>
        <w:t xml:space="preserve"> Order issued by the PAPUC on March 15, 2018, that converted PAPUC approved rates of a defined group of large Pennsylvania public utilities into temporary rates for a period </w:t>
      </w:r>
      <w:r>
        <w:rPr>
          <w:rFonts w:eastAsia="Times New Roman"/>
          <w:color w:val="000000"/>
          <w:sz w:val="20"/>
          <w:szCs w:val="20"/>
        </w:rPr>
        <w:t>of not more than 12 months while the PAPUC reviewed effects of the TCJA</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UGI Corporation Senior Credit Facilit</w:t>
      </w:r>
      <w:r>
        <w:rPr>
          <w:rFonts w:eastAsia="Times New Roman"/>
          <w:color w:val="000000"/>
          <w:sz w:val="20"/>
          <w:szCs w:val="20"/>
        </w:rPr>
        <w:t>y - An unsecured senior facilities agreement entered into on August 1, 2019, by UGI comprising (1) a five-year $250 million term loan facility; (</w:t>
      </w:r>
      <w:r>
        <w:rPr>
          <w:rFonts w:eastAsia="Times New Roman"/>
          <w:color w:val="000000"/>
          <w:sz w:val="20"/>
          <w:szCs w:val="20"/>
        </w:rPr>
        <w:t>2) a three-year $300 million term loan facility; and (3) a five-year $300 million revolving credit facility (including a $10 million sublimit for letters of credit)</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USD </w:t>
      </w:r>
      <w:r>
        <w:rPr>
          <w:rFonts w:eastAsia="Times New Roman"/>
          <w:color w:val="000000"/>
          <w:sz w:val="20"/>
          <w:szCs w:val="20"/>
        </w:rPr>
        <w:t>- U.S. dollar</w:t>
      </w:r>
    </w:p>
    <w:p w:rsidR="00000000" w:rsidRDefault="003F1733">
      <w:pPr>
        <w:jc w:val="both"/>
        <w:rPr>
          <w:rFonts w:eastAsia="Times New Roman"/>
        </w:rPr>
      </w:pPr>
    </w:p>
    <w:p w:rsidR="00000000" w:rsidRDefault="003F1733">
      <w:pPr>
        <w:jc w:val="both"/>
        <w:divId w:val="288630337"/>
        <w:rPr>
          <w:rFonts w:eastAsia="Times New Roman"/>
        </w:rPr>
      </w:pPr>
      <w:r>
        <w:rPr>
          <w:rFonts w:eastAsia="Times New Roman"/>
          <w:b/>
          <w:bCs/>
          <w:i/>
          <w:iCs/>
          <w:color w:val="000000"/>
          <w:sz w:val="20"/>
          <w:szCs w:val="20"/>
        </w:rPr>
        <w:t xml:space="preserve">Western Missouri District Court - </w:t>
      </w:r>
      <w:r>
        <w:rPr>
          <w:rFonts w:eastAsia="Times New Roman"/>
          <w:color w:val="000000"/>
          <w:sz w:val="20"/>
          <w:szCs w:val="20"/>
        </w:rPr>
        <w:t>The United States District Court fo</w:t>
      </w:r>
      <w:r>
        <w:rPr>
          <w:rFonts w:eastAsia="Times New Roman"/>
          <w:color w:val="000000"/>
          <w:sz w:val="20"/>
          <w:szCs w:val="20"/>
        </w:rPr>
        <w:t>r the Western District of Missouri</w:t>
      </w:r>
    </w:p>
    <w:p w:rsidR="00000000" w:rsidRDefault="003F1733">
      <w:pPr>
        <w:jc w:val="both"/>
        <w:divId w:val="308169897"/>
        <w:rPr>
          <w:rFonts w:eastAsia="Times New Roman"/>
        </w:rPr>
      </w:pPr>
      <w:r>
        <w:rPr>
          <w:rFonts w:eastAsia="Times New Roman"/>
          <w:b/>
          <w:bCs/>
          <w:i/>
          <w:iCs/>
          <w:color w:val="000000"/>
          <w:sz w:val="20"/>
          <w:szCs w:val="20"/>
        </w:rPr>
        <w:t>WHO</w:t>
      </w:r>
      <w:r>
        <w:rPr>
          <w:rFonts w:eastAsia="Times New Roman"/>
          <w:color w:val="000000"/>
          <w:sz w:val="20"/>
          <w:szCs w:val="20"/>
        </w:rPr>
        <w:t xml:space="preserve"> - World Health Organization</w:t>
      </w:r>
    </w:p>
    <w:p w:rsidR="00000000" w:rsidRDefault="003F1733">
      <w:pPr>
        <w:jc w:val="center"/>
        <w:divId w:val="158467857"/>
        <w:rPr>
          <w:rFonts w:eastAsia="Times New Roman"/>
        </w:rPr>
      </w:pPr>
      <w:r>
        <w:rPr>
          <w:rFonts w:eastAsia="Times New Roman"/>
          <w:color w:val="000000"/>
          <w:sz w:val="20"/>
          <w:szCs w:val="20"/>
        </w:rPr>
        <w:t>4</w:t>
      </w:r>
    </w:p>
    <w:p w:rsidR="00000000" w:rsidRDefault="003F1733">
      <w:pPr>
        <w:rPr>
          <w:rFonts w:eastAsia="Times New Roman"/>
        </w:rPr>
      </w:pPr>
      <w:r>
        <w:rPr>
          <w:rFonts w:eastAsia="Times New Roman"/>
        </w:rPr>
        <w:pict>
          <v:rect id="_x0000_i1030" style="width:0;height:1.5pt" o:hralign="center" o:hrstd="t" o:hr="t" fillcolor="#a0a0a0" stroked="f"/>
        </w:pict>
      </w:r>
    </w:p>
    <w:p w:rsidR="00000000" w:rsidRDefault="003F1733">
      <w:pPr>
        <w:divId w:val="1420367679"/>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534221647"/>
        <w:rPr>
          <w:rFonts w:eastAsia="Times New Roman"/>
        </w:rPr>
      </w:pPr>
      <w:r>
        <w:rPr>
          <w:rFonts w:eastAsia="Times New Roman"/>
          <w:b/>
          <w:bCs/>
          <w:color w:val="000000"/>
          <w:sz w:val="20"/>
          <w:szCs w:val="20"/>
        </w:rPr>
        <w:t>UGI CORPORATION AND SUBSIDIARIES</w:t>
      </w:r>
    </w:p>
    <w:p w:rsidR="00000000" w:rsidRDefault="003F1733">
      <w:pPr>
        <w:jc w:val="center"/>
        <w:divId w:val="1000696099"/>
        <w:rPr>
          <w:rFonts w:eastAsia="Times New Roman"/>
        </w:rPr>
      </w:pPr>
      <w:r>
        <w:rPr>
          <w:rFonts w:eastAsia="Times New Roman"/>
          <w:b/>
          <w:bCs/>
          <w:color w:val="000000"/>
          <w:sz w:val="20"/>
          <w:szCs w:val="20"/>
        </w:rPr>
        <w:t>PART I FINANCIAL INFORMATION</w:t>
      </w:r>
    </w:p>
    <w:p w:rsidR="00000000" w:rsidRDefault="003F1733">
      <w:pPr>
        <w:jc w:val="center"/>
        <w:divId w:val="181207618"/>
        <w:rPr>
          <w:rFonts w:eastAsia="Times New Roman"/>
        </w:rPr>
      </w:pPr>
      <w:r>
        <w:rPr>
          <w:rFonts w:eastAsia="Times New Roman"/>
          <w:b/>
          <w:bCs/>
          <w:color w:val="000000"/>
          <w:sz w:val="20"/>
          <w:szCs w:val="20"/>
        </w:rPr>
        <w:t>ITEM 1. FINA</w:t>
      </w:r>
      <w:r>
        <w:rPr>
          <w:rFonts w:eastAsia="Times New Roman"/>
          <w:b/>
          <w:bCs/>
          <w:color w:val="000000"/>
          <w:sz w:val="20"/>
          <w:szCs w:val="20"/>
        </w:rPr>
        <w:t>NCIAL STATEMENTS</w:t>
      </w:r>
    </w:p>
    <w:p w:rsidR="00000000" w:rsidRDefault="003F1733">
      <w:pPr>
        <w:jc w:val="center"/>
        <w:rPr>
          <w:rFonts w:eastAsia="Times New Roman"/>
        </w:rPr>
      </w:pPr>
      <w:r>
        <w:rPr>
          <w:rFonts w:eastAsia="Times New Roman"/>
          <w:b/>
          <w:bCs/>
          <w:color w:val="000000"/>
          <w:sz w:val="20"/>
          <w:szCs w:val="20"/>
        </w:rPr>
        <w:t>CONDENSED CONSOLIDATED BALANCE SHEETS</w:t>
      </w:r>
    </w:p>
    <w:p w:rsidR="00000000" w:rsidRDefault="003F1733">
      <w:pPr>
        <w:jc w:val="center"/>
        <w:rPr>
          <w:rFonts w:eastAsia="Times New Roman"/>
        </w:rPr>
      </w:pPr>
      <w:r>
        <w:rPr>
          <w:rFonts w:eastAsia="Times New Roman"/>
          <w:color w:val="000000"/>
          <w:sz w:val="20"/>
          <w:szCs w:val="20"/>
        </w:rPr>
        <w:t>(unaudited)</w:t>
      </w:r>
    </w:p>
    <w:p w:rsidR="00000000" w:rsidRDefault="003F1733">
      <w:pPr>
        <w:jc w:val="center"/>
        <w:rPr>
          <w:rFonts w:eastAsia="Times New Roman"/>
        </w:rPr>
      </w:pPr>
      <w:r>
        <w:rPr>
          <w:rFonts w:eastAsia="Times New Roman"/>
          <w:color w:val="000000"/>
          <w:sz w:val="20"/>
          <w:szCs w:val="20"/>
        </w:rPr>
        <w:t>(Millions of dollars)</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060"/>
        <w:gridCol w:w="39"/>
        <w:gridCol w:w="36"/>
        <w:gridCol w:w="36"/>
        <w:gridCol w:w="36"/>
        <w:gridCol w:w="110"/>
        <w:gridCol w:w="785"/>
        <w:gridCol w:w="36"/>
        <w:gridCol w:w="36"/>
        <w:gridCol w:w="36"/>
        <w:gridCol w:w="36"/>
        <w:gridCol w:w="111"/>
        <w:gridCol w:w="796"/>
        <w:gridCol w:w="36"/>
        <w:gridCol w:w="36"/>
        <w:gridCol w:w="36"/>
        <w:gridCol w:w="36"/>
        <w:gridCol w:w="110"/>
        <w:gridCol w:w="797"/>
        <w:gridCol w:w="36"/>
      </w:tblGrid>
      <w:tr w:rsidR="00000000">
        <w:trPr>
          <w:divId w:val="1969626856"/>
          <w:jc w:val="center"/>
        </w:trPr>
        <w:tc>
          <w:tcPr>
            <w:tcW w:w="50" w:type="pct"/>
            <w:vAlign w:val="center"/>
            <w:hideMark/>
          </w:tcPr>
          <w:p w:rsidR="00000000" w:rsidRDefault="003F1733">
            <w:pPr>
              <w:jc w:val="center"/>
              <w:rPr>
                <w:rFonts w:eastAsia="Times New Roman"/>
              </w:rPr>
            </w:pPr>
          </w:p>
        </w:tc>
        <w:tc>
          <w:tcPr>
            <w:tcW w:w="30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2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969626856"/>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March 31,</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September 30,</w:t>
            </w:r>
            <w:r>
              <w:rPr>
                <w:rFonts w:eastAsia="Times New Roman"/>
                <w:color w:val="000000"/>
                <w:sz w:val="18"/>
                <w:szCs w:val="18"/>
              </w:rPr>
              <w:b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March 31,</w:t>
            </w:r>
            <w:r>
              <w:rPr>
                <w:rFonts w:eastAsia="Times New Roman"/>
                <w:color w:val="000000"/>
                <w:sz w:val="18"/>
                <w:szCs w:val="18"/>
              </w:rPr>
              <w:br/>
              <w:t>2020</w:t>
            </w:r>
          </w:p>
        </w:tc>
      </w:tr>
      <w:tr w:rsidR="00000000">
        <w:trPr>
          <w:divId w:val="1969626856"/>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CCEE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444 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336 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297 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104 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divId w:val="714355168"/>
              <w:rPr>
                <w:rFonts w:eastAsia="Times New Roman"/>
              </w:rPr>
            </w:pPr>
            <w:r>
              <w:rPr>
                <w:rFonts w:eastAsia="Times New Roman"/>
                <w:color w:val="000000"/>
                <w:sz w:val="18"/>
                <w:szCs w:val="18"/>
              </w:rPr>
              <w:t>Accounts receivable (less allowances for doubtful accounts of $52, $42 and $39, respectively)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1,183 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652 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1,016 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Accrued utility revenues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Income taxes receivable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241 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180 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969626856"/>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CCEE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FFFF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155 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204 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740" w:type="dxa"/>
              <w:bottom w:w="30" w:type="dxa"/>
              <w:right w:w="20" w:type="dxa"/>
            </w:tcMar>
            <w:vAlign w:val="bottom"/>
            <w:hideMark/>
          </w:tcPr>
          <w:p w:rsidR="00000000" w:rsidRDefault="003F1733">
            <w:pPr>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1,543 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20" w:type="dxa"/>
              <w:bottom w:w="30" w:type="dxa"/>
              <w:right w:w="20" w:type="dxa"/>
            </w:tcMar>
            <w:hideMark/>
          </w:tcPr>
          <w:p w:rsidR="00000000" w:rsidRDefault="003F1733">
            <w:pPr>
              <w:divId w:val="1674994913"/>
              <w:rPr>
                <w:rFonts w:eastAsia="Times New Roman"/>
              </w:rPr>
            </w:pPr>
            <w:r>
              <w:rPr>
                <w:rFonts w:eastAsia="Times New Roman"/>
                <w:color w:val="000000"/>
                <w:sz w:val="18"/>
                <w:szCs w:val="18"/>
              </w:rPr>
              <w:t>Property, plant and equipment, (less accumulated depreciation of $3,869, $3,698 and $3,555, respectively)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7,020 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6,960 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6,805 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3,524 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3,518 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3,466 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640 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677 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688 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Utility regulatory 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392 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395 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387 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969626856"/>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924 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854 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869 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740" w:type="dxa"/>
              <w:bottom w:w="30" w:type="dxa"/>
              <w:right w:w="20" w:type="dxa"/>
            </w:tcMar>
            <w:vAlign w:val="bottom"/>
            <w:hideMark/>
          </w:tcPr>
          <w:p w:rsidR="00000000" w:rsidRDefault="003F1733">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14,945 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13,985 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LIABILITIES AND EQUITY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CCEE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Current maturities of long-term debt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FFFF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Short-term borrowings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340 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347 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654 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627 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475 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465 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185 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832 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816 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785 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740" w:type="dxa"/>
              <w:bottom w:w="30" w:type="dxa"/>
              <w:right w:w="20" w:type="dxa"/>
            </w:tcMar>
            <w:vAlign w:val="bottom"/>
            <w:hideMark/>
          </w:tcPr>
          <w:p w:rsidR="00000000" w:rsidRDefault="003F1733">
            <w:pPr>
              <w:rPr>
                <w:rFonts w:eastAsia="Times New Roman"/>
              </w:rPr>
            </w:pPr>
            <w:r>
              <w:rPr>
                <w:rFonts w:eastAsia="Times New Roman"/>
                <w:color w:val="000000"/>
                <w:sz w:val="18"/>
                <w:szCs w:val="18"/>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1,892 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1,755 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2,116 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5,953 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5,981 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5,800 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Deferred income taxes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833 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640 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580 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1,393 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1,413 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1,444 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740" w:type="dxa"/>
              <w:bottom w:w="30" w:type="dxa"/>
              <w:right w:w="20" w:type="dxa"/>
            </w:tcMar>
            <w:vAlign w:val="bottom"/>
            <w:hideMark/>
          </w:tcPr>
          <w:p w:rsidR="00000000" w:rsidRDefault="003F1733">
            <w:pPr>
              <w:rPr>
                <w:rFonts w:eastAsia="Times New Roman"/>
              </w:rPr>
            </w:pPr>
            <w:r>
              <w:rPr>
                <w:rFonts w:eastAsia="Times New Roman"/>
                <w:color w:val="000000"/>
                <w:sz w:val="18"/>
                <w:szCs w:val="18"/>
              </w:rPr>
              <w:t>Total liabilities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10,117 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9,848 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10,046 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Commitments and contingencies (Note 8)</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Equity: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8"/>
                <w:szCs w:val="18"/>
              </w:rPr>
              <w:t>UGI Corporation stockholders’ equity: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69626856"/>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divId w:val="1140267000"/>
              <w:rPr>
                <w:rFonts w:eastAsia="Times New Roman"/>
              </w:rPr>
            </w:pPr>
            <w:r>
              <w:rPr>
                <w:rFonts w:eastAsia="Times New Roman"/>
                <w:color w:val="000000"/>
                <w:sz w:val="18"/>
                <w:szCs w:val="18"/>
              </w:rPr>
              <w:t>UGI Common Stock, without par value (authorized — 450,000,000 shares; issued — 209,636,619, 209,514,044 and 209,439,475 shares, respectively)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1,428 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1,416 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1,409 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3,557 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2,908 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2,953 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Accumulated 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(126)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(230)</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Treasury stock, at cost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(40)</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740" w:type="dxa"/>
              <w:bottom w:w="30" w:type="dxa"/>
              <w:right w:w="20" w:type="dxa"/>
            </w:tcMar>
            <w:vAlign w:val="bottom"/>
            <w:hideMark/>
          </w:tcPr>
          <w:p w:rsidR="00000000" w:rsidRDefault="003F1733">
            <w:pPr>
              <w:rPr>
                <w:rFonts w:eastAsia="Times New Roman"/>
              </w:rPr>
            </w:pPr>
            <w:r>
              <w:rPr>
                <w:rFonts w:eastAsia="Times New Roman"/>
                <w:color w:val="000000"/>
                <w:sz w:val="18"/>
                <w:szCs w:val="18"/>
              </w:rPr>
              <w:t>Total UGI Corporation stockholders’ equity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38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Noncontrolling interests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CCEEFF"/>
            <w:tcMar>
              <w:top w:w="30" w:type="dxa"/>
              <w:left w:w="740" w:type="dxa"/>
              <w:bottom w:w="30" w:type="dxa"/>
              <w:right w:w="20" w:type="dxa"/>
            </w:tcMar>
            <w:vAlign w:val="bottom"/>
            <w:hideMark/>
          </w:tcPr>
          <w:p w:rsidR="00000000" w:rsidRDefault="003F1733">
            <w:pPr>
              <w:rPr>
                <w:rFonts w:eastAsia="Times New Roman"/>
              </w:rPr>
            </w:pPr>
            <w:r>
              <w:rPr>
                <w:rFonts w:eastAsia="Times New Roman"/>
                <w:color w:val="000000"/>
                <w:sz w:val="18"/>
                <w:szCs w:val="18"/>
              </w:rPr>
              <w:t>Total equity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4,828 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4,090 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9626856"/>
          <w:jc w:val="center"/>
        </w:trPr>
        <w:tc>
          <w:tcPr>
            <w:tcW w:w="0" w:type="auto"/>
            <w:gridSpan w:val="3"/>
            <w:shd w:val="clear" w:color="auto" w:fill="FFFFFF"/>
            <w:tcMar>
              <w:top w:w="30" w:type="dxa"/>
              <w:left w:w="740" w:type="dxa"/>
              <w:bottom w:w="30" w:type="dxa"/>
              <w:right w:w="20" w:type="dxa"/>
            </w:tcMar>
            <w:vAlign w:val="bottom"/>
            <w:hideMark/>
          </w:tcPr>
          <w:p w:rsidR="00000000" w:rsidRDefault="003F1733">
            <w:pPr>
              <w:rPr>
                <w:rFonts w:eastAsia="Times New Roman"/>
              </w:rPr>
            </w:pPr>
            <w:r>
              <w:rPr>
                <w:rFonts w:eastAsia="Times New Roman"/>
                <w:color w:val="000000"/>
                <w:sz w:val="18"/>
                <w:szCs w:val="18"/>
              </w:rPr>
              <w:t>Total liabilities and equity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14,945 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13,985 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14,136 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divId w:val="764036089"/>
        <w:rPr>
          <w:rFonts w:eastAsia="Times New Roman"/>
        </w:rPr>
      </w:pPr>
      <w:r>
        <w:rPr>
          <w:rFonts w:eastAsia="Times New Roman"/>
          <w:color w:val="000000"/>
          <w:sz w:val="20"/>
          <w:szCs w:val="20"/>
        </w:rPr>
        <w:t>See accompanying notes to condensed consolidated financial sta</w:t>
      </w:r>
      <w:r>
        <w:rPr>
          <w:rFonts w:eastAsia="Times New Roman"/>
          <w:color w:val="000000"/>
          <w:sz w:val="20"/>
          <w:szCs w:val="20"/>
        </w:rPr>
        <w:t>tements.</w:t>
      </w:r>
    </w:p>
    <w:p w:rsidR="00000000" w:rsidRDefault="003F1733">
      <w:pPr>
        <w:jc w:val="center"/>
        <w:divId w:val="1360427352"/>
        <w:rPr>
          <w:rFonts w:eastAsia="Times New Roman"/>
        </w:rPr>
      </w:pPr>
      <w:r>
        <w:rPr>
          <w:rFonts w:eastAsia="Times New Roman"/>
          <w:color w:val="000000"/>
          <w:sz w:val="20"/>
          <w:szCs w:val="20"/>
        </w:rPr>
        <w:t>5</w:t>
      </w:r>
    </w:p>
    <w:p w:rsidR="00000000" w:rsidRDefault="003F1733">
      <w:pPr>
        <w:rPr>
          <w:rFonts w:eastAsia="Times New Roman"/>
        </w:rPr>
      </w:pPr>
      <w:r>
        <w:rPr>
          <w:rFonts w:eastAsia="Times New Roman"/>
        </w:rPr>
        <w:pict>
          <v:rect id="_x0000_i1031" style="width:0;height:1.5pt" o:hralign="center" o:hrstd="t" o:hr="t" fillcolor="#a0a0a0" stroked="f"/>
        </w:pict>
      </w:r>
    </w:p>
    <w:p w:rsidR="00000000" w:rsidRDefault="003F1733">
      <w:pPr>
        <w:divId w:val="1667247825"/>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811600655"/>
        <w:rPr>
          <w:rFonts w:eastAsia="Times New Roman"/>
        </w:rPr>
      </w:pPr>
      <w:r>
        <w:rPr>
          <w:rFonts w:eastAsia="Times New Roman"/>
          <w:b/>
          <w:bCs/>
          <w:color w:val="000000"/>
          <w:sz w:val="20"/>
          <w:szCs w:val="20"/>
        </w:rPr>
        <w:t>UGI CORPORATION AND SUBSIDIARIES</w:t>
      </w:r>
    </w:p>
    <w:p w:rsidR="00000000" w:rsidRDefault="003F1733">
      <w:pPr>
        <w:jc w:val="center"/>
        <w:rPr>
          <w:rFonts w:eastAsia="Times New Roman"/>
        </w:rPr>
      </w:pPr>
      <w:r>
        <w:rPr>
          <w:rFonts w:eastAsia="Times New Roman"/>
          <w:b/>
          <w:bCs/>
          <w:color w:val="000000"/>
          <w:sz w:val="20"/>
          <w:szCs w:val="20"/>
        </w:rPr>
        <w:t>CONDENSED CONSOLIDATED STATEMENTS OF INCOME</w:t>
      </w:r>
    </w:p>
    <w:p w:rsidR="00000000" w:rsidRDefault="003F1733">
      <w:pPr>
        <w:jc w:val="center"/>
        <w:rPr>
          <w:rFonts w:eastAsia="Times New Roman"/>
        </w:rPr>
      </w:pPr>
      <w:r>
        <w:rPr>
          <w:rFonts w:eastAsia="Times New Roman"/>
          <w:color w:val="000000"/>
          <w:sz w:val="20"/>
          <w:szCs w:val="20"/>
        </w:rPr>
        <w:t>(unaudited)</w:t>
      </w:r>
    </w:p>
    <w:p w:rsidR="00000000" w:rsidRDefault="003F1733">
      <w:pPr>
        <w:jc w:val="center"/>
        <w:rPr>
          <w:rFonts w:eastAsia="Times New Roman"/>
        </w:rPr>
      </w:pPr>
      <w:r>
        <w:rPr>
          <w:rFonts w:eastAsia="Times New Roman"/>
          <w:color w:val="000000"/>
          <w:sz w:val="20"/>
          <w:szCs w:val="20"/>
        </w:rPr>
        <w:t>(Millions of dollars,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33"/>
        <w:gridCol w:w="38"/>
        <w:gridCol w:w="36"/>
        <w:gridCol w:w="36"/>
        <w:gridCol w:w="36"/>
        <w:gridCol w:w="121"/>
        <w:gridCol w:w="784"/>
        <w:gridCol w:w="36"/>
        <w:gridCol w:w="36"/>
        <w:gridCol w:w="36"/>
        <w:gridCol w:w="36"/>
        <w:gridCol w:w="121"/>
        <w:gridCol w:w="784"/>
        <w:gridCol w:w="36"/>
        <w:gridCol w:w="36"/>
        <w:gridCol w:w="36"/>
        <w:gridCol w:w="36"/>
        <w:gridCol w:w="121"/>
        <w:gridCol w:w="834"/>
        <w:gridCol w:w="36"/>
        <w:gridCol w:w="36"/>
        <w:gridCol w:w="36"/>
        <w:gridCol w:w="36"/>
        <w:gridCol w:w="121"/>
        <w:gridCol w:w="834"/>
        <w:gridCol w:w="36"/>
      </w:tblGrid>
      <w:tr w:rsidR="00000000">
        <w:trPr>
          <w:divId w:val="2081976178"/>
        </w:trPr>
        <w:tc>
          <w:tcPr>
            <w:tcW w:w="50" w:type="pct"/>
            <w:vAlign w:val="center"/>
            <w:hideMark/>
          </w:tcPr>
          <w:p w:rsidR="00000000" w:rsidRDefault="003F1733">
            <w:pPr>
              <w:jc w:val="center"/>
              <w:rPr>
                <w:rFonts w:eastAsia="Times New Roman"/>
              </w:rPr>
            </w:pPr>
          </w:p>
        </w:tc>
        <w:tc>
          <w:tcPr>
            <w:tcW w:w="240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2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2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2081976178"/>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Three Months Ended</w:t>
            </w:r>
            <w:r>
              <w:rPr>
                <w:rFonts w:eastAsia="Times New Roman"/>
                <w:color w:val="000000"/>
                <w:sz w:val="18"/>
                <w:szCs w:val="18"/>
              </w:rPr>
              <w:br/>
              <w:t>March 31,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Six Months Ended</w:t>
            </w:r>
            <w:r>
              <w:rPr>
                <w:rFonts w:eastAsia="Times New Roman"/>
                <w:color w:val="000000"/>
                <w:sz w:val="18"/>
                <w:szCs w:val="18"/>
              </w:rPr>
              <w:br/>
              <w:t>March 31,</w:t>
            </w:r>
          </w:p>
        </w:tc>
      </w:tr>
      <w:tr w:rsidR="00000000">
        <w:trPr>
          <w:divId w:val="2081976178"/>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2020</w:t>
            </w:r>
          </w:p>
        </w:tc>
      </w:tr>
      <w:tr w:rsidR="00000000">
        <w:trPr>
          <w:divId w:val="2081976178"/>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4,513 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081976178"/>
        </w:trPr>
        <w:tc>
          <w:tcPr>
            <w:tcW w:w="0" w:type="auto"/>
            <w:gridSpan w:val="3"/>
            <w:shd w:val="clear" w:color="auto" w:fill="CCEE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Cost of sales (excluding depreciation and amortization shown below)</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1,274 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1,248 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2,107 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2,256 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515 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504 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1,004 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1,015 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081976178"/>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081976178"/>
        </w:trPr>
        <w:tc>
          <w:tcPr>
            <w:tcW w:w="0" w:type="auto"/>
            <w:gridSpan w:val="3"/>
            <w:shd w:val="clear" w:color="auto" w:fill="CCEE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081976178"/>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Other operating income, net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1,910 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081976178"/>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081976178"/>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Other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Income tax expense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081976178"/>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081976178"/>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Earnings per common share attributable to UGI Corporation stockholders: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081976178"/>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3.79 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CCEE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3.77 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Weighted-average common shares outstanding (thousands):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081976178"/>
        </w:trPr>
        <w:tc>
          <w:tcPr>
            <w:tcW w:w="0" w:type="auto"/>
            <w:gridSpan w:val="3"/>
            <w:shd w:val="clear" w:color="auto" w:fill="CCEE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208,930 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208,941 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208,849 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209,151 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210,092 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209,808 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209,863 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210,494 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81976178"/>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bl>
    <w:p w:rsidR="00000000" w:rsidRDefault="003F1733">
      <w:pPr>
        <w:divId w:val="521818318"/>
        <w:rPr>
          <w:rFonts w:eastAsia="Times New Roman"/>
        </w:rPr>
      </w:pPr>
      <w:r>
        <w:rPr>
          <w:rFonts w:eastAsia="Times New Roman"/>
          <w:color w:val="000000"/>
          <w:sz w:val="20"/>
          <w:szCs w:val="20"/>
        </w:rPr>
        <w:t>See accompanying notes to condensed consolidated financial statements.</w:t>
      </w:r>
    </w:p>
    <w:p w:rsidR="00000000" w:rsidRDefault="003F1733">
      <w:pPr>
        <w:jc w:val="center"/>
        <w:rPr>
          <w:rFonts w:eastAsia="Times New Roman"/>
        </w:rPr>
      </w:pPr>
    </w:p>
    <w:p w:rsidR="00000000" w:rsidRDefault="003F1733">
      <w:pPr>
        <w:jc w:val="center"/>
        <w:divId w:val="67769554"/>
        <w:rPr>
          <w:rFonts w:eastAsia="Times New Roman"/>
        </w:rPr>
      </w:pPr>
      <w:r>
        <w:rPr>
          <w:rFonts w:eastAsia="Times New Roman"/>
          <w:color w:val="000000"/>
          <w:sz w:val="20"/>
          <w:szCs w:val="20"/>
        </w:rPr>
        <w:t>6</w:t>
      </w:r>
    </w:p>
    <w:p w:rsidR="00000000" w:rsidRDefault="003F1733">
      <w:pPr>
        <w:rPr>
          <w:rFonts w:eastAsia="Times New Roman"/>
        </w:rPr>
      </w:pPr>
      <w:r>
        <w:rPr>
          <w:rFonts w:eastAsia="Times New Roman"/>
        </w:rPr>
        <w:pict>
          <v:rect id="_x0000_i1032" style="width:0;height:1.5pt" o:hralign="center" o:hrstd="t" o:hr="t" fillcolor="#a0a0a0" stroked="f"/>
        </w:pict>
      </w:r>
    </w:p>
    <w:p w:rsidR="00000000" w:rsidRDefault="003F1733">
      <w:pPr>
        <w:divId w:val="1661304562"/>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053122265"/>
        <w:rPr>
          <w:rFonts w:eastAsia="Times New Roman"/>
        </w:rPr>
      </w:pPr>
      <w:r>
        <w:rPr>
          <w:rFonts w:eastAsia="Times New Roman"/>
          <w:b/>
          <w:bCs/>
          <w:color w:val="000000"/>
          <w:sz w:val="20"/>
          <w:szCs w:val="20"/>
        </w:rPr>
        <w:t>UGI CORPORATION AND SUBSIDIARIES</w:t>
      </w:r>
    </w:p>
    <w:p w:rsidR="00000000" w:rsidRDefault="003F1733">
      <w:pPr>
        <w:jc w:val="center"/>
        <w:rPr>
          <w:rFonts w:eastAsia="Times New Roman"/>
        </w:rPr>
      </w:pPr>
      <w:r>
        <w:rPr>
          <w:rFonts w:eastAsia="Times New Roman"/>
          <w:b/>
          <w:bCs/>
          <w:color w:val="000000"/>
          <w:sz w:val="20"/>
          <w:szCs w:val="20"/>
        </w:rPr>
        <w:t>CONDENSED CONSOLIDATED STATEMENTS O</w:t>
      </w:r>
      <w:r>
        <w:rPr>
          <w:rFonts w:eastAsia="Times New Roman"/>
          <w:b/>
          <w:bCs/>
          <w:color w:val="000000"/>
          <w:sz w:val="20"/>
          <w:szCs w:val="20"/>
        </w:rPr>
        <w:t>F COMPREHENSIVE INCOME</w:t>
      </w:r>
    </w:p>
    <w:p w:rsidR="00000000" w:rsidRDefault="003F1733">
      <w:pPr>
        <w:jc w:val="center"/>
        <w:rPr>
          <w:rFonts w:eastAsia="Times New Roman"/>
        </w:rPr>
      </w:pPr>
      <w:r>
        <w:rPr>
          <w:rFonts w:eastAsia="Times New Roman"/>
          <w:color w:val="000000"/>
          <w:sz w:val="20"/>
          <w:szCs w:val="20"/>
        </w:rPr>
        <w:t>(unaudited)</w:t>
      </w:r>
    </w:p>
    <w:p w:rsidR="00000000" w:rsidRDefault="003F1733">
      <w:pPr>
        <w:jc w:val="center"/>
        <w:rPr>
          <w:rFonts w:eastAsia="Times New Roman"/>
        </w:rPr>
      </w:pPr>
      <w:r>
        <w:rPr>
          <w:rFonts w:eastAsia="Times New Roman"/>
          <w:color w:val="000000"/>
          <w:sz w:val="20"/>
          <w:szCs w:val="20"/>
        </w:rPr>
        <w:t>(Millions of dollars)</w:t>
      </w:r>
    </w:p>
    <w:tbl>
      <w:tblPr>
        <w:tblW w:w="5000" w:type="pct"/>
        <w:tblCellMar>
          <w:top w:w="15" w:type="dxa"/>
          <w:left w:w="15" w:type="dxa"/>
          <w:bottom w:w="15" w:type="dxa"/>
          <w:right w:w="15" w:type="dxa"/>
        </w:tblCellMar>
        <w:tblLook w:val="04A0" w:firstRow="1" w:lastRow="0" w:firstColumn="1" w:lastColumn="0" w:noHBand="0" w:noVBand="1"/>
      </w:tblPr>
      <w:tblGrid>
        <w:gridCol w:w="40"/>
        <w:gridCol w:w="4491"/>
        <w:gridCol w:w="39"/>
        <w:gridCol w:w="120"/>
        <w:gridCol w:w="721"/>
        <w:gridCol w:w="36"/>
        <w:gridCol w:w="36"/>
        <w:gridCol w:w="36"/>
        <w:gridCol w:w="36"/>
        <w:gridCol w:w="120"/>
        <w:gridCol w:w="689"/>
        <w:gridCol w:w="36"/>
        <w:gridCol w:w="36"/>
        <w:gridCol w:w="36"/>
        <w:gridCol w:w="36"/>
        <w:gridCol w:w="120"/>
        <w:gridCol w:w="689"/>
        <w:gridCol w:w="36"/>
        <w:gridCol w:w="36"/>
        <w:gridCol w:w="36"/>
        <w:gridCol w:w="36"/>
        <w:gridCol w:w="120"/>
        <w:gridCol w:w="689"/>
        <w:gridCol w:w="36"/>
      </w:tblGrid>
      <w:tr w:rsidR="00000000">
        <w:trPr>
          <w:divId w:val="1820609765"/>
        </w:trPr>
        <w:tc>
          <w:tcPr>
            <w:tcW w:w="50" w:type="pct"/>
            <w:vAlign w:val="center"/>
            <w:hideMark/>
          </w:tcPr>
          <w:p w:rsidR="00000000" w:rsidRDefault="003F1733">
            <w:pPr>
              <w:jc w:val="center"/>
              <w:rPr>
                <w:rFonts w:eastAsia="Times New Roman"/>
              </w:rPr>
            </w:pPr>
          </w:p>
        </w:tc>
        <w:tc>
          <w:tcPr>
            <w:tcW w:w="273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6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7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7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7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820609765"/>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Three Months Ended</w:t>
            </w:r>
            <w:r>
              <w:rPr>
                <w:rFonts w:eastAsia="Times New Roman"/>
                <w:color w:val="000000"/>
                <w:sz w:val="18"/>
                <w:szCs w:val="18"/>
              </w:rPr>
              <w:br/>
              <w:t>March 31,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Six Months Ended</w:t>
            </w:r>
            <w:r>
              <w:rPr>
                <w:rFonts w:eastAsia="Times New Roman"/>
                <w:color w:val="000000"/>
                <w:sz w:val="18"/>
                <w:szCs w:val="18"/>
              </w:rPr>
              <w:br/>
              <w:t>March 31,</w:t>
            </w:r>
          </w:p>
        </w:tc>
      </w:tr>
      <w:tr w:rsidR="00000000">
        <w:trPr>
          <w:divId w:val="1820609765"/>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2020</w:t>
            </w:r>
          </w:p>
        </w:tc>
      </w:tr>
      <w:tr w:rsidR="00000000">
        <w:trPr>
          <w:divId w:val="1820609765"/>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Net income attributable to UGI Corporation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20609765"/>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820609765"/>
        </w:trPr>
        <w:tc>
          <w:tcPr>
            <w:tcW w:w="0" w:type="auto"/>
            <w:gridSpan w:val="3"/>
            <w:shd w:val="clear" w:color="auto" w:fill="CCEEFF"/>
            <w:tcMar>
              <w:top w:w="30" w:type="dxa"/>
              <w:left w:w="20" w:type="dxa"/>
              <w:bottom w:w="30" w:type="dxa"/>
              <w:right w:w="20" w:type="dxa"/>
            </w:tcMar>
            <w:hideMark/>
          </w:tcPr>
          <w:p w:rsidR="00000000" w:rsidRDefault="003F1733">
            <w:pPr>
              <w:divId w:val="1033113571"/>
              <w:rPr>
                <w:rFonts w:eastAsia="Times New Roman"/>
              </w:rPr>
            </w:pPr>
            <w:r>
              <w:rPr>
                <w:rFonts w:eastAsia="Times New Roman"/>
                <w:color w:val="000000"/>
                <w:sz w:val="20"/>
                <w:szCs w:val="20"/>
              </w:rPr>
              <w:t>Net gains (losses) on derivative instruments (net of tax of $(2), $14, $(2) and $12</w:t>
            </w:r>
            <w:r>
              <w:rPr>
                <w:rFonts w:eastAsia="Times New Roman"/>
                <w:color w:val="000000"/>
                <w:sz w:val="20"/>
                <w:szCs w:val="20"/>
              </w:rPr>
              <w:t>, respectively)</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20609765"/>
        </w:trPr>
        <w:tc>
          <w:tcPr>
            <w:tcW w:w="0" w:type="auto"/>
            <w:gridSpan w:val="3"/>
            <w:shd w:val="clear" w:color="auto" w:fill="FFFFFF"/>
            <w:tcMar>
              <w:top w:w="30" w:type="dxa"/>
              <w:left w:w="20" w:type="dxa"/>
              <w:bottom w:w="30" w:type="dxa"/>
              <w:right w:w="20" w:type="dxa"/>
            </w:tcMar>
            <w:hideMark/>
          </w:tcPr>
          <w:p w:rsidR="00000000" w:rsidRDefault="003F1733">
            <w:pPr>
              <w:divId w:val="214777645"/>
              <w:rPr>
                <w:rFonts w:eastAsia="Times New Roman"/>
              </w:rPr>
            </w:pPr>
            <w:r>
              <w:rPr>
                <w:rFonts w:eastAsia="Times New Roman"/>
                <w:color w:val="000000"/>
                <w:sz w:val="20"/>
                <w:szCs w:val="20"/>
              </w:rPr>
              <w:t>Reclassifications of net losses on derivative instruments (net of tax of $(2), $(1), $(4) and $(1), respectively)</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20609765"/>
        </w:trPr>
        <w:tc>
          <w:tcPr>
            <w:tcW w:w="0" w:type="auto"/>
            <w:gridSpan w:val="3"/>
            <w:shd w:val="clear" w:color="auto" w:fill="CCEEFF"/>
            <w:tcMar>
              <w:top w:w="30" w:type="dxa"/>
              <w:left w:w="20" w:type="dxa"/>
              <w:bottom w:w="30" w:type="dxa"/>
              <w:right w:w="20" w:type="dxa"/>
            </w:tcMar>
            <w:hideMark/>
          </w:tcPr>
          <w:p w:rsidR="00000000" w:rsidRDefault="003F1733">
            <w:pPr>
              <w:divId w:val="958487747"/>
              <w:rPr>
                <w:rFonts w:eastAsia="Times New Roman"/>
              </w:rPr>
            </w:pPr>
            <w:r>
              <w:rPr>
                <w:rFonts w:eastAsia="Times New Roman"/>
                <w:color w:val="000000"/>
                <w:sz w:val="20"/>
                <w:szCs w:val="20"/>
              </w:rPr>
              <w:t>Foreign currency adjustments (net of tax of $(10), $(7), $2 and $0, respectively)</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20609765"/>
        </w:trPr>
        <w:tc>
          <w:tcPr>
            <w:tcW w:w="0" w:type="auto"/>
            <w:gridSpan w:val="3"/>
            <w:shd w:val="clear" w:color="auto" w:fill="FFFFFF"/>
            <w:tcMar>
              <w:top w:w="30" w:type="dxa"/>
              <w:left w:w="20" w:type="dxa"/>
              <w:bottom w:w="30" w:type="dxa"/>
              <w:right w:w="20" w:type="dxa"/>
            </w:tcMar>
            <w:hideMark/>
          </w:tcPr>
          <w:p w:rsidR="00000000" w:rsidRDefault="003F1733">
            <w:pPr>
              <w:divId w:val="1518234989"/>
              <w:rPr>
                <w:rFonts w:eastAsia="Times New Roman"/>
              </w:rPr>
            </w:pPr>
            <w:r>
              <w:rPr>
                <w:rFonts w:eastAsia="Times New Roman"/>
                <w:color w:val="000000"/>
                <w:sz w:val="20"/>
                <w:szCs w:val="20"/>
              </w:rPr>
              <w:t>Benefit plans (net of tax of $0, $(1), $0 and $(1), respectively)</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20609765"/>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Other comprehensive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20609765"/>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20609765"/>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20609765"/>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Comprehensive income attributable to UGI Corporation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divId w:val="349987476"/>
        <w:rPr>
          <w:rFonts w:eastAsia="Times New Roman"/>
        </w:rPr>
      </w:pPr>
      <w:r>
        <w:rPr>
          <w:rFonts w:eastAsia="Times New Roman"/>
          <w:color w:val="000000"/>
          <w:sz w:val="20"/>
          <w:szCs w:val="20"/>
        </w:rPr>
        <w:t>See accompanying notes to condensed consolidated financial statements.</w:t>
      </w:r>
    </w:p>
    <w:p w:rsidR="00000000" w:rsidRDefault="003F1733">
      <w:pPr>
        <w:jc w:val="center"/>
        <w:rPr>
          <w:rFonts w:eastAsia="Times New Roman"/>
        </w:rPr>
      </w:pPr>
    </w:p>
    <w:p w:rsidR="00000000" w:rsidRDefault="003F1733">
      <w:pPr>
        <w:jc w:val="center"/>
        <w:divId w:val="1577935998"/>
        <w:rPr>
          <w:rFonts w:eastAsia="Times New Roman"/>
        </w:rPr>
      </w:pPr>
      <w:r>
        <w:rPr>
          <w:rFonts w:eastAsia="Times New Roman"/>
          <w:color w:val="000000"/>
          <w:sz w:val="20"/>
          <w:szCs w:val="20"/>
        </w:rPr>
        <w:t>7</w:t>
      </w:r>
    </w:p>
    <w:p w:rsidR="00000000" w:rsidRDefault="003F1733">
      <w:pPr>
        <w:rPr>
          <w:rFonts w:eastAsia="Times New Roman"/>
        </w:rPr>
      </w:pPr>
      <w:r>
        <w:rPr>
          <w:rFonts w:eastAsia="Times New Roman"/>
        </w:rPr>
        <w:pict>
          <v:rect id="_x0000_i1033" style="width:0;height:1.5pt" o:hralign="center" o:hrstd="t" o:hr="t" fillcolor="#a0a0a0" stroked="f"/>
        </w:pict>
      </w:r>
    </w:p>
    <w:p w:rsidR="00000000" w:rsidRDefault="003F1733">
      <w:pPr>
        <w:divId w:val="1497988370"/>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051731916"/>
        <w:rPr>
          <w:rFonts w:eastAsia="Times New Roman"/>
        </w:rPr>
      </w:pPr>
      <w:r>
        <w:rPr>
          <w:rFonts w:eastAsia="Times New Roman"/>
          <w:b/>
          <w:bCs/>
          <w:color w:val="000000"/>
          <w:sz w:val="20"/>
          <w:szCs w:val="20"/>
        </w:rPr>
        <w:t>UGI CORPORATION AND SUBSIDIARIES</w:t>
      </w:r>
    </w:p>
    <w:p w:rsidR="00000000" w:rsidRDefault="003F1733">
      <w:pPr>
        <w:jc w:val="center"/>
        <w:rPr>
          <w:rFonts w:eastAsia="Times New Roman"/>
        </w:rPr>
      </w:pPr>
      <w:r>
        <w:rPr>
          <w:rFonts w:eastAsia="Times New Roman"/>
          <w:b/>
          <w:bCs/>
          <w:color w:val="000000"/>
          <w:sz w:val="20"/>
          <w:szCs w:val="20"/>
        </w:rPr>
        <w:t>CONDENSED CONSOLIDATED STATEMENTS OF CASH FLOWS</w:t>
      </w:r>
    </w:p>
    <w:p w:rsidR="00000000" w:rsidRDefault="003F1733">
      <w:pPr>
        <w:jc w:val="center"/>
        <w:rPr>
          <w:rFonts w:eastAsia="Times New Roman"/>
        </w:rPr>
      </w:pPr>
      <w:r>
        <w:rPr>
          <w:rFonts w:eastAsia="Times New Roman"/>
          <w:color w:val="000000"/>
          <w:sz w:val="20"/>
          <w:szCs w:val="20"/>
        </w:rPr>
        <w:t>(unaudited)</w:t>
      </w:r>
    </w:p>
    <w:p w:rsidR="00000000" w:rsidRDefault="003F1733">
      <w:pPr>
        <w:jc w:val="center"/>
        <w:rPr>
          <w:rFonts w:eastAsia="Times New Roman"/>
        </w:rPr>
      </w:pPr>
      <w:r>
        <w:rPr>
          <w:rFonts w:eastAsia="Times New Roman"/>
          <w:color w:val="000000"/>
          <w:sz w:val="20"/>
          <w:szCs w:val="20"/>
        </w:rPr>
        <w:t>(Millions of dollars)</w:t>
      </w:r>
    </w:p>
    <w:tbl>
      <w:tblPr>
        <w:tblW w:w="4978" w:type="pct"/>
        <w:tblCellMar>
          <w:top w:w="15" w:type="dxa"/>
          <w:left w:w="15" w:type="dxa"/>
          <w:bottom w:w="15" w:type="dxa"/>
          <w:right w:w="15" w:type="dxa"/>
        </w:tblCellMar>
        <w:tblLook w:val="04A0" w:firstRow="1" w:lastRow="0" w:firstColumn="1" w:lastColumn="0" w:noHBand="0" w:noVBand="1"/>
      </w:tblPr>
      <w:tblGrid>
        <w:gridCol w:w="41"/>
        <w:gridCol w:w="6382"/>
        <w:gridCol w:w="40"/>
        <w:gridCol w:w="36"/>
        <w:gridCol w:w="36"/>
        <w:gridCol w:w="36"/>
        <w:gridCol w:w="120"/>
        <w:gridCol w:w="615"/>
        <w:gridCol w:w="36"/>
        <w:gridCol w:w="36"/>
        <w:gridCol w:w="36"/>
        <w:gridCol w:w="36"/>
        <w:gridCol w:w="120"/>
        <w:gridCol w:w="663"/>
        <w:gridCol w:w="36"/>
      </w:tblGrid>
      <w:tr w:rsidR="00000000">
        <w:trPr>
          <w:divId w:val="277226341"/>
        </w:trPr>
        <w:tc>
          <w:tcPr>
            <w:tcW w:w="50" w:type="pct"/>
            <w:vAlign w:val="center"/>
            <w:hideMark/>
          </w:tcPr>
          <w:p w:rsidR="00000000" w:rsidRDefault="003F1733">
            <w:pPr>
              <w:jc w:val="center"/>
              <w:rPr>
                <w:rFonts w:eastAsia="Times New Roman"/>
              </w:rPr>
            </w:pPr>
          </w:p>
        </w:tc>
        <w:tc>
          <w:tcPr>
            <w:tcW w:w="388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2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5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277226341"/>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Six Months Ended</w:t>
            </w:r>
            <w:r>
              <w:rPr>
                <w:rFonts w:eastAsia="Times New Roman"/>
                <w:color w:val="000000"/>
                <w:sz w:val="18"/>
                <w:szCs w:val="18"/>
              </w:rPr>
              <w:br/>
              <w:t>March 31,</w:t>
            </w:r>
          </w:p>
        </w:tc>
      </w:tr>
      <w:tr w:rsidR="00000000">
        <w:trPr>
          <w:divId w:val="277226341"/>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2020</w:t>
            </w:r>
          </w:p>
        </w:tc>
      </w:tr>
      <w:tr w:rsidR="00000000">
        <w:trPr>
          <w:divId w:val="277226341"/>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b/>
                <w:bCs/>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438 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Adjustments to reconcile net income attributable to UGI Corporation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FFFF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Deferred income tax expense (benefit), net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Provision for uncollectible accounts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CCEE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Changes in unrealized gains and losses on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(185)</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77226341"/>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FFFF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Income from equity investees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CCEE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Other, net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Net change in: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CCEEFF"/>
            <w:tcMar>
              <w:top w:w="30" w:type="dxa"/>
              <w:left w:w="1235" w:type="dxa"/>
              <w:bottom w:w="30" w:type="dxa"/>
              <w:right w:w="20" w:type="dxa"/>
            </w:tcMar>
            <w:hideMark/>
          </w:tcPr>
          <w:p w:rsidR="00000000" w:rsidRDefault="003F1733">
            <w:pPr>
              <w:rPr>
                <w:rFonts w:eastAsia="Times New Roman"/>
              </w:rPr>
            </w:pPr>
            <w:r>
              <w:rPr>
                <w:rFonts w:eastAsia="Times New Roman"/>
                <w:color w:val="000000"/>
                <w:sz w:val="20"/>
                <w:szCs w:val="20"/>
              </w:rPr>
              <w:t>Accounts receivable and accrued utility 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(573)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(436)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1235" w:type="dxa"/>
              <w:bottom w:w="30" w:type="dxa"/>
              <w:right w:w="20" w:type="dxa"/>
            </w:tcMar>
            <w:hideMark/>
          </w:tcPr>
          <w:p w:rsidR="00000000" w:rsidRDefault="003F1733">
            <w:pPr>
              <w:rPr>
                <w:rFonts w:eastAsia="Times New Roman"/>
              </w:rPr>
            </w:pPr>
            <w:r>
              <w:rPr>
                <w:rFonts w:eastAsia="Times New Roman"/>
                <w:color w:val="000000"/>
                <w:sz w:val="20"/>
                <w:szCs w:val="20"/>
              </w:rPr>
              <w:t>Income taxes receivable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1235" w:type="dxa"/>
              <w:bottom w:w="30" w:type="dxa"/>
              <w:right w:w="20" w:type="dxa"/>
            </w:tcMar>
            <w:hideMark/>
          </w:tcPr>
          <w:p w:rsidR="00000000" w:rsidRDefault="003F1733">
            <w:pPr>
              <w:rPr>
                <w:rFonts w:eastAsia="Times New Roman"/>
              </w:rPr>
            </w:pPr>
            <w:r>
              <w:rPr>
                <w:rFonts w:eastAsia="Times New Roman"/>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1235" w:type="dxa"/>
              <w:bottom w:w="30" w:type="dxa"/>
              <w:right w:w="20" w:type="dxa"/>
            </w:tcMar>
            <w:hideMark/>
          </w:tcPr>
          <w:p w:rsidR="00000000" w:rsidRDefault="003F1733">
            <w:pPr>
              <w:rPr>
                <w:rFonts w:eastAsia="Times New Roman"/>
              </w:rPr>
            </w:pPr>
            <w:r>
              <w:rPr>
                <w:rFonts w:eastAsia="Times New Roman"/>
                <w:color w:val="000000"/>
                <w:sz w:val="20"/>
                <w:szCs w:val="20"/>
              </w:rPr>
              <w:t>Utility deferred fuel and power costs, net of changes in unsettled derivatives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1235" w:type="dxa"/>
              <w:bottom w:w="30" w:type="dxa"/>
              <w:right w:w="20" w:type="dxa"/>
            </w:tcMar>
            <w:hideMark/>
          </w:tcPr>
          <w:p w:rsidR="00000000" w:rsidRDefault="003F1733">
            <w:pPr>
              <w:rPr>
                <w:rFonts w:eastAsia="Times New Roman"/>
              </w:rPr>
            </w:pPr>
            <w:r>
              <w:rPr>
                <w:rFonts w:eastAsia="Times New Roman"/>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1235" w:type="dxa"/>
              <w:bottom w:w="30" w:type="dxa"/>
              <w:right w:w="20" w:type="dxa"/>
            </w:tcMar>
            <w:hideMark/>
          </w:tcPr>
          <w:p w:rsidR="00000000" w:rsidRDefault="003F1733">
            <w:pPr>
              <w:rPr>
                <w:rFonts w:eastAsia="Times New Roman"/>
              </w:rPr>
            </w:pPr>
            <w:r>
              <w:rPr>
                <w:rFonts w:eastAsia="Times New Roman"/>
                <w:color w:val="000000"/>
                <w:sz w:val="20"/>
                <w:szCs w:val="20"/>
              </w:rPr>
              <w:t>Derivative instruments collateral deposits received (paid)</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1235" w:type="dxa"/>
              <w:bottom w:w="30" w:type="dxa"/>
              <w:right w:w="20" w:type="dxa"/>
            </w:tcMar>
            <w:hideMark/>
          </w:tcPr>
          <w:p w:rsidR="00000000" w:rsidRDefault="003F1733">
            <w:pPr>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1235" w:type="dxa"/>
              <w:bottom w:w="30" w:type="dxa"/>
              <w:right w:w="20" w:type="dxa"/>
            </w:tcMar>
            <w:hideMark/>
          </w:tcPr>
          <w:p w:rsidR="00000000" w:rsidRDefault="003F1733">
            <w:pPr>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Expenditures for property, plant and equipment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Acquisitions of businesses and assets, net of cash and restricted cash acquired</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Investments in equity method investees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Other, net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Net cash used by investing activities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b/>
                <w:bCs/>
                <w:color w:val="000000"/>
                <w:sz w:val="20"/>
                <w:szCs w:val="20"/>
              </w:rPr>
              <w:t>CASH FLOWS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Dividends on UGI Common Stock</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Issuances of long-term debt, net of issuance costs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Repayments of long-term debt and finance leases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Decrease in short-term borrowings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Receivables Facility net repayments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Issuances of UGI Common Stock</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Repurchases of UGI Common Stock</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Other, net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Net cash used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Cash, cash equivalents and restricted cash increase (decrease)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b/>
                <w:bCs/>
                <w:color w:val="000000"/>
                <w:sz w:val="20"/>
                <w:szCs w:val="20"/>
              </w:rPr>
              <w:t>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77226341"/>
        </w:trPr>
        <w:tc>
          <w:tcPr>
            <w:tcW w:w="0" w:type="auto"/>
            <w:gridSpan w:val="3"/>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Cash, cash equivalents and restricted cash at end of period</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401 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Cash, cash equivalents and restricted cash at beginning of period</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77226341"/>
        </w:trPr>
        <w:tc>
          <w:tcPr>
            <w:tcW w:w="0" w:type="auto"/>
            <w:gridSpan w:val="3"/>
            <w:shd w:val="clear" w:color="auto" w:fill="CCEEFF"/>
            <w:tcMar>
              <w:top w:w="30" w:type="dxa"/>
              <w:left w:w="740" w:type="dxa"/>
              <w:bottom w:w="30" w:type="dxa"/>
              <w:right w:w="20" w:type="dxa"/>
            </w:tcMar>
            <w:hideMark/>
          </w:tcPr>
          <w:p w:rsidR="00000000" w:rsidRDefault="003F1733">
            <w:pPr>
              <w:rPr>
                <w:rFonts w:eastAsia="Times New Roman"/>
              </w:rPr>
            </w:pPr>
            <w:r>
              <w:rPr>
                <w:rFonts w:eastAsia="Times New Roman"/>
                <w:color w:val="000000"/>
                <w:sz w:val="20"/>
                <w:szCs w:val="20"/>
              </w:rPr>
              <w:t>Cash, cash equivalents and restricted cash increase (decrease)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divId w:val="1597707980"/>
        <w:rPr>
          <w:rFonts w:eastAsia="Times New Roman"/>
        </w:rPr>
      </w:pPr>
      <w:r>
        <w:rPr>
          <w:rFonts w:eastAsia="Times New Roman"/>
          <w:color w:val="000000"/>
          <w:sz w:val="20"/>
          <w:szCs w:val="20"/>
        </w:rPr>
        <w:t>Se</w:t>
      </w:r>
      <w:r>
        <w:rPr>
          <w:rFonts w:eastAsia="Times New Roman"/>
          <w:color w:val="000000"/>
          <w:sz w:val="20"/>
          <w:szCs w:val="20"/>
        </w:rPr>
        <w:t>e accompanying notes to condensed consolidated financial statements.</w:t>
      </w:r>
    </w:p>
    <w:p w:rsidR="00000000" w:rsidRDefault="003F1733">
      <w:pPr>
        <w:jc w:val="center"/>
        <w:divId w:val="672802974"/>
        <w:rPr>
          <w:rFonts w:eastAsia="Times New Roman"/>
        </w:rPr>
      </w:pPr>
      <w:r>
        <w:rPr>
          <w:rFonts w:eastAsia="Times New Roman"/>
          <w:color w:val="000000"/>
          <w:sz w:val="20"/>
          <w:szCs w:val="20"/>
        </w:rPr>
        <w:t>8</w:t>
      </w:r>
    </w:p>
    <w:p w:rsidR="00000000" w:rsidRDefault="003F1733">
      <w:pPr>
        <w:rPr>
          <w:rFonts w:eastAsia="Times New Roman"/>
        </w:rPr>
      </w:pPr>
      <w:r>
        <w:rPr>
          <w:rFonts w:eastAsia="Times New Roman"/>
        </w:rPr>
        <w:pict>
          <v:rect id="_x0000_i1034" style="width:0;height:1.5pt" o:hralign="center" o:hrstd="t" o:hr="t" fillcolor="#a0a0a0" stroked="f"/>
        </w:pict>
      </w:r>
    </w:p>
    <w:p w:rsidR="00000000" w:rsidRDefault="003F1733">
      <w:pPr>
        <w:divId w:val="1373193502"/>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040591799"/>
        <w:rPr>
          <w:rFonts w:eastAsia="Times New Roman"/>
        </w:rPr>
      </w:pPr>
      <w:r>
        <w:rPr>
          <w:rFonts w:eastAsia="Times New Roman"/>
          <w:b/>
          <w:bCs/>
          <w:color w:val="000000"/>
          <w:sz w:val="20"/>
          <w:szCs w:val="20"/>
        </w:rPr>
        <w:t>UGI CORPORATION AND SUBSIDIARIES</w:t>
      </w:r>
    </w:p>
    <w:p w:rsidR="00000000" w:rsidRDefault="003F1733">
      <w:pPr>
        <w:jc w:val="center"/>
        <w:rPr>
          <w:rFonts w:eastAsia="Times New Roman"/>
        </w:rPr>
      </w:pPr>
      <w:r>
        <w:rPr>
          <w:rFonts w:eastAsia="Times New Roman"/>
          <w:b/>
          <w:bCs/>
          <w:color w:val="000000"/>
          <w:sz w:val="20"/>
          <w:szCs w:val="20"/>
        </w:rPr>
        <w:t>CONDENSED CONSOLIDATED STATEMENTS OF CHANGES IN EQUITY</w:t>
      </w:r>
    </w:p>
    <w:p w:rsidR="00000000" w:rsidRDefault="003F1733">
      <w:pPr>
        <w:jc w:val="center"/>
        <w:rPr>
          <w:rFonts w:eastAsia="Times New Roman"/>
        </w:rPr>
      </w:pPr>
      <w:r>
        <w:rPr>
          <w:rFonts w:eastAsia="Times New Roman"/>
          <w:color w:val="000000"/>
          <w:sz w:val="20"/>
          <w:szCs w:val="20"/>
        </w:rPr>
        <w:t>(unaudited)</w:t>
      </w:r>
    </w:p>
    <w:p w:rsidR="00000000" w:rsidRDefault="003F1733">
      <w:pPr>
        <w:jc w:val="center"/>
        <w:rPr>
          <w:rFonts w:eastAsia="Times New Roman"/>
        </w:rPr>
      </w:pPr>
      <w:r>
        <w:rPr>
          <w:rFonts w:eastAsia="Times New Roman"/>
          <w:color w:val="000000"/>
          <w:sz w:val="20"/>
          <w:szCs w:val="20"/>
        </w:rPr>
        <w:t>(Millions of dollars,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1"/>
        <w:gridCol w:w="4671"/>
        <w:gridCol w:w="40"/>
        <w:gridCol w:w="120"/>
        <w:gridCol w:w="683"/>
        <w:gridCol w:w="36"/>
        <w:gridCol w:w="36"/>
        <w:gridCol w:w="36"/>
        <w:gridCol w:w="36"/>
        <w:gridCol w:w="120"/>
        <w:gridCol w:w="641"/>
        <w:gridCol w:w="36"/>
        <w:gridCol w:w="36"/>
        <w:gridCol w:w="36"/>
        <w:gridCol w:w="36"/>
        <w:gridCol w:w="120"/>
        <w:gridCol w:w="641"/>
        <w:gridCol w:w="36"/>
        <w:gridCol w:w="36"/>
        <w:gridCol w:w="36"/>
        <w:gridCol w:w="36"/>
        <w:gridCol w:w="120"/>
        <w:gridCol w:w="641"/>
        <w:gridCol w:w="36"/>
      </w:tblGrid>
      <w:tr w:rsidR="00000000">
        <w:trPr>
          <w:divId w:val="1841238242"/>
        </w:trPr>
        <w:tc>
          <w:tcPr>
            <w:tcW w:w="50" w:type="pct"/>
            <w:vAlign w:val="center"/>
            <w:hideMark/>
          </w:tcPr>
          <w:p w:rsidR="00000000" w:rsidRDefault="003F1733">
            <w:pPr>
              <w:jc w:val="center"/>
              <w:rPr>
                <w:rFonts w:eastAsia="Times New Roman"/>
              </w:rPr>
            </w:pPr>
          </w:p>
        </w:tc>
        <w:tc>
          <w:tcPr>
            <w:tcW w:w="284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4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4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4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4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841238242"/>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Three Months Ended</w:t>
            </w:r>
            <w:r>
              <w:rPr>
                <w:rFonts w:eastAsia="Times New Roman"/>
                <w:color w:val="000000"/>
                <w:sz w:val="18"/>
                <w:szCs w:val="18"/>
              </w:rPr>
              <w:br/>
              <w:t>March 31,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Six Months Ended</w:t>
            </w:r>
            <w:r>
              <w:rPr>
                <w:rFonts w:eastAsia="Times New Roman"/>
                <w:color w:val="000000"/>
                <w:sz w:val="18"/>
                <w:szCs w:val="18"/>
              </w:rPr>
              <w:br/>
              <w:t>March 31,</w:t>
            </w:r>
          </w:p>
        </w:tc>
      </w:tr>
      <w:tr w:rsidR="00000000">
        <w:trPr>
          <w:divId w:val="1841238242"/>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2020</w:t>
            </w:r>
          </w:p>
        </w:tc>
      </w:tr>
      <w:tr w:rsidR="00000000">
        <w:trPr>
          <w:divId w:val="1841238242"/>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Common stock, without par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1,419 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1,398 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1,416 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Equity-based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Retained earnings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3,139 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2,798 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2,908 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2,653 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Losses on common stock transactions in connection with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Net income attributable to UGI Corporation</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438 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20" w:type="dxa"/>
              <w:bottom w:w="30" w:type="dxa"/>
              <w:right w:w="20" w:type="dxa"/>
            </w:tcMar>
            <w:vAlign w:val="bottom"/>
            <w:hideMark/>
          </w:tcPr>
          <w:p w:rsidR="00000000" w:rsidRDefault="003F1733">
            <w:pPr>
              <w:divId w:val="444543311"/>
              <w:rPr>
                <w:rFonts w:eastAsia="Times New Roman"/>
              </w:rPr>
            </w:pPr>
            <w:r>
              <w:rPr>
                <w:rFonts w:eastAsia="Times New Roman"/>
                <w:color w:val="000000"/>
                <w:sz w:val="20"/>
                <w:szCs w:val="20"/>
              </w:rPr>
              <w:t>Cash dividends on UGI Common Stock ($0.33, $0.325, $0.66, and $0.650, respectively)</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(68)</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Accumulated 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Net gains (losses) on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Reclassification of net losses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Benefit plans</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Foreign currency adjustments</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Treasury stock</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Repurchases of UGI Common Stock</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Reacquired UGI Common Stock -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Total UGI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Noncontrolling interests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841238242"/>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841238242"/>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Total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4,828 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4,090 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4,828 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4,090 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divId w:val="1180196297"/>
        <w:rPr>
          <w:rFonts w:eastAsia="Times New Roman"/>
        </w:rPr>
      </w:pPr>
      <w:r>
        <w:rPr>
          <w:rFonts w:eastAsia="Times New Roman"/>
          <w:color w:val="000000"/>
          <w:sz w:val="20"/>
          <w:szCs w:val="20"/>
        </w:rPr>
        <w:t>See accompanying notes to condensed consolidated financial statements.</w:t>
      </w:r>
    </w:p>
    <w:p w:rsidR="00000000" w:rsidRDefault="003F1733">
      <w:pPr>
        <w:jc w:val="center"/>
        <w:divId w:val="18969576"/>
        <w:rPr>
          <w:rFonts w:eastAsia="Times New Roman"/>
        </w:rPr>
      </w:pPr>
      <w:r>
        <w:rPr>
          <w:rFonts w:eastAsia="Times New Roman"/>
          <w:color w:val="000000"/>
          <w:sz w:val="20"/>
          <w:szCs w:val="20"/>
        </w:rPr>
        <w:t>9</w:t>
      </w:r>
    </w:p>
    <w:p w:rsidR="00000000" w:rsidRDefault="003F1733">
      <w:pPr>
        <w:rPr>
          <w:rFonts w:eastAsia="Times New Roman"/>
        </w:rPr>
      </w:pPr>
      <w:r>
        <w:rPr>
          <w:rFonts w:eastAsia="Times New Roman"/>
        </w:rPr>
        <w:pict>
          <v:rect id="_x0000_i1035" style="width:0;height:1.5pt" o:hralign="center" o:hrstd="t" o:hr="t" fillcolor="#a0a0a0" stroked="f"/>
        </w:pict>
      </w:r>
    </w:p>
    <w:p w:rsidR="00000000" w:rsidRDefault="003F1733">
      <w:pPr>
        <w:divId w:val="38961836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872037951"/>
        <w:rPr>
          <w:rFonts w:eastAsia="Times New Roman"/>
        </w:rPr>
      </w:pPr>
      <w:r>
        <w:rPr>
          <w:rFonts w:eastAsia="Times New Roman"/>
          <w:b/>
          <w:bCs/>
          <w:color w:val="000000"/>
          <w:sz w:val="20"/>
          <w:szCs w:val="20"/>
        </w:rPr>
        <w:t>UGI CORPORATION AND SUBSIDIARIES</w:t>
      </w:r>
    </w:p>
    <w:p w:rsidR="00000000" w:rsidRDefault="003F1733">
      <w:pPr>
        <w:jc w:val="center"/>
        <w:divId w:val="823014890"/>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872037951"/>
        <w:rPr>
          <w:rFonts w:eastAsia="Times New Roman"/>
        </w:rPr>
      </w:pPr>
      <w:r>
        <w:rPr>
          <w:rFonts w:eastAsia="Times New Roman"/>
          <w:color w:val="000000"/>
          <w:sz w:val="20"/>
          <w:szCs w:val="20"/>
        </w:rPr>
        <w:t>(unaudited)</w:t>
      </w:r>
    </w:p>
    <w:p w:rsidR="00000000" w:rsidRDefault="003F1733">
      <w:pPr>
        <w:jc w:val="center"/>
        <w:divId w:val="1872037951"/>
        <w:rPr>
          <w:rFonts w:eastAsia="Times New Roman"/>
        </w:rPr>
      </w:pPr>
      <w:r>
        <w:rPr>
          <w:rFonts w:eastAsia="Times New Roman"/>
          <w:color w:val="000000"/>
          <w:sz w:val="20"/>
          <w:szCs w:val="20"/>
        </w:rPr>
        <w:t>(Currency in millions, except per share amounts and where indicated otherwise)</w:t>
      </w:r>
    </w:p>
    <w:p w:rsidR="00000000" w:rsidRDefault="003F1733">
      <w:pPr>
        <w:divId w:val="1521972672"/>
        <w:rPr>
          <w:rFonts w:eastAsia="Times New Roman"/>
        </w:rPr>
      </w:pPr>
    </w:p>
    <w:p w:rsidR="00000000" w:rsidRDefault="003F1733">
      <w:pPr>
        <w:ind w:hanging="540"/>
        <w:divId w:val="1740713141"/>
        <w:rPr>
          <w:rFonts w:eastAsia="Times New Roman"/>
        </w:rPr>
      </w:pPr>
      <w:r>
        <w:rPr>
          <w:rFonts w:eastAsia="Times New Roman"/>
          <w:b/>
          <w:bCs/>
          <w:color w:val="000000"/>
          <w:sz w:val="20"/>
          <w:szCs w:val="20"/>
          <w:u w:val="single"/>
        </w:rPr>
        <w:t xml:space="preserve">Note 1 — </w:t>
      </w:r>
      <w:r>
        <w:rPr>
          <w:rFonts w:eastAsia="Times New Roman"/>
          <w:b/>
          <w:bCs/>
          <w:color w:val="000000"/>
          <w:sz w:val="20"/>
          <w:szCs w:val="20"/>
          <w:u w:val="single"/>
        </w:rPr>
        <w:t>Nature of Operations</w:t>
      </w:r>
      <w:r>
        <w:rPr>
          <w:rFonts w:eastAsia="Times New Roman"/>
          <w:b/>
          <w:bCs/>
          <w:color w:val="000000"/>
          <w:sz w:val="20"/>
          <w:szCs w:val="20"/>
        </w:rPr>
        <w:t xml:space="preserve"> </w:t>
      </w:r>
    </w:p>
    <w:p w:rsidR="00000000" w:rsidRDefault="003F1733">
      <w:pPr>
        <w:divId w:val="798692914"/>
        <w:rPr>
          <w:rFonts w:eastAsia="Times New Roman"/>
        </w:rPr>
      </w:pPr>
    </w:p>
    <w:p w:rsidR="00000000" w:rsidRDefault="003F1733">
      <w:pPr>
        <w:jc w:val="both"/>
        <w:rPr>
          <w:rFonts w:eastAsia="Times New Roman"/>
        </w:rPr>
      </w:pPr>
      <w:r>
        <w:rPr>
          <w:rFonts w:eastAsia="Times New Roman"/>
          <w:color w:val="000000"/>
          <w:sz w:val="20"/>
          <w:szCs w:val="20"/>
        </w:rPr>
        <w:t>UGI is a holding company that, through subsidiaries and affiliates, distributes, stores, transports and markets energy products and related services. In the United States, we own and operate (1) a retail propane marketing and distri</w:t>
      </w:r>
      <w:r>
        <w:rPr>
          <w:rFonts w:eastAsia="Times New Roman"/>
          <w:color w:val="000000"/>
          <w:sz w:val="20"/>
          <w:szCs w:val="20"/>
        </w:rPr>
        <w:t>bution business; (2) natural gas and electric distribution utilities; and (3) an energy marketing, midstream infrastructure, storage, natural gas gathering and processing, natural gas production, electricity generation and energy services businesses. In Eu</w:t>
      </w:r>
      <w:r>
        <w:rPr>
          <w:rFonts w:eastAsia="Times New Roman"/>
          <w:color w:val="000000"/>
          <w:sz w:val="20"/>
          <w:szCs w:val="20"/>
        </w:rPr>
        <w:t xml:space="preserve">rope, we market and distribute propane and other LPG and market other energy products and services.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We conduct a domestic propane marketing and distribution business through AmeriGas Partners. AmeriGas Partners conducts a national propane distribution b</w:t>
      </w:r>
      <w:r>
        <w:rPr>
          <w:rFonts w:eastAsia="Times New Roman"/>
          <w:color w:val="000000"/>
          <w:sz w:val="20"/>
          <w:szCs w:val="20"/>
        </w:rPr>
        <w:t xml:space="preserve">usiness through its principal operating subsidiary, AmeriGas OLP.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International, through subsidiaries and affiliates, conducts (1) an LPG distribution business throughout much of Europe and (2) an energy marketing business in France, Belgium, the Ne</w:t>
      </w:r>
      <w:r>
        <w:rPr>
          <w:rFonts w:eastAsia="Times New Roman"/>
          <w:color w:val="000000"/>
          <w:sz w:val="20"/>
          <w:szCs w:val="20"/>
        </w:rPr>
        <w:t>therlands and the United Kingdom. These businesses are conducted principally through our subsidiaries, UGI France, Flaga, AvantiGas, DVEP and UniverGas.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Energy Services conducts, directly and through subsidiaries and affiliates, energy marketing, includi</w:t>
      </w:r>
      <w:r>
        <w:rPr>
          <w:rFonts w:eastAsia="Times New Roman"/>
          <w:color w:val="000000"/>
          <w:sz w:val="20"/>
          <w:szCs w:val="20"/>
        </w:rPr>
        <w:t>ng renewable natural gas, midstream transmission, LNG storage, natural gas gathering and processing, natural gas production, electricity generation and energy services businesses primarily in the Mid-Atlantic region of the U.S., eastern Ohio and the panhan</w:t>
      </w:r>
      <w:r>
        <w:rPr>
          <w:rFonts w:eastAsia="Times New Roman"/>
          <w:color w:val="000000"/>
          <w:sz w:val="20"/>
          <w:szCs w:val="20"/>
        </w:rPr>
        <w:t xml:space="preserve">dle of West Virginia. UGID owns electricity generation facilities principally located in Pennsylvania. Energy Services and its subsidiaries’ storage, LNG and portions of its midstream transmission operations are subject to regulation by the FERC.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Ut</w:t>
      </w:r>
      <w:r>
        <w:rPr>
          <w:rFonts w:eastAsia="Times New Roman"/>
          <w:color w:val="000000"/>
          <w:sz w:val="20"/>
          <w:szCs w:val="20"/>
        </w:rPr>
        <w:t>ilities directly owns and operates Gas Utility, a natural gas distribution utility business in eastern and central Pennsylvania and in a portion of one Maryland county. Gas Utility is subject to regulation by the PAPUC, the FERC, and, with respect to a sma</w:t>
      </w:r>
      <w:r>
        <w:rPr>
          <w:rFonts w:eastAsia="Times New Roman"/>
          <w:color w:val="000000"/>
          <w:sz w:val="20"/>
          <w:szCs w:val="20"/>
        </w:rPr>
        <w:t>ll service territory in one Maryland county, the MDPSC. UGI Utilities also owns and operates Electric Utility, an electric distribution utility located in northeastern Pennsylvania. Electric Utility is subject to regulation by the PAPUC and the FERC.</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Pen</w:t>
      </w:r>
      <w:r>
        <w:rPr>
          <w:rFonts w:eastAsia="Times New Roman"/>
          <w:b/>
          <w:bCs/>
          <w:color w:val="000000"/>
          <w:sz w:val="20"/>
          <w:szCs w:val="20"/>
        </w:rPr>
        <w:t>ding Acquisition of Mountaineer Gas Company</w:t>
      </w:r>
      <w:r>
        <w:rPr>
          <w:rFonts w:ascii="Calibri" w:eastAsia="Times New Roman" w:hAnsi="Calibri" w:cs="Calibri"/>
          <w:b/>
          <w:bCs/>
          <w:color w:val="000000"/>
        </w:rPr>
        <w:t xml:space="preserve">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On December 29, 2020, UGI Corporation signed a definitive agreement to acquire Mountaineer, the largest natural gas distribution company in West Virginia for a preliminary purchase price of $540, which include</w:t>
      </w:r>
      <w:r>
        <w:rPr>
          <w:rFonts w:eastAsia="Times New Roman"/>
          <w:color w:val="000000"/>
          <w:sz w:val="20"/>
          <w:szCs w:val="20"/>
        </w:rPr>
        <w:t>s the assumption of approximately $140 of long-term debt. Mountaineer serves nearly 215,000 customers across 50 of the state’s 55 counties. The pending acquisition is subject to customary regulatory and other closing conditions, including approval by the P</w:t>
      </w:r>
      <w:r>
        <w:rPr>
          <w:rFonts w:eastAsia="Times New Roman"/>
          <w:color w:val="000000"/>
          <w:sz w:val="20"/>
          <w:szCs w:val="20"/>
        </w:rPr>
        <w:t>ublic Service Commission of West Virginia, and is expected to close in the second half of calendar year 2021. UGI currently expects to finance the pending acquisition through the issuance of debt and/or equity-linked securities and existing liquidity.</w:t>
      </w:r>
    </w:p>
    <w:p w:rsidR="00000000" w:rsidRDefault="003F1733">
      <w:pPr>
        <w:jc w:val="both"/>
        <w:rPr>
          <w:rFonts w:eastAsia="Times New Roman"/>
        </w:rPr>
      </w:pPr>
    </w:p>
    <w:p w:rsidR="00000000" w:rsidRDefault="003F1733">
      <w:pPr>
        <w:ind w:hanging="540"/>
        <w:jc w:val="both"/>
        <w:rPr>
          <w:rFonts w:eastAsia="Times New Roman"/>
        </w:rPr>
      </w:pPr>
      <w:r>
        <w:rPr>
          <w:rFonts w:eastAsia="Times New Roman"/>
          <w:b/>
          <w:bCs/>
          <w:color w:val="000000"/>
          <w:sz w:val="20"/>
          <w:szCs w:val="20"/>
          <w:u w:val="single"/>
        </w:rPr>
        <w:t>No</w:t>
      </w:r>
      <w:r>
        <w:rPr>
          <w:rFonts w:eastAsia="Times New Roman"/>
          <w:b/>
          <w:bCs/>
          <w:color w:val="000000"/>
          <w:sz w:val="20"/>
          <w:szCs w:val="20"/>
          <w:u w:val="single"/>
        </w:rPr>
        <w:t>te 2 — Summary of Significant Accounting Policies</w:t>
      </w:r>
    </w:p>
    <w:p w:rsidR="00000000" w:rsidRDefault="003F1733">
      <w:pPr>
        <w:ind w:hanging="540"/>
        <w:divId w:val="347678578"/>
        <w:rPr>
          <w:rFonts w:eastAsia="Times New Roman"/>
        </w:rPr>
      </w:pPr>
    </w:p>
    <w:p w:rsidR="00000000" w:rsidRDefault="003F1733">
      <w:pPr>
        <w:jc w:val="both"/>
        <w:rPr>
          <w:rFonts w:eastAsia="Times New Roman"/>
        </w:rPr>
      </w:pPr>
      <w:r>
        <w:rPr>
          <w:rFonts w:eastAsia="Times New Roman"/>
          <w:color w:val="000000"/>
          <w:sz w:val="20"/>
          <w:szCs w:val="20"/>
        </w:rPr>
        <w:t>The accompanying condensed consolidated financial statements are unaudited and have been prepared in accordance with the rules and regulations of the SEC. They include all adjustments that we consider necessary for a fair statement of the results for the i</w:t>
      </w:r>
      <w:r>
        <w:rPr>
          <w:rFonts w:eastAsia="Times New Roman"/>
          <w:color w:val="000000"/>
          <w:sz w:val="20"/>
          <w:szCs w:val="20"/>
        </w:rPr>
        <w:t>nterim periods presented. Such adjustments consisted only of normal recurring items unless otherwise disclosed. The September 30, 2020, Condensed Consolidated Balance Sheet was derived from audited financial statements but does not include all footnote dis</w:t>
      </w:r>
      <w:r>
        <w:rPr>
          <w:rFonts w:eastAsia="Times New Roman"/>
          <w:color w:val="000000"/>
          <w:sz w:val="20"/>
          <w:szCs w:val="20"/>
        </w:rPr>
        <w:t>closures from the annual financial statements.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These financial statements should be read in conjunction with the financial statements and related notes included in the Company’s 2020 Annual Report. Due to the seasonal nature of our businesses, the result</w:t>
      </w:r>
      <w:r>
        <w:rPr>
          <w:rFonts w:eastAsia="Times New Roman"/>
          <w:color w:val="000000"/>
          <w:sz w:val="20"/>
          <w:szCs w:val="20"/>
        </w:rPr>
        <w:t>s of operations for interim periods are not necessarily indicative of the results to be expected for a full year.</w:t>
      </w:r>
    </w:p>
    <w:p w:rsidR="00000000" w:rsidRDefault="003F1733">
      <w:pPr>
        <w:jc w:val="both"/>
        <w:divId w:val="1688605601"/>
        <w:rPr>
          <w:rFonts w:eastAsia="Times New Roman"/>
        </w:rPr>
      </w:pPr>
      <w:r>
        <w:rPr>
          <w:rFonts w:eastAsia="Times New Roman"/>
          <w:b/>
          <w:bCs/>
          <w:i/>
          <w:iCs/>
          <w:color w:val="000000"/>
          <w:sz w:val="20"/>
          <w:szCs w:val="20"/>
        </w:rPr>
        <w:t xml:space="preserve">Equity Method Investments. </w:t>
      </w:r>
      <w:r>
        <w:rPr>
          <w:rFonts w:eastAsia="Times New Roman"/>
          <w:color w:val="000000"/>
          <w:sz w:val="20"/>
          <w:szCs w:val="20"/>
        </w:rPr>
        <w:t>We account for privately held equity securities of entities without readily determinable fair values in which we do</w:t>
      </w:r>
      <w:r>
        <w:rPr>
          <w:rFonts w:eastAsia="Times New Roman"/>
          <w:color w:val="000000"/>
          <w:sz w:val="20"/>
          <w:szCs w:val="20"/>
        </w:rPr>
        <w:t xml:space="preserve"> not have control, but have significant influence over operating and financial policies, under the equity method. Our equity method investments are primarily comprised of PennEast, Pennant and Pine Run.</w:t>
      </w:r>
    </w:p>
    <w:p w:rsidR="00000000" w:rsidRDefault="003F1733">
      <w:pPr>
        <w:jc w:val="both"/>
        <w:divId w:val="322853424"/>
        <w:rPr>
          <w:rFonts w:eastAsia="Times New Roman"/>
        </w:rPr>
      </w:pPr>
      <w:r>
        <w:rPr>
          <w:rFonts w:eastAsia="Times New Roman"/>
          <w:i/>
          <w:iCs/>
          <w:color w:val="000000"/>
          <w:sz w:val="20"/>
          <w:szCs w:val="20"/>
          <w:u w:val="single"/>
        </w:rPr>
        <w:t>Pine Run.</w:t>
      </w:r>
      <w:r>
        <w:rPr>
          <w:rFonts w:eastAsia="Times New Roman"/>
          <w:i/>
          <w:iCs/>
          <w:color w:val="000000"/>
          <w:sz w:val="20"/>
          <w:szCs w:val="20"/>
        </w:rPr>
        <w:t xml:space="preserve"> </w:t>
      </w:r>
      <w:r>
        <w:rPr>
          <w:rFonts w:eastAsia="Times New Roman"/>
          <w:color w:val="000000"/>
          <w:sz w:val="20"/>
          <w:szCs w:val="20"/>
        </w:rPr>
        <w:t>In February 2021, Pine Run, a company joint</w:t>
      </w:r>
      <w:r>
        <w:rPr>
          <w:rFonts w:eastAsia="Times New Roman"/>
          <w:color w:val="000000"/>
          <w:sz w:val="20"/>
          <w:szCs w:val="20"/>
        </w:rPr>
        <w:t xml:space="preserve">ly owned by Stonehenge and UGI Pine Run, LLC, a wholly-owned subsidiary of Energy Services, completed the acquisition of Pine Run Midstream, LLC from an affiliate of PennEnergy and </w:t>
      </w:r>
    </w:p>
    <w:p w:rsidR="00000000" w:rsidRDefault="003F1733">
      <w:pPr>
        <w:jc w:val="center"/>
        <w:divId w:val="375617141"/>
        <w:rPr>
          <w:rFonts w:eastAsia="Times New Roman"/>
        </w:rPr>
      </w:pPr>
      <w:r>
        <w:rPr>
          <w:rFonts w:eastAsia="Times New Roman"/>
          <w:color w:val="000000"/>
          <w:sz w:val="20"/>
          <w:szCs w:val="20"/>
        </w:rPr>
        <w:t>10</w:t>
      </w:r>
    </w:p>
    <w:p w:rsidR="00000000" w:rsidRDefault="003F1733">
      <w:pPr>
        <w:rPr>
          <w:rFonts w:eastAsia="Times New Roman"/>
        </w:rPr>
      </w:pPr>
      <w:r>
        <w:rPr>
          <w:rFonts w:eastAsia="Times New Roman"/>
        </w:rPr>
        <w:pict>
          <v:rect id="_x0000_i1036" style="width:0;height:1.5pt" o:hralign="center" o:hrstd="t" o:hr="t" fillcolor="#a0a0a0" stroked="f"/>
        </w:pict>
      </w:r>
    </w:p>
    <w:p w:rsidR="00000000" w:rsidRDefault="003F1733">
      <w:pPr>
        <w:divId w:val="84551231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224024135"/>
        <w:rPr>
          <w:rFonts w:eastAsia="Times New Roman"/>
        </w:rPr>
      </w:pPr>
      <w:r>
        <w:rPr>
          <w:rFonts w:eastAsia="Times New Roman"/>
          <w:b/>
          <w:bCs/>
          <w:color w:val="000000"/>
          <w:sz w:val="20"/>
          <w:szCs w:val="20"/>
        </w:rPr>
        <w:t>UGI CORPORATION AND SUBSIDIARIES</w:t>
      </w:r>
    </w:p>
    <w:p w:rsidR="00000000" w:rsidRDefault="003F1733">
      <w:pPr>
        <w:jc w:val="center"/>
        <w:divId w:val="1539928514"/>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224024135"/>
        <w:rPr>
          <w:rFonts w:eastAsia="Times New Roman"/>
        </w:rPr>
      </w:pPr>
      <w:r>
        <w:rPr>
          <w:rFonts w:eastAsia="Times New Roman"/>
          <w:color w:val="000000"/>
          <w:sz w:val="20"/>
          <w:szCs w:val="20"/>
        </w:rPr>
        <w:t>(unaudited)</w:t>
      </w:r>
    </w:p>
    <w:p w:rsidR="00000000" w:rsidRDefault="003F1733">
      <w:pPr>
        <w:jc w:val="center"/>
        <w:divId w:val="1224024135"/>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divId w:val="1393038050"/>
        <w:rPr>
          <w:rFonts w:eastAsia="Times New Roman"/>
        </w:rPr>
      </w:pPr>
      <w:r>
        <w:rPr>
          <w:rFonts w:eastAsia="Times New Roman"/>
          <w:color w:val="000000"/>
          <w:sz w:val="20"/>
          <w:szCs w:val="20"/>
        </w:rPr>
        <w:t>minority partners for a preliminary purchase price of $205. Pine Run Midstream, LLC operates 43 miles of dry gas gathering pipeline and compression assets in Butler and Armstron</w:t>
      </w:r>
      <w:r>
        <w:rPr>
          <w:rFonts w:eastAsia="Times New Roman"/>
          <w:color w:val="000000"/>
          <w:sz w:val="20"/>
          <w:szCs w:val="20"/>
        </w:rPr>
        <w:t>g counties in western Pennsylvania. UGI Pine Run, LLC’s 49% membership interest in Pine Run totaled $57 as of March 31, 2021 and is accounted for as an equity method investment as we have the ability to exercise significant influence, but not control, over</w:t>
      </w:r>
      <w:r>
        <w:rPr>
          <w:rFonts w:eastAsia="Times New Roman"/>
          <w:color w:val="000000"/>
          <w:sz w:val="20"/>
          <w:szCs w:val="20"/>
        </w:rPr>
        <w:t xml:space="preserve"> the entity.</w:t>
      </w:r>
    </w:p>
    <w:p w:rsidR="00000000" w:rsidRDefault="003F1733">
      <w:pPr>
        <w:jc w:val="both"/>
        <w:divId w:val="2072459545"/>
        <w:rPr>
          <w:rFonts w:eastAsia="Times New Roman"/>
        </w:rPr>
      </w:pPr>
      <w:r>
        <w:rPr>
          <w:rFonts w:eastAsia="Times New Roman"/>
          <w:i/>
          <w:iCs/>
          <w:color w:val="000000"/>
          <w:sz w:val="20"/>
          <w:szCs w:val="20"/>
          <w:u w:val="single"/>
        </w:rPr>
        <w:t>PennEast.</w:t>
      </w:r>
      <w:r>
        <w:rPr>
          <w:rFonts w:eastAsia="Times New Roman"/>
          <w:i/>
          <w:iCs/>
          <w:color w:val="000000"/>
          <w:sz w:val="20"/>
          <w:szCs w:val="20"/>
        </w:rPr>
        <w:t xml:space="preserve"> </w:t>
      </w:r>
      <w:r>
        <w:rPr>
          <w:rFonts w:eastAsia="Times New Roman"/>
          <w:color w:val="000000"/>
          <w:sz w:val="20"/>
          <w:szCs w:val="20"/>
        </w:rPr>
        <w:t>UGI PennEast, LLC and four other members comprising wholly owned subsidiaries of Southern Company, New Jersey Resources, South Jersey Industries, and Enbridge, Inc., each hold a 20% membership interest in PennEast. In September 2019,</w:t>
      </w:r>
      <w:r>
        <w:rPr>
          <w:rFonts w:eastAsia="Times New Roman"/>
          <w:color w:val="000000"/>
          <w:sz w:val="20"/>
          <w:szCs w:val="20"/>
        </w:rPr>
        <w:t xml:space="preserve"> a panel of the U.S. Court of Appeals for the Third Circuit ruled that New Jersey’s Eleventh Amendment immunity barred PennEast from bringing an eminent domain lawsuit in federal court, under the Natural Gas Act, against New Jersey or its agencies. PennEas</w:t>
      </w:r>
      <w:r>
        <w:rPr>
          <w:rFonts w:eastAsia="Times New Roman"/>
          <w:color w:val="000000"/>
          <w:sz w:val="20"/>
          <w:szCs w:val="20"/>
        </w:rPr>
        <w:t>t filed a petition for declaratory order with the FERC regarding interpretation of the Natural Gas Act; the FERC issued an order favorable to PennEast’s position on January 30, 2020. PennEast also filed a petition for a writ of certiorari to seek U.S. Supr</w:t>
      </w:r>
      <w:r>
        <w:rPr>
          <w:rFonts w:eastAsia="Times New Roman"/>
          <w:color w:val="000000"/>
          <w:sz w:val="20"/>
          <w:szCs w:val="20"/>
        </w:rPr>
        <w:t>eme Court review of the Third Circuit decision on February 18, 2020. On February 3, 2021, the U.S. Supreme Court issued an order granting PennEast’s petition for a writ of certiorari. The case was argued before the U.S. Supreme Court on April 28, 2021. The</w:t>
      </w:r>
      <w:r>
        <w:rPr>
          <w:rFonts w:eastAsia="Times New Roman"/>
          <w:color w:val="000000"/>
          <w:sz w:val="20"/>
          <w:szCs w:val="20"/>
        </w:rPr>
        <w:t xml:space="preserve"> ultimate outcome of these matters cannot be determined at this time, and could result in delays, additional costs, or the inability to move forward with the project, resulting in an impairment of all or a portion of our investment in PennEast.</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Restricte</w:t>
      </w:r>
      <w:r>
        <w:rPr>
          <w:rFonts w:eastAsia="Times New Roman"/>
          <w:b/>
          <w:bCs/>
          <w:i/>
          <w:iCs/>
          <w:color w:val="000000"/>
          <w:sz w:val="20"/>
          <w:szCs w:val="20"/>
        </w:rPr>
        <w:t>d Cash.</w:t>
      </w:r>
      <w:r>
        <w:rPr>
          <w:rFonts w:eastAsia="Times New Roman"/>
          <w:b/>
          <w:bCs/>
          <w:color w:val="000000"/>
          <w:sz w:val="20"/>
          <w:szCs w:val="20"/>
        </w:rPr>
        <w:t xml:space="preserve"> </w:t>
      </w:r>
      <w:r>
        <w:rPr>
          <w:rFonts w:eastAsia="Times New Roman"/>
          <w:color w:val="000000"/>
          <w:sz w:val="20"/>
          <w:szCs w:val="20"/>
        </w:rPr>
        <w:t>Restricted cash principally represents those cash balances in our commodity futures brokerage accounts that are restricted from withdrawal. The following table provides a reconciliation of the total cash, cash equivalents and restricted cash report</w:t>
      </w:r>
      <w:r>
        <w:rPr>
          <w:rFonts w:eastAsia="Times New Roman"/>
          <w:color w:val="000000"/>
          <w:sz w:val="20"/>
          <w:szCs w:val="20"/>
        </w:rPr>
        <w:t>ed on the Condensed Consolidated Balance Sheets to the corresponding amounts reported on the Condensed Consolidated Statements of Cash Flows.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778"/>
        <w:gridCol w:w="36"/>
        <w:gridCol w:w="36"/>
        <w:gridCol w:w="36"/>
        <w:gridCol w:w="36"/>
        <w:gridCol w:w="121"/>
        <w:gridCol w:w="832"/>
        <w:gridCol w:w="36"/>
        <w:gridCol w:w="36"/>
        <w:gridCol w:w="36"/>
        <w:gridCol w:w="36"/>
        <w:gridCol w:w="121"/>
        <w:gridCol w:w="846"/>
        <w:gridCol w:w="36"/>
        <w:gridCol w:w="36"/>
        <w:gridCol w:w="36"/>
        <w:gridCol w:w="36"/>
        <w:gridCol w:w="121"/>
        <w:gridCol w:w="846"/>
        <w:gridCol w:w="36"/>
        <w:gridCol w:w="36"/>
        <w:gridCol w:w="36"/>
        <w:gridCol w:w="36"/>
        <w:gridCol w:w="121"/>
        <w:gridCol w:w="846"/>
        <w:gridCol w:w="36"/>
      </w:tblGrid>
      <w:tr w:rsidR="00000000">
        <w:trPr>
          <w:divId w:val="676545835"/>
          <w:jc w:val="center"/>
        </w:trPr>
        <w:tc>
          <w:tcPr>
            <w:tcW w:w="50" w:type="pct"/>
            <w:vAlign w:val="center"/>
            <w:hideMark/>
          </w:tcPr>
          <w:p w:rsidR="00000000" w:rsidRDefault="003F1733">
            <w:pPr>
              <w:jc w:val="both"/>
              <w:rPr>
                <w:rFonts w:eastAsia="Times New Roman"/>
              </w:rPr>
            </w:pPr>
          </w:p>
        </w:tc>
        <w:tc>
          <w:tcPr>
            <w:tcW w:w="231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6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6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6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6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676545835"/>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March 31,</w:t>
            </w:r>
            <w:r>
              <w:rPr>
                <w:rFonts w:eastAsia="Times New Roman"/>
                <w:color w:val="000000"/>
                <w:sz w:val="20"/>
                <w:szCs w:val="20"/>
              </w:rPr>
              <w:b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March 31,</w:t>
            </w:r>
            <w:r>
              <w:rPr>
                <w:rFonts w:eastAsia="Times New Roman"/>
                <w:color w:val="000000"/>
                <w:sz w:val="20"/>
                <w:szCs w:val="20"/>
              </w:rPr>
              <w:b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September 30, 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September 30, 2019</w:t>
            </w:r>
          </w:p>
        </w:tc>
      </w:tr>
      <w:tr w:rsidR="00000000">
        <w:trPr>
          <w:divId w:val="676545835"/>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676545835"/>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Restricted cash</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28 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104 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64 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676545835"/>
          <w:jc w:val="center"/>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Earnings Per Common Share.</w:t>
      </w:r>
      <w:r>
        <w:rPr>
          <w:rFonts w:eastAsia="Times New Roman"/>
          <w:i/>
          <w:iCs/>
          <w:color w:val="000000"/>
          <w:sz w:val="20"/>
          <w:szCs w:val="20"/>
        </w:rPr>
        <w:t xml:space="preserve"> </w:t>
      </w:r>
      <w:r>
        <w:rPr>
          <w:rFonts w:eastAsia="Times New Roman"/>
          <w:color w:val="000000"/>
          <w:sz w:val="20"/>
          <w:szCs w:val="20"/>
        </w:rPr>
        <w:t>Basic earnings per share attributable to UGI stockholders reflect the weighted-average number of common shares outstanding.</w:t>
      </w:r>
      <w:r>
        <w:rPr>
          <w:rFonts w:eastAsia="Times New Roman"/>
          <w:color w:val="000000"/>
          <w:sz w:val="20"/>
          <w:szCs w:val="20"/>
        </w:rPr>
        <w:t xml:space="preserve"> Diluted earnings per share attributable to UGI stockholders include the effects of dilutive stock options and common stock awards.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Shares used in computing basic and diluted earnings per share are as follows:</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4765"/>
        <w:gridCol w:w="36"/>
        <w:gridCol w:w="36"/>
        <w:gridCol w:w="36"/>
        <w:gridCol w:w="36"/>
        <w:gridCol w:w="85"/>
        <w:gridCol w:w="635"/>
        <w:gridCol w:w="38"/>
        <w:gridCol w:w="37"/>
        <w:gridCol w:w="37"/>
        <w:gridCol w:w="37"/>
        <w:gridCol w:w="85"/>
        <w:gridCol w:w="635"/>
        <w:gridCol w:w="37"/>
        <w:gridCol w:w="36"/>
        <w:gridCol w:w="36"/>
        <w:gridCol w:w="36"/>
        <w:gridCol w:w="85"/>
        <w:gridCol w:w="635"/>
        <w:gridCol w:w="38"/>
        <w:gridCol w:w="37"/>
        <w:gridCol w:w="37"/>
        <w:gridCol w:w="37"/>
        <w:gridCol w:w="85"/>
        <w:gridCol w:w="635"/>
        <w:gridCol w:w="37"/>
      </w:tblGrid>
      <w:tr w:rsidR="00000000">
        <w:trPr>
          <w:divId w:val="673457585"/>
        </w:trPr>
        <w:tc>
          <w:tcPr>
            <w:tcW w:w="50" w:type="pct"/>
            <w:vAlign w:val="center"/>
            <w:hideMark/>
          </w:tcPr>
          <w:p w:rsidR="00000000" w:rsidRDefault="003F1733">
            <w:pPr>
              <w:jc w:val="both"/>
              <w:rPr>
                <w:rFonts w:eastAsia="Times New Roman"/>
              </w:rPr>
            </w:pPr>
          </w:p>
        </w:tc>
        <w:tc>
          <w:tcPr>
            <w:tcW w:w="307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673457585"/>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3F1733">
            <w:pPr>
              <w:jc w:val="center"/>
              <w:rPr>
                <w:rFonts w:eastAsia="Times New Roman"/>
              </w:rPr>
            </w:pPr>
            <w:r>
              <w:rPr>
                <w:rFonts w:eastAsia="Times New Roman"/>
                <w:color w:val="000000"/>
                <w:sz w:val="20"/>
                <w:szCs w:val="20"/>
              </w:rPr>
              <w:t>Three Months Ended</w:t>
            </w:r>
            <w:r>
              <w:rPr>
                <w:rFonts w:eastAsia="Times New Roman"/>
                <w:color w:val="000000"/>
                <w:sz w:val="20"/>
                <w:szCs w:val="20"/>
              </w:rPr>
              <w:br/>
              <w:t>March 31,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3F1733">
            <w:pPr>
              <w:jc w:val="center"/>
              <w:rPr>
                <w:rFonts w:eastAsia="Times New Roman"/>
              </w:rPr>
            </w:pPr>
            <w:r>
              <w:rPr>
                <w:rFonts w:eastAsia="Times New Roman"/>
                <w:color w:val="000000"/>
                <w:sz w:val="20"/>
                <w:szCs w:val="20"/>
              </w:rPr>
              <w:t>Six Months Ended</w:t>
            </w:r>
            <w:r>
              <w:rPr>
                <w:rFonts w:eastAsia="Times New Roman"/>
                <w:color w:val="000000"/>
                <w:sz w:val="20"/>
                <w:szCs w:val="20"/>
              </w:rPr>
              <w:br/>
              <w:t>March 31,</w:t>
            </w:r>
          </w:p>
        </w:tc>
      </w:tr>
      <w:tr w:rsidR="00000000">
        <w:trPr>
          <w:divId w:val="673457585"/>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r>
      <w:tr w:rsidR="00000000">
        <w:trPr>
          <w:divId w:val="673457585"/>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Denominator (thousands of shares):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3457585"/>
        </w:trPr>
        <w:tc>
          <w:tcPr>
            <w:tcW w:w="0" w:type="auto"/>
            <w:gridSpan w:val="3"/>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Weighted-average common shares outstanding — basic</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208,930 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208,941 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208,849 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209,151 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673457585"/>
        </w:trPr>
        <w:tc>
          <w:tcPr>
            <w:tcW w:w="0" w:type="auto"/>
            <w:gridSpan w:val="3"/>
            <w:shd w:val="clear" w:color="auto" w:fill="CCEE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Incremental shares issuable for stock options and awards (a)</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1,162 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867 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1,014 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1,343 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673457585"/>
        </w:trPr>
        <w:tc>
          <w:tcPr>
            <w:tcW w:w="0" w:type="auto"/>
            <w:gridSpan w:val="3"/>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Weighted-average common shares outstanding — diluted</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210,092 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209,808 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209,863 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210,494 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ind w:hanging="360"/>
        <w:jc w:val="both"/>
        <w:rPr>
          <w:rFonts w:eastAsia="Times New Roman"/>
        </w:rPr>
      </w:pPr>
      <w:r>
        <w:rPr>
          <w:rFonts w:eastAsia="Times New Roman"/>
          <w:color w:val="000000"/>
          <w:sz w:val="20"/>
          <w:szCs w:val="20"/>
        </w:rPr>
        <w:t>(a)For the three and six months ended March 31, 2021 and 2020, there were 5,102 and 8,020 shares, respectively, associated wit</w:t>
      </w:r>
      <w:r>
        <w:rPr>
          <w:rFonts w:eastAsia="Times New Roman"/>
          <w:color w:val="000000"/>
          <w:sz w:val="20"/>
          <w:szCs w:val="20"/>
        </w:rPr>
        <w:t>h outstanding stock option awards that were excluded from the computation of diluted earnings per share above because their effect was antidilutive.</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Derivative Instruments. </w:t>
      </w:r>
      <w:r>
        <w:rPr>
          <w:rFonts w:eastAsia="Times New Roman"/>
          <w:color w:val="000000"/>
          <w:sz w:val="20"/>
          <w:szCs w:val="20"/>
        </w:rPr>
        <w:t xml:space="preserve">Derivative instruments are reported on the Condensed Consolidated Balance Sheets </w:t>
      </w:r>
      <w:r>
        <w:rPr>
          <w:rFonts w:eastAsia="Times New Roman"/>
          <w:color w:val="000000"/>
          <w:sz w:val="20"/>
          <w:szCs w:val="20"/>
        </w:rPr>
        <w:t xml:space="preserve">at their fair values, unless the NPNS exception is elected. The accounting for changes in fair value depends upon the purpose of the derivative instrument, whether it is subject to regulatory ratemaking mechanisms or if it qualifies and is designated as a </w:t>
      </w:r>
      <w:r>
        <w:rPr>
          <w:rFonts w:eastAsia="Times New Roman"/>
          <w:color w:val="000000"/>
          <w:sz w:val="20"/>
          <w:szCs w:val="20"/>
        </w:rPr>
        <w:t>hedge for accounting purposes.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Certain of our derivative instruments qualify and are designated as cash flow hedges. For cash flow hedges, changes in the fair values of the derivative instruments are recorded in AOCI, to the extent effective at offsetting changes in the hedged item, unt</w:t>
      </w:r>
      <w:r>
        <w:rPr>
          <w:rFonts w:eastAsia="Times New Roman"/>
          <w:color w:val="000000"/>
          <w:sz w:val="20"/>
          <w:szCs w:val="20"/>
        </w:rPr>
        <w:t xml:space="preserve">il earnings are affected by the hedged item. We discontinue cash flow hedge accounting if occurrence of the forecasted </w:t>
      </w:r>
    </w:p>
    <w:p w:rsidR="00000000" w:rsidRDefault="003F1733">
      <w:pPr>
        <w:jc w:val="center"/>
        <w:divId w:val="115951770"/>
        <w:rPr>
          <w:rFonts w:eastAsia="Times New Roman"/>
        </w:rPr>
      </w:pPr>
      <w:r>
        <w:rPr>
          <w:rFonts w:eastAsia="Times New Roman"/>
          <w:color w:val="000000"/>
          <w:sz w:val="20"/>
          <w:szCs w:val="20"/>
        </w:rPr>
        <w:t>11</w:t>
      </w:r>
    </w:p>
    <w:p w:rsidR="00000000" w:rsidRDefault="003F1733">
      <w:pPr>
        <w:rPr>
          <w:rFonts w:eastAsia="Times New Roman"/>
        </w:rPr>
      </w:pPr>
      <w:r>
        <w:rPr>
          <w:rFonts w:eastAsia="Times New Roman"/>
        </w:rPr>
        <w:pict>
          <v:rect id="_x0000_i1037" style="width:0;height:1.5pt" o:hralign="center" o:hrstd="t" o:hr="t" fillcolor="#a0a0a0" stroked="f"/>
        </w:pict>
      </w:r>
    </w:p>
    <w:p w:rsidR="00000000" w:rsidRDefault="003F1733">
      <w:pPr>
        <w:divId w:val="137378756"/>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449425878"/>
        <w:rPr>
          <w:rFonts w:eastAsia="Times New Roman"/>
        </w:rPr>
      </w:pPr>
      <w:r>
        <w:rPr>
          <w:rFonts w:eastAsia="Times New Roman"/>
          <w:b/>
          <w:bCs/>
          <w:color w:val="000000"/>
          <w:sz w:val="20"/>
          <w:szCs w:val="20"/>
        </w:rPr>
        <w:t>UGI CORPORATION AND SUBSIDIARIES</w:t>
      </w:r>
    </w:p>
    <w:p w:rsidR="00000000" w:rsidRDefault="003F1733">
      <w:pPr>
        <w:jc w:val="center"/>
        <w:divId w:val="1671639686"/>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449425878"/>
        <w:rPr>
          <w:rFonts w:eastAsia="Times New Roman"/>
        </w:rPr>
      </w:pPr>
      <w:r>
        <w:rPr>
          <w:rFonts w:eastAsia="Times New Roman"/>
          <w:color w:val="000000"/>
          <w:sz w:val="20"/>
          <w:szCs w:val="20"/>
        </w:rPr>
        <w:t>(unaudited)</w:t>
      </w:r>
    </w:p>
    <w:p w:rsidR="00000000" w:rsidRDefault="003F1733">
      <w:pPr>
        <w:jc w:val="center"/>
        <w:divId w:val="1449425878"/>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rPr>
          <w:rFonts w:eastAsia="Times New Roman"/>
        </w:rPr>
      </w:pPr>
      <w:r>
        <w:rPr>
          <w:rFonts w:eastAsia="Times New Roman"/>
          <w:color w:val="000000"/>
          <w:sz w:val="20"/>
          <w:szCs w:val="20"/>
        </w:rPr>
        <w:t>tra</w:t>
      </w:r>
      <w:r>
        <w:rPr>
          <w:rFonts w:eastAsia="Times New Roman"/>
          <w:color w:val="000000"/>
          <w:sz w:val="20"/>
          <w:szCs w:val="20"/>
        </w:rPr>
        <w:t>nsaction is determined to be no longer probable. Hedge accounting is also discontinued for derivatives that cease to be highly effective. We do not designate our commodity and certain foreign currency derivative instruments as hedges under GAAP. Changes in</w:t>
      </w:r>
      <w:r>
        <w:rPr>
          <w:rFonts w:eastAsia="Times New Roman"/>
          <w:color w:val="000000"/>
          <w:sz w:val="20"/>
          <w:szCs w:val="20"/>
        </w:rPr>
        <w:t xml:space="preserve"> the fair values of these derivative instruments are reflected in net income. Gains and losses on substantially all of the commodity derivative instruments used by UGI Utilities are included in regulatory assets or liabilities because it is probable such g</w:t>
      </w:r>
      <w:r>
        <w:rPr>
          <w:rFonts w:eastAsia="Times New Roman"/>
          <w:color w:val="000000"/>
          <w:sz w:val="20"/>
          <w:szCs w:val="20"/>
        </w:rPr>
        <w:t>ains or losses will be recoverable from, or refundable to, customers. From time to time, we also enter into net investment hedges. Gains and losses on net investment hedges that relate to our foreign operations are included in the cumulative translation ad</w:t>
      </w:r>
      <w:r>
        <w:rPr>
          <w:rFonts w:eastAsia="Times New Roman"/>
          <w:color w:val="000000"/>
          <w:sz w:val="20"/>
          <w:szCs w:val="20"/>
        </w:rPr>
        <w:t>justment component in AOCI until such foreign net investment is substantially sold or liquidated.</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Cash flows from derivative instruments, other than certain cross-currency swaps and net investment hedges, if any, are included in cash flows from operating</w:t>
      </w:r>
      <w:r>
        <w:rPr>
          <w:rFonts w:eastAsia="Times New Roman"/>
          <w:color w:val="000000"/>
          <w:sz w:val="20"/>
          <w:szCs w:val="20"/>
        </w:rPr>
        <w:t xml:space="preserve"> activities on the Condensed Consolidated Statements of Cash Flows. Cash flows from the interest portion of our cross-currency hedges, if any, are included in cash flows from operating activities while cash flows from the currency portion of such hedges, i</w:t>
      </w:r>
      <w:r>
        <w:rPr>
          <w:rFonts w:eastAsia="Times New Roman"/>
          <w:color w:val="000000"/>
          <w:sz w:val="20"/>
          <w:szCs w:val="20"/>
        </w:rPr>
        <w:t>f any, are included in cash flows from financing activities. Cash flows from net investment hedges, if any, are included in cash flows from investing activities on the Condensed Consolidated Statements of Cash Flows.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For a more detailed description of th</w:t>
      </w:r>
      <w:r>
        <w:rPr>
          <w:rFonts w:eastAsia="Times New Roman"/>
          <w:color w:val="000000"/>
          <w:sz w:val="20"/>
          <w:szCs w:val="20"/>
        </w:rPr>
        <w:t>e derivative instruments we use, our accounting for derivatives, our objectives for using them and other information, see Note 11.</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Use of Estimates.</w:t>
      </w:r>
      <w:r>
        <w:rPr>
          <w:rFonts w:eastAsia="Times New Roman"/>
          <w:i/>
          <w:iCs/>
          <w:color w:val="000000"/>
          <w:sz w:val="20"/>
          <w:szCs w:val="20"/>
        </w:rPr>
        <w:t xml:space="preserve"> </w:t>
      </w:r>
      <w:r>
        <w:rPr>
          <w:rFonts w:eastAsia="Times New Roman"/>
          <w:color w:val="000000"/>
          <w:sz w:val="20"/>
          <w:szCs w:val="20"/>
        </w:rPr>
        <w:t>The preparation of financial statements in accordance with GAAP requires management to make estimates and</w:t>
      </w:r>
      <w:r>
        <w:rPr>
          <w:rFonts w:eastAsia="Times New Roman"/>
          <w:color w:val="000000"/>
          <w:sz w:val="20"/>
          <w:szCs w:val="20"/>
        </w:rPr>
        <w:t xml:space="preserve"> assumptions that affect the reported amounts of assets, liabilities, revenues, expenses and costs. These estimates are based on management’s knowledge of current events, historical experience and various other assumptions that are believed to be reasonabl</w:t>
      </w:r>
      <w:r>
        <w:rPr>
          <w:rFonts w:eastAsia="Times New Roman"/>
          <w:color w:val="000000"/>
          <w:sz w:val="20"/>
          <w:szCs w:val="20"/>
        </w:rPr>
        <w:t>e under the circumstances. Accordingly, actual results may be different from these estimates and assumptions.</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Reclassifications.</w:t>
      </w:r>
      <w:r>
        <w:rPr>
          <w:rFonts w:eastAsia="Times New Roman"/>
          <w:i/>
          <w:iCs/>
          <w:color w:val="000000"/>
          <w:sz w:val="20"/>
          <w:szCs w:val="20"/>
        </w:rPr>
        <w:t xml:space="preserve"> </w:t>
      </w:r>
      <w:r>
        <w:rPr>
          <w:rFonts w:eastAsia="Times New Roman"/>
          <w:color w:val="000000"/>
          <w:sz w:val="20"/>
          <w:szCs w:val="20"/>
        </w:rPr>
        <w:t>Certain prior-period amounts have been reclassified to conform to the current-period presentation.</w:t>
      </w:r>
    </w:p>
    <w:p w:rsidR="00000000" w:rsidRDefault="003F1733">
      <w:pPr>
        <w:jc w:val="both"/>
        <w:rPr>
          <w:rFonts w:eastAsia="Times New Roman"/>
        </w:rPr>
      </w:pPr>
    </w:p>
    <w:p w:rsidR="00000000" w:rsidRDefault="003F1733">
      <w:pPr>
        <w:ind w:hanging="540"/>
        <w:jc w:val="both"/>
        <w:rPr>
          <w:rFonts w:eastAsia="Times New Roman"/>
        </w:rPr>
      </w:pPr>
      <w:r>
        <w:rPr>
          <w:rFonts w:eastAsia="Times New Roman"/>
          <w:b/>
          <w:bCs/>
          <w:color w:val="000000"/>
          <w:sz w:val="20"/>
          <w:szCs w:val="20"/>
          <w:u w:val="single"/>
        </w:rPr>
        <w:t>Note 3 — Accounting Chan</w:t>
      </w:r>
      <w:r>
        <w:rPr>
          <w:rFonts w:eastAsia="Times New Roman"/>
          <w:b/>
          <w:bCs/>
          <w:color w:val="000000"/>
          <w:sz w:val="20"/>
          <w:szCs w:val="20"/>
          <w:u w:val="single"/>
        </w:rPr>
        <w:t>ges</w:t>
      </w:r>
      <w:r>
        <w:rPr>
          <w:rFonts w:eastAsia="Times New Roman"/>
          <w:b/>
          <w:bCs/>
          <w:color w:val="000000"/>
          <w:sz w:val="20"/>
          <w:szCs w:val="20"/>
        </w:rPr>
        <w:t xml:space="preserve"> </w:t>
      </w:r>
    </w:p>
    <w:p w:rsidR="00000000" w:rsidRDefault="003F1733">
      <w:pPr>
        <w:ind w:hanging="540"/>
        <w:jc w:val="both"/>
        <w:rPr>
          <w:rFonts w:eastAsia="Times New Roman"/>
        </w:rPr>
      </w:pPr>
    </w:p>
    <w:p w:rsidR="00000000" w:rsidRDefault="003F1733">
      <w:pPr>
        <w:jc w:val="both"/>
        <w:rPr>
          <w:rFonts w:eastAsia="Times New Roman"/>
        </w:rPr>
      </w:pPr>
      <w:r>
        <w:rPr>
          <w:rFonts w:eastAsia="Times New Roman"/>
          <w:b/>
          <w:bCs/>
          <w:color w:val="000000"/>
          <w:sz w:val="20"/>
          <w:szCs w:val="20"/>
        </w:rPr>
        <w:t>New Accounting Standard Adopted in Fiscal 2021</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Credit Losses. </w:t>
      </w:r>
      <w:r>
        <w:rPr>
          <w:rFonts w:eastAsia="Times New Roman"/>
          <w:color w:val="000000"/>
          <w:sz w:val="20"/>
          <w:szCs w:val="20"/>
        </w:rPr>
        <w:t>Effective October 1, 2020, the Company adopted ASU 2016-13, “Measurement of Credit Losses on Financial Instruments,” including subsequent amendments, using a modified retrospective tran</w:t>
      </w:r>
      <w:r>
        <w:rPr>
          <w:rFonts w:eastAsia="Times New Roman"/>
          <w:color w:val="000000"/>
          <w:sz w:val="20"/>
          <w:szCs w:val="20"/>
        </w:rPr>
        <w:t>sition approach. This ASU, as subsequently amended, requires entities to estimate lifetime expected credit losses for financial instruments not measured at fair value through net income, including trade and other receivables, net investments in leases, fin</w:t>
      </w:r>
      <w:r>
        <w:rPr>
          <w:rFonts w:eastAsia="Times New Roman"/>
          <w:color w:val="000000"/>
          <w:sz w:val="20"/>
          <w:szCs w:val="20"/>
        </w:rPr>
        <w:t>ancial receivables, debt securities, and other financial instruments, which may result in earlier recognition of credit losses. Further, the new current expected credit loss model may affect how entities estimate their allowance for losses related to recei</w:t>
      </w:r>
      <w:r>
        <w:rPr>
          <w:rFonts w:eastAsia="Times New Roman"/>
          <w:color w:val="000000"/>
          <w:sz w:val="20"/>
          <w:szCs w:val="20"/>
        </w:rPr>
        <w:t xml:space="preserve">vables that are current with respect to their payment terms. The adoption of the new guidance did not have a material impact on our consolidated financial statements. </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Accounting Standard Not Yet Adopted</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Income Taxes. </w:t>
      </w:r>
      <w:r>
        <w:rPr>
          <w:rFonts w:eastAsia="Times New Roman"/>
          <w:color w:val="000000"/>
          <w:sz w:val="20"/>
          <w:szCs w:val="20"/>
        </w:rPr>
        <w:t xml:space="preserve">In December 2019, the FASB issued </w:t>
      </w:r>
      <w:r>
        <w:rPr>
          <w:rFonts w:eastAsia="Times New Roman"/>
          <w:color w:val="000000"/>
          <w:sz w:val="20"/>
          <w:szCs w:val="20"/>
        </w:rPr>
        <w:t>ASU 2019-12, “Income Taxes (Topic 740): Simplifying the Accounting for Income Taxes.” This ASU simplifies the accounting for income taxes by eliminating certain exceptions within the existing guidance for recognizing deferred taxes for equity method invest</w:t>
      </w:r>
      <w:r>
        <w:rPr>
          <w:rFonts w:eastAsia="Times New Roman"/>
          <w:color w:val="000000"/>
          <w:sz w:val="20"/>
          <w:szCs w:val="20"/>
        </w:rPr>
        <w:t>ments, performing intraperiod allocations and calculating income taxes in interim periods. Further, this ASU clarifies existing guidance related to, among other things, recognizing deferred taxes for goodwill and allocated taxes to members of a consolidate</w:t>
      </w:r>
      <w:r>
        <w:rPr>
          <w:rFonts w:eastAsia="Times New Roman"/>
          <w:color w:val="000000"/>
          <w:sz w:val="20"/>
          <w:szCs w:val="20"/>
        </w:rPr>
        <w:t>d group. This new guidance is effective for the Company for interim and annual periods beginning October 1, 2021 (Fiscal 2022). Early adoption is permitted; however, the Company expects to adopt the new guidance in the first quarter of Fiscal 2022. The Com</w:t>
      </w:r>
      <w:r>
        <w:rPr>
          <w:rFonts w:eastAsia="Times New Roman"/>
          <w:color w:val="000000"/>
          <w:sz w:val="20"/>
          <w:szCs w:val="20"/>
        </w:rPr>
        <w:t>pany is in the process of assessing the impact on its financial statements from the adoption of the new guidance.</w:t>
      </w:r>
    </w:p>
    <w:p w:rsidR="00000000" w:rsidRDefault="003F1733">
      <w:pPr>
        <w:jc w:val="both"/>
        <w:rPr>
          <w:rFonts w:eastAsia="Times New Roman"/>
        </w:rPr>
      </w:pPr>
    </w:p>
    <w:p w:rsidR="00000000" w:rsidRDefault="003F1733">
      <w:pPr>
        <w:divId w:val="1529483475"/>
        <w:rPr>
          <w:rFonts w:eastAsia="Times New Roman"/>
        </w:rPr>
      </w:pPr>
      <w:r>
        <w:rPr>
          <w:rFonts w:eastAsia="Times New Roman"/>
          <w:b/>
          <w:bCs/>
          <w:color w:val="000000"/>
          <w:sz w:val="20"/>
          <w:szCs w:val="20"/>
          <w:u w:val="single"/>
        </w:rPr>
        <w:t>Note 4 — Revenue from Contracts with Customers</w:t>
      </w:r>
      <w:r>
        <w:rPr>
          <w:rFonts w:eastAsia="Times New Roman"/>
          <w:color w:val="000000"/>
          <w:sz w:val="20"/>
          <w:szCs w:val="20"/>
        </w:rPr>
        <w:t xml:space="preserve"> </w:t>
      </w:r>
    </w:p>
    <w:p w:rsidR="00000000" w:rsidRDefault="003F1733">
      <w:pPr>
        <w:divId w:val="1914898268"/>
        <w:rPr>
          <w:rFonts w:eastAsia="Times New Roman"/>
        </w:rPr>
      </w:pPr>
    </w:p>
    <w:p w:rsidR="00000000" w:rsidRDefault="003F1733">
      <w:pPr>
        <w:jc w:val="both"/>
        <w:rPr>
          <w:rFonts w:eastAsia="Times New Roman"/>
        </w:rPr>
      </w:pPr>
      <w:r>
        <w:rPr>
          <w:rFonts w:eastAsia="Times New Roman"/>
          <w:color w:val="000000"/>
          <w:sz w:val="20"/>
          <w:szCs w:val="20"/>
        </w:rPr>
        <w:t>The Company recognizes revenue when control of promised goods or services is transferred to customers in an amount that reflects the consideration to which we expect to be entitled in exchange for those goods or services. See Note 4 in the Company’s 2020 A</w:t>
      </w:r>
      <w:r>
        <w:rPr>
          <w:rFonts w:eastAsia="Times New Roman"/>
          <w:color w:val="000000"/>
          <w:sz w:val="20"/>
          <w:szCs w:val="20"/>
        </w:rPr>
        <w:t>nnual Report for additional information on our revenues from contracts with customers.</w:t>
      </w:r>
    </w:p>
    <w:p w:rsidR="00000000" w:rsidRDefault="003F1733">
      <w:pPr>
        <w:jc w:val="both"/>
        <w:rPr>
          <w:rFonts w:eastAsia="Times New Roman"/>
        </w:rPr>
      </w:pPr>
    </w:p>
    <w:p w:rsidR="00000000" w:rsidRDefault="003F1733">
      <w:pPr>
        <w:jc w:val="center"/>
        <w:divId w:val="1308051364"/>
        <w:rPr>
          <w:rFonts w:eastAsia="Times New Roman"/>
        </w:rPr>
      </w:pPr>
      <w:r>
        <w:rPr>
          <w:rFonts w:eastAsia="Times New Roman"/>
          <w:color w:val="000000"/>
          <w:sz w:val="20"/>
          <w:szCs w:val="20"/>
        </w:rPr>
        <w:t>12</w:t>
      </w:r>
    </w:p>
    <w:p w:rsidR="00000000" w:rsidRDefault="003F1733">
      <w:pPr>
        <w:rPr>
          <w:rFonts w:eastAsia="Times New Roman"/>
        </w:rPr>
      </w:pPr>
      <w:r>
        <w:rPr>
          <w:rFonts w:eastAsia="Times New Roman"/>
        </w:rPr>
        <w:pict>
          <v:rect id="_x0000_i1038" style="width:0;height:1.5pt" o:hralign="center" o:hrstd="t" o:hr="t" fillcolor="#a0a0a0" stroked="f"/>
        </w:pict>
      </w:r>
    </w:p>
    <w:p w:rsidR="00000000" w:rsidRDefault="003F1733">
      <w:pPr>
        <w:divId w:val="1354922759"/>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833639032"/>
        <w:rPr>
          <w:rFonts w:eastAsia="Times New Roman"/>
        </w:rPr>
      </w:pPr>
      <w:r>
        <w:rPr>
          <w:rFonts w:eastAsia="Times New Roman"/>
          <w:b/>
          <w:bCs/>
          <w:color w:val="000000"/>
          <w:sz w:val="20"/>
          <w:szCs w:val="20"/>
        </w:rPr>
        <w:t>UGI CORPORATION AND SUBSIDIARIES</w:t>
      </w:r>
    </w:p>
    <w:p w:rsidR="00000000" w:rsidRDefault="003F1733">
      <w:pPr>
        <w:jc w:val="center"/>
        <w:divId w:val="1910266889"/>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833639032"/>
        <w:rPr>
          <w:rFonts w:eastAsia="Times New Roman"/>
        </w:rPr>
      </w:pPr>
      <w:r>
        <w:rPr>
          <w:rFonts w:eastAsia="Times New Roman"/>
          <w:color w:val="000000"/>
          <w:sz w:val="20"/>
          <w:szCs w:val="20"/>
        </w:rPr>
        <w:t>(unaudited)</w:t>
      </w:r>
    </w:p>
    <w:p w:rsidR="00000000" w:rsidRDefault="003F1733">
      <w:pPr>
        <w:jc w:val="center"/>
        <w:divId w:val="1833639032"/>
        <w:rPr>
          <w:rFonts w:eastAsia="Times New Roman"/>
        </w:rPr>
      </w:pPr>
      <w:r>
        <w:rPr>
          <w:rFonts w:eastAsia="Times New Roman"/>
          <w:color w:val="000000"/>
          <w:sz w:val="20"/>
          <w:szCs w:val="20"/>
        </w:rPr>
        <w:t>(Currency in millions, except per share amounts and where indicated otherwise)</w:t>
      </w:r>
    </w:p>
    <w:p w:rsidR="00000000" w:rsidRDefault="003F1733">
      <w:pPr>
        <w:divId w:val="1208253199"/>
        <w:rPr>
          <w:rFonts w:eastAsia="Times New Roman"/>
        </w:rPr>
      </w:pPr>
      <w:r>
        <w:rPr>
          <w:rFonts w:eastAsia="Times New Roman"/>
          <w:b/>
          <w:bCs/>
          <w:color w:val="000000"/>
          <w:sz w:val="20"/>
          <w:szCs w:val="20"/>
        </w:rPr>
        <w:t>Revenue Disaggregation</w:t>
      </w:r>
    </w:p>
    <w:p w:rsidR="00000000" w:rsidRDefault="003F1733">
      <w:pPr>
        <w:divId w:val="155922670"/>
        <w:rPr>
          <w:rFonts w:eastAsia="Times New Roman"/>
        </w:rPr>
      </w:pPr>
    </w:p>
    <w:p w:rsidR="00000000" w:rsidRDefault="003F1733">
      <w:pPr>
        <w:divId w:val="870459833"/>
        <w:rPr>
          <w:rFonts w:eastAsia="Times New Roman"/>
        </w:rPr>
      </w:pPr>
      <w:r>
        <w:rPr>
          <w:rFonts w:eastAsia="Times New Roman"/>
          <w:color w:val="000000"/>
          <w:sz w:val="20"/>
          <w:szCs w:val="20"/>
        </w:rPr>
        <w:t>The following tables present our disaggregated revenue</w:t>
      </w:r>
      <w:r>
        <w:rPr>
          <w:rFonts w:eastAsia="Times New Roman"/>
          <w:color w:val="000000"/>
          <w:sz w:val="20"/>
          <w:szCs w:val="20"/>
        </w:rPr>
        <w:t>s by reportable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84"/>
        <w:gridCol w:w="39"/>
        <w:gridCol w:w="36"/>
        <w:gridCol w:w="36"/>
        <w:gridCol w:w="36"/>
        <w:gridCol w:w="100"/>
        <w:gridCol w:w="425"/>
        <w:gridCol w:w="36"/>
        <w:gridCol w:w="36"/>
        <w:gridCol w:w="36"/>
        <w:gridCol w:w="36"/>
        <w:gridCol w:w="101"/>
        <w:gridCol w:w="800"/>
        <w:gridCol w:w="36"/>
        <w:gridCol w:w="36"/>
        <w:gridCol w:w="36"/>
        <w:gridCol w:w="36"/>
        <w:gridCol w:w="101"/>
        <w:gridCol w:w="647"/>
        <w:gridCol w:w="36"/>
        <w:gridCol w:w="36"/>
        <w:gridCol w:w="36"/>
        <w:gridCol w:w="36"/>
        <w:gridCol w:w="101"/>
        <w:gridCol w:w="762"/>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trPr>
          <w:divId w:val="1923954657"/>
          <w:jc w:val="center"/>
        </w:trPr>
        <w:tc>
          <w:tcPr>
            <w:tcW w:w="50" w:type="pct"/>
            <w:vAlign w:val="center"/>
            <w:hideMark/>
          </w:tcPr>
          <w:p w:rsidR="00000000" w:rsidRDefault="003F1733">
            <w:pPr>
              <w:rPr>
                <w:rFonts w:eastAsia="Times New Roman"/>
              </w:rPr>
            </w:pPr>
          </w:p>
        </w:tc>
        <w:tc>
          <w:tcPr>
            <w:tcW w:w="13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9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4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9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1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6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923954657"/>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23954657"/>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Three Months Ended March 31, 2021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xml:space="preserve"> Total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xml:space="preserve"> UGI International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w:t>
            </w: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xml:space="preserve"> Corporate &amp; Other </w:t>
            </w:r>
          </w:p>
        </w:tc>
      </w:tr>
      <w:tr w:rsidR="00000000">
        <w:trPr>
          <w:divId w:val="1923954657"/>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23954657"/>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u w:val="single"/>
              </w:rPr>
              <w:t>Utility: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23954657"/>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Core Market: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3F1733">
        <w:trPr>
          <w:divId w:val="1923954657"/>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Residential</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243 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243 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Commercial &amp; Industrial</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Large delivery service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Off-system sales and capacity releases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Total Utility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u w:val="single"/>
              </w:rPr>
              <w:t>Non-Utility: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23954657"/>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LPG:</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23954657"/>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Retail</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1,395 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833 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562 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Wholesale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Energy Marketing</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514 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186 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367 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Midstream:</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23954657"/>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Pipeline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Peaking</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Electricity Generation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Total Non-Utility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2,552 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23954657"/>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 revenues (b)</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1923954657"/>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 xml:space="preserve">Total revenues </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2,581 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center"/>
        <w:divId w:val="1077283057"/>
        <w:rPr>
          <w:rFonts w:eastAsia="Times New Roman"/>
        </w:rPr>
      </w:pPr>
      <w:r>
        <w:rPr>
          <w:rFonts w:eastAsia="Times New Roman"/>
          <w:color w:val="000000"/>
          <w:sz w:val="20"/>
          <w:szCs w:val="20"/>
        </w:rPr>
        <w:t>13</w:t>
      </w:r>
    </w:p>
    <w:p w:rsidR="00000000" w:rsidRDefault="003F1733">
      <w:pPr>
        <w:rPr>
          <w:rFonts w:eastAsia="Times New Roman"/>
        </w:rPr>
      </w:pPr>
      <w:r>
        <w:rPr>
          <w:rFonts w:eastAsia="Times New Roman"/>
        </w:rPr>
        <w:pict>
          <v:rect id="_x0000_i1039" style="width:0;height:1.5pt" o:hralign="center" o:hrstd="t" o:hr="t" fillcolor="#a0a0a0" stroked="f"/>
        </w:pict>
      </w:r>
    </w:p>
    <w:p w:rsidR="00000000" w:rsidRDefault="003F1733">
      <w:pPr>
        <w:divId w:val="822087412"/>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367070460"/>
        <w:rPr>
          <w:rFonts w:eastAsia="Times New Roman"/>
        </w:rPr>
      </w:pPr>
      <w:r>
        <w:rPr>
          <w:rFonts w:eastAsia="Times New Roman"/>
          <w:b/>
          <w:bCs/>
          <w:color w:val="000000"/>
          <w:sz w:val="20"/>
          <w:szCs w:val="20"/>
        </w:rPr>
        <w:t>UGI CORPORATION AND SUBSIDIARIES</w:t>
      </w:r>
    </w:p>
    <w:p w:rsidR="00000000" w:rsidRDefault="003F1733">
      <w:pPr>
        <w:jc w:val="center"/>
        <w:divId w:val="813639990"/>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367070460"/>
        <w:rPr>
          <w:rFonts w:eastAsia="Times New Roman"/>
        </w:rPr>
      </w:pPr>
      <w:r>
        <w:rPr>
          <w:rFonts w:eastAsia="Times New Roman"/>
          <w:color w:val="000000"/>
          <w:sz w:val="20"/>
          <w:szCs w:val="20"/>
        </w:rPr>
        <w:t>(unaudited)</w:t>
      </w:r>
    </w:p>
    <w:p w:rsidR="00000000" w:rsidRDefault="003F1733">
      <w:pPr>
        <w:jc w:val="center"/>
        <w:divId w:val="367070460"/>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84"/>
        <w:gridCol w:w="39"/>
        <w:gridCol w:w="36"/>
        <w:gridCol w:w="36"/>
        <w:gridCol w:w="36"/>
        <w:gridCol w:w="100"/>
        <w:gridCol w:w="425"/>
        <w:gridCol w:w="36"/>
        <w:gridCol w:w="36"/>
        <w:gridCol w:w="36"/>
        <w:gridCol w:w="36"/>
        <w:gridCol w:w="101"/>
        <w:gridCol w:w="800"/>
        <w:gridCol w:w="36"/>
        <w:gridCol w:w="36"/>
        <w:gridCol w:w="36"/>
        <w:gridCol w:w="36"/>
        <w:gridCol w:w="101"/>
        <w:gridCol w:w="647"/>
        <w:gridCol w:w="36"/>
        <w:gridCol w:w="36"/>
        <w:gridCol w:w="36"/>
        <w:gridCol w:w="36"/>
        <w:gridCol w:w="101"/>
        <w:gridCol w:w="762"/>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trPr>
          <w:divId w:val="1305426559"/>
          <w:jc w:val="center"/>
        </w:trPr>
        <w:tc>
          <w:tcPr>
            <w:tcW w:w="50" w:type="pct"/>
            <w:vAlign w:val="center"/>
            <w:hideMark/>
          </w:tcPr>
          <w:p w:rsidR="00000000" w:rsidRDefault="003F1733">
            <w:pPr>
              <w:jc w:val="center"/>
              <w:rPr>
                <w:rFonts w:eastAsia="Times New Roman"/>
              </w:rPr>
            </w:pPr>
          </w:p>
        </w:tc>
        <w:tc>
          <w:tcPr>
            <w:tcW w:w="13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9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4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9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1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6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305426559"/>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05426559"/>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Three Months Ended March 31, 2020</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xml:space="preserve"> UGI International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Corporate &amp; Other</w:t>
            </w:r>
          </w:p>
        </w:tc>
      </w:tr>
      <w:tr w:rsidR="00000000">
        <w:trPr>
          <w:divId w:val="1305426559"/>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05426559"/>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u w:val="single"/>
              </w:rPr>
              <w:t>Utility: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05426559"/>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Core Market: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3F1733">
        <w:trPr>
          <w:divId w:val="1305426559"/>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Residential</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Commercial &amp; Industrial</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Large delivery service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Off-system sales and capacity releases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 xml:space="preserve">Other </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Total Utility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u w:val="single"/>
              </w:rPr>
              <w:t>Non-Utility: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05426559"/>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LPG:</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05426559"/>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Retail</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1,195 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483 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Wholesale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Energy Marketing</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419 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297 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Midstream:</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05426559"/>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Pipeline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Peaking</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(54)</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Electricity Generation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Total Non-Utility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05426559"/>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 revenues (b)</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1305426559"/>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Total 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center"/>
        <w:divId w:val="868566076"/>
        <w:rPr>
          <w:rFonts w:eastAsia="Times New Roman"/>
        </w:rPr>
      </w:pPr>
      <w:r>
        <w:rPr>
          <w:rFonts w:eastAsia="Times New Roman"/>
          <w:color w:val="000000"/>
          <w:sz w:val="20"/>
          <w:szCs w:val="20"/>
        </w:rPr>
        <w:t>14</w:t>
      </w:r>
    </w:p>
    <w:p w:rsidR="00000000" w:rsidRDefault="003F1733">
      <w:pPr>
        <w:rPr>
          <w:rFonts w:eastAsia="Times New Roman"/>
        </w:rPr>
      </w:pPr>
      <w:r>
        <w:rPr>
          <w:rFonts w:eastAsia="Times New Roman"/>
        </w:rPr>
        <w:pict>
          <v:rect id="_x0000_i1040" style="width:0;height:1.5pt" o:hralign="center" o:hrstd="t" o:hr="t" fillcolor="#a0a0a0" stroked="f"/>
        </w:pict>
      </w:r>
    </w:p>
    <w:p w:rsidR="00000000" w:rsidRDefault="003F1733">
      <w:pPr>
        <w:divId w:val="733966490"/>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415856132"/>
        <w:rPr>
          <w:rFonts w:eastAsia="Times New Roman"/>
        </w:rPr>
      </w:pPr>
      <w:r>
        <w:rPr>
          <w:rFonts w:eastAsia="Times New Roman"/>
          <w:b/>
          <w:bCs/>
          <w:color w:val="000000"/>
          <w:sz w:val="20"/>
          <w:szCs w:val="20"/>
        </w:rPr>
        <w:t>UGI CORPORATION AND SUBSIDIARIES</w:t>
      </w:r>
    </w:p>
    <w:p w:rsidR="00000000" w:rsidRDefault="003F1733">
      <w:pPr>
        <w:jc w:val="center"/>
        <w:divId w:val="1979800291"/>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415856132"/>
        <w:rPr>
          <w:rFonts w:eastAsia="Times New Roman"/>
        </w:rPr>
      </w:pPr>
      <w:r>
        <w:rPr>
          <w:rFonts w:eastAsia="Times New Roman"/>
          <w:color w:val="000000"/>
          <w:sz w:val="20"/>
          <w:szCs w:val="20"/>
        </w:rPr>
        <w:t>(unaudited)</w:t>
      </w:r>
    </w:p>
    <w:p w:rsidR="00000000" w:rsidRDefault="003F1733">
      <w:pPr>
        <w:jc w:val="center"/>
        <w:divId w:val="1415856132"/>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84"/>
        <w:gridCol w:w="39"/>
        <w:gridCol w:w="36"/>
        <w:gridCol w:w="36"/>
        <w:gridCol w:w="36"/>
        <w:gridCol w:w="100"/>
        <w:gridCol w:w="425"/>
        <w:gridCol w:w="36"/>
        <w:gridCol w:w="36"/>
        <w:gridCol w:w="36"/>
        <w:gridCol w:w="36"/>
        <w:gridCol w:w="101"/>
        <w:gridCol w:w="800"/>
        <w:gridCol w:w="36"/>
        <w:gridCol w:w="36"/>
        <w:gridCol w:w="36"/>
        <w:gridCol w:w="36"/>
        <w:gridCol w:w="101"/>
        <w:gridCol w:w="645"/>
        <w:gridCol w:w="36"/>
        <w:gridCol w:w="36"/>
        <w:gridCol w:w="36"/>
        <w:gridCol w:w="36"/>
        <w:gridCol w:w="101"/>
        <w:gridCol w:w="762"/>
        <w:gridCol w:w="36"/>
        <w:gridCol w:w="36"/>
        <w:gridCol w:w="36"/>
        <w:gridCol w:w="36"/>
        <w:gridCol w:w="101"/>
        <w:gridCol w:w="684"/>
        <w:gridCol w:w="36"/>
        <w:gridCol w:w="36"/>
        <w:gridCol w:w="36"/>
        <w:gridCol w:w="36"/>
        <w:gridCol w:w="101"/>
        <w:gridCol w:w="485"/>
        <w:gridCol w:w="36"/>
        <w:gridCol w:w="36"/>
        <w:gridCol w:w="36"/>
        <w:gridCol w:w="36"/>
        <w:gridCol w:w="101"/>
        <w:gridCol w:w="628"/>
        <w:gridCol w:w="36"/>
      </w:tblGrid>
      <w:tr w:rsidR="00000000">
        <w:trPr>
          <w:divId w:val="59985050"/>
          <w:jc w:val="center"/>
        </w:trPr>
        <w:tc>
          <w:tcPr>
            <w:tcW w:w="50" w:type="pct"/>
            <w:vAlign w:val="center"/>
            <w:hideMark/>
          </w:tcPr>
          <w:p w:rsidR="00000000" w:rsidRDefault="003F1733">
            <w:pPr>
              <w:jc w:val="center"/>
              <w:rPr>
                <w:rFonts w:eastAsia="Times New Roman"/>
              </w:rPr>
            </w:pPr>
          </w:p>
        </w:tc>
        <w:tc>
          <w:tcPr>
            <w:tcW w:w="13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8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4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59985050"/>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9985050"/>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Six Months Ended March 31, 2021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w:t>
            </w:r>
            <w:r>
              <w:rPr>
                <w:rFonts w:eastAsia="Times New Roman"/>
                <w:color w:val="000000"/>
                <w:sz w:val="16"/>
                <w:szCs w:val="16"/>
              </w:rPr>
              <w:t xml:space="preserve">AmeriGas Propane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xml:space="preserve"> UGI International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Corporate &amp; Other</w:t>
            </w:r>
          </w:p>
        </w:tc>
      </w:tr>
      <w:tr w:rsidR="00000000">
        <w:trPr>
          <w:divId w:val="5998505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9985050"/>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9985050"/>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3F1733">
        <w:trPr>
          <w:divId w:val="59985050"/>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408 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408 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9985050"/>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9985050"/>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2,450 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1,405 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1,045 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894 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341 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618 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9985050"/>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59985050"/>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59985050"/>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4,513 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center"/>
        <w:divId w:val="1082213202"/>
        <w:rPr>
          <w:rFonts w:eastAsia="Times New Roman"/>
        </w:rPr>
      </w:pPr>
      <w:r>
        <w:rPr>
          <w:rFonts w:eastAsia="Times New Roman"/>
          <w:color w:val="000000"/>
          <w:sz w:val="20"/>
          <w:szCs w:val="20"/>
        </w:rPr>
        <w:t>15</w:t>
      </w:r>
    </w:p>
    <w:p w:rsidR="00000000" w:rsidRDefault="003F1733">
      <w:pPr>
        <w:rPr>
          <w:rFonts w:eastAsia="Times New Roman"/>
        </w:rPr>
      </w:pPr>
      <w:r>
        <w:rPr>
          <w:rFonts w:eastAsia="Times New Roman"/>
        </w:rPr>
        <w:pict>
          <v:rect id="_x0000_i1041" style="width:0;height:1.5pt" o:hralign="center" o:hrstd="t" o:hr="t" fillcolor="#a0a0a0" stroked="f"/>
        </w:pict>
      </w:r>
    </w:p>
    <w:p w:rsidR="00000000" w:rsidRDefault="003F1733">
      <w:pPr>
        <w:divId w:val="1716731634"/>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973759225"/>
        <w:rPr>
          <w:rFonts w:eastAsia="Times New Roman"/>
        </w:rPr>
      </w:pPr>
      <w:r>
        <w:rPr>
          <w:rFonts w:eastAsia="Times New Roman"/>
          <w:b/>
          <w:bCs/>
          <w:color w:val="000000"/>
          <w:sz w:val="20"/>
          <w:szCs w:val="20"/>
        </w:rPr>
        <w:t>UGI CORPORATION AND SUBSIDIARIES</w:t>
      </w:r>
    </w:p>
    <w:p w:rsidR="00000000" w:rsidRDefault="003F1733">
      <w:pPr>
        <w:jc w:val="center"/>
        <w:divId w:val="1832135688"/>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973759225"/>
        <w:rPr>
          <w:rFonts w:eastAsia="Times New Roman"/>
        </w:rPr>
      </w:pPr>
      <w:r>
        <w:rPr>
          <w:rFonts w:eastAsia="Times New Roman"/>
          <w:color w:val="000000"/>
          <w:sz w:val="20"/>
          <w:szCs w:val="20"/>
        </w:rPr>
        <w:t>(unaudited)</w:t>
      </w:r>
    </w:p>
    <w:p w:rsidR="00000000" w:rsidRDefault="003F1733">
      <w:pPr>
        <w:jc w:val="center"/>
        <w:divId w:val="973759225"/>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85"/>
        <w:gridCol w:w="39"/>
        <w:gridCol w:w="36"/>
        <w:gridCol w:w="36"/>
        <w:gridCol w:w="36"/>
        <w:gridCol w:w="100"/>
        <w:gridCol w:w="425"/>
        <w:gridCol w:w="36"/>
        <w:gridCol w:w="36"/>
        <w:gridCol w:w="36"/>
        <w:gridCol w:w="36"/>
        <w:gridCol w:w="101"/>
        <w:gridCol w:w="800"/>
        <w:gridCol w:w="36"/>
        <w:gridCol w:w="36"/>
        <w:gridCol w:w="36"/>
        <w:gridCol w:w="36"/>
        <w:gridCol w:w="101"/>
        <w:gridCol w:w="645"/>
        <w:gridCol w:w="36"/>
        <w:gridCol w:w="36"/>
        <w:gridCol w:w="36"/>
        <w:gridCol w:w="36"/>
        <w:gridCol w:w="101"/>
        <w:gridCol w:w="762"/>
        <w:gridCol w:w="36"/>
        <w:gridCol w:w="36"/>
        <w:gridCol w:w="36"/>
        <w:gridCol w:w="36"/>
        <w:gridCol w:w="101"/>
        <w:gridCol w:w="684"/>
        <w:gridCol w:w="36"/>
        <w:gridCol w:w="36"/>
        <w:gridCol w:w="36"/>
        <w:gridCol w:w="36"/>
        <w:gridCol w:w="101"/>
        <w:gridCol w:w="483"/>
        <w:gridCol w:w="36"/>
        <w:gridCol w:w="36"/>
        <w:gridCol w:w="36"/>
        <w:gridCol w:w="36"/>
        <w:gridCol w:w="101"/>
        <w:gridCol w:w="629"/>
        <w:gridCol w:w="36"/>
      </w:tblGrid>
      <w:tr w:rsidR="00000000">
        <w:trPr>
          <w:divId w:val="1352340641"/>
          <w:jc w:val="center"/>
        </w:trPr>
        <w:tc>
          <w:tcPr>
            <w:tcW w:w="50" w:type="pct"/>
            <w:vAlign w:val="center"/>
            <w:hideMark/>
          </w:tcPr>
          <w:p w:rsidR="00000000" w:rsidRDefault="003F1733">
            <w:pPr>
              <w:jc w:val="center"/>
              <w:rPr>
                <w:rFonts w:eastAsia="Times New Roman"/>
              </w:rPr>
            </w:pPr>
          </w:p>
        </w:tc>
        <w:tc>
          <w:tcPr>
            <w:tcW w:w="13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9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4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1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6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4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8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352340641"/>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52340641"/>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Six Months Ended March 31, 2020</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w:t>
            </w:r>
            <w:r>
              <w:rPr>
                <w:rFonts w:eastAsia="Times New Roman"/>
                <w:color w:val="000000"/>
                <w:sz w:val="16"/>
                <w:szCs w:val="16"/>
              </w:rPr>
              <w:t xml:space="preserve">UGI International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Corporate &amp; Other</w:t>
            </w:r>
          </w:p>
        </w:tc>
      </w:tr>
      <w:tr w:rsidR="00000000">
        <w:trPr>
          <w:divId w:val="1352340641"/>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52340641"/>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52340641"/>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3F1733">
        <w:trPr>
          <w:divId w:val="1352340641"/>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396 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396 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(30)</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52340641"/>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52340641"/>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2,289 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1,343 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946 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782 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(48)</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268 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562 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52340641"/>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52340641"/>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1352340641"/>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4,236 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divId w:val="1686977956"/>
        <w:rPr>
          <w:rFonts w:eastAsia="Times New Roman"/>
        </w:rPr>
      </w:pPr>
    </w:p>
    <w:p w:rsidR="00000000" w:rsidRDefault="003F1733">
      <w:pPr>
        <w:ind w:hanging="360"/>
        <w:divId w:val="1613896567"/>
        <w:rPr>
          <w:rFonts w:eastAsia="Times New Roman"/>
        </w:rPr>
      </w:pPr>
      <w:r>
        <w:rPr>
          <w:rFonts w:eastAsia="Times New Roman"/>
          <w:color w:val="000000"/>
          <w:sz w:val="20"/>
          <w:szCs w:val="20"/>
        </w:rPr>
        <w:t>(a)Includes intersegment revenues principally among Midstream &amp; Marketing, UGI Util</w:t>
      </w:r>
      <w:r>
        <w:rPr>
          <w:rFonts w:eastAsia="Times New Roman"/>
          <w:color w:val="000000"/>
          <w:sz w:val="20"/>
          <w:szCs w:val="20"/>
        </w:rPr>
        <w:t>ities and AmeriGas Propane.</w:t>
      </w:r>
    </w:p>
    <w:p w:rsidR="00000000" w:rsidRDefault="003F1733">
      <w:pPr>
        <w:ind w:hanging="360"/>
        <w:jc w:val="both"/>
        <w:rPr>
          <w:rFonts w:eastAsia="Times New Roman"/>
        </w:rPr>
      </w:pPr>
      <w:r>
        <w:rPr>
          <w:rFonts w:eastAsia="Times New Roman"/>
          <w:color w:val="000000"/>
          <w:sz w:val="20"/>
          <w:szCs w:val="20"/>
        </w:rPr>
        <w:t>(b)Primarily represents revenues from tank rentals at AmeriGas Propane and UGI International, revenues from certain gathering assets at Midstream &amp; Marketing, revenues from alternative revenue programs at UGI Utilities, and gain</w:t>
      </w:r>
      <w:r>
        <w:rPr>
          <w:rFonts w:eastAsia="Times New Roman"/>
          <w:color w:val="000000"/>
          <w:sz w:val="20"/>
          <w:szCs w:val="20"/>
        </w:rPr>
        <w:t>s and losses on commodity derivative instruments not associated with current-period transactions reflected in Corporate &amp; Other, none of which are within the scope of ASC 606 and are accounted for in accordance with other GAAP.</w:t>
      </w:r>
    </w:p>
    <w:p w:rsidR="00000000" w:rsidRDefault="003F1733">
      <w:pPr>
        <w:jc w:val="both"/>
        <w:rPr>
          <w:rFonts w:eastAsia="Times New Roman"/>
        </w:rPr>
      </w:pPr>
    </w:p>
    <w:p w:rsidR="00000000" w:rsidRDefault="003F1733">
      <w:pPr>
        <w:jc w:val="both"/>
        <w:divId w:val="716859439"/>
        <w:rPr>
          <w:rFonts w:eastAsia="Times New Roman"/>
        </w:rPr>
      </w:pPr>
      <w:r>
        <w:rPr>
          <w:rFonts w:eastAsia="Times New Roman"/>
          <w:b/>
          <w:bCs/>
          <w:color w:val="000000"/>
          <w:sz w:val="20"/>
          <w:szCs w:val="20"/>
        </w:rPr>
        <w:t>Contract Balances</w:t>
      </w:r>
    </w:p>
    <w:p w:rsidR="00000000" w:rsidRDefault="003F1733">
      <w:pPr>
        <w:jc w:val="both"/>
        <w:divId w:val="1905674789"/>
        <w:rPr>
          <w:rFonts w:eastAsia="Times New Roman"/>
        </w:rPr>
      </w:pPr>
      <w:r>
        <w:rPr>
          <w:rFonts w:eastAsia="Times New Roman"/>
          <w:color w:val="000000"/>
          <w:sz w:val="20"/>
          <w:szCs w:val="20"/>
        </w:rPr>
        <w:t>The timi</w:t>
      </w:r>
      <w:r>
        <w:rPr>
          <w:rFonts w:eastAsia="Times New Roman"/>
          <w:color w:val="000000"/>
          <w:sz w:val="20"/>
          <w:szCs w:val="20"/>
        </w:rPr>
        <w:t>ng of revenue recognition may differ from the timing of invoicing to customers or cash receipts. Contract assets represent our right to consideration after the performance obligations have been satisfied when such right is conditioned on something other th</w:t>
      </w:r>
      <w:r>
        <w:rPr>
          <w:rFonts w:eastAsia="Times New Roman"/>
          <w:color w:val="000000"/>
          <w:sz w:val="20"/>
          <w:szCs w:val="20"/>
        </w:rPr>
        <w:t>an the passage of time. Contract assets were not material for all periods presented. Substantially all of our receivables are unconditional rights to consideration and are included in “Accounts receivable” and, in the case of UGI Utilities, “Accrued utilit</w:t>
      </w:r>
      <w:r>
        <w:rPr>
          <w:rFonts w:eastAsia="Times New Roman"/>
          <w:color w:val="000000"/>
          <w:sz w:val="20"/>
          <w:szCs w:val="20"/>
        </w:rPr>
        <w:t xml:space="preserve">y revenues” on the Condensed Consolidated Balance Sheets. Amounts billed are generally due within the following month. </w:t>
      </w:r>
    </w:p>
    <w:p w:rsidR="00000000" w:rsidRDefault="003F1733">
      <w:pPr>
        <w:jc w:val="both"/>
        <w:rPr>
          <w:rFonts w:eastAsia="Times New Roman"/>
        </w:rPr>
      </w:pPr>
      <w:r>
        <w:rPr>
          <w:rFonts w:eastAsia="Times New Roman"/>
          <w:color w:val="000000"/>
          <w:sz w:val="20"/>
          <w:szCs w:val="20"/>
        </w:rPr>
        <w:t>Contract liabilities arise when payment from a customer is received before the performance obligations have been satisfied and represent</w:t>
      </w:r>
      <w:r>
        <w:rPr>
          <w:rFonts w:eastAsia="Times New Roman"/>
          <w:color w:val="000000"/>
          <w:sz w:val="20"/>
          <w:szCs w:val="20"/>
        </w:rPr>
        <w:t xml:space="preserve"> the Company’s obligations to transfer goods or services to a customer for which we have received consideration. The balances of contract liabilities were $93, $161 and $88 at March 31, 2021, September 30, 2020 and March 31, 2020, respectively, and are inc</w:t>
      </w:r>
      <w:r>
        <w:rPr>
          <w:rFonts w:eastAsia="Times New Roman"/>
          <w:color w:val="000000"/>
          <w:sz w:val="20"/>
          <w:szCs w:val="20"/>
        </w:rPr>
        <w:t>luded in “Other current liabilities” and “Other noncurrent liabilities” on the Condensed Consolidated Balance Sheets. Revenues recognized for the six months ended March 31, 2021 and 2020, from the amounts included in contract liabilities at September 30, 2</w:t>
      </w:r>
      <w:r>
        <w:rPr>
          <w:rFonts w:eastAsia="Times New Roman"/>
          <w:color w:val="000000"/>
          <w:sz w:val="20"/>
          <w:szCs w:val="20"/>
        </w:rPr>
        <w:t xml:space="preserve">020 and 2019, were $131 and $116, respectively. </w:t>
      </w:r>
    </w:p>
    <w:p w:rsidR="00000000" w:rsidRDefault="003F1733">
      <w:pPr>
        <w:jc w:val="both"/>
        <w:rPr>
          <w:rFonts w:eastAsia="Times New Roman"/>
        </w:rPr>
      </w:pPr>
    </w:p>
    <w:p w:rsidR="00000000" w:rsidRDefault="003F1733">
      <w:pPr>
        <w:jc w:val="center"/>
        <w:divId w:val="2032030616"/>
        <w:rPr>
          <w:rFonts w:eastAsia="Times New Roman"/>
        </w:rPr>
      </w:pPr>
      <w:r>
        <w:rPr>
          <w:rFonts w:eastAsia="Times New Roman"/>
          <w:color w:val="000000"/>
          <w:sz w:val="20"/>
          <w:szCs w:val="20"/>
        </w:rPr>
        <w:t>16</w:t>
      </w:r>
    </w:p>
    <w:p w:rsidR="00000000" w:rsidRDefault="003F1733">
      <w:pPr>
        <w:rPr>
          <w:rFonts w:eastAsia="Times New Roman"/>
        </w:rPr>
      </w:pPr>
      <w:r>
        <w:rPr>
          <w:rFonts w:eastAsia="Times New Roman"/>
        </w:rPr>
        <w:pict>
          <v:rect id="_x0000_i1042" style="width:0;height:1.5pt" o:hralign="center" o:hrstd="t" o:hr="t" fillcolor="#a0a0a0" stroked="f"/>
        </w:pict>
      </w:r>
    </w:p>
    <w:p w:rsidR="00000000" w:rsidRDefault="003F1733">
      <w:pPr>
        <w:divId w:val="1879123132"/>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879363048"/>
        <w:rPr>
          <w:rFonts w:eastAsia="Times New Roman"/>
        </w:rPr>
      </w:pPr>
      <w:r>
        <w:rPr>
          <w:rFonts w:eastAsia="Times New Roman"/>
          <w:b/>
          <w:bCs/>
          <w:color w:val="000000"/>
          <w:sz w:val="20"/>
          <w:szCs w:val="20"/>
        </w:rPr>
        <w:t>UGI CORPORATION AND SUBSIDIARIES</w:t>
      </w:r>
    </w:p>
    <w:p w:rsidR="00000000" w:rsidRDefault="003F1733">
      <w:pPr>
        <w:jc w:val="center"/>
        <w:divId w:val="1106076340"/>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879363048"/>
        <w:rPr>
          <w:rFonts w:eastAsia="Times New Roman"/>
        </w:rPr>
      </w:pPr>
      <w:r>
        <w:rPr>
          <w:rFonts w:eastAsia="Times New Roman"/>
          <w:color w:val="000000"/>
          <w:sz w:val="20"/>
          <w:szCs w:val="20"/>
        </w:rPr>
        <w:t>(unaudited)</w:t>
      </w:r>
    </w:p>
    <w:p w:rsidR="00000000" w:rsidRDefault="003F1733">
      <w:pPr>
        <w:jc w:val="center"/>
        <w:divId w:val="879363048"/>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divId w:val="1515919653"/>
        <w:rPr>
          <w:rFonts w:eastAsia="Times New Roman"/>
        </w:rPr>
      </w:pPr>
      <w:r>
        <w:rPr>
          <w:rFonts w:eastAsia="Times New Roman"/>
          <w:b/>
          <w:bCs/>
          <w:color w:val="000000"/>
          <w:sz w:val="20"/>
          <w:szCs w:val="20"/>
        </w:rPr>
        <w:t>Remaining Performance Obligations</w:t>
      </w:r>
    </w:p>
    <w:p w:rsidR="00000000" w:rsidRDefault="003F1733">
      <w:pPr>
        <w:jc w:val="both"/>
        <w:rPr>
          <w:rFonts w:eastAsia="Times New Roman"/>
        </w:rPr>
      </w:pPr>
      <w:r>
        <w:rPr>
          <w:rFonts w:eastAsia="Times New Roman"/>
          <w:color w:val="000000"/>
          <w:sz w:val="20"/>
          <w:szCs w:val="20"/>
        </w:rPr>
        <w:t>The Company excludes disclosures related to the aggregate amount of the transaction price allocated to certain performance obligati</w:t>
      </w:r>
      <w:r>
        <w:rPr>
          <w:rFonts w:eastAsia="Times New Roman"/>
          <w:color w:val="000000"/>
          <w:sz w:val="20"/>
          <w:szCs w:val="20"/>
        </w:rPr>
        <w:t xml:space="preserve">ons that are unsatisfied as of the end of the reporting period because these contracts have an initial expected term of one year or less, or we have a right to bill the customer in an amount that corresponds directly with the value of services provided to </w:t>
      </w:r>
      <w:r>
        <w:rPr>
          <w:rFonts w:eastAsia="Times New Roman"/>
          <w:color w:val="000000"/>
          <w:sz w:val="20"/>
          <w:szCs w:val="20"/>
        </w:rPr>
        <w:t>the customer to date. Certain contracts with customers at Midstream &amp; Marketing and UGI Utilities contain minimum future performance obligations through 2047 and 2053, respectively. At March 31, 2021, Midstream &amp; Marketing and UGI Utilities expect to recor</w:t>
      </w:r>
      <w:r>
        <w:rPr>
          <w:rFonts w:eastAsia="Times New Roman"/>
          <w:color w:val="000000"/>
          <w:sz w:val="20"/>
          <w:szCs w:val="20"/>
        </w:rPr>
        <w:t>d approximately $2.1 billion and $0.2 billion of revenues, respectively, related to the minimum future performance obligations over the remaining terms of the related contracts.</w:t>
      </w:r>
    </w:p>
    <w:p w:rsidR="00000000" w:rsidRDefault="003F1733">
      <w:pPr>
        <w:jc w:val="both"/>
        <w:rPr>
          <w:rFonts w:eastAsia="Times New Roman"/>
        </w:rPr>
      </w:pPr>
    </w:p>
    <w:p w:rsidR="00000000" w:rsidRDefault="003F1733">
      <w:pPr>
        <w:ind w:hanging="540"/>
        <w:jc w:val="both"/>
        <w:rPr>
          <w:rFonts w:eastAsia="Times New Roman"/>
        </w:rPr>
      </w:pPr>
      <w:r>
        <w:rPr>
          <w:rFonts w:eastAsia="Times New Roman"/>
          <w:b/>
          <w:bCs/>
          <w:color w:val="000000"/>
          <w:sz w:val="20"/>
          <w:szCs w:val="20"/>
          <w:u w:val="single"/>
        </w:rPr>
        <w:t>Note 5 — Inventories</w:t>
      </w:r>
      <w:r>
        <w:rPr>
          <w:rFonts w:eastAsia="Times New Roman"/>
          <w:b/>
          <w:bCs/>
          <w:color w:val="000000"/>
          <w:sz w:val="20"/>
          <w:szCs w:val="20"/>
        </w:rPr>
        <w:t xml:space="preserve">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Inventories comprise the following:</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4812"/>
        <w:gridCol w:w="38"/>
        <w:gridCol w:w="36"/>
        <w:gridCol w:w="36"/>
        <w:gridCol w:w="36"/>
        <w:gridCol w:w="120"/>
        <w:gridCol w:w="874"/>
        <w:gridCol w:w="36"/>
        <w:gridCol w:w="36"/>
        <w:gridCol w:w="36"/>
        <w:gridCol w:w="36"/>
        <w:gridCol w:w="121"/>
        <w:gridCol w:w="874"/>
        <w:gridCol w:w="36"/>
        <w:gridCol w:w="36"/>
        <w:gridCol w:w="36"/>
        <w:gridCol w:w="36"/>
        <w:gridCol w:w="120"/>
        <w:gridCol w:w="876"/>
        <w:gridCol w:w="36"/>
      </w:tblGrid>
      <w:tr w:rsidR="00000000">
        <w:trPr>
          <w:divId w:val="416249869"/>
        </w:trPr>
        <w:tc>
          <w:tcPr>
            <w:tcW w:w="50" w:type="pct"/>
            <w:vAlign w:val="center"/>
            <w:hideMark/>
          </w:tcPr>
          <w:p w:rsidR="00000000" w:rsidRDefault="003F1733">
            <w:pPr>
              <w:jc w:val="both"/>
              <w:rPr>
                <w:rFonts w:eastAsia="Times New Roman"/>
              </w:rPr>
            </w:pPr>
          </w:p>
        </w:tc>
        <w:tc>
          <w:tcPr>
            <w:tcW w:w="29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416249869"/>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March 31,</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September 30,</w:t>
            </w:r>
            <w:r>
              <w:rPr>
                <w:rFonts w:eastAsia="Times New Roman"/>
                <w:color w:val="000000"/>
                <w:sz w:val="18"/>
                <w:szCs w:val="18"/>
              </w:rPr>
              <w:b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March 31,</w:t>
            </w:r>
            <w:r>
              <w:rPr>
                <w:rFonts w:eastAsia="Times New Roman"/>
                <w:color w:val="000000"/>
                <w:sz w:val="18"/>
                <w:szCs w:val="18"/>
              </w:rPr>
              <w:br/>
              <w:t>2020</w:t>
            </w:r>
          </w:p>
        </w:tc>
      </w:tr>
      <w:tr w:rsidR="00000000">
        <w:trPr>
          <w:divId w:val="416249869"/>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Non-utility LPG and natural gas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416249869"/>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Gas Utility natural gas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416249869"/>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Materials, supplies and other</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416249869"/>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inventories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rPr>
          <w:rFonts w:eastAsia="Times New Roman"/>
        </w:rPr>
      </w:pPr>
    </w:p>
    <w:p w:rsidR="00000000" w:rsidRDefault="003F1733">
      <w:pPr>
        <w:ind w:hanging="540"/>
        <w:jc w:val="both"/>
        <w:rPr>
          <w:rFonts w:eastAsia="Times New Roman"/>
        </w:rPr>
      </w:pPr>
      <w:r>
        <w:rPr>
          <w:rFonts w:eastAsia="Times New Roman"/>
          <w:b/>
          <w:bCs/>
          <w:color w:val="000000"/>
          <w:sz w:val="20"/>
          <w:szCs w:val="20"/>
          <w:u w:val="single"/>
        </w:rPr>
        <w:t>Note 6 — Utility Regulatory Assets and Liabilities and Regulatory Matters</w:t>
      </w:r>
      <w:r>
        <w:rPr>
          <w:rFonts w:eastAsia="Times New Roman"/>
          <w:b/>
          <w:bCs/>
          <w:color w:val="000000"/>
          <w:sz w:val="20"/>
          <w:szCs w:val="20"/>
        </w:rPr>
        <w:t xml:space="preserve">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For a description of the Company’</w:t>
      </w:r>
      <w:r>
        <w:rPr>
          <w:rFonts w:eastAsia="Times New Roman"/>
          <w:color w:val="000000"/>
          <w:sz w:val="20"/>
          <w:szCs w:val="20"/>
        </w:rPr>
        <w:t>s regulatory assets and liabilities other than those described below, see Note 9 in the Company’s 2020 Annual Report. Other than removal costs, UGI Utilities currently does not recover a rate of return on its regulatory assets listed below. The following r</w:t>
      </w:r>
      <w:r>
        <w:rPr>
          <w:rFonts w:eastAsia="Times New Roman"/>
          <w:color w:val="000000"/>
          <w:sz w:val="20"/>
          <w:szCs w:val="20"/>
        </w:rPr>
        <w:t>egulatory assets and liabilities associated with UGI Utilities are included on the Condensed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0"/>
        <w:gridCol w:w="4811"/>
        <w:gridCol w:w="39"/>
        <w:gridCol w:w="36"/>
        <w:gridCol w:w="36"/>
        <w:gridCol w:w="36"/>
        <w:gridCol w:w="120"/>
        <w:gridCol w:w="873"/>
        <w:gridCol w:w="36"/>
        <w:gridCol w:w="36"/>
        <w:gridCol w:w="36"/>
        <w:gridCol w:w="36"/>
        <w:gridCol w:w="121"/>
        <w:gridCol w:w="874"/>
        <w:gridCol w:w="36"/>
        <w:gridCol w:w="36"/>
        <w:gridCol w:w="36"/>
        <w:gridCol w:w="36"/>
        <w:gridCol w:w="120"/>
        <w:gridCol w:w="876"/>
        <w:gridCol w:w="36"/>
      </w:tblGrid>
      <w:tr w:rsidR="00000000">
        <w:trPr>
          <w:divId w:val="1786385146"/>
        </w:trPr>
        <w:tc>
          <w:tcPr>
            <w:tcW w:w="50" w:type="pct"/>
            <w:vAlign w:val="center"/>
            <w:hideMark/>
          </w:tcPr>
          <w:p w:rsidR="00000000" w:rsidRDefault="003F1733">
            <w:pPr>
              <w:jc w:val="both"/>
              <w:rPr>
                <w:rFonts w:eastAsia="Times New Roman"/>
              </w:rPr>
            </w:pPr>
          </w:p>
        </w:tc>
        <w:tc>
          <w:tcPr>
            <w:tcW w:w="29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786385146"/>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March 31,</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September 30,</w:t>
            </w:r>
            <w:r>
              <w:rPr>
                <w:rFonts w:eastAsia="Times New Roman"/>
                <w:color w:val="000000"/>
                <w:sz w:val="18"/>
                <w:szCs w:val="18"/>
              </w:rPr>
              <w:b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March 31,</w:t>
            </w:r>
            <w:r>
              <w:rPr>
                <w:rFonts w:eastAsia="Times New Roman"/>
                <w:color w:val="000000"/>
                <w:sz w:val="18"/>
                <w:szCs w:val="18"/>
              </w:rPr>
              <w:br/>
              <w:t>2020</w:t>
            </w:r>
          </w:p>
        </w:tc>
      </w:tr>
      <w:tr w:rsidR="00000000">
        <w:trPr>
          <w:divId w:val="1786385146"/>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b/>
                <w:bCs/>
                <w:color w:val="000000"/>
                <w:sz w:val="20"/>
                <w:szCs w:val="20"/>
              </w:rPr>
              <w:t>Regulatory assets (a):</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786385146"/>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Income taxes recoverable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shd w:val="clear" w:color="auto" w:fill="CCEE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Underfunded pension and postretirement plans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Environmental costs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786385146"/>
        </w:trPr>
        <w:tc>
          <w:tcPr>
            <w:tcW w:w="0" w:type="auto"/>
            <w:gridSpan w:val="3"/>
            <w:shd w:val="clear" w:color="auto" w:fill="CCEE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Removal costs, net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regulatory 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b/>
                <w:bCs/>
                <w:color w:val="000000"/>
                <w:sz w:val="20"/>
                <w:szCs w:val="20"/>
              </w:rPr>
              <w:t>Regulatory liabilities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786385146"/>
        </w:trPr>
        <w:tc>
          <w:tcPr>
            <w:tcW w:w="0" w:type="auto"/>
            <w:gridSpan w:val="3"/>
            <w:shd w:val="clear" w:color="auto" w:fill="CCEE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Postretirement benefit overcollections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786385146"/>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Deferred fuel and power refunds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shd w:val="clear" w:color="auto" w:fill="CCEE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State tax benefits — distribution system repairs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PAPUC Temporary Rates Order</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shd w:val="clear" w:color="auto" w:fill="CCEE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Excess federal deferred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86385146"/>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regulatory liabilities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ind w:hanging="360"/>
        <w:jc w:val="both"/>
        <w:rPr>
          <w:rFonts w:eastAsia="Times New Roman"/>
        </w:rPr>
      </w:pPr>
      <w:r>
        <w:rPr>
          <w:rFonts w:eastAsia="Times New Roman"/>
          <w:color w:val="000000"/>
          <w:sz w:val="20"/>
          <w:szCs w:val="20"/>
        </w:rPr>
        <w:t>(a)Current regulatory assets are included in “Prepaid expenses and other current assets” and regulatory liabilities are included in “Other current liabiliti</w:t>
      </w:r>
      <w:r>
        <w:rPr>
          <w:rFonts w:eastAsia="Times New Roman"/>
          <w:color w:val="000000"/>
          <w:sz w:val="20"/>
          <w:szCs w:val="20"/>
        </w:rPr>
        <w:t>es” and “Other noncurrent liabilities” on the Condensed Consolidated Balance Sheets.</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Deferred Fuel and Power Refunds.</w:t>
      </w:r>
      <w:r>
        <w:rPr>
          <w:rFonts w:eastAsia="Times New Roman"/>
          <w:color w:val="000000"/>
          <w:sz w:val="20"/>
          <w:szCs w:val="20"/>
        </w:rPr>
        <w:t xml:space="preserve"> Gas Utility’s and Electric Utility’s tariffs contain clauses that permit recovery of all prudently incurred purchased gas and power cost</w:t>
      </w:r>
      <w:r>
        <w:rPr>
          <w:rFonts w:eastAsia="Times New Roman"/>
          <w:color w:val="000000"/>
          <w:sz w:val="20"/>
          <w:szCs w:val="20"/>
        </w:rPr>
        <w:t xml:space="preserve">s through the application of PGC rates in the case of Gas Utility and DS tariffs in the case of Electric Utility. These clauses provide for periodic adjustments to PGC and DS rates for differences between the </w:t>
      </w:r>
    </w:p>
    <w:p w:rsidR="00000000" w:rsidRDefault="003F1733">
      <w:pPr>
        <w:jc w:val="center"/>
        <w:divId w:val="35932539"/>
        <w:rPr>
          <w:rFonts w:eastAsia="Times New Roman"/>
        </w:rPr>
      </w:pPr>
      <w:r>
        <w:rPr>
          <w:rFonts w:eastAsia="Times New Roman"/>
          <w:color w:val="000000"/>
          <w:sz w:val="20"/>
          <w:szCs w:val="20"/>
        </w:rPr>
        <w:t>17</w:t>
      </w:r>
    </w:p>
    <w:p w:rsidR="00000000" w:rsidRDefault="003F1733">
      <w:pPr>
        <w:rPr>
          <w:rFonts w:eastAsia="Times New Roman"/>
        </w:rPr>
      </w:pPr>
      <w:r>
        <w:rPr>
          <w:rFonts w:eastAsia="Times New Roman"/>
        </w:rPr>
        <w:pict>
          <v:rect id="_x0000_i1043" style="width:0;height:1.5pt" o:hralign="center" o:hrstd="t" o:hr="t" fillcolor="#a0a0a0" stroked="f"/>
        </w:pict>
      </w:r>
    </w:p>
    <w:p w:rsidR="00000000" w:rsidRDefault="003F1733">
      <w:pPr>
        <w:divId w:val="203268294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874002797"/>
        <w:rPr>
          <w:rFonts w:eastAsia="Times New Roman"/>
        </w:rPr>
      </w:pPr>
      <w:r>
        <w:rPr>
          <w:rFonts w:eastAsia="Times New Roman"/>
          <w:b/>
          <w:bCs/>
          <w:color w:val="000000"/>
          <w:sz w:val="20"/>
          <w:szCs w:val="20"/>
        </w:rPr>
        <w:t>UGI CORPORATION AND SUBSIDIARIES</w:t>
      </w:r>
    </w:p>
    <w:p w:rsidR="00000000" w:rsidRDefault="003F1733">
      <w:pPr>
        <w:jc w:val="center"/>
        <w:divId w:val="943541196"/>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874002797"/>
        <w:rPr>
          <w:rFonts w:eastAsia="Times New Roman"/>
        </w:rPr>
      </w:pPr>
      <w:r>
        <w:rPr>
          <w:rFonts w:eastAsia="Times New Roman"/>
          <w:color w:val="000000"/>
          <w:sz w:val="20"/>
          <w:szCs w:val="20"/>
        </w:rPr>
        <w:t>(unaudited)</w:t>
      </w:r>
    </w:p>
    <w:p w:rsidR="00000000" w:rsidRDefault="003F1733">
      <w:pPr>
        <w:jc w:val="center"/>
        <w:divId w:val="1874002797"/>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rPr>
          <w:rFonts w:eastAsia="Times New Roman"/>
        </w:rPr>
      </w:pPr>
      <w:r>
        <w:rPr>
          <w:rFonts w:eastAsia="Times New Roman"/>
          <w:color w:val="000000"/>
          <w:sz w:val="20"/>
          <w:szCs w:val="20"/>
        </w:rPr>
        <w:t>total amo</w:t>
      </w:r>
      <w:r>
        <w:rPr>
          <w:rFonts w:eastAsia="Times New Roman"/>
          <w:color w:val="000000"/>
          <w:sz w:val="20"/>
          <w:szCs w:val="20"/>
        </w:rPr>
        <w:t>unt of purchased gas and electric generation supply costs billed to customers and recoverable costs incurred. Net undercollected costs are classified as a regulatory asset and net overcollections are classified as a regulatory liability.</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Gas Utility uses</w:t>
      </w:r>
      <w:r>
        <w:rPr>
          <w:rFonts w:eastAsia="Times New Roman"/>
          <w:color w:val="000000"/>
          <w:sz w:val="20"/>
          <w:szCs w:val="20"/>
        </w:rPr>
        <w:t xml:space="preserve"> derivative instruments to reduce volatility in the cost of gas it purchases for retail core-market customers. Realized and unrealized gains or losses on natural gas derivative instruments are included in deferred fuel and power costs or refunds. Net unrea</w:t>
      </w:r>
      <w:r>
        <w:rPr>
          <w:rFonts w:eastAsia="Times New Roman"/>
          <w:color w:val="000000"/>
          <w:sz w:val="20"/>
          <w:szCs w:val="20"/>
        </w:rPr>
        <w:t>lized gains (losses) on such contracts at March 31, 2021, September 30, 2020 and March 31, 2020 were $1, $8 and $(1), respectively.</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Other Regulatory Matters</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Base Rate Filings.</w:t>
      </w:r>
      <w:r>
        <w:rPr>
          <w:rFonts w:eastAsia="Times New Roman"/>
          <w:color w:val="000000"/>
          <w:sz w:val="20"/>
          <w:szCs w:val="20"/>
        </w:rPr>
        <w:t> </w:t>
      </w:r>
      <w:r>
        <w:rPr>
          <w:rFonts w:eastAsia="Times New Roman"/>
          <w:color w:val="000000"/>
          <w:sz w:val="20"/>
          <w:szCs w:val="20"/>
        </w:rPr>
        <w:t>On February 8, 2021, Electric Utility filed a rate request with the PAPUC to increase its annual base distribution revenues by $9. The increased revenues would fund ongoing system improvements and operations necessary to maintain safe and reliable electric</w:t>
      </w:r>
      <w:r>
        <w:rPr>
          <w:rFonts w:eastAsia="Times New Roman"/>
          <w:color w:val="000000"/>
          <w:sz w:val="20"/>
          <w:szCs w:val="20"/>
        </w:rPr>
        <w:t xml:space="preserve"> service. Electric Utility requested that the new electric rates become effective April 9, 2021. The PAPUC entered an Order on March 11, 2021, suspending the effective date for the rate increase to allow for investigation and public hearings. Unless a sett</w:t>
      </w:r>
      <w:r>
        <w:rPr>
          <w:rFonts w:eastAsia="Times New Roman"/>
          <w:color w:val="000000"/>
          <w:sz w:val="20"/>
          <w:szCs w:val="20"/>
        </w:rPr>
        <w:t>lement is reached sooner, this review process is expected to last up to nine months from the date of filing. The Company cannot predict the timing or the ultimate outcome of the rate case review process.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On January 28, 2020, Gas Utility filed a request w</w:t>
      </w:r>
      <w:r>
        <w:rPr>
          <w:rFonts w:eastAsia="Times New Roman"/>
          <w:color w:val="000000"/>
          <w:sz w:val="20"/>
          <w:szCs w:val="20"/>
        </w:rPr>
        <w:t>ith the PAPUC to increase its annual base distribution operating revenues by $75 annually. On October 8, 2020, the PAPUC issued a final Order approving a settlement that permits Gas Utility to increase its annual base distribution rates by $20, through a p</w:t>
      </w:r>
      <w:r>
        <w:rPr>
          <w:rFonts w:eastAsia="Times New Roman"/>
          <w:color w:val="000000"/>
          <w:sz w:val="20"/>
          <w:szCs w:val="20"/>
        </w:rPr>
        <w:t>hased approach, with $10 beginning January 1, 2021 and an additional $10 beginning July 1, 2021. Additionally, Gas Utility was authorized to implement a DSIC once Gas Utility total property, plant and equipment less accumulated depreciation reached $2,875.</w:t>
      </w:r>
      <w:r>
        <w:rPr>
          <w:rFonts w:eastAsia="Times New Roman"/>
          <w:color w:val="000000"/>
          <w:sz w:val="20"/>
          <w:szCs w:val="20"/>
        </w:rPr>
        <w:t xml:space="preserve"> This threshold was achieved in December 2020, and Gas Utility implemented a DSIC effective April 1, 2021. The PAPUC’s final Order also includes enhanced COVID-19 customer assistance measures, including the establishment of an Emergency Relief Program for </w:t>
      </w:r>
      <w:r>
        <w:rPr>
          <w:rFonts w:eastAsia="Times New Roman"/>
          <w:color w:val="000000"/>
          <w:sz w:val="20"/>
          <w:szCs w:val="20"/>
        </w:rPr>
        <w:t xml:space="preserve">a defined set of payment troubled customers (“ERP”). Additionally, the PAPUC’s final Order permits Gas Utility to establish a regulatory asset for certain incremental expenses attributable to the ongoing COVID-19 pandemic, most notably expenses related to </w:t>
      </w:r>
      <w:r>
        <w:rPr>
          <w:rFonts w:eastAsia="Times New Roman"/>
          <w:color w:val="000000"/>
          <w:sz w:val="20"/>
          <w:szCs w:val="20"/>
        </w:rPr>
        <w:t>the ERP and uncollectible accounts expense, through the effective date of rates in the next Gas Utility base rate case, to be recovered and amortized over a 10-year period. In accordance with the terms of the PAPUC’s final Order, Gas Utility is not permitt</w:t>
      </w:r>
      <w:r>
        <w:rPr>
          <w:rFonts w:eastAsia="Times New Roman"/>
          <w:color w:val="000000"/>
          <w:sz w:val="20"/>
          <w:szCs w:val="20"/>
        </w:rPr>
        <w:t>ed to file a rate case prior to January 1, 2022.</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On January 28, 2019, Gas Utility filed a rate request with the PAPUC to increase the base operating revenues for residential, commercial, and industrial customers throughout its Pennsylvania service territory by an aggregate $71. On October 4, 2019, the PA</w:t>
      </w:r>
      <w:r>
        <w:rPr>
          <w:rFonts w:eastAsia="Times New Roman"/>
          <w:color w:val="000000"/>
          <w:sz w:val="20"/>
          <w:szCs w:val="20"/>
        </w:rPr>
        <w:t>PUC issued a final Order approving a settlement that permitted Gas Utility, effective October 11, 2019, to increase its base distribution revenues by $30 under a single consolidated tariff, approved a plan for uniform class rates, and permitted Gas Utility</w:t>
      </w:r>
      <w:r>
        <w:rPr>
          <w:rFonts w:eastAsia="Times New Roman"/>
          <w:color w:val="000000"/>
          <w:sz w:val="20"/>
          <w:szCs w:val="20"/>
        </w:rPr>
        <w:t xml:space="preserve"> to extend its Energy Efficiency and Conservation and Growth Extension Tariff programs by an additional term of five years. The PAPUC’s final Order approved a negative surcharge, to return to customers $24 of tax benefits experienced by Gas Utility over th</w:t>
      </w:r>
      <w:r>
        <w:rPr>
          <w:rFonts w:eastAsia="Times New Roman"/>
          <w:color w:val="000000"/>
          <w:sz w:val="20"/>
          <w:szCs w:val="20"/>
        </w:rPr>
        <w:t xml:space="preserve">e period January 1, 2018 to June 30, 2018, plus applicable interest, in accordance with the May 17, 2018 PAPUC Order, which became effective for a twelve-month period beginning on October 11, 2019, the effective date of Gas Utility’s new base rates. </w:t>
      </w:r>
    </w:p>
    <w:p w:rsidR="00000000" w:rsidRDefault="003F1733">
      <w:pPr>
        <w:jc w:val="both"/>
        <w:rPr>
          <w:rFonts w:eastAsia="Times New Roman"/>
        </w:rPr>
      </w:pPr>
    </w:p>
    <w:p w:rsidR="00000000" w:rsidRDefault="003F1733">
      <w:pPr>
        <w:divId w:val="2035111810"/>
        <w:rPr>
          <w:rFonts w:eastAsia="Times New Roman"/>
        </w:rPr>
      </w:pPr>
      <w:r>
        <w:rPr>
          <w:rFonts w:eastAsia="Times New Roman"/>
          <w:b/>
          <w:bCs/>
          <w:color w:val="000000"/>
          <w:sz w:val="20"/>
          <w:szCs w:val="20"/>
          <w:u w:val="single"/>
        </w:rPr>
        <w:t>Not</w:t>
      </w:r>
      <w:r>
        <w:rPr>
          <w:rFonts w:eastAsia="Times New Roman"/>
          <w:b/>
          <w:bCs/>
          <w:color w:val="000000"/>
          <w:sz w:val="20"/>
          <w:szCs w:val="20"/>
          <w:u w:val="single"/>
        </w:rPr>
        <w:t>e 7 — Debt</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Subsequent Events</w:t>
      </w:r>
    </w:p>
    <w:p w:rsidR="00000000" w:rsidRDefault="003F1733">
      <w:pPr>
        <w:divId w:val="780029332"/>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UGI Corporation Senior Credit Facility. </w:t>
      </w:r>
      <w:r>
        <w:rPr>
          <w:rFonts w:eastAsia="Times New Roman"/>
          <w:color w:val="000000"/>
          <w:sz w:val="20"/>
          <w:szCs w:val="20"/>
        </w:rPr>
        <w:t>On April 29, 2021, the Company repaid $30 of borrowings on its five-year $300 revolving credit facility under the UGI Corporation Senior Credit Facility. As a result of this repayment</w:t>
      </w:r>
      <w:r>
        <w:rPr>
          <w:rFonts w:eastAsia="Times New Roman"/>
          <w:color w:val="000000"/>
          <w:sz w:val="20"/>
          <w:szCs w:val="20"/>
        </w:rPr>
        <w:t>, the Company classified these repayments as “Current maturities of long-term debt” on the March 31, 2021 Condensed Consolidated Balance Sheet. The remaining $245 of outstanding borrowings on this revolving credit facility are classified as “Long-term debt</w:t>
      </w:r>
      <w:r>
        <w:rPr>
          <w:rFonts w:eastAsia="Times New Roman"/>
          <w:color w:val="000000"/>
          <w:sz w:val="20"/>
          <w:szCs w:val="20"/>
        </w:rPr>
        <w:t>” on the March 31, 2021 Condensed Consolidated Balance Sheet as management intends to maintain a substantial portion of these borrowings beyond twelve months from balance sheet date.</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Also, on May 4, 2021, UGI amended the existing UGI Corporation Senior C</w:t>
      </w:r>
      <w:r>
        <w:rPr>
          <w:rFonts w:eastAsia="Times New Roman"/>
          <w:color w:val="000000"/>
          <w:sz w:val="20"/>
          <w:szCs w:val="20"/>
        </w:rPr>
        <w:t>redit Facility. The 2021 UGI Corporation Senior Credit Facility (1) extends the maturity date of the previous three-year $300 term loan included in the existing UGI Corporation Senior Credit Facility, which is now due in May 2025; and (2) includes a new fo</w:t>
      </w:r>
      <w:r>
        <w:rPr>
          <w:rFonts w:eastAsia="Times New Roman"/>
          <w:color w:val="000000"/>
          <w:sz w:val="20"/>
          <w:szCs w:val="20"/>
        </w:rPr>
        <w:t xml:space="preserve">ur-year $300 term loan commitment. Proceeds </w:t>
      </w:r>
    </w:p>
    <w:p w:rsidR="00000000" w:rsidRDefault="003F1733">
      <w:pPr>
        <w:jc w:val="center"/>
        <w:divId w:val="1132403112"/>
        <w:rPr>
          <w:rFonts w:eastAsia="Times New Roman"/>
        </w:rPr>
      </w:pPr>
      <w:r>
        <w:rPr>
          <w:rFonts w:eastAsia="Times New Roman"/>
          <w:color w:val="000000"/>
          <w:sz w:val="20"/>
          <w:szCs w:val="20"/>
        </w:rPr>
        <w:t>18</w:t>
      </w:r>
    </w:p>
    <w:p w:rsidR="00000000" w:rsidRDefault="003F1733">
      <w:pPr>
        <w:rPr>
          <w:rFonts w:eastAsia="Times New Roman"/>
        </w:rPr>
      </w:pPr>
      <w:r>
        <w:rPr>
          <w:rFonts w:eastAsia="Times New Roman"/>
        </w:rPr>
        <w:pict>
          <v:rect id="_x0000_i1044" style="width:0;height:1.5pt" o:hralign="center" o:hrstd="t" o:hr="t" fillcolor="#a0a0a0" stroked="f"/>
        </w:pict>
      </w:r>
    </w:p>
    <w:p w:rsidR="00000000" w:rsidRDefault="003F1733">
      <w:pPr>
        <w:divId w:val="2113435995"/>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867715143"/>
        <w:rPr>
          <w:rFonts w:eastAsia="Times New Roman"/>
        </w:rPr>
      </w:pPr>
      <w:r>
        <w:rPr>
          <w:rFonts w:eastAsia="Times New Roman"/>
          <w:b/>
          <w:bCs/>
          <w:color w:val="000000"/>
          <w:sz w:val="20"/>
          <w:szCs w:val="20"/>
        </w:rPr>
        <w:t>UGI CORPORATION AND SUBSIDIARIES</w:t>
      </w:r>
    </w:p>
    <w:p w:rsidR="00000000" w:rsidRDefault="003F1733">
      <w:pPr>
        <w:jc w:val="center"/>
        <w:divId w:val="962270558"/>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867715143"/>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3F1733">
      <w:pPr>
        <w:jc w:val="center"/>
        <w:divId w:val="867715143"/>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rPr>
          <w:rFonts w:eastAsia="Times New Roman"/>
        </w:rPr>
      </w:pPr>
      <w:r>
        <w:rPr>
          <w:rFonts w:eastAsia="Times New Roman"/>
          <w:color w:val="000000"/>
          <w:sz w:val="20"/>
          <w:szCs w:val="20"/>
        </w:rPr>
        <w:t>from new borrowings under the 2021 UGI Corporation Senior Credit Facility may be used to finance a portion of the Mountaineer Acquisition and for general corporate purposes.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New borrowings under the 2021 UGI Corporation Senior Credit Facility bear interest subject to our election, at either (1) the associated prime rate plus a margin or (2) an adjusted LIBOR or an alternate benchmark rate plus a margin and are due in their en</w:t>
      </w:r>
      <w:r>
        <w:rPr>
          <w:rFonts w:eastAsia="Times New Roman"/>
          <w:color w:val="000000"/>
          <w:sz w:val="20"/>
          <w:szCs w:val="20"/>
        </w:rPr>
        <w:t xml:space="preserve">tirety at the maturity date. The applicable margin on the new borrowings, which is dependent upon a ratio of consolidated net indebtedness to consolidated EBITDA, as defined, or UGI’s credit ratings, ranges from 0.125% to 1.50% if the prime rate option is </w:t>
      </w:r>
      <w:r>
        <w:rPr>
          <w:rFonts w:eastAsia="Times New Roman"/>
          <w:color w:val="000000"/>
          <w:sz w:val="20"/>
          <w:szCs w:val="20"/>
        </w:rPr>
        <w:t>elected and 1.125% to 2.50% if the LIBOR option is elected.</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2021 UGI Corporation Senior Credit Facility restricts the ability of UGI to, among other things, incur additional indebtedness, make investments, incur liens, and effect mergers, consolidati</w:t>
      </w:r>
      <w:r>
        <w:rPr>
          <w:rFonts w:eastAsia="Times New Roman"/>
          <w:color w:val="000000"/>
          <w:sz w:val="20"/>
          <w:szCs w:val="20"/>
        </w:rPr>
        <w:t>ons and sales of assets. The 2021 UGI Corporation Senior Credit Facility also requires UGI not to exceed a ratio of consolidated net indebtedness to consolidated EBITDA, each as defined and calculated on a rolling four-quarter basis as of the last day of e</w:t>
      </w:r>
      <w:r>
        <w:rPr>
          <w:rFonts w:eastAsia="Times New Roman"/>
          <w:color w:val="000000"/>
          <w:sz w:val="20"/>
          <w:szCs w:val="20"/>
        </w:rPr>
        <w:t>ach fiscal quarter of 4.50 to 1.00 and raised to 4.75 to 1.00 during an Acquisition Period, as defined by the agreement. Under certain circumstances relating to UGI’s credit ratings, UGI may also be required to maintain a ratio of consolidated EBITDA to co</w:t>
      </w:r>
      <w:r>
        <w:rPr>
          <w:rFonts w:eastAsia="Times New Roman"/>
          <w:color w:val="000000"/>
          <w:sz w:val="20"/>
          <w:szCs w:val="20"/>
        </w:rPr>
        <w:t>nsolidated interest expense, each as defined, as of the last day of each fiscal quarter of not less than 3.50 to 1.00.</w:t>
      </w:r>
    </w:p>
    <w:p w:rsidR="00000000" w:rsidRDefault="003F1733">
      <w:pPr>
        <w:jc w:val="both"/>
        <w:rPr>
          <w:rFonts w:eastAsia="Times New Roman"/>
        </w:rPr>
      </w:pPr>
    </w:p>
    <w:p w:rsidR="00000000" w:rsidRDefault="003F1733">
      <w:pPr>
        <w:ind w:hanging="540"/>
        <w:jc w:val="both"/>
        <w:rPr>
          <w:rFonts w:eastAsia="Times New Roman"/>
        </w:rPr>
      </w:pPr>
      <w:r>
        <w:rPr>
          <w:rFonts w:eastAsia="Times New Roman"/>
          <w:b/>
          <w:bCs/>
          <w:color w:val="000000"/>
          <w:sz w:val="20"/>
          <w:szCs w:val="20"/>
          <w:u w:val="single"/>
        </w:rPr>
        <w:t>Note 8 — Commitments and Contingencies</w:t>
      </w:r>
      <w:r>
        <w:rPr>
          <w:rFonts w:eastAsia="Times New Roman"/>
          <w:b/>
          <w:bCs/>
          <w:color w:val="000000"/>
          <w:sz w:val="20"/>
          <w:szCs w:val="20"/>
        </w:rPr>
        <w:t xml:space="preserve"> </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Environmental Matters</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UGI Utilities</w:t>
      </w:r>
    </w:p>
    <w:p w:rsidR="00000000" w:rsidRDefault="003F1733">
      <w:pPr>
        <w:jc w:val="both"/>
        <w:rPr>
          <w:rFonts w:eastAsia="Times New Roman"/>
        </w:rPr>
      </w:pPr>
    </w:p>
    <w:p w:rsidR="00000000" w:rsidRDefault="003F1733">
      <w:pPr>
        <w:jc w:val="both"/>
        <w:divId w:val="1601403078"/>
        <w:rPr>
          <w:rFonts w:eastAsia="Times New Roman"/>
        </w:rPr>
      </w:pPr>
      <w:r>
        <w:rPr>
          <w:rFonts w:eastAsia="Times New Roman"/>
          <w:color w:val="000000"/>
          <w:sz w:val="20"/>
          <w:szCs w:val="20"/>
        </w:rPr>
        <w:t>From the late 1800s through the mid-1900s, UGI Utilities and its former subsidiaries owned and operated a number of MGPs prior to the general availability of natural gas. Some constituents of coal tars and other residues of the manufactured gas process are</w:t>
      </w:r>
      <w:r>
        <w:rPr>
          <w:rFonts w:eastAsia="Times New Roman"/>
          <w:color w:val="000000"/>
          <w:sz w:val="20"/>
          <w:szCs w:val="20"/>
        </w:rPr>
        <w:t xml:space="preserve"> today considered hazardous substances under the Superfund Law and may be present on the sites of former MGPs. Between 1882 and 1953, UGI Utilities owned the stock of subsidiary gas companies in Pennsylvania and elsewhere and also operated the businesses o</w:t>
      </w:r>
      <w:r>
        <w:rPr>
          <w:rFonts w:eastAsia="Times New Roman"/>
          <w:color w:val="000000"/>
          <w:sz w:val="20"/>
          <w:szCs w:val="20"/>
        </w:rPr>
        <w:t>f some gas companies under agreement. By the early 1950s, UGI Utilities divested all of its utility operations other than certain gas and electric operations. Beginning in 2006 and 2008, UGI Utilities also owned and operated two acquired subsidiaries, with</w:t>
      </w:r>
      <w:r>
        <w:rPr>
          <w:rFonts w:eastAsia="Times New Roman"/>
          <w:color w:val="000000"/>
          <w:sz w:val="20"/>
          <w:szCs w:val="20"/>
        </w:rPr>
        <w:t xml:space="preserve"> similar histories of owning, and in some cases operating, MGPs in Pennsylvania. </w:t>
      </w:r>
    </w:p>
    <w:p w:rsidR="00000000" w:rsidRDefault="003F1733">
      <w:pPr>
        <w:jc w:val="both"/>
        <w:rPr>
          <w:rFonts w:eastAsia="Times New Roman"/>
        </w:rPr>
      </w:pPr>
      <w:r>
        <w:rPr>
          <w:rFonts w:eastAsia="Times New Roman"/>
          <w:color w:val="000000"/>
          <w:sz w:val="20"/>
          <w:szCs w:val="20"/>
        </w:rPr>
        <w:t xml:space="preserve">Prior to October 1, 2020, UGI Utilities was subject to three COAs with the PADEP to address the remediation of specified former MGP sites in Pennsylvania and, in the case of </w:t>
      </w:r>
      <w:r>
        <w:rPr>
          <w:rFonts w:eastAsia="Times New Roman"/>
          <w:color w:val="000000"/>
          <w:sz w:val="20"/>
          <w:szCs w:val="20"/>
        </w:rPr>
        <w:t>one COA, the plugging of specified natural gas wells. Effective October 1, 2020, the COAs were consolidated into one agreement that supersedes the existing agreements, and which is scheduled to terminate at the end of 2031. In accordance with the consolida</w:t>
      </w:r>
      <w:r>
        <w:rPr>
          <w:rFonts w:eastAsia="Times New Roman"/>
          <w:color w:val="000000"/>
          <w:sz w:val="20"/>
          <w:szCs w:val="20"/>
        </w:rPr>
        <w:t>ted COA, UGI Utilities is required to either obtain a certain number of points per calendar year based on defined eligible environmental investigatory and/or remedial activities at the MGPs, or make expenditures for such activities in an amount equal to an</w:t>
      </w:r>
      <w:r>
        <w:rPr>
          <w:rFonts w:eastAsia="Times New Roman"/>
          <w:color w:val="000000"/>
          <w:sz w:val="20"/>
          <w:szCs w:val="20"/>
        </w:rPr>
        <w:t xml:space="preserve"> annual environmental minimum expenditure threshold. The annual minimum expenditure required under the consolidated COA is $5. The consolidated COA permits the transfer of the specified wells, with related costs counted towards the annual minimum expenditu</w:t>
      </w:r>
      <w:r>
        <w:rPr>
          <w:rFonts w:eastAsia="Times New Roman"/>
          <w:color w:val="000000"/>
          <w:sz w:val="20"/>
          <w:szCs w:val="20"/>
        </w:rPr>
        <w:t>re. At March 31, 2021, September 30, 2020 and March 31, 2020, our aggregate estimated accrued liabilities for environmental investigation and remediation costs related to the current COA and the predecessor agreements totaled $50, $53 and $49, respectively</w:t>
      </w:r>
      <w:r>
        <w:rPr>
          <w:rFonts w:eastAsia="Times New Roman"/>
          <w:color w:val="000000"/>
          <w:sz w:val="20"/>
          <w:szCs w:val="20"/>
        </w:rPr>
        <w:t>.</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We do not expect the costs for investigation and remediation of hazardous substances at Pennsylvania MGP sites to be material to UGI Utilities’ results of operations because UGI Utilities receives ratemaking recovery of actual environmental investigati</w:t>
      </w:r>
      <w:r>
        <w:rPr>
          <w:rFonts w:eastAsia="Times New Roman"/>
          <w:color w:val="000000"/>
          <w:sz w:val="20"/>
          <w:szCs w:val="20"/>
        </w:rPr>
        <w:t>on and remediation costs associated with the sites covered by the COA. This ratemaking recognition reconciles the accumulated difference between historical costs and rate recoveries with an estimate of future costs associated with the sites. As such, UGI U</w:t>
      </w:r>
      <w:r>
        <w:rPr>
          <w:rFonts w:eastAsia="Times New Roman"/>
          <w:color w:val="000000"/>
          <w:sz w:val="20"/>
          <w:szCs w:val="20"/>
        </w:rPr>
        <w:t>tilities has recorded an associated regulatory asset for these costs because recovery of these costs from customers is probable (see Note 6).</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From time to time, UGI Utilities is notified of sites outside Pennsylvania on which private parties allege MGPs </w:t>
      </w:r>
      <w:r>
        <w:rPr>
          <w:rFonts w:eastAsia="Times New Roman"/>
          <w:color w:val="000000"/>
          <w:sz w:val="20"/>
          <w:szCs w:val="20"/>
        </w:rPr>
        <w:t>were formerly owned or operated by UGI Utilities or owned or operated by a former subsidiary. Such parties generally investigate the extent of environmental contamination or perform environmental remediation. Management believes that under applicable law U</w:t>
      </w:r>
      <w:r>
        <w:rPr>
          <w:rFonts w:eastAsia="Times New Roman"/>
          <w:color w:val="000000"/>
          <w:sz w:val="20"/>
          <w:szCs w:val="20"/>
        </w:rPr>
        <w:t>GI Utilities should not be liable in those instances in which a former subsidiary owned or operated an MGP. There could be, however, significant future costs of an uncertain amount associated with environmental damage caused by MGPs outside Pennsylvania th</w:t>
      </w:r>
      <w:r>
        <w:rPr>
          <w:rFonts w:eastAsia="Times New Roman"/>
          <w:color w:val="000000"/>
          <w:sz w:val="20"/>
          <w:szCs w:val="20"/>
        </w:rPr>
        <w:t xml:space="preserve">at UGI Utilities directly operated, or that were owned or operated by a former subsidiary of UGI Utilities if a </w:t>
      </w:r>
    </w:p>
    <w:p w:rsidR="00000000" w:rsidRDefault="003F1733">
      <w:pPr>
        <w:jc w:val="center"/>
        <w:divId w:val="1853914149"/>
        <w:rPr>
          <w:rFonts w:eastAsia="Times New Roman"/>
        </w:rPr>
      </w:pPr>
      <w:r>
        <w:rPr>
          <w:rFonts w:eastAsia="Times New Roman"/>
          <w:color w:val="000000"/>
          <w:sz w:val="20"/>
          <w:szCs w:val="20"/>
        </w:rPr>
        <w:t>19</w:t>
      </w:r>
    </w:p>
    <w:p w:rsidR="00000000" w:rsidRDefault="003F1733">
      <w:pPr>
        <w:rPr>
          <w:rFonts w:eastAsia="Times New Roman"/>
        </w:rPr>
      </w:pPr>
      <w:r>
        <w:rPr>
          <w:rFonts w:eastAsia="Times New Roman"/>
        </w:rPr>
        <w:pict>
          <v:rect id="_x0000_i1045" style="width:0;height:1.5pt" o:hralign="center" o:hrstd="t" o:hr="t" fillcolor="#a0a0a0" stroked="f"/>
        </w:pict>
      </w:r>
    </w:p>
    <w:p w:rsidR="00000000" w:rsidRDefault="003F1733">
      <w:pPr>
        <w:divId w:val="1118068307"/>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195731667"/>
        <w:rPr>
          <w:rFonts w:eastAsia="Times New Roman"/>
        </w:rPr>
      </w:pPr>
      <w:r>
        <w:rPr>
          <w:rFonts w:eastAsia="Times New Roman"/>
          <w:b/>
          <w:bCs/>
          <w:color w:val="000000"/>
          <w:sz w:val="20"/>
          <w:szCs w:val="20"/>
        </w:rPr>
        <w:t>UGI CORPORATION AND SUBSIDIARIES</w:t>
      </w:r>
    </w:p>
    <w:p w:rsidR="00000000" w:rsidRDefault="003F1733">
      <w:pPr>
        <w:jc w:val="center"/>
        <w:divId w:val="791628113"/>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195731667"/>
        <w:rPr>
          <w:rFonts w:eastAsia="Times New Roman"/>
        </w:rPr>
      </w:pPr>
      <w:r>
        <w:rPr>
          <w:rFonts w:eastAsia="Times New Roman"/>
          <w:color w:val="000000"/>
          <w:sz w:val="20"/>
          <w:szCs w:val="20"/>
        </w:rPr>
        <w:t>(unaudited)</w:t>
      </w:r>
    </w:p>
    <w:p w:rsidR="00000000" w:rsidRDefault="003F1733">
      <w:pPr>
        <w:jc w:val="center"/>
        <w:divId w:val="1195731667"/>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rPr>
          <w:rFonts w:eastAsia="Times New Roman"/>
        </w:rPr>
      </w:pPr>
      <w:r>
        <w:rPr>
          <w:rFonts w:eastAsia="Times New Roman"/>
          <w:color w:val="000000"/>
          <w:sz w:val="20"/>
          <w:szCs w:val="20"/>
        </w:rPr>
        <w:t>cou</w:t>
      </w:r>
      <w:r>
        <w:rPr>
          <w:rFonts w:eastAsia="Times New Roman"/>
          <w:color w:val="000000"/>
          <w:sz w:val="20"/>
          <w:szCs w:val="20"/>
        </w:rPr>
        <w:t>rt were to conclude that (1) the subsidiary’s separate corporate form should be disregarded, or (2) UGI Utilities should be considered to have been an operator because of its conduct with respect to its subsidiary’s MGP. Neither the undiscounted nor the ac</w:t>
      </w:r>
      <w:r>
        <w:rPr>
          <w:rFonts w:eastAsia="Times New Roman"/>
          <w:color w:val="000000"/>
          <w:sz w:val="20"/>
          <w:szCs w:val="20"/>
        </w:rPr>
        <w:t>crued liability for environmental investigation and cleanup costs for UGI Utilities’ MGP sites outside Pennsylvania was material for all periods presented.</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AmeriGas Propane</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AmeriGas OLP Saranac Lake. </w:t>
      </w:r>
      <w:r>
        <w:rPr>
          <w:rFonts w:eastAsia="Times New Roman"/>
          <w:color w:val="000000"/>
          <w:sz w:val="20"/>
          <w:szCs w:val="20"/>
        </w:rPr>
        <w:t>In 2008, the NYDEC notified AmeriGas OLP that the NY</w:t>
      </w:r>
      <w:r>
        <w:rPr>
          <w:rFonts w:eastAsia="Times New Roman"/>
          <w:color w:val="000000"/>
          <w:sz w:val="20"/>
          <w:szCs w:val="20"/>
        </w:rPr>
        <w:t xml:space="preserve">DEC had placed property purportedly owned by AmeriGas OLP in Saranac Lake, New York on the New York State Registry of Inactive Hazardous Waste Disposal Sites. A site characterization study performed by the NYDEC disclosed contamination related to a former </w:t>
      </w:r>
      <w:r>
        <w:rPr>
          <w:rFonts w:eastAsia="Times New Roman"/>
          <w:color w:val="000000"/>
          <w:sz w:val="20"/>
          <w:szCs w:val="20"/>
        </w:rPr>
        <w:t>MGP. AmeriGas OLP responded to the NYDEC in 2009 to dispute the contention it was a PRP as it did not operate the MGP and appeared to only own a portion of the site. In 2017, the NYDEC communicated to AmeriGas OLP that the NYDEC had previously issued three</w:t>
      </w:r>
      <w:r>
        <w:rPr>
          <w:rFonts w:eastAsia="Times New Roman"/>
          <w:color w:val="000000"/>
          <w:sz w:val="20"/>
          <w:szCs w:val="20"/>
        </w:rPr>
        <w:t xml:space="preserve"> RODs related to remediation of the site totaling approximately $28 and requested additional information regarding AmeriGas OLP’s purported ownership. AmeriGas OLP renewed its challenge to designation as a PRP and identified potential defenses. The NYDEC s</w:t>
      </w:r>
      <w:r>
        <w:rPr>
          <w:rFonts w:eastAsia="Times New Roman"/>
          <w:color w:val="000000"/>
          <w:sz w:val="20"/>
          <w:szCs w:val="20"/>
        </w:rPr>
        <w:t>ubsequently identified a third party PRP with respect to the site.</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NYDEC commenced implementation of the remediation plan in the spring of 2018. Based on our evaluation of the available information as of March 31, 2021, the Partnership has an undisco</w:t>
      </w:r>
      <w:r>
        <w:rPr>
          <w:rFonts w:eastAsia="Times New Roman"/>
          <w:color w:val="000000"/>
          <w:sz w:val="20"/>
          <w:szCs w:val="20"/>
        </w:rPr>
        <w:t>unted environmental remediation liability of $8 related to the site. Our share of the actual remediation costs could be significantly more or less than the accrued amount.</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Other Matters</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Purported Class Action Lawsuits. </w:t>
      </w:r>
      <w:r>
        <w:rPr>
          <w:rFonts w:eastAsia="Times New Roman"/>
          <w:color w:val="000000"/>
          <w:sz w:val="20"/>
          <w:szCs w:val="20"/>
        </w:rPr>
        <w:t xml:space="preserve">Between May and October of 2014, </w:t>
      </w:r>
      <w:r>
        <w:rPr>
          <w:rFonts w:eastAsia="Times New Roman"/>
          <w:color w:val="000000"/>
          <w:sz w:val="20"/>
          <w:szCs w:val="20"/>
        </w:rPr>
        <w:t>purported class action lawsuits were filed in multiple jurisdictions against the Partnership/UGI and a competitor by certain of their direct and indirect customers.  The class action lawsuits allege, among other things, that the Partnership and its competi</w:t>
      </w:r>
      <w:r>
        <w:rPr>
          <w:rFonts w:eastAsia="Times New Roman"/>
          <w:color w:val="000000"/>
          <w:sz w:val="20"/>
          <w:szCs w:val="20"/>
        </w:rPr>
        <w:t>tor colluded, beginning in 2008, to reduce the fill level of portable propane cylinders from 17 pounds to 15 pounds and combined to persuade their common customer, Walmart Stores, Inc., to accept that fill reduction, resulting in increased cylinder costs t</w:t>
      </w:r>
      <w:r>
        <w:rPr>
          <w:rFonts w:eastAsia="Times New Roman"/>
          <w:color w:val="000000"/>
          <w:sz w:val="20"/>
          <w:szCs w:val="20"/>
        </w:rPr>
        <w:t xml:space="preserve">o retailers and end-user customers in violation of federal and certain state antitrust laws.  The claims seek treble damages, injunctive relief, attorneys’ fees and costs on behalf of the putative classes.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On October 16, 2014, the United States Judicia</w:t>
      </w:r>
      <w:r>
        <w:rPr>
          <w:rFonts w:eastAsia="Times New Roman"/>
          <w:color w:val="000000"/>
          <w:sz w:val="20"/>
          <w:szCs w:val="20"/>
        </w:rPr>
        <w:t>l Panel on Multidistrict Litigation transferred all of these purported class action cases to the Western Missouri District Court.  As the result of rulings on a series of procedural filings, including petitions filed with the Eighth Circuit and the U.S. Su</w:t>
      </w:r>
      <w:r>
        <w:rPr>
          <w:rFonts w:eastAsia="Times New Roman"/>
          <w:color w:val="000000"/>
          <w:sz w:val="20"/>
          <w:szCs w:val="20"/>
        </w:rPr>
        <w:t>preme Court, both the federal and state law claims of the direct customer plaintiffs and the state law claims of the indirect customer plaintiffs were remanded to the Western Missouri District Court. The decision of the Western Missouri District Court to d</w:t>
      </w:r>
      <w:r>
        <w:rPr>
          <w:rFonts w:eastAsia="Times New Roman"/>
          <w:color w:val="000000"/>
          <w:sz w:val="20"/>
          <w:szCs w:val="20"/>
        </w:rPr>
        <w:t>ismiss the federal antitrust claims of the indirect customer plaintiffs was upheld by the Eighth Circuit. On April 15, 2019, the Western Missouri District Court ruled that it has jurisdiction over the indirect purchasers’ state law claims and that the indi</w:t>
      </w:r>
      <w:r>
        <w:rPr>
          <w:rFonts w:eastAsia="Times New Roman"/>
          <w:color w:val="000000"/>
          <w:sz w:val="20"/>
          <w:szCs w:val="20"/>
        </w:rPr>
        <w:t>rect customer plaintiffs have standing to pursue those claims. On August 21, 2019, the District Court partially granted the Company’s motion for judgment on the pleadings and dismissed the claims of indirect customer plaintiffs from ten states and the Dist</w:t>
      </w:r>
      <w:r>
        <w:rPr>
          <w:rFonts w:eastAsia="Times New Roman"/>
          <w:color w:val="000000"/>
          <w:sz w:val="20"/>
          <w:szCs w:val="20"/>
        </w:rPr>
        <w:t>rict of Columbia.</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On October 2, 2019, the Partnership reached an agreement to resolve the claims of the direct purchaser class of plaintiffs; the agreement received final court approval on June 18, 2020. On September 18, 2020, the Partnership and counsel for the indirect pu</w:t>
      </w:r>
      <w:r>
        <w:rPr>
          <w:rFonts w:eastAsia="Times New Roman"/>
          <w:color w:val="000000"/>
          <w:sz w:val="20"/>
          <w:szCs w:val="20"/>
        </w:rPr>
        <w:t>rchaser plaintiffs filed a joint statement with the court that they had reached an agreement in principle to settle the claims of the remaining classes and plaintiffs; the settlement received final court approval on March 30, 2021.</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Although we cannot pre</w:t>
      </w:r>
      <w:r>
        <w:rPr>
          <w:rFonts w:eastAsia="Times New Roman"/>
          <w:color w:val="000000"/>
          <w:sz w:val="20"/>
          <w:szCs w:val="20"/>
        </w:rPr>
        <w:t>dict the final results of these pending claims and legal actions, we believe, after consultation with counsel, that the final outcome of these matters will not have a material effect on our financial statements.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In addition to the matters described above</w:t>
      </w:r>
      <w:r>
        <w:rPr>
          <w:rFonts w:eastAsia="Times New Roman"/>
          <w:color w:val="000000"/>
          <w:sz w:val="20"/>
          <w:szCs w:val="20"/>
        </w:rPr>
        <w:t>, there are other pending claims and legal actions arising in the normal course of our businesses. Although we cannot predict the final results of these pending claims and legal actions, we believe, after consultation with counsel, that the final outcome o</w:t>
      </w:r>
      <w:r>
        <w:rPr>
          <w:rFonts w:eastAsia="Times New Roman"/>
          <w:color w:val="000000"/>
          <w:sz w:val="20"/>
          <w:szCs w:val="20"/>
        </w:rPr>
        <w:t>f these matters will not have a material effect on our financial statements.</w:t>
      </w:r>
    </w:p>
    <w:p w:rsidR="00000000" w:rsidRDefault="003F1733">
      <w:pPr>
        <w:jc w:val="both"/>
        <w:rPr>
          <w:rFonts w:eastAsia="Times New Roman"/>
        </w:rPr>
      </w:pPr>
    </w:p>
    <w:p w:rsidR="00000000" w:rsidRDefault="003F1733">
      <w:pPr>
        <w:jc w:val="center"/>
        <w:divId w:val="1156070571"/>
        <w:rPr>
          <w:rFonts w:eastAsia="Times New Roman"/>
        </w:rPr>
      </w:pPr>
      <w:r>
        <w:rPr>
          <w:rFonts w:eastAsia="Times New Roman"/>
          <w:color w:val="000000"/>
          <w:sz w:val="20"/>
          <w:szCs w:val="20"/>
        </w:rPr>
        <w:t>20</w:t>
      </w:r>
    </w:p>
    <w:p w:rsidR="00000000" w:rsidRDefault="003F1733">
      <w:pPr>
        <w:rPr>
          <w:rFonts w:eastAsia="Times New Roman"/>
        </w:rPr>
      </w:pPr>
      <w:r>
        <w:rPr>
          <w:rFonts w:eastAsia="Times New Roman"/>
        </w:rPr>
        <w:pict>
          <v:rect id="_x0000_i1046" style="width:0;height:1.5pt" o:hralign="center" o:hrstd="t" o:hr="t" fillcolor="#a0a0a0" stroked="f"/>
        </w:pict>
      </w:r>
    </w:p>
    <w:p w:rsidR="00000000" w:rsidRDefault="003F1733">
      <w:pPr>
        <w:divId w:val="1693459607"/>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669676447"/>
        <w:rPr>
          <w:rFonts w:eastAsia="Times New Roman"/>
        </w:rPr>
      </w:pPr>
      <w:r>
        <w:rPr>
          <w:rFonts w:eastAsia="Times New Roman"/>
          <w:b/>
          <w:bCs/>
          <w:color w:val="000000"/>
          <w:sz w:val="20"/>
          <w:szCs w:val="20"/>
        </w:rPr>
        <w:t>UGI CORPORATION AND SUBSIDIARIES</w:t>
      </w:r>
    </w:p>
    <w:p w:rsidR="00000000" w:rsidRDefault="003F1733">
      <w:pPr>
        <w:jc w:val="center"/>
        <w:divId w:val="1082994619"/>
        <w:rPr>
          <w:rFonts w:eastAsia="Times New Roman"/>
        </w:rPr>
      </w:pPr>
      <w:r>
        <w:rPr>
          <w:rFonts w:eastAsia="Times New Roman"/>
          <w:b/>
          <w:bCs/>
          <w:color w:val="000000"/>
          <w:sz w:val="20"/>
          <w:szCs w:val="20"/>
          <w:u w:val="single"/>
        </w:rPr>
        <w:t>Notes to Condensed Consolidat</w:t>
      </w:r>
      <w:r>
        <w:rPr>
          <w:rFonts w:eastAsia="Times New Roman"/>
          <w:b/>
          <w:bCs/>
          <w:color w:val="000000"/>
          <w:sz w:val="20"/>
          <w:szCs w:val="20"/>
          <w:u w:val="single"/>
        </w:rPr>
        <w:t>ed Financial Statements</w:t>
      </w:r>
    </w:p>
    <w:p w:rsidR="00000000" w:rsidRDefault="003F1733">
      <w:pPr>
        <w:jc w:val="center"/>
        <w:divId w:val="669676447"/>
        <w:rPr>
          <w:rFonts w:eastAsia="Times New Roman"/>
        </w:rPr>
      </w:pPr>
      <w:r>
        <w:rPr>
          <w:rFonts w:eastAsia="Times New Roman"/>
          <w:color w:val="000000"/>
          <w:sz w:val="20"/>
          <w:szCs w:val="20"/>
        </w:rPr>
        <w:t>(unaudited)</w:t>
      </w:r>
    </w:p>
    <w:p w:rsidR="00000000" w:rsidRDefault="003F1733">
      <w:pPr>
        <w:jc w:val="center"/>
        <w:divId w:val="669676447"/>
        <w:rPr>
          <w:rFonts w:eastAsia="Times New Roman"/>
        </w:rPr>
      </w:pPr>
      <w:r>
        <w:rPr>
          <w:rFonts w:eastAsia="Times New Roman"/>
          <w:color w:val="000000"/>
          <w:sz w:val="20"/>
          <w:szCs w:val="20"/>
        </w:rPr>
        <w:t>(Currency in millions, except per share amounts and where indicated otherwise)</w:t>
      </w:r>
    </w:p>
    <w:p w:rsidR="00000000" w:rsidRDefault="003F1733">
      <w:pPr>
        <w:ind w:hanging="540"/>
        <w:jc w:val="both"/>
        <w:rPr>
          <w:rFonts w:eastAsia="Times New Roman"/>
        </w:rPr>
      </w:pPr>
      <w:r>
        <w:rPr>
          <w:rFonts w:eastAsia="Times New Roman"/>
          <w:b/>
          <w:bCs/>
          <w:color w:val="000000"/>
          <w:sz w:val="20"/>
          <w:szCs w:val="20"/>
          <w:u w:val="single"/>
        </w:rPr>
        <w:t>Note 9 — Defined Benefit Pension and Other Postretirement Plans</w:t>
      </w:r>
      <w:r>
        <w:rPr>
          <w:rFonts w:eastAsia="Times New Roman"/>
          <w:b/>
          <w:bCs/>
          <w:color w:val="000000"/>
          <w:sz w:val="20"/>
          <w:szCs w:val="20"/>
        </w:rPr>
        <w:t xml:space="preserve">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Company maintains defined benefit plans and other postretirement plans for certain current and former employees. The service cost component of our pension and other postretirement plans, net of amounts capitalized, is reflected in “Operating and admini</w:t>
      </w:r>
      <w:r>
        <w:rPr>
          <w:rFonts w:eastAsia="Times New Roman"/>
          <w:color w:val="000000"/>
          <w:sz w:val="20"/>
          <w:szCs w:val="20"/>
        </w:rPr>
        <w:t>strative expenses” on the Condensed Consolidated Statements of Income. The non-service cost component, net of amounts capitalized by UGI Utilities as a regulatory asset, is reflected in “Other non-operating income (expense), net” on the Condensed Consolida</w:t>
      </w:r>
      <w:r>
        <w:rPr>
          <w:rFonts w:eastAsia="Times New Roman"/>
          <w:color w:val="000000"/>
          <w:sz w:val="20"/>
          <w:szCs w:val="20"/>
        </w:rPr>
        <w:t>ted Statements of Income. Other postretirement benefit cost was not material for all periods presented. Net periodic pension cost includes the following components: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6078"/>
        <w:gridCol w:w="39"/>
        <w:gridCol w:w="36"/>
        <w:gridCol w:w="36"/>
        <w:gridCol w:w="36"/>
        <w:gridCol w:w="121"/>
        <w:gridCol w:w="808"/>
        <w:gridCol w:w="37"/>
        <w:gridCol w:w="36"/>
        <w:gridCol w:w="36"/>
        <w:gridCol w:w="36"/>
        <w:gridCol w:w="121"/>
        <w:gridCol w:w="809"/>
        <w:gridCol w:w="37"/>
      </w:tblGrid>
      <w:tr w:rsidR="00000000">
        <w:trPr>
          <w:divId w:val="893348800"/>
        </w:trPr>
        <w:tc>
          <w:tcPr>
            <w:tcW w:w="50" w:type="pct"/>
            <w:vAlign w:val="center"/>
            <w:hideMark/>
          </w:tcPr>
          <w:p w:rsidR="00000000" w:rsidRDefault="003F1733">
            <w:pPr>
              <w:jc w:val="both"/>
              <w:rPr>
                <w:rFonts w:eastAsia="Times New Roman"/>
              </w:rPr>
            </w:pPr>
          </w:p>
        </w:tc>
        <w:tc>
          <w:tcPr>
            <w:tcW w:w="368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893348800"/>
          <w:trHeight w:val="240"/>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893348800"/>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Pension Benefits</w:t>
            </w:r>
          </w:p>
        </w:tc>
      </w:tr>
      <w:tr w:rsidR="00000000">
        <w:trPr>
          <w:divId w:val="893348800"/>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Three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2020</w:t>
            </w:r>
          </w:p>
        </w:tc>
      </w:tr>
      <w:tr w:rsidR="00000000">
        <w:trPr>
          <w:divId w:val="893348800"/>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Service cost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Expected return on 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Curtailment gain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893348800"/>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893348800"/>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Actuarial loss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Net cost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893348800"/>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893348800"/>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r>
      <w:tr w:rsidR="00000000">
        <w:trPr>
          <w:divId w:val="893348800"/>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Six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2020</w:t>
            </w:r>
          </w:p>
        </w:tc>
      </w:tr>
      <w:tr w:rsidR="00000000">
        <w:trPr>
          <w:divId w:val="893348800"/>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Service cost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Expected return on 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Curtailment gain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893348800"/>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893348800"/>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Actuarial loss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893348800"/>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Net cost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rPr>
          <w:rFonts w:eastAsia="Times New Roman"/>
        </w:rPr>
      </w:pPr>
    </w:p>
    <w:p w:rsidR="00000000" w:rsidRDefault="003F1733">
      <w:pPr>
        <w:jc w:val="center"/>
        <w:divId w:val="1007252813"/>
        <w:rPr>
          <w:rFonts w:eastAsia="Times New Roman"/>
        </w:rPr>
      </w:pPr>
      <w:r>
        <w:rPr>
          <w:rFonts w:eastAsia="Times New Roman"/>
          <w:color w:val="000000"/>
          <w:sz w:val="20"/>
          <w:szCs w:val="20"/>
        </w:rPr>
        <w:t>21</w:t>
      </w:r>
    </w:p>
    <w:p w:rsidR="00000000" w:rsidRDefault="003F1733">
      <w:pPr>
        <w:rPr>
          <w:rFonts w:eastAsia="Times New Roman"/>
        </w:rPr>
      </w:pPr>
      <w:r>
        <w:rPr>
          <w:rFonts w:eastAsia="Times New Roman"/>
        </w:rPr>
        <w:pict>
          <v:rect id="_x0000_i1047" style="width:0;height:1.5pt" o:hralign="center" o:hrstd="t" o:hr="t" fillcolor="#a0a0a0" stroked="f"/>
        </w:pict>
      </w:r>
    </w:p>
    <w:p w:rsidR="00000000" w:rsidRDefault="003F1733">
      <w:pPr>
        <w:divId w:val="76757622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334988661"/>
        <w:rPr>
          <w:rFonts w:eastAsia="Times New Roman"/>
        </w:rPr>
      </w:pPr>
      <w:r>
        <w:rPr>
          <w:rFonts w:eastAsia="Times New Roman"/>
          <w:b/>
          <w:bCs/>
          <w:color w:val="000000"/>
          <w:sz w:val="20"/>
          <w:szCs w:val="20"/>
        </w:rPr>
        <w:t>UGI CORPORATION AND SUBSIDIARIES</w:t>
      </w:r>
    </w:p>
    <w:p w:rsidR="00000000" w:rsidRDefault="003F1733">
      <w:pPr>
        <w:jc w:val="center"/>
        <w:divId w:val="1076783450"/>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334988661"/>
        <w:rPr>
          <w:rFonts w:eastAsia="Times New Roman"/>
        </w:rPr>
      </w:pPr>
      <w:r>
        <w:rPr>
          <w:rFonts w:eastAsia="Times New Roman"/>
          <w:color w:val="000000"/>
          <w:sz w:val="20"/>
          <w:szCs w:val="20"/>
        </w:rPr>
        <w:t>(unaudited)</w:t>
      </w:r>
    </w:p>
    <w:p w:rsidR="00000000" w:rsidRDefault="003F1733">
      <w:pPr>
        <w:jc w:val="center"/>
        <w:divId w:val="1334988661"/>
        <w:rPr>
          <w:rFonts w:eastAsia="Times New Roman"/>
        </w:rPr>
      </w:pPr>
      <w:r>
        <w:rPr>
          <w:rFonts w:eastAsia="Times New Roman"/>
          <w:color w:val="000000"/>
          <w:sz w:val="20"/>
          <w:szCs w:val="20"/>
        </w:rPr>
        <w:t>(Currency in millions, except per share amounts and where indicated otherwise)</w:t>
      </w:r>
    </w:p>
    <w:p w:rsidR="00000000" w:rsidRDefault="003F1733">
      <w:pPr>
        <w:ind w:hanging="540"/>
        <w:jc w:val="both"/>
        <w:rPr>
          <w:rFonts w:eastAsia="Times New Roman"/>
        </w:rPr>
      </w:pPr>
      <w:r>
        <w:rPr>
          <w:rFonts w:eastAsia="Times New Roman"/>
          <w:b/>
          <w:bCs/>
          <w:color w:val="000000"/>
          <w:sz w:val="20"/>
          <w:szCs w:val="20"/>
          <w:u w:val="single"/>
        </w:rPr>
        <w:t>Note 10 — Fair Value Measurements</w:t>
      </w:r>
      <w:r>
        <w:rPr>
          <w:rFonts w:eastAsia="Times New Roman"/>
          <w:b/>
          <w:bCs/>
          <w:color w:val="000000"/>
          <w:sz w:val="20"/>
          <w:szCs w:val="20"/>
        </w:rPr>
        <w:t xml:space="preserve"> </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Recurring Fair Value Measurements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following table presents, on a gross basis, our financial assets and liabilities, including both cur</w:t>
      </w:r>
      <w:r>
        <w:rPr>
          <w:rFonts w:eastAsia="Times New Roman"/>
          <w:color w:val="000000"/>
          <w:sz w:val="20"/>
          <w:szCs w:val="20"/>
        </w:rPr>
        <w:t>rent and noncurrent portions, that are measured at fair value on a recurring basis within the fair value hierarchy:</w:t>
      </w:r>
    </w:p>
    <w:tbl>
      <w:tblPr>
        <w:tblW w:w="4992" w:type="pct"/>
        <w:tblCellMar>
          <w:top w:w="15" w:type="dxa"/>
          <w:left w:w="15" w:type="dxa"/>
          <w:bottom w:w="15" w:type="dxa"/>
          <w:right w:w="15" w:type="dxa"/>
        </w:tblCellMar>
        <w:tblLook w:val="04A0" w:firstRow="1" w:lastRow="0" w:firstColumn="1" w:lastColumn="0" w:noHBand="0" w:noVBand="1"/>
      </w:tblPr>
      <w:tblGrid>
        <w:gridCol w:w="39"/>
        <w:gridCol w:w="4659"/>
        <w:gridCol w:w="38"/>
        <w:gridCol w:w="36"/>
        <w:gridCol w:w="36"/>
        <w:gridCol w:w="36"/>
        <w:gridCol w:w="110"/>
        <w:gridCol w:w="634"/>
        <w:gridCol w:w="36"/>
        <w:gridCol w:w="36"/>
        <w:gridCol w:w="36"/>
        <w:gridCol w:w="36"/>
        <w:gridCol w:w="110"/>
        <w:gridCol w:w="634"/>
        <w:gridCol w:w="36"/>
        <w:gridCol w:w="36"/>
        <w:gridCol w:w="36"/>
        <w:gridCol w:w="36"/>
        <w:gridCol w:w="111"/>
        <w:gridCol w:w="636"/>
        <w:gridCol w:w="36"/>
        <w:gridCol w:w="36"/>
        <w:gridCol w:w="36"/>
        <w:gridCol w:w="36"/>
        <w:gridCol w:w="110"/>
        <w:gridCol w:w="636"/>
        <w:gridCol w:w="36"/>
      </w:tblGrid>
      <w:tr w:rsidR="00000000">
        <w:trPr>
          <w:divId w:val="2138260174"/>
        </w:trPr>
        <w:tc>
          <w:tcPr>
            <w:tcW w:w="50" w:type="pct"/>
            <w:vAlign w:val="center"/>
            <w:hideMark/>
          </w:tcPr>
          <w:p w:rsidR="00000000" w:rsidRDefault="003F1733">
            <w:pPr>
              <w:jc w:val="both"/>
              <w:rPr>
                <w:rFonts w:eastAsia="Times New Roman"/>
              </w:rPr>
            </w:pPr>
          </w:p>
        </w:tc>
        <w:tc>
          <w:tcPr>
            <w:tcW w:w="283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2138260174"/>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21"/>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Asset (Liability)</w:t>
            </w:r>
          </w:p>
        </w:tc>
      </w:tr>
      <w:tr w:rsidR="00000000">
        <w:trPr>
          <w:divId w:val="2138260174"/>
        </w:trPr>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Total</w:t>
            </w:r>
          </w:p>
        </w:tc>
      </w:tr>
      <w:tr w:rsidR="00000000">
        <w:trPr>
          <w:divId w:val="2138260174"/>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March 31, 2021:</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73 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235 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138260174"/>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(72)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FFFF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September 30, 2020:</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138260174"/>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(118)</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FFFF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(55)</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w:t>
            </w:r>
            <w:r>
              <w:rPr>
                <w:rFonts w:eastAsia="Times New Roman"/>
                <w:color w:val="000000"/>
                <w:sz w:val="18"/>
                <w:szCs w:val="18"/>
              </w:rPr>
              <w:t>55)</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March 31, 2020:</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138260174"/>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(92)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(222)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(314)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FFFF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38260174"/>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13826017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ind w:hanging="360"/>
        <w:jc w:val="both"/>
        <w:rPr>
          <w:rFonts w:eastAsia="Times New Roman"/>
        </w:rPr>
      </w:pPr>
      <w:r>
        <w:rPr>
          <w:rFonts w:eastAsia="Times New Roman"/>
          <w:color w:val="000000"/>
          <w:sz w:val="20"/>
          <w:szCs w:val="20"/>
        </w:rPr>
        <w:t>(a)Consists primarily of mutual fund investments held in grantor trusts associated with non-qualified supplemental retire</w:t>
      </w:r>
      <w:r>
        <w:rPr>
          <w:rFonts w:eastAsia="Times New Roman"/>
          <w:color w:val="000000"/>
          <w:sz w:val="20"/>
          <w:szCs w:val="20"/>
        </w:rPr>
        <w:t xml:space="preserve">ment plans. </w:t>
      </w:r>
    </w:p>
    <w:p w:rsidR="00000000" w:rsidRDefault="003F1733">
      <w:pPr>
        <w:jc w:val="both"/>
        <w:rPr>
          <w:rFonts w:eastAsia="Times New Roman"/>
        </w:rPr>
      </w:pPr>
      <w:r>
        <w:rPr>
          <w:rFonts w:eastAsia="Times New Roman"/>
          <w:color w:val="000000"/>
          <w:sz w:val="16"/>
          <w:szCs w:val="16"/>
        </w:rPr>
        <w:t> </w:t>
      </w:r>
    </w:p>
    <w:p w:rsidR="00000000" w:rsidRDefault="003F1733">
      <w:pPr>
        <w:jc w:val="both"/>
        <w:rPr>
          <w:rFonts w:eastAsia="Times New Roman"/>
        </w:rPr>
      </w:pPr>
      <w:r>
        <w:rPr>
          <w:rFonts w:eastAsia="Times New Roman"/>
          <w:color w:val="000000"/>
          <w:sz w:val="20"/>
          <w:szCs w:val="20"/>
        </w:rPr>
        <w:t>The fair values of our Level 1 exchange-traded commodity futures and option contracts and non-exchange-traded commodity futures and forward contracts are based upon actively quoted market prices for identical assets and liabilities. The rema</w:t>
      </w:r>
      <w:r>
        <w:rPr>
          <w:rFonts w:eastAsia="Times New Roman"/>
          <w:color w:val="000000"/>
          <w:sz w:val="20"/>
          <w:szCs w:val="20"/>
        </w:rPr>
        <w:t>inder of our derivative instruments are designated as Level 2. The fair values of certain non-exchange-traded commodity derivatives designated as Level 2 are based upon indicative price quotations available through brokers, industry price publications or r</w:t>
      </w:r>
      <w:r>
        <w:rPr>
          <w:rFonts w:eastAsia="Times New Roman"/>
          <w:color w:val="000000"/>
          <w:sz w:val="20"/>
          <w:szCs w:val="20"/>
        </w:rPr>
        <w:t xml:space="preserve">ecent market transactions and related market indicators. The fair values of our Level 2 interest rate contracts and foreign currency contracts are based upon third-party quotes or indicative values based on recent market transactions. The fair values of </w:t>
      </w:r>
    </w:p>
    <w:p w:rsidR="00000000" w:rsidRDefault="003F1733">
      <w:pPr>
        <w:jc w:val="center"/>
        <w:divId w:val="1698189606"/>
        <w:rPr>
          <w:rFonts w:eastAsia="Times New Roman"/>
        </w:rPr>
      </w:pPr>
      <w:r>
        <w:rPr>
          <w:rFonts w:eastAsia="Times New Roman"/>
          <w:color w:val="000000"/>
          <w:sz w:val="20"/>
          <w:szCs w:val="20"/>
        </w:rPr>
        <w:t>2</w:t>
      </w:r>
      <w:r>
        <w:rPr>
          <w:rFonts w:eastAsia="Times New Roman"/>
          <w:color w:val="000000"/>
          <w:sz w:val="20"/>
          <w:szCs w:val="20"/>
        </w:rPr>
        <w:t>2</w:t>
      </w:r>
    </w:p>
    <w:p w:rsidR="00000000" w:rsidRDefault="003F1733">
      <w:pPr>
        <w:rPr>
          <w:rFonts w:eastAsia="Times New Roman"/>
        </w:rPr>
      </w:pPr>
      <w:r>
        <w:rPr>
          <w:rFonts w:eastAsia="Times New Roman"/>
        </w:rPr>
        <w:pict>
          <v:rect id="_x0000_i1048" style="width:0;height:1.5pt" o:hralign="center" o:hrstd="t" o:hr="t" fillcolor="#a0a0a0" stroked="f"/>
        </w:pict>
      </w:r>
    </w:p>
    <w:p w:rsidR="00000000" w:rsidRDefault="003F1733">
      <w:pPr>
        <w:divId w:val="849833126"/>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347948306"/>
        <w:rPr>
          <w:rFonts w:eastAsia="Times New Roman"/>
        </w:rPr>
      </w:pPr>
      <w:r>
        <w:rPr>
          <w:rFonts w:eastAsia="Times New Roman"/>
          <w:b/>
          <w:bCs/>
          <w:color w:val="000000"/>
          <w:sz w:val="20"/>
          <w:szCs w:val="20"/>
        </w:rPr>
        <w:t>UGI CORPORATION AND SUBSIDIARIES</w:t>
      </w:r>
    </w:p>
    <w:p w:rsidR="00000000" w:rsidRDefault="003F1733">
      <w:pPr>
        <w:jc w:val="center"/>
        <w:divId w:val="1148791506"/>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347948306"/>
        <w:rPr>
          <w:rFonts w:eastAsia="Times New Roman"/>
        </w:rPr>
      </w:pPr>
      <w:r>
        <w:rPr>
          <w:rFonts w:eastAsia="Times New Roman"/>
          <w:color w:val="000000"/>
          <w:sz w:val="20"/>
          <w:szCs w:val="20"/>
        </w:rPr>
        <w:t>(unaudited)</w:t>
      </w:r>
    </w:p>
    <w:p w:rsidR="00000000" w:rsidRDefault="003F1733">
      <w:pPr>
        <w:jc w:val="center"/>
        <w:divId w:val="1347948306"/>
        <w:rPr>
          <w:rFonts w:eastAsia="Times New Roman"/>
        </w:rPr>
      </w:pPr>
      <w:r>
        <w:rPr>
          <w:rFonts w:eastAsia="Times New Roman"/>
          <w:color w:val="000000"/>
          <w:sz w:val="20"/>
          <w:szCs w:val="20"/>
        </w:rPr>
        <w:t>(Currency in millions, except per share amou</w:t>
      </w:r>
      <w:r>
        <w:rPr>
          <w:rFonts w:eastAsia="Times New Roman"/>
          <w:color w:val="000000"/>
          <w:sz w:val="20"/>
          <w:szCs w:val="20"/>
        </w:rPr>
        <w:t>nts and where indicated otherwise)</w:t>
      </w:r>
    </w:p>
    <w:p w:rsidR="00000000" w:rsidRDefault="003F1733">
      <w:pPr>
        <w:jc w:val="both"/>
        <w:rPr>
          <w:rFonts w:eastAsia="Times New Roman"/>
        </w:rPr>
      </w:pPr>
      <w:r>
        <w:rPr>
          <w:rFonts w:eastAsia="Times New Roman"/>
          <w:color w:val="000000"/>
          <w:sz w:val="20"/>
          <w:szCs w:val="20"/>
        </w:rPr>
        <w:t>investments held in grantor trusts are derived from quoted market prices as substantially all of the investments in these trusts have active markets.</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Other Financial Instruments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carrying amounts of other financial</w:t>
      </w:r>
      <w:r>
        <w:rPr>
          <w:rFonts w:eastAsia="Times New Roman"/>
          <w:color w:val="000000"/>
          <w:sz w:val="20"/>
          <w:szCs w:val="20"/>
        </w:rPr>
        <w:t xml:space="preserve"> instruments included in current assets and current liabilities (except for current maturities of long-term debt) approximate their fair values because of their short-term nature. We estimate the fair value of long-term debt by using current market rates a</w:t>
      </w:r>
      <w:r>
        <w:rPr>
          <w:rFonts w:eastAsia="Times New Roman"/>
          <w:color w:val="000000"/>
          <w:sz w:val="20"/>
          <w:szCs w:val="20"/>
        </w:rPr>
        <w:t>nd by discounting future cash flows using rates available for similar type debt (Level 2). The carrying amounts and estimated fair values of our long-term debt (including current maturities but excluding unamortized debt issuance costs)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160"/>
        <w:gridCol w:w="37"/>
        <w:gridCol w:w="120"/>
        <w:gridCol w:w="1477"/>
        <w:gridCol w:w="36"/>
        <w:gridCol w:w="36"/>
        <w:gridCol w:w="36"/>
        <w:gridCol w:w="36"/>
        <w:gridCol w:w="121"/>
        <w:gridCol w:w="1436"/>
        <w:gridCol w:w="36"/>
        <w:gridCol w:w="36"/>
        <w:gridCol w:w="36"/>
        <w:gridCol w:w="36"/>
        <w:gridCol w:w="120"/>
        <w:gridCol w:w="1436"/>
        <w:gridCol w:w="36"/>
      </w:tblGrid>
      <w:tr w:rsidR="00000000">
        <w:trPr>
          <w:divId w:val="1200313602"/>
          <w:jc w:val="center"/>
        </w:trPr>
        <w:tc>
          <w:tcPr>
            <w:tcW w:w="50" w:type="pct"/>
            <w:vAlign w:val="center"/>
            <w:hideMark/>
          </w:tcPr>
          <w:p w:rsidR="00000000" w:rsidRDefault="003F1733">
            <w:pPr>
              <w:jc w:val="both"/>
              <w:rPr>
                <w:rFonts w:eastAsia="Times New Roman"/>
              </w:rPr>
            </w:pPr>
          </w:p>
        </w:tc>
        <w:tc>
          <w:tcPr>
            <w:tcW w:w="194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2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2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2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200313602"/>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March 31, 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September 30, 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March 31, 2020</w:t>
            </w:r>
          </w:p>
        </w:tc>
      </w:tr>
      <w:tr w:rsidR="00000000">
        <w:trPr>
          <w:divId w:val="1200313602"/>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Carrying amount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200313602"/>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Estimated fair value</w:t>
            </w: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6,362 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6,504 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5,736 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Financial instruments other than derivative instruments, such as short-term investments and trade accounts receivable, could expose us to concentrations of credit risk. W</w:t>
      </w:r>
      <w:r>
        <w:rPr>
          <w:rFonts w:eastAsia="Times New Roman"/>
          <w:color w:val="000000"/>
          <w:sz w:val="20"/>
          <w:szCs w:val="20"/>
        </w:rPr>
        <w:t>e limit credit risk from short-term investments by investing only in investment-grade commercial paper, money market mutual funds, securities guaranteed by the U.S. Government or its agencies and FDIC insured bank deposits. The credit risk arising from con</w:t>
      </w:r>
      <w:r>
        <w:rPr>
          <w:rFonts w:eastAsia="Times New Roman"/>
          <w:color w:val="000000"/>
          <w:sz w:val="20"/>
          <w:szCs w:val="20"/>
        </w:rPr>
        <w:t>centrations of trade accounts receivable is limited because we have a large customer base that extends across many different U.S. markets and a number of foreign countries. For information regarding concentrations of credit risk associated with our derivat</w:t>
      </w:r>
      <w:r>
        <w:rPr>
          <w:rFonts w:eastAsia="Times New Roman"/>
          <w:color w:val="000000"/>
          <w:sz w:val="20"/>
          <w:szCs w:val="20"/>
        </w:rPr>
        <w:t xml:space="preserve">ive instruments, see Note 11. </w:t>
      </w:r>
    </w:p>
    <w:p w:rsidR="00000000" w:rsidRDefault="003F1733">
      <w:pPr>
        <w:jc w:val="both"/>
        <w:rPr>
          <w:rFonts w:eastAsia="Times New Roman"/>
        </w:rPr>
      </w:pPr>
    </w:p>
    <w:p w:rsidR="00000000" w:rsidRDefault="003F1733">
      <w:pPr>
        <w:ind w:hanging="540"/>
        <w:jc w:val="both"/>
        <w:rPr>
          <w:rFonts w:eastAsia="Times New Roman"/>
        </w:rPr>
      </w:pPr>
      <w:r>
        <w:rPr>
          <w:rFonts w:eastAsia="Times New Roman"/>
          <w:b/>
          <w:bCs/>
          <w:color w:val="000000"/>
          <w:sz w:val="20"/>
          <w:szCs w:val="20"/>
          <w:u w:val="single"/>
        </w:rPr>
        <w:t>Note 11 — Derivative Instruments and Hedging Activities</w:t>
      </w:r>
      <w:r>
        <w:rPr>
          <w:rFonts w:eastAsia="Times New Roman"/>
          <w:b/>
          <w:bCs/>
          <w:color w:val="000000"/>
          <w:sz w:val="20"/>
          <w:szCs w:val="20"/>
        </w:rPr>
        <w:t xml:space="preserve"> </w:t>
      </w:r>
    </w:p>
    <w:p w:rsidR="00000000" w:rsidRDefault="003F1733">
      <w:pPr>
        <w:ind w:hanging="540"/>
        <w:divId w:val="1170605873"/>
        <w:rPr>
          <w:rFonts w:eastAsia="Times New Roman"/>
        </w:rPr>
      </w:pPr>
    </w:p>
    <w:p w:rsidR="00000000" w:rsidRDefault="003F1733">
      <w:pPr>
        <w:jc w:val="both"/>
        <w:rPr>
          <w:rFonts w:eastAsia="Times New Roman"/>
        </w:rPr>
      </w:pPr>
      <w:r>
        <w:rPr>
          <w:rFonts w:eastAsia="Times New Roman"/>
          <w:color w:val="000000"/>
          <w:sz w:val="20"/>
          <w:szCs w:val="20"/>
        </w:rPr>
        <w:t>We are exposed to certain market risks related to our ongoing business operations. Management uses derivative financial and commodity instruments, among other things, to manage: (1) commodity price risk; (2) interest rate risk; and (3) foreign currency exc</w:t>
      </w:r>
      <w:r>
        <w:rPr>
          <w:rFonts w:eastAsia="Times New Roman"/>
          <w:color w:val="000000"/>
          <w:sz w:val="20"/>
          <w:szCs w:val="20"/>
        </w:rPr>
        <w:t>hange rate risk. Although we use derivative financial and commodity instruments to reduce market risk associated with forecasted transactions, we do not use derivative financial and commodity instruments for speculative or trading purposes. The use of deri</w:t>
      </w:r>
      <w:r>
        <w:rPr>
          <w:rFonts w:eastAsia="Times New Roman"/>
          <w:color w:val="000000"/>
          <w:sz w:val="20"/>
          <w:szCs w:val="20"/>
        </w:rPr>
        <w:t>vative instruments is controlled by our risk management and credit policies, which govern, among other things, the derivative instruments we can use, counterparty credit limits and contract authorization limits. Although our commodity derivative instrument</w:t>
      </w:r>
      <w:r>
        <w:rPr>
          <w:rFonts w:eastAsia="Times New Roman"/>
          <w:color w:val="000000"/>
          <w:sz w:val="20"/>
          <w:szCs w:val="20"/>
        </w:rPr>
        <w:t>s extend over a number of years, a significant portion of our commodity derivative instruments economically hedge commodity price risk during the next twelve months. For information on the accounting for our derivative instruments, see Note 2.</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follow</w:t>
      </w:r>
      <w:r>
        <w:rPr>
          <w:rFonts w:eastAsia="Times New Roman"/>
          <w:color w:val="000000"/>
          <w:sz w:val="20"/>
          <w:szCs w:val="20"/>
        </w:rPr>
        <w:t>ing summarizes the types of derivative instruments used by the Company to manage certain market risks:</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Commodity Price Risk</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u w:val="single"/>
        </w:rPr>
        <w:t>Regulated Utility Operations</w:t>
      </w:r>
    </w:p>
    <w:p w:rsidR="00000000" w:rsidRDefault="003F1733">
      <w:pPr>
        <w:jc w:val="both"/>
        <w:rPr>
          <w:rFonts w:eastAsia="Times New Roman"/>
        </w:rPr>
      </w:pPr>
    </w:p>
    <w:p w:rsidR="00000000" w:rsidRDefault="003F1733">
      <w:pPr>
        <w:jc w:val="both"/>
        <w:rPr>
          <w:rFonts w:eastAsia="Times New Roman"/>
        </w:rPr>
      </w:pPr>
      <w:r>
        <w:rPr>
          <w:rFonts w:eastAsia="Times New Roman"/>
          <w:i/>
          <w:iCs/>
          <w:color w:val="000000"/>
          <w:sz w:val="20"/>
          <w:szCs w:val="20"/>
        </w:rPr>
        <w:t>Natural Gas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Gas Utility’s tariffs contain clauses that permit recovery of all prudently incurre</w:t>
      </w:r>
      <w:r>
        <w:rPr>
          <w:rFonts w:eastAsia="Times New Roman"/>
          <w:color w:val="000000"/>
          <w:sz w:val="20"/>
          <w:szCs w:val="20"/>
        </w:rPr>
        <w:t>d costs of natural gas it sells to retail core-market customers, including the cost of financial instruments used to hedge purchased gas costs. As permitted and agreed to by the PAPUC pursuant to Gas Utility’s annual PGC filings, Gas Utility currently uses</w:t>
      </w:r>
      <w:r>
        <w:rPr>
          <w:rFonts w:eastAsia="Times New Roman"/>
          <w:color w:val="000000"/>
          <w:sz w:val="20"/>
          <w:szCs w:val="20"/>
        </w:rPr>
        <w:t xml:space="preserve"> NYMEX natural gas futures and option contracts to reduce commodity price volatility associated with a portion of the natural gas it purchases for its retail core-market customers. See Note 6 for further information on the regulatory accounting treatment f</w:t>
      </w:r>
      <w:r>
        <w:rPr>
          <w:rFonts w:eastAsia="Times New Roman"/>
          <w:color w:val="000000"/>
          <w:sz w:val="20"/>
          <w:szCs w:val="20"/>
        </w:rPr>
        <w:t xml:space="preserve">or these derivative instruments.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u w:val="single"/>
        </w:rPr>
        <w:t>Non-utility Operations</w:t>
      </w:r>
    </w:p>
    <w:p w:rsidR="00000000" w:rsidRDefault="003F1733">
      <w:pPr>
        <w:jc w:val="both"/>
        <w:rPr>
          <w:rFonts w:eastAsia="Times New Roman"/>
        </w:rPr>
      </w:pPr>
    </w:p>
    <w:p w:rsidR="00000000" w:rsidRDefault="003F1733">
      <w:pPr>
        <w:jc w:val="both"/>
        <w:rPr>
          <w:rFonts w:eastAsia="Times New Roman"/>
        </w:rPr>
      </w:pPr>
      <w:r>
        <w:rPr>
          <w:rFonts w:eastAsia="Times New Roman"/>
          <w:i/>
          <w:iCs/>
          <w:color w:val="000000"/>
          <w:sz w:val="20"/>
          <w:szCs w:val="20"/>
        </w:rPr>
        <w:t>LPG</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In order to manage market price risk associated with the Partnership’s fixed-price programs and to reduce the effects of short-term commodity price volatility, the Partnership uses over-the</w:t>
      </w:r>
      <w:r>
        <w:rPr>
          <w:rFonts w:eastAsia="Times New Roman"/>
          <w:color w:val="000000"/>
          <w:sz w:val="20"/>
          <w:szCs w:val="20"/>
        </w:rPr>
        <w:t xml:space="preserve">-counter derivative commodity instruments, principally price </w:t>
      </w:r>
    </w:p>
    <w:p w:rsidR="00000000" w:rsidRDefault="003F1733">
      <w:pPr>
        <w:jc w:val="center"/>
        <w:divId w:val="1647515405"/>
        <w:rPr>
          <w:rFonts w:eastAsia="Times New Roman"/>
        </w:rPr>
      </w:pPr>
      <w:r>
        <w:rPr>
          <w:rFonts w:eastAsia="Times New Roman"/>
          <w:color w:val="000000"/>
          <w:sz w:val="20"/>
          <w:szCs w:val="20"/>
        </w:rPr>
        <w:t>23</w:t>
      </w:r>
    </w:p>
    <w:p w:rsidR="00000000" w:rsidRDefault="003F1733">
      <w:pPr>
        <w:rPr>
          <w:rFonts w:eastAsia="Times New Roman"/>
        </w:rPr>
      </w:pPr>
      <w:r>
        <w:rPr>
          <w:rFonts w:eastAsia="Times New Roman"/>
        </w:rPr>
        <w:pict>
          <v:rect id="_x0000_i1049" style="width:0;height:1.5pt" o:hralign="center" o:hrstd="t" o:hr="t" fillcolor="#a0a0a0" stroked="f"/>
        </w:pict>
      </w:r>
    </w:p>
    <w:p w:rsidR="00000000" w:rsidRDefault="003F1733">
      <w:pPr>
        <w:divId w:val="478422742"/>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4791453"/>
        <w:rPr>
          <w:rFonts w:eastAsia="Times New Roman"/>
        </w:rPr>
      </w:pPr>
      <w:r>
        <w:rPr>
          <w:rFonts w:eastAsia="Times New Roman"/>
          <w:b/>
          <w:bCs/>
          <w:color w:val="000000"/>
          <w:sz w:val="20"/>
          <w:szCs w:val="20"/>
        </w:rPr>
        <w:t>UGI CORPORATION AND SUBSIDIARIES</w:t>
      </w:r>
    </w:p>
    <w:p w:rsidR="00000000" w:rsidRDefault="003F1733">
      <w:pPr>
        <w:jc w:val="center"/>
        <w:divId w:val="2146119019"/>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4791453"/>
        <w:rPr>
          <w:rFonts w:eastAsia="Times New Roman"/>
        </w:rPr>
      </w:pPr>
      <w:r>
        <w:rPr>
          <w:rFonts w:eastAsia="Times New Roman"/>
          <w:color w:val="000000"/>
          <w:sz w:val="20"/>
          <w:szCs w:val="20"/>
        </w:rPr>
        <w:t>(unaudited)</w:t>
      </w:r>
    </w:p>
    <w:p w:rsidR="00000000" w:rsidRDefault="003F1733">
      <w:pPr>
        <w:jc w:val="center"/>
        <w:divId w:val="4791453"/>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rPr>
          <w:rFonts w:eastAsia="Times New Roman"/>
        </w:rPr>
      </w:pPr>
      <w:r>
        <w:rPr>
          <w:rFonts w:eastAsia="Times New Roman"/>
          <w:color w:val="000000"/>
          <w:sz w:val="20"/>
          <w:szCs w:val="20"/>
        </w:rPr>
        <w:t xml:space="preserve">swap contracts. In addition, the Partnership and our UGI International operations also use over-the-counter price swap contracts to reduce commodity price volatility associated with a portion of their forecasted LPG purchases. </w:t>
      </w:r>
    </w:p>
    <w:p w:rsidR="00000000" w:rsidRDefault="003F1733">
      <w:pPr>
        <w:jc w:val="both"/>
        <w:rPr>
          <w:rFonts w:eastAsia="Times New Roman"/>
        </w:rPr>
      </w:pPr>
    </w:p>
    <w:p w:rsidR="00000000" w:rsidRDefault="003F1733">
      <w:pPr>
        <w:jc w:val="both"/>
        <w:rPr>
          <w:rFonts w:eastAsia="Times New Roman"/>
        </w:rPr>
      </w:pPr>
      <w:r>
        <w:rPr>
          <w:rFonts w:eastAsia="Times New Roman"/>
          <w:i/>
          <w:iCs/>
          <w:color w:val="000000"/>
          <w:sz w:val="20"/>
          <w:szCs w:val="20"/>
        </w:rPr>
        <w:t>Natural Gas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In order to </w:t>
      </w:r>
      <w:r>
        <w:rPr>
          <w:rFonts w:eastAsia="Times New Roman"/>
          <w:color w:val="000000"/>
          <w:sz w:val="20"/>
          <w:szCs w:val="20"/>
        </w:rPr>
        <w:t>manage market price risk relating to fixed-price sales contracts for physical natural gas, Midstream &amp; Marketing enters into NYMEX and over-the-counter natural gas futures and over-the-counter and ICE natural gas basis swap contracts. In addition, Midstrea</w:t>
      </w:r>
      <w:r>
        <w:rPr>
          <w:rFonts w:eastAsia="Times New Roman"/>
          <w:color w:val="000000"/>
          <w:sz w:val="20"/>
          <w:szCs w:val="20"/>
        </w:rPr>
        <w:t>m &amp; Marketing uses NYMEX and over-the-counter futures and options contracts to economically hedge price volatility associated with the gross margin derived from the purchase and anticipated later near-term sale of natural gas storage inventories. Outside o</w:t>
      </w:r>
      <w:r>
        <w:rPr>
          <w:rFonts w:eastAsia="Times New Roman"/>
          <w:color w:val="000000"/>
          <w:sz w:val="20"/>
          <w:szCs w:val="20"/>
        </w:rPr>
        <w:t>f the financial market, Midstream &amp; Marketing also uses ICE and over-the-counter forward physical contracts. UGI International also uses natural gas futures and forward contracts to economically hedge market price risk associated with fixed-price sales con</w:t>
      </w:r>
      <w:r>
        <w:rPr>
          <w:rFonts w:eastAsia="Times New Roman"/>
          <w:color w:val="000000"/>
          <w:sz w:val="20"/>
          <w:szCs w:val="20"/>
        </w:rPr>
        <w:t>tracts with its customers.</w:t>
      </w:r>
    </w:p>
    <w:p w:rsidR="00000000" w:rsidRDefault="003F1733">
      <w:pPr>
        <w:jc w:val="both"/>
        <w:rPr>
          <w:rFonts w:eastAsia="Times New Roman"/>
        </w:rPr>
      </w:pPr>
    </w:p>
    <w:p w:rsidR="00000000" w:rsidRDefault="003F1733">
      <w:pPr>
        <w:jc w:val="both"/>
        <w:rPr>
          <w:rFonts w:eastAsia="Times New Roman"/>
        </w:rPr>
      </w:pPr>
      <w:r>
        <w:rPr>
          <w:rFonts w:eastAsia="Times New Roman"/>
          <w:i/>
          <w:iCs/>
          <w:color w:val="000000"/>
          <w:sz w:val="20"/>
          <w:szCs w:val="20"/>
        </w:rPr>
        <w:t>Electricity</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In order to manage market price risk relating to fixed-price sales contracts for electricity, Midstream &amp; Marketing enters into electricity futures and forward contracts. Midstream &amp; Marketing also uses NYMEX and </w:t>
      </w:r>
      <w:r>
        <w:rPr>
          <w:rFonts w:eastAsia="Times New Roman"/>
          <w:color w:val="000000"/>
          <w:sz w:val="20"/>
          <w:szCs w:val="20"/>
        </w:rPr>
        <w:t>over-the-counter electricity futures contracts to economically hedge the price of a portion of its anticipated future sales of electricity from its electric generation facilities. UGI International also uses electricity futures and forward contracts to eco</w:t>
      </w:r>
      <w:r>
        <w:rPr>
          <w:rFonts w:eastAsia="Times New Roman"/>
          <w:color w:val="000000"/>
          <w:sz w:val="20"/>
          <w:szCs w:val="20"/>
        </w:rPr>
        <w:t>nomically hedge market price risk associated with fixed-price sales and purchase contracts for electricity.</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Interest Rate Risk</w:t>
      </w:r>
    </w:p>
    <w:p w:rsidR="00000000" w:rsidRDefault="003F1733">
      <w:pPr>
        <w:jc w:val="both"/>
        <w:divId w:val="1158230162"/>
        <w:rPr>
          <w:rFonts w:eastAsia="Times New Roman"/>
        </w:rPr>
      </w:pPr>
      <w:r>
        <w:rPr>
          <w:rFonts w:eastAsia="Times New Roman"/>
          <w:color w:val="000000"/>
          <w:sz w:val="20"/>
          <w:szCs w:val="20"/>
        </w:rPr>
        <w:t>Certain of our long-term debt agreements have interest rates that are generally indexed to short-term market interest rates. In</w:t>
      </w:r>
      <w:r>
        <w:rPr>
          <w:rFonts w:eastAsia="Times New Roman"/>
          <w:color w:val="000000"/>
          <w:sz w:val="20"/>
          <w:szCs w:val="20"/>
        </w:rPr>
        <w:t xml:space="preserve"> order to fix the underlying short-term market interest rates, we may enter into pay-fixed, receive-variable interest rate swap agreements and designate such swaps as cash flow hedges.</w:t>
      </w:r>
    </w:p>
    <w:p w:rsidR="00000000" w:rsidRDefault="003F1733">
      <w:pPr>
        <w:jc w:val="both"/>
        <w:divId w:val="1558784343"/>
        <w:rPr>
          <w:rFonts w:eastAsia="Times New Roman"/>
        </w:rPr>
      </w:pPr>
      <w:r>
        <w:rPr>
          <w:rFonts w:eastAsia="Times New Roman"/>
          <w:color w:val="000000"/>
          <w:sz w:val="20"/>
          <w:szCs w:val="20"/>
        </w:rPr>
        <w:t xml:space="preserve">The remainder of our long-term debt is typically issued at fixed rates </w:t>
      </w:r>
      <w:r>
        <w:rPr>
          <w:rFonts w:eastAsia="Times New Roman"/>
          <w:color w:val="000000"/>
          <w:sz w:val="20"/>
          <w:szCs w:val="20"/>
        </w:rPr>
        <w:t>of interest. As this long-term debt matures, we typically refinance such debt with new debt having interest rates reflecting then-current market conditions. In order to reduce market rate risk on the underlying benchmark rate of interest associated with ne</w:t>
      </w:r>
      <w:r>
        <w:rPr>
          <w:rFonts w:eastAsia="Times New Roman"/>
          <w:color w:val="000000"/>
          <w:sz w:val="20"/>
          <w:szCs w:val="20"/>
        </w:rPr>
        <w:t>ar- to medium-term forecasted issuances of fixed-rate debt, from time to time, we enter into IRPAs. We account for IRPAs as cash flow hedges. There were no unsettled IRPAs during any of the periods presented. At March 31, 2021, the amount of pre-tax net lo</w:t>
      </w:r>
      <w:r>
        <w:rPr>
          <w:rFonts w:eastAsia="Times New Roman"/>
          <w:color w:val="000000"/>
          <w:sz w:val="20"/>
          <w:szCs w:val="20"/>
        </w:rPr>
        <w:t>sses associated with interest rate hedges (excluding pay-fixed, receive-variable interest rate swaps) expected to be reclassified into earnings during the next twelve months is $4.</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Foreign Currency Exchange Rate Risk</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u w:val="single"/>
        </w:rPr>
        <w:t>Forward Foreign Currency Exchange C</w:t>
      </w:r>
      <w:r>
        <w:rPr>
          <w:rFonts w:eastAsia="Times New Roman"/>
          <w:color w:val="000000"/>
          <w:sz w:val="20"/>
          <w:szCs w:val="20"/>
          <w:u w:val="single"/>
        </w:rPr>
        <w:t>ontracts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In order to reduce the volatility in net income associated with our foreign operations, principally as a result of changes in the U.S. dollar exchange rate to the euro and British pound sterling, we enter into forward foreign currency exchange c</w:t>
      </w:r>
      <w:r>
        <w:rPr>
          <w:rFonts w:eastAsia="Times New Roman"/>
          <w:color w:val="000000"/>
          <w:sz w:val="20"/>
          <w:szCs w:val="20"/>
        </w:rPr>
        <w:t>ontracts. We layer in these foreign currency exchange contracts over a multi-year period to eventually equal approximately 90% of anticipated UGI International foreign currency earnings before income taxes. Because these contracts are not designated as hed</w:t>
      </w:r>
      <w:r>
        <w:rPr>
          <w:rFonts w:eastAsia="Times New Roman"/>
          <w:color w:val="000000"/>
          <w:sz w:val="20"/>
          <w:szCs w:val="20"/>
        </w:rPr>
        <w:t>ging instruments, realized and unrealized gains and losses on these contracts are recorded in “Other non-operating income (expense), net,” on the Condensed Consolidated Statements of Income.</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u w:val="single"/>
        </w:rPr>
        <w:t>Net Investment Hedges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From time to time, we also enter into c</w:t>
      </w:r>
      <w:r>
        <w:rPr>
          <w:rFonts w:eastAsia="Times New Roman"/>
          <w:color w:val="000000"/>
          <w:sz w:val="20"/>
          <w:szCs w:val="20"/>
        </w:rPr>
        <w:t>ertain forward foreign currency exchange contracts to reduce the volatility of the U.S. dollar value of a portion of our UGI International euro-denominated net investments. We account for these foreign currency exchange contracts as net investment hedges a</w:t>
      </w:r>
      <w:r>
        <w:rPr>
          <w:rFonts w:eastAsia="Times New Roman"/>
          <w:color w:val="000000"/>
          <w:sz w:val="20"/>
          <w:szCs w:val="20"/>
        </w:rPr>
        <w:t xml:space="preserve">nd all changes in the fair value of these contracts are reported in the cumulative translation adjustment component in AOCI.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Our euro-denominated long-term debt has also been designated as net investment hedges of a portion of our UGI International euro</w:t>
      </w:r>
      <w:r>
        <w:rPr>
          <w:rFonts w:eastAsia="Times New Roman"/>
          <w:color w:val="000000"/>
          <w:sz w:val="20"/>
          <w:szCs w:val="20"/>
        </w:rPr>
        <w:t xml:space="preserve">-denominated net investment. We recognized pre-tax gains (losses) associated with these net investment hedges in the </w:t>
      </w:r>
    </w:p>
    <w:p w:rsidR="00000000" w:rsidRDefault="003F1733">
      <w:pPr>
        <w:jc w:val="center"/>
        <w:divId w:val="50808710"/>
        <w:rPr>
          <w:rFonts w:eastAsia="Times New Roman"/>
        </w:rPr>
      </w:pPr>
      <w:r>
        <w:rPr>
          <w:rFonts w:eastAsia="Times New Roman"/>
          <w:color w:val="000000"/>
          <w:sz w:val="20"/>
          <w:szCs w:val="20"/>
        </w:rPr>
        <w:t>24</w:t>
      </w:r>
    </w:p>
    <w:p w:rsidR="00000000" w:rsidRDefault="003F1733">
      <w:pPr>
        <w:rPr>
          <w:rFonts w:eastAsia="Times New Roman"/>
        </w:rPr>
      </w:pPr>
      <w:r>
        <w:rPr>
          <w:rFonts w:eastAsia="Times New Roman"/>
        </w:rPr>
        <w:pict>
          <v:rect id="_x0000_i1050" style="width:0;height:1.5pt" o:hralign="center" o:hrstd="t" o:hr="t" fillcolor="#a0a0a0" stroked="f"/>
        </w:pict>
      </w:r>
    </w:p>
    <w:p w:rsidR="00000000" w:rsidRDefault="003F1733">
      <w:pPr>
        <w:divId w:val="321658960"/>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2035031630"/>
        <w:rPr>
          <w:rFonts w:eastAsia="Times New Roman"/>
        </w:rPr>
      </w:pPr>
      <w:r>
        <w:rPr>
          <w:rFonts w:eastAsia="Times New Roman"/>
          <w:b/>
          <w:bCs/>
          <w:color w:val="000000"/>
          <w:sz w:val="20"/>
          <w:szCs w:val="20"/>
        </w:rPr>
        <w:t>UGI CORPORATION AND SUBSIDIARIES</w:t>
      </w:r>
    </w:p>
    <w:p w:rsidR="00000000" w:rsidRDefault="003F1733">
      <w:pPr>
        <w:jc w:val="center"/>
        <w:divId w:val="818888922"/>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2035031630"/>
        <w:rPr>
          <w:rFonts w:eastAsia="Times New Roman"/>
        </w:rPr>
      </w:pPr>
      <w:r>
        <w:rPr>
          <w:rFonts w:eastAsia="Times New Roman"/>
          <w:color w:val="000000"/>
          <w:sz w:val="20"/>
          <w:szCs w:val="20"/>
        </w:rPr>
        <w:t>(unaudited)</w:t>
      </w:r>
    </w:p>
    <w:p w:rsidR="00000000" w:rsidRDefault="003F1733">
      <w:pPr>
        <w:jc w:val="center"/>
        <w:divId w:val="2035031630"/>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rPr>
          <w:rFonts w:eastAsia="Times New Roman"/>
        </w:rPr>
      </w:pPr>
      <w:r>
        <w:rPr>
          <w:rFonts w:eastAsia="Times New Roman"/>
          <w:color w:val="000000"/>
          <w:sz w:val="20"/>
          <w:szCs w:val="20"/>
        </w:rPr>
        <w:t xml:space="preserve">cumulative translation adjustment component in AOCI of $31 and $11 during the three months ended March 31, 2021 and 2020, respectively, $(1) and $(9) during the six months ended March 31, 2021 and 2020, respectively. </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 xml:space="preserve">Quantitative Disclosures Related to </w:t>
      </w:r>
      <w:r>
        <w:rPr>
          <w:rFonts w:eastAsia="Times New Roman"/>
          <w:b/>
          <w:bCs/>
          <w:color w:val="000000"/>
          <w:sz w:val="20"/>
          <w:szCs w:val="20"/>
        </w:rPr>
        <w:t>Derivative Instruments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following table summarizes by derivative type the gross notional amounts related to open derivative contracts at March 31, 2021, September 30, 2020 and March 31, 2020, and the final settlement dates of the Company's open deriva</w:t>
      </w:r>
      <w:r>
        <w:rPr>
          <w:rFonts w:eastAsia="Times New Roman"/>
          <w:color w:val="000000"/>
          <w:sz w:val="20"/>
          <w:szCs w:val="20"/>
        </w:rPr>
        <w:t>tive contracts as of March 31, 2021, excluding those derivatives that qualified for the NPNS exception: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670"/>
        <w:gridCol w:w="38"/>
        <w:gridCol w:w="36"/>
        <w:gridCol w:w="36"/>
        <w:gridCol w:w="36"/>
        <w:gridCol w:w="95"/>
        <w:gridCol w:w="903"/>
        <w:gridCol w:w="36"/>
        <w:gridCol w:w="36"/>
        <w:gridCol w:w="36"/>
        <w:gridCol w:w="36"/>
        <w:gridCol w:w="68"/>
        <w:gridCol w:w="914"/>
        <w:gridCol w:w="36"/>
        <w:gridCol w:w="36"/>
        <w:gridCol w:w="36"/>
        <w:gridCol w:w="36"/>
        <w:gridCol w:w="120"/>
        <w:gridCol w:w="837"/>
        <w:gridCol w:w="36"/>
        <w:gridCol w:w="36"/>
        <w:gridCol w:w="36"/>
        <w:gridCol w:w="36"/>
        <w:gridCol w:w="121"/>
        <w:gridCol w:w="860"/>
        <w:gridCol w:w="36"/>
        <w:gridCol w:w="36"/>
        <w:gridCol w:w="36"/>
        <w:gridCol w:w="36"/>
        <w:gridCol w:w="120"/>
        <w:gridCol w:w="800"/>
        <w:gridCol w:w="36"/>
      </w:tblGrid>
      <w:tr w:rsidR="00000000">
        <w:trPr>
          <w:divId w:val="1382899407"/>
          <w:jc w:val="center"/>
        </w:trPr>
        <w:tc>
          <w:tcPr>
            <w:tcW w:w="50" w:type="pct"/>
            <w:vAlign w:val="center"/>
            <w:hideMark/>
          </w:tcPr>
          <w:p w:rsidR="00000000" w:rsidRDefault="003F1733">
            <w:pPr>
              <w:jc w:val="both"/>
              <w:rPr>
                <w:rFonts w:eastAsia="Times New Roman"/>
              </w:rPr>
            </w:pPr>
          </w:p>
        </w:tc>
        <w:tc>
          <w:tcPr>
            <w:tcW w:w="164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7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66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6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4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382899407"/>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Notional Amounts</w:t>
            </w:r>
            <w:r>
              <w:rPr>
                <w:rFonts w:eastAsia="Times New Roman"/>
                <w:color w:val="000000"/>
                <w:sz w:val="20"/>
                <w:szCs w:val="20"/>
              </w:rPr>
              <w:br/>
              <w:t>(in millions)</w:t>
            </w:r>
          </w:p>
        </w:tc>
      </w:tr>
      <w:tr w:rsidR="00000000">
        <w:trPr>
          <w:divId w:val="1382899407"/>
          <w:jc w:val="center"/>
        </w:trPr>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Type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Units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Settlements Extending Through</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March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March 31, 2020</w:t>
            </w:r>
          </w:p>
        </w:tc>
      </w:tr>
      <w:tr w:rsidR="00000000">
        <w:trPr>
          <w:divId w:val="1382899407"/>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Commodity Price Risk:</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82899407"/>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i/>
                <w:iCs/>
                <w:color w:val="000000"/>
                <w:sz w:val="20"/>
                <w:szCs w:val="20"/>
              </w:rPr>
              <w:t>Regulated Utility Operations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82899407"/>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Gas Utility NYMEX natural gas futures and option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Dekatherms</w:t>
            </w:r>
          </w:p>
        </w:tc>
        <w:tc>
          <w:tcPr>
            <w:tcW w:w="0" w:type="auto"/>
            <w:gridSpan w:val="3"/>
            <w:shd w:val="clear" w:color="auto" w:fill="CCEE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February 2022</w:t>
            </w:r>
          </w:p>
        </w:tc>
        <w:tc>
          <w:tcPr>
            <w:tcW w:w="0" w:type="auto"/>
            <w:gridSpan w:val="3"/>
            <w:shd w:val="clear" w:color="auto" w:fill="CCEE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2899407"/>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2899407"/>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2899407"/>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i/>
                <w:iCs/>
                <w:color w:val="000000"/>
                <w:sz w:val="20"/>
                <w:szCs w:val="20"/>
              </w:rPr>
              <w:t>Non-utility Operations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82899407"/>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LPG swaps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Gallons</w:t>
            </w:r>
          </w:p>
        </w:tc>
        <w:tc>
          <w:tcPr>
            <w:tcW w:w="0" w:type="auto"/>
            <w:gridSpan w:val="3"/>
            <w:shd w:val="clear" w:color="auto" w:fill="CCEE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September 2023</w:t>
            </w:r>
          </w:p>
        </w:tc>
        <w:tc>
          <w:tcPr>
            <w:tcW w:w="0" w:type="auto"/>
            <w:gridSpan w:val="3"/>
            <w:shd w:val="clear" w:color="auto" w:fill="CCEE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557 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846 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816 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2899407"/>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Natural gas futures, forward, basis swap, options and pipeline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Dekatherms</w:t>
            </w:r>
          </w:p>
        </w:tc>
        <w:tc>
          <w:tcPr>
            <w:tcW w:w="0" w:type="auto"/>
            <w:gridSpan w:val="3"/>
            <w:shd w:val="clear" w:color="auto" w:fill="FFFF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September 2025</w:t>
            </w:r>
          </w:p>
        </w:tc>
        <w:tc>
          <w:tcPr>
            <w:tcW w:w="0" w:type="auto"/>
            <w:gridSpan w:val="3"/>
            <w:shd w:val="clear" w:color="auto" w:fill="FFFF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2899407"/>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2899407"/>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2899407"/>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2899407"/>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2899407"/>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Electricity forward and futures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Kilowatt hours</w:t>
            </w:r>
          </w:p>
        </w:tc>
        <w:tc>
          <w:tcPr>
            <w:tcW w:w="0" w:type="auto"/>
            <w:gridSpan w:val="3"/>
            <w:shd w:val="clear" w:color="auto" w:fill="CCEE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December 2024</w:t>
            </w:r>
          </w:p>
        </w:tc>
        <w:tc>
          <w:tcPr>
            <w:tcW w:w="0" w:type="auto"/>
            <w:gridSpan w:val="3"/>
            <w:shd w:val="clear" w:color="auto" w:fill="CCEE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4,773 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4,705 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3,663 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2899407"/>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2899407"/>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2899407"/>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Interest Rate Risk:</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82899407"/>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Interest rate swaps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Euro</w:t>
            </w:r>
          </w:p>
        </w:tc>
        <w:tc>
          <w:tcPr>
            <w:tcW w:w="0" w:type="auto"/>
            <w:gridSpan w:val="3"/>
            <w:shd w:val="clear" w:color="auto" w:fill="CCEE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October 2022</w:t>
            </w:r>
          </w:p>
        </w:tc>
        <w:tc>
          <w:tcPr>
            <w:tcW w:w="0" w:type="auto"/>
            <w:gridSpan w:val="3"/>
            <w:shd w:val="clear" w:color="auto" w:fill="CCEEFF"/>
            <w:tcMar>
              <w:top w:w="0" w:type="dxa"/>
              <w:left w:w="20" w:type="dxa"/>
              <w:bottom w:w="0" w:type="dxa"/>
              <w:right w:w="20" w:type="dxa"/>
            </w:tcMar>
            <w:vAlign w:val="center"/>
            <w:hideMark/>
          </w:tcPr>
          <w:p w:rsidR="00000000" w:rsidRDefault="003F1733">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2899407"/>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Interest rate swaps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July 2024</w:t>
            </w:r>
          </w:p>
        </w:tc>
        <w:tc>
          <w:tcPr>
            <w:tcW w:w="0" w:type="auto"/>
            <w:gridSpan w:val="3"/>
            <w:shd w:val="clear" w:color="auto" w:fill="FFFFFF"/>
            <w:tcMar>
              <w:top w:w="0" w:type="dxa"/>
              <w:left w:w="20" w:type="dxa"/>
              <w:bottom w:w="0" w:type="dxa"/>
              <w:right w:w="20" w:type="dxa"/>
            </w:tcMar>
            <w:vAlign w:val="center"/>
            <w:hideMark/>
          </w:tcPr>
          <w:p w:rsidR="00000000" w:rsidRDefault="003F1733">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1,302 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1,351 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2899407"/>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2899407"/>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Foreign Currency Exchange Rate Risk:</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82899407"/>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Forward foreign currency exchange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January 2024</w:t>
            </w:r>
          </w:p>
        </w:tc>
        <w:tc>
          <w:tcPr>
            <w:tcW w:w="0" w:type="auto"/>
            <w:gridSpan w:val="3"/>
            <w:shd w:val="clear" w:color="auto" w:fill="FFFFFF"/>
            <w:tcMar>
              <w:top w:w="0" w:type="dxa"/>
              <w:left w:w="20" w:type="dxa"/>
              <w:bottom w:w="0" w:type="dxa"/>
              <w:right w:w="20" w:type="dxa"/>
            </w:tcMar>
            <w:vAlign w:val="center"/>
            <w:hideMark/>
          </w:tcPr>
          <w:p w:rsidR="00000000" w:rsidRDefault="003F1733">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384 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2899407"/>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Net investment hedge forward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Euro</w:t>
            </w:r>
          </w:p>
        </w:tc>
        <w:tc>
          <w:tcPr>
            <w:tcW w:w="0" w:type="auto"/>
            <w:gridSpan w:val="3"/>
            <w:shd w:val="clear" w:color="auto" w:fill="CCEEFF"/>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October 2024</w:t>
            </w:r>
          </w:p>
        </w:tc>
        <w:tc>
          <w:tcPr>
            <w:tcW w:w="0" w:type="auto"/>
            <w:gridSpan w:val="3"/>
            <w:shd w:val="clear" w:color="auto" w:fill="CCEEFF"/>
            <w:tcMar>
              <w:top w:w="0" w:type="dxa"/>
              <w:left w:w="20" w:type="dxa"/>
              <w:bottom w:w="0" w:type="dxa"/>
              <w:right w:w="20" w:type="dxa"/>
            </w:tcMar>
            <w:vAlign w:val="center"/>
            <w:hideMark/>
          </w:tcPr>
          <w:p w:rsidR="00000000" w:rsidRDefault="003F1733">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2899407"/>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bl>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Derivative Instrument Credit Risk</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We are exposed to risk of loss in the event of nonperformance by our derivative</w:t>
      </w:r>
      <w:r>
        <w:rPr>
          <w:rFonts w:eastAsia="Times New Roman"/>
          <w:color w:val="000000"/>
          <w:sz w:val="20"/>
          <w:szCs w:val="20"/>
        </w:rPr>
        <w:t xml:space="preserve"> instrument counterparties. Our derivative instrument counterparties principally comprise large energy companies and major U.S. and international financial institutions. We maintain credit policies with regard to our counterparties that we believe reduce o</w:t>
      </w:r>
      <w:r>
        <w:rPr>
          <w:rFonts w:eastAsia="Times New Roman"/>
          <w:color w:val="000000"/>
          <w:sz w:val="20"/>
          <w:szCs w:val="20"/>
        </w:rPr>
        <w:t>verall credit risk. These policies include evaluating and monitoring our counterparties’ financial condition, including their credit ratings, and entering into agreements with counterparties that govern credit limits or entering into netting agreements tha</w:t>
      </w:r>
      <w:r>
        <w:rPr>
          <w:rFonts w:eastAsia="Times New Roman"/>
          <w:color w:val="000000"/>
          <w:sz w:val="20"/>
          <w:szCs w:val="20"/>
        </w:rPr>
        <w:t>t allow for offsetting counterparty receivable and payable balances for certain financial transactions, as deemed appropriate. Certain of these agreements call for the posting of collateral by the counterparty or by the Company in the forms of letters of c</w:t>
      </w:r>
      <w:r>
        <w:rPr>
          <w:rFonts w:eastAsia="Times New Roman"/>
          <w:color w:val="000000"/>
          <w:sz w:val="20"/>
          <w:szCs w:val="20"/>
        </w:rPr>
        <w:t>redit, parental guarantees or cash. Additionally, our commodity exchange traded futures contracts generally require cash deposits in margin accounts. Restricted cash in brokerage accounts is reported in “Restricted cash” on the Condensed Consolidated Balan</w:t>
      </w:r>
      <w:r>
        <w:rPr>
          <w:rFonts w:eastAsia="Times New Roman"/>
          <w:color w:val="000000"/>
          <w:sz w:val="20"/>
          <w:szCs w:val="20"/>
        </w:rPr>
        <w:t>ce Sheets. Although we have concentrations of credit risk associated with derivative instruments, the maximum amount of loss we would incur if these counterparties failed to perform according to the terms of their contracts, based upon the gross fair value</w:t>
      </w:r>
      <w:r>
        <w:rPr>
          <w:rFonts w:eastAsia="Times New Roman"/>
          <w:color w:val="000000"/>
          <w:sz w:val="20"/>
          <w:szCs w:val="20"/>
        </w:rPr>
        <w:t>s of the derivative instruments, was not material at March 31, 2021. Certain of the Partnership’s derivative contracts have credit-risk-related contingent features that may require the posting of additional collateral in the event of a downgrade of the Par</w:t>
      </w:r>
      <w:r>
        <w:rPr>
          <w:rFonts w:eastAsia="Times New Roman"/>
          <w:color w:val="000000"/>
          <w:sz w:val="20"/>
          <w:szCs w:val="20"/>
        </w:rPr>
        <w:t>tnership’s debt rating. At March 31, 2021, if the credit-risk-related contingent features were triggered, the amount of collateral required to be posted would not be material.</w:t>
      </w:r>
    </w:p>
    <w:p w:rsidR="00000000" w:rsidRDefault="003F1733">
      <w:pPr>
        <w:jc w:val="both"/>
        <w:rPr>
          <w:rFonts w:eastAsia="Times New Roman"/>
        </w:rPr>
      </w:pPr>
    </w:p>
    <w:p w:rsidR="00000000" w:rsidRDefault="003F1733">
      <w:pPr>
        <w:jc w:val="center"/>
        <w:divId w:val="1486968216"/>
        <w:rPr>
          <w:rFonts w:eastAsia="Times New Roman"/>
        </w:rPr>
      </w:pPr>
      <w:r>
        <w:rPr>
          <w:rFonts w:eastAsia="Times New Roman"/>
          <w:color w:val="000000"/>
          <w:sz w:val="20"/>
          <w:szCs w:val="20"/>
        </w:rPr>
        <w:t>25</w:t>
      </w:r>
    </w:p>
    <w:p w:rsidR="00000000" w:rsidRDefault="003F1733">
      <w:pPr>
        <w:rPr>
          <w:rFonts w:eastAsia="Times New Roman"/>
        </w:rPr>
      </w:pPr>
      <w:r>
        <w:rPr>
          <w:rFonts w:eastAsia="Times New Roman"/>
        </w:rPr>
        <w:pict>
          <v:rect id="_x0000_i1051" style="width:0;height:1.5pt" o:hralign="center" o:hrstd="t" o:hr="t" fillcolor="#a0a0a0" stroked="f"/>
        </w:pict>
      </w:r>
    </w:p>
    <w:p w:rsidR="00000000" w:rsidRDefault="003F1733">
      <w:pPr>
        <w:divId w:val="748767326"/>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2067994705"/>
        <w:rPr>
          <w:rFonts w:eastAsia="Times New Roman"/>
        </w:rPr>
      </w:pPr>
      <w:r>
        <w:rPr>
          <w:rFonts w:eastAsia="Times New Roman"/>
          <w:b/>
          <w:bCs/>
          <w:color w:val="000000"/>
          <w:sz w:val="20"/>
          <w:szCs w:val="20"/>
        </w:rPr>
        <w:t>UGI CORPORATION AND SUBSIDIARIES</w:t>
      </w:r>
    </w:p>
    <w:p w:rsidR="00000000" w:rsidRDefault="003F1733">
      <w:pPr>
        <w:jc w:val="center"/>
        <w:divId w:val="1314528818"/>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2067994705"/>
        <w:rPr>
          <w:rFonts w:eastAsia="Times New Roman"/>
        </w:rPr>
      </w:pPr>
      <w:r>
        <w:rPr>
          <w:rFonts w:eastAsia="Times New Roman"/>
          <w:color w:val="000000"/>
          <w:sz w:val="20"/>
          <w:szCs w:val="20"/>
        </w:rPr>
        <w:t>(unaudited)</w:t>
      </w:r>
    </w:p>
    <w:p w:rsidR="00000000" w:rsidRDefault="003F1733">
      <w:pPr>
        <w:jc w:val="center"/>
        <w:divId w:val="2067994705"/>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rPr>
          <w:rFonts w:eastAsia="Times New Roman"/>
        </w:rPr>
      </w:pPr>
      <w:r>
        <w:rPr>
          <w:rFonts w:eastAsia="Times New Roman"/>
          <w:b/>
          <w:bCs/>
          <w:color w:val="000000"/>
          <w:sz w:val="20"/>
          <w:szCs w:val="20"/>
        </w:rPr>
        <w:t>Offsetting Derivative Assets and Liabilities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Derivative assets and liabilities are presented net by counterparty on the Condensed Consolidated Balance Sheets if the right of o</w:t>
      </w:r>
      <w:r>
        <w:rPr>
          <w:rFonts w:eastAsia="Times New Roman"/>
          <w:color w:val="000000"/>
          <w:sz w:val="20"/>
          <w:szCs w:val="20"/>
        </w:rPr>
        <w:t>ffset exists. We offset amounts recognized for the right to reclaim cash collateral or the obligation to return cash collateral against amounts recognized for derivative instruments executed with the same counterparty. Our derivative instruments include bo</w:t>
      </w:r>
      <w:r>
        <w:rPr>
          <w:rFonts w:eastAsia="Times New Roman"/>
          <w:color w:val="000000"/>
          <w:sz w:val="20"/>
          <w:szCs w:val="20"/>
        </w:rPr>
        <w:t xml:space="preserve">th those that are executed on an exchange through brokers and centrally cleared and over-the-counter transactions. Exchange contracts utilize a financial intermediary, exchange or clearinghouse to enter, execute or clear the transactions. Over-the-counter </w:t>
      </w:r>
      <w:r>
        <w:rPr>
          <w:rFonts w:eastAsia="Times New Roman"/>
          <w:color w:val="000000"/>
          <w:sz w:val="20"/>
          <w:szCs w:val="20"/>
        </w:rPr>
        <w:t>contracts are bilateral contracts that are transacted directly with a third party. Certain over-the-counter and exchange contracts contain contractual rights of offset through master netting arrangements, derivative clearing agreements and contract default</w:t>
      </w:r>
      <w:r>
        <w:rPr>
          <w:rFonts w:eastAsia="Times New Roman"/>
          <w:color w:val="000000"/>
          <w:sz w:val="20"/>
          <w:szCs w:val="20"/>
        </w:rPr>
        <w:t xml:space="preserve"> provisions. In addition, the contracts are subject to conditional rights of offset through counterparty nonperformance, insolvency or other conditions.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In general, most of our over-the-counter transactions and all exchange contracts are subject to collateral requirements. Types of collateral generally include cash or letters of credit. Cash collateral paid by us to our over-the-counter derivative counterp</w:t>
      </w:r>
      <w:r>
        <w:rPr>
          <w:rFonts w:eastAsia="Times New Roman"/>
          <w:color w:val="000000"/>
          <w:sz w:val="20"/>
          <w:szCs w:val="20"/>
        </w:rPr>
        <w:t>arties, if any, is reflected in the table below to offset derivative liabilities. Cash collateral received by us from our over-the-counter derivative counterparties, if any, is reflected in the table below to offset derivative assets. Certain other account</w:t>
      </w:r>
      <w:r>
        <w:rPr>
          <w:rFonts w:eastAsia="Times New Roman"/>
          <w:color w:val="000000"/>
          <w:sz w:val="20"/>
          <w:szCs w:val="20"/>
        </w:rPr>
        <w:t>s receivable and accounts payable balances recognized on the Condensed Consolidated Balance Sheets with our derivative counterparties are not included in the table below but could reduce our net exposure to such counterparties because such balances are sub</w:t>
      </w:r>
      <w:r>
        <w:rPr>
          <w:rFonts w:eastAsia="Times New Roman"/>
          <w:color w:val="000000"/>
          <w:sz w:val="20"/>
          <w:szCs w:val="20"/>
        </w:rPr>
        <w:t>ject to master netting or similar arrangements.</w:t>
      </w:r>
    </w:p>
    <w:p w:rsidR="00000000" w:rsidRDefault="003F1733">
      <w:pPr>
        <w:jc w:val="both"/>
        <w:rPr>
          <w:rFonts w:eastAsia="Times New Roman"/>
        </w:rPr>
      </w:pPr>
    </w:p>
    <w:p w:rsidR="00000000" w:rsidRDefault="003F1733">
      <w:pPr>
        <w:jc w:val="center"/>
        <w:divId w:val="1594514043"/>
        <w:rPr>
          <w:rFonts w:eastAsia="Times New Roman"/>
        </w:rPr>
      </w:pPr>
      <w:r>
        <w:rPr>
          <w:rFonts w:eastAsia="Times New Roman"/>
          <w:color w:val="000000"/>
          <w:sz w:val="20"/>
          <w:szCs w:val="20"/>
        </w:rPr>
        <w:t>26</w:t>
      </w:r>
    </w:p>
    <w:p w:rsidR="00000000" w:rsidRDefault="003F1733">
      <w:pPr>
        <w:rPr>
          <w:rFonts w:eastAsia="Times New Roman"/>
        </w:rPr>
      </w:pPr>
      <w:r>
        <w:rPr>
          <w:rFonts w:eastAsia="Times New Roman"/>
        </w:rPr>
        <w:pict>
          <v:rect id="_x0000_i1052" style="width:0;height:1.5pt" o:hralign="center" o:hrstd="t" o:hr="t" fillcolor="#a0a0a0" stroked="f"/>
        </w:pict>
      </w:r>
    </w:p>
    <w:p w:rsidR="00000000" w:rsidRDefault="003F1733">
      <w:pPr>
        <w:divId w:val="57574892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307080986"/>
        <w:rPr>
          <w:rFonts w:eastAsia="Times New Roman"/>
        </w:rPr>
      </w:pPr>
      <w:r>
        <w:rPr>
          <w:rFonts w:eastAsia="Times New Roman"/>
          <w:b/>
          <w:bCs/>
          <w:color w:val="000000"/>
          <w:sz w:val="20"/>
          <w:szCs w:val="20"/>
        </w:rPr>
        <w:t>UGI CORPORATION AND SUBSIDIARIES</w:t>
      </w:r>
    </w:p>
    <w:p w:rsidR="00000000" w:rsidRDefault="003F1733">
      <w:pPr>
        <w:jc w:val="center"/>
        <w:divId w:val="7565479"/>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307080986"/>
        <w:rPr>
          <w:rFonts w:eastAsia="Times New Roman"/>
        </w:rPr>
      </w:pPr>
      <w:r>
        <w:rPr>
          <w:rFonts w:eastAsia="Times New Roman"/>
          <w:color w:val="000000"/>
          <w:sz w:val="20"/>
          <w:szCs w:val="20"/>
        </w:rPr>
        <w:t>(una</w:t>
      </w:r>
      <w:r>
        <w:rPr>
          <w:rFonts w:eastAsia="Times New Roman"/>
          <w:color w:val="000000"/>
          <w:sz w:val="20"/>
          <w:szCs w:val="20"/>
        </w:rPr>
        <w:t>udited)</w:t>
      </w:r>
    </w:p>
    <w:p w:rsidR="00000000" w:rsidRDefault="003F1733">
      <w:pPr>
        <w:jc w:val="center"/>
        <w:divId w:val="1307080986"/>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rPr>
          <w:rFonts w:eastAsia="Times New Roman"/>
        </w:rPr>
      </w:pPr>
      <w:r>
        <w:rPr>
          <w:rFonts w:eastAsia="Times New Roman"/>
          <w:b/>
          <w:bCs/>
          <w:color w:val="000000"/>
          <w:sz w:val="20"/>
          <w:szCs w:val="20"/>
        </w:rPr>
        <w:t>Fair Value of Derivative Instruments</w:t>
      </w:r>
    </w:p>
    <w:p w:rsidR="00000000" w:rsidRDefault="003F1733">
      <w:pPr>
        <w:jc w:val="both"/>
        <w:rPr>
          <w:rFonts w:eastAsia="Times New Roman"/>
        </w:rPr>
      </w:pPr>
      <w:r>
        <w:rPr>
          <w:rFonts w:eastAsia="Times New Roman"/>
          <w:color w:val="000000"/>
          <w:sz w:val="20"/>
          <w:szCs w:val="20"/>
        </w:rPr>
        <w:t> </w:t>
      </w:r>
    </w:p>
    <w:p w:rsidR="00000000" w:rsidRDefault="003F1733">
      <w:pPr>
        <w:jc w:val="both"/>
        <w:rPr>
          <w:rFonts w:eastAsia="Times New Roman"/>
        </w:rPr>
      </w:pPr>
      <w:r>
        <w:rPr>
          <w:rFonts w:eastAsia="Times New Roman"/>
          <w:color w:val="000000"/>
          <w:sz w:val="20"/>
          <w:szCs w:val="20"/>
        </w:rPr>
        <w:t>The following table presents the Company’s derivative assets and liabilities by type, as well as the effects of offsetting:</w:t>
      </w:r>
    </w:p>
    <w:tbl>
      <w:tblPr>
        <w:tblW w:w="5000" w:type="pct"/>
        <w:tblCellMar>
          <w:top w:w="15" w:type="dxa"/>
          <w:left w:w="15" w:type="dxa"/>
          <w:bottom w:w="15" w:type="dxa"/>
          <w:right w:w="15" w:type="dxa"/>
        </w:tblCellMar>
        <w:tblLook w:val="04A0" w:firstRow="1" w:lastRow="0" w:firstColumn="1" w:lastColumn="0" w:noHBand="0" w:noVBand="1"/>
      </w:tblPr>
      <w:tblGrid>
        <w:gridCol w:w="38"/>
        <w:gridCol w:w="4813"/>
        <w:gridCol w:w="37"/>
        <w:gridCol w:w="36"/>
        <w:gridCol w:w="36"/>
        <w:gridCol w:w="36"/>
        <w:gridCol w:w="121"/>
        <w:gridCol w:w="874"/>
        <w:gridCol w:w="36"/>
        <w:gridCol w:w="36"/>
        <w:gridCol w:w="36"/>
        <w:gridCol w:w="36"/>
        <w:gridCol w:w="121"/>
        <w:gridCol w:w="874"/>
        <w:gridCol w:w="36"/>
        <w:gridCol w:w="36"/>
        <w:gridCol w:w="36"/>
        <w:gridCol w:w="36"/>
        <w:gridCol w:w="120"/>
        <w:gridCol w:w="876"/>
        <w:gridCol w:w="36"/>
      </w:tblGrid>
      <w:tr w:rsidR="00000000">
        <w:trPr>
          <w:divId w:val="100494147"/>
        </w:trPr>
        <w:tc>
          <w:tcPr>
            <w:tcW w:w="50" w:type="pct"/>
            <w:vAlign w:val="center"/>
            <w:hideMark/>
          </w:tcPr>
          <w:p w:rsidR="00000000" w:rsidRDefault="003F1733">
            <w:pPr>
              <w:jc w:val="both"/>
              <w:rPr>
                <w:rFonts w:eastAsia="Times New Roman"/>
              </w:rPr>
            </w:pPr>
          </w:p>
        </w:tc>
        <w:tc>
          <w:tcPr>
            <w:tcW w:w="29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00494147"/>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March 31,</w:t>
            </w:r>
            <w:r>
              <w:rPr>
                <w:rFonts w:eastAsia="Times New Roman"/>
                <w:color w:val="000000"/>
                <w:sz w:val="20"/>
                <w:szCs w:val="20"/>
              </w:rPr>
              <w:b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September 30,</w:t>
            </w:r>
            <w:r>
              <w:rPr>
                <w:rFonts w:eastAsia="Times New Roman"/>
                <w:color w:val="000000"/>
                <w:sz w:val="20"/>
                <w:szCs w:val="20"/>
              </w:rPr>
              <w:b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March 31,</w:t>
            </w:r>
            <w:r>
              <w:rPr>
                <w:rFonts w:eastAsia="Times New Roman"/>
                <w:color w:val="000000"/>
                <w:sz w:val="20"/>
                <w:szCs w:val="20"/>
              </w:rPr>
              <w:br/>
              <w:t>2020</w:t>
            </w:r>
          </w:p>
        </w:tc>
      </w:tr>
      <w:tr w:rsidR="00000000">
        <w:trPr>
          <w:divId w:val="100494147"/>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Derivative 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00494147"/>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00494147"/>
        </w:trPr>
        <w:tc>
          <w:tcPr>
            <w:tcW w:w="0" w:type="auto"/>
            <w:gridSpan w:val="3"/>
            <w:vAlign w:val="center"/>
            <w:hideMark/>
          </w:tcPr>
          <w:p w:rsidR="00000000" w:rsidRDefault="003F1733">
            <w:pPr>
              <w:rPr>
                <w:rFonts w:eastAsia="Times New Roman"/>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00494147"/>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00494147"/>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00494147"/>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00494147"/>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00494147"/>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00494147"/>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FFFFFF"/>
            <w:tcMar>
              <w:top w:w="30" w:type="dxa"/>
              <w:left w:w="245" w:type="dxa"/>
              <w:bottom w:w="30" w:type="dxa"/>
              <w:right w:w="20" w:type="dxa"/>
            </w:tcMar>
            <w:hideMark/>
          </w:tcPr>
          <w:p w:rsidR="00000000" w:rsidRDefault="003F1733">
            <w:pPr>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Total derivative assets — gross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Gross amounts offset in the balance sheet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Cash collateral received</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Total derivative assets — net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Derivative liabilities: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00494147"/>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00494147"/>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00494147"/>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00494147"/>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00494147"/>
        </w:trPr>
        <w:tc>
          <w:tcPr>
            <w:tcW w:w="0" w:type="auto"/>
            <w:gridSpan w:val="3"/>
            <w:shd w:val="clear" w:color="auto" w:fill="FFFFFF"/>
            <w:tcMar>
              <w:top w:w="30" w:type="dxa"/>
              <w:left w:w="245" w:type="dxa"/>
              <w:bottom w:w="30" w:type="dxa"/>
              <w:right w:w="20" w:type="dxa"/>
            </w:tcMar>
            <w:hideMark/>
          </w:tcPr>
          <w:p w:rsidR="00000000" w:rsidRDefault="003F1733">
            <w:pPr>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00494147"/>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00494147"/>
        </w:trPr>
        <w:tc>
          <w:tcPr>
            <w:tcW w:w="0" w:type="auto"/>
            <w:gridSpan w:val="3"/>
            <w:shd w:val="clear" w:color="auto" w:fill="FFFFFF"/>
            <w:tcMar>
              <w:top w:w="30" w:type="dxa"/>
              <w:left w:w="245" w:type="dxa"/>
              <w:bottom w:w="30" w:type="dxa"/>
              <w:right w:w="20" w:type="dxa"/>
            </w:tcMar>
            <w:hideMark/>
          </w:tcPr>
          <w:p w:rsidR="00000000" w:rsidRDefault="003F1733">
            <w:pPr>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00494147"/>
        </w:trPr>
        <w:tc>
          <w:tcPr>
            <w:tcW w:w="0" w:type="auto"/>
            <w:gridSpan w:val="3"/>
            <w:shd w:val="clear" w:color="auto" w:fill="FFFFFF"/>
            <w:tcMar>
              <w:top w:w="30" w:type="dxa"/>
              <w:left w:w="245" w:type="dxa"/>
              <w:bottom w:w="30" w:type="dxa"/>
              <w:right w:w="20" w:type="dxa"/>
            </w:tcMar>
            <w:hideMark/>
          </w:tcPr>
          <w:p w:rsidR="00000000" w:rsidRDefault="003F1733">
            <w:pPr>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(312)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CCEEFF"/>
            <w:tcMar>
              <w:top w:w="30" w:type="dxa"/>
              <w:left w:w="245" w:type="dxa"/>
              <w:bottom w:w="30" w:type="dxa"/>
              <w:right w:w="20" w:type="dxa"/>
            </w:tcMar>
            <w:hideMark/>
          </w:tcPr>
          <w:p w:rsidR="00000000" w:rsidRDefault="003F1733">
            <w:pPr>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Total derivative liabilities — gross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Gross amounts offset in the balance sheet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Cash collateral pledged</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494147"/>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Total derivative liabilities — net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rPr>
          <w:rFonts w:eastAsia="Times New Roman"/>
        </w:rPr>
      </w:pPr>
    </w:p>
    <w:p w:rsidR="00000000" w:rsidRDefault="003F1733">
      <w:pPr>
        <w:jc w:val="center"/>
        <w:divId w:val="529688291"/>
        <w:rPr>
          <w:rFonts w:eastAsia="Times New Roman"/>
        </w:rPr>
      </w:pPr>
      <w:r>
        <w:rPr>
          <w:rFonts w:eastAsia="Times New Roman"/>
          <w:color w:val="000000"/>
          <w:sz w:val="20"/>
          <w:szCs w:val="20"/>
        </w:rPr>
        <w:t>27</w:t>
      </w:r>
    </w:p>
    <w:p w:rsidR="00000000" w:rsidRDefault="003F1733">
      <w:pPr>
        <w:rPr>
          <w:rFonts w:eastAsia="Times New Roman"/>
        </w:rPr>
      </w:pPr>
      <w:r>
        <w:rPr>
          <w:rFonts w:eastAsia="Times New Roman"/>
        </w:rPr>
        <w:pict>
          <v:rect id="_x0000_i1053" style="width:0;height:1.5pt" o:hralign="center" o:hrstd="t" o:hr="t" fillcolor="#a0a0a0" stroked="f"/>
        </w:pict>
      </w:r>
    </w:p>
    <w:p w:rsidR="00000000" w:rsidRDefault="003F1733">
      <w:pPr>
        <w:divId w:val="1957712010"/>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306130084"/>
        <w:rPr>
          <w:rFonts w:eastAsia="Times New Roman"/>
        </w:rPr>
      </w:pPr>
      <w:r>
        <w:rPr>
          <w:rFonts w:eastAsia="Times New Roman"/>
          <w:b/>
          <w:bCs/>
          <w:color w:val="000000"/>
          <w:sz w:val="20"/>
          <w:szCs w:val="20"/>
        </w:rPr>
        <w:t>UGI CORPORATION AND SUBSIDIARIES</w:t>
      </w:r>
    </w:p>
    <w:p w:rsidR="00000000" w:rsidRDefault="003F1733">
      <w:pPr>
        <w:jc w:val="center"/>
        <w:divId w:val="1658803914"/>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306130084"/>
        <w:rPr>
          <w:rFonts w:eastAsia="Times New Roman"/>
        </w:rPr>
      </w:pPr>
      <w:r>
        <w:rPr>
          <w:rFonts w:eastAsia="Times New Roman"/>
          <w:color w:val="000000"/>
          <w:sz w:val="20"/>
          <w:szCs w:val="20"/>
        </w:rPr>
        <w:t>(unaudited)</w:t>
      </w:r>
    </w:p>
    <w:p w:rsidR="00000000" w:rsidRDefault="003F1733">
      <w:pPr>
        <w:jc w:val="center"/>
        <w:divId w:val="306130084"/>
        <w:rPr>
          <w:rFonts w:eastAsia="Times New Roman"/>
        </w:rPr>
      </w:pPr>
      <w:r>
        <w:rPr>
          <w:rFonts w:eastAsia="Times New Roman"/>
          <w:color w:val="000000"/>
          <w:sz w:val="20"/>
          <w:szCs w:val="20"/>
        </w:rPr>
        <w:t>(Currency in millions, except per share amounts and where indicated otherwise)</w:t>
      </w:r>
    </w:p>
    <w:p w:rsidR="00000000" w:rsidRDefault="003F1733">
      <w:pPr>
        <w:divId w:val="359205313"/>
        <w:rPr>
          <w:rFonts w:eastAsia="Times New Roman"/>
        </w:rPr>
      </w:pPr>
      <w:r>
        <w:rPr>
          <w:rFonts w:eastAsia="Times New Roman"/>
          <w:b/>
          <w:bCs/>
          <w:color w:val="000000"/>
          <w:sz w:val="20"/>
          <w:szCs w:val="20"/>
        </w:rPr>
        <w:t>Effects of Derivative Instruments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following tables provide information on the effects of derivative instruments on the Condensed Consolidated Statements of Income and chan</w:t>
      </w:r>
      <w:r>
        <w:rPr>
          <w:rFonts w:eastAsia="Times New Roman"/>
          <w:color w:val="000000"/>
          <w:sz w:val="20"/>
          <w:szCs w:val="20"/>
        </w:rPr>
        <w:t>ges in AOCI:</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2554"/>
        <w:gridCol w:w="39"/>
        <w:gridCol w:w="36"/>
        <w:gridCol w:w="36"/>
        <w:gridCol w:w="36"/>
        <w:gridCol w:w="121"/>
        <w:gridCol w:w="799"/>
        <w:gridCol w:w="37"/>
        <w:gridCol w:w="36"/>
        <w:gridCol w:w="43"/>
        <w:gridCol w:w="36"/>
        <w:gridCol w:w="120"/>
        <w:gridCol w:w="798"/>
        <w:gridCol w:w="36"/>
        <w:gridCol w:w="36"/>
        <w:gridCol w:w="36"/>
        <w:gridCol w:w="36"/>
        <w:gridCol w:w="121"/>
        <w:gridCol w:w="669"/>
        <w:gridCol w:w="37"/>
        <w:gridCol w:w="37"/>
        <w:gridCol w:w="37"/>
        <w:gridCol w:w="37"/>
        <w:gridCol w:w="120"/>
        <w:gridCol w:w="668"/>
        <w:gridCol w:w="36"/>
        <w:gridCol w:w="36"/>
        <w:gridCol w:w="36"/>
        <w:gridCol w:w="36"/>
        <w:gridCol w:w="50"/>
        <w:gridCol w:w="1438"/>
        <w:gridCol w:w="36"/>
      </w:tblGrid>
      <w:tr w:rsidR="00000000">
        <w:trPr>
          <w:divId w:val="674576896"/>
          <w:jc w:val="center"/>
        </w:trPr>
        <w:tc>
          <w:tcPr>
            <w:tcW w:w="50" w:type="pct"/>
            <w:vAlign w:val="center"/>
            <w:hideMark/>
          </w:tcPr>
          <w:p w:rsidR="00000000" w:rsidRDefault="003F1733">
            <w:pPr>
              <w:jc w:val="both"/>
              <w:rPr>
                <w:rFonts w:eastAsia="Times New Roman"/>
              </w:rPr>
            </w:pPr>
          </w:p>
        </w:tc>
        <w:tc>
          <w:tcPr>
            <w:tcW w:w="158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7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674576896"/>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u w:val="single"/>
              </w:rPr>
              <w:t>Three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trHeight w:val="70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 xml:space="preserve">Gain (Loss) </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Location of Loss Reclassified from</w:t>
            </w:r>
            <w:r>
              <w:rPr>
                <w:rFonts w:eastAsia="Times New Roman"/>
                <w:color w:val="000000"/>
                <w:sz w:val="20"/>
                <w:szCs w:val="20"/>
              </w:rPr>
              <w:br/>
              <w:t>AOCI into Income</w:t>
            </w:r>
          </w:p>
        </w:tc>
      </w:tr>
      <w:tr w:rsidR="00000000">
        <w:trPr>
          <w:divId w:val="674576896"/>
          <w:trHeight w:val="280"/>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vMerge/>
            <w:vAlign w:val="center"/>
            <w:hideMark/>
          </w:tcPr>
          <w:p w:rsidR="00000000" w:rsidRDefault="003F1733">
            <w:pPr>
              <w:rPr>
                <w:rFonts w:eastAsia="Times New Roman"/>
              </w:rPr>
            </w:pPr>
          </w:p>
        </w:tc>
      </w:tr>
      <w:tr w:rsidR="00000000">
        <w:trPr>
          <w:divId w:val="674576896"/>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674576896"/>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674576896"/>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674576896"/>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Interest expense</w:t>
            </w:r>
          </w:p>
        </w:tc>
      </w:tr>
      <w:tr w:rsidR="00000000">
        <w:trPr>
          <w:divId w:val="674576896"/>
          <w:jc w:val="center"/>
        </w:trPr>
        <w:tc>
          <w:tcPr>
            <w:tcW w:w="0" w:type="auto"/>
            <w:gridSpan w:val="3"/>
            <w:vAlign w:val="center"/>
            <w:hideMark/>
          </w:tcPr>
          <w:p w:rsidR="00000000" w:rsidRDefault="003F1733">
            <w:pPr>
              <w:rPr>
                <w:rFonts w:eastAsia="Times New Roman"/>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674576896"/>
          <w:trHeight w:val="18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b/>
                <w:bCs/>
                <w:color w:val="000000"/>
                <w:sz w:val="20"/>
                <w:szCs w:val="20"/>
              </w:rPr>
              <w:t>Net Investment Hedges: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jc w:val="center"/>
        </w:trPr>
        <w:tc>
          <w:tcPr>
            <w:tcW w:w="0" w:type="auto"/>
            <w:gridSpan w:val="3"/>
            <w:tcBorders>
              <w:top w:val="single" w:sz="8" w:space="0" w:color="000000"/>
            </w:tcBorders>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trHeight w:val="18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Derivatives Not Designated as Hedging Instruments: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Location of Gain (Loss) Recognized in Income</w:t>
            </w:r>
          </w:p>
        </w:tc>
      </w:tr>
      <w:tr w:rsidR="00000000">
        <w:trPr>
          <w:divId w:val="674576896"/>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15"/>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Revenues</w:t>
            </w:r>
          </w:p>
        </w:tc>
      </w:tr>
      <w:tr w:rsidR="00000000">
        <w:trPr>
          <w:divId w:val="674576896"/>
          <w:jc w:val="center"/>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Cost of sales</w:t>
            </w:r>
          </w:p>
        </w:tc>
      </w:tr>
      <w:tr w:rsidR="00000000">
        <w:trPr>
          <w:divId w:val="674576896"/>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Operating and administrative expenses</w:t>
            </w:r>
          </w:p>
        </w:tc>
      </w:tr>
      <w:tr w:rsidR="00000000">
        <w:trPr>
          <w:divId w:val="674576896"/>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 non-operating income (expense), net</w:t>
            </w:r>
          </w:p>
        </w:tc>
      </w:tr>
      <w:tr w:rsidR="00000000">
        <w:trPr>
          <w:divId w:val="674576896"/>
          <w:jc w:val="center"/>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trHeight w:val="28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u w:val="single"/>
              </w:rPr>
              <w:t>Six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trHeight w:val="70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Gain (Loss)</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Location of Loss Reclassified from</w:t>
            </w:r>
            <w:r>
              <w:rPr>
                <w:rFonts w:eastAsia="Times New Roman"/>
                <w:color w:val="000000"/>
                <w:sz w:val="20"/>
                <w:szCs w:val="20"/>
              </w:rPr>
              <w:br/>
              <w:t>AOCI into Income</w:t>
            </w:r>
          </w:p>
        </w:tc>
      </w:tr>
      <w:tr w:rsidR="00000000">
        <w:trPr>
          <w:divId w:val="674576896"/>
          <w:trHeight w:val="240"/>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vMerge/>
            <w:vAlign w:val="center"/>
            <w:hideMark/>
          </w:tcPr>
          <w:p w:rsidR="00000000" w:rsidRDefault="003F1733">
            <w:pPr>
              <w:rPr>
                <w:rFonts w:eastAsia="Times New Roman"/>
              </w:rPr>
            </w:pPr>
          </w:p>
        </w:tc>
      </w:tr>
      <w:tr w:rsidR="00000000">
        <w:trPr>
          <w:divId w:val="674576896"/>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674576896"/>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674576896"/>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674576896"/>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xml:space="preserve">Interest expense </w:t>
            </w:r>
          </w:p>
        </w:tc>
      </w:tr>
      <w:tr w:rsidR="00000000">
        <w:trPr>
          <w:divId w:val="674576896"/>
          <w:jc w:val="center"/>
        </w:trPr>
        <w:tc>
          <w:tcPr>
            <w:tcW w:w="0" w:type="auto"/>
            <w:gridSpan w:val="3"/>
            <w:vAlign w:val="center"/>
            <w:hideMark/>
          </w:tcPr>
          <w:p w:rsidR="00000000" w:rsidRDefault="003F1733">
            <w:pPr>
              <w:rPr>
                <w:rFonts w:eastAsia="Times New Roman"/>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674576896"/>
          <w:trHeight w:val="18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Net Investment Hedges: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jc w:val="center"/>
        </w:trPr>
        <w:tc>
          <w:tcPr>
            <w:tcW w:w="0" w:type="auto"/>
            <w:gridSpan w:val="3"/>
            <w:tcBorders>
              <w:top w:val="single" w:sz="8" w:space="0" w:color="000000"/>
            </w:tcBorders>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trHeight w:val="18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74576896"/>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Derivatives Not Designated as Hedging Instruments: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Location of Gain (Loss) Recognized in Income</w:t>
            </w:r>
          </w:p>
        </w:tc>
      </w:tr>
      <w:tr w:rsidR="00000000">
        <w:trPr>
          <w:divId w:val="674576896"/>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15"/>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Revenues</w:t>
            </w:r>
          </w:p>
        </w:tc>
      </w:tr>
      <w:tr w:rsidR="00000000">
        <w:trPr>
          <w:divId w:val="674576896"/>
          <w:jc w:val="center"/>
        </w:trPr>
        <w:tc>
          <w:tcPr>
            <w:tcW w:w="0" w:type="auto"/>
            <w:gridSpan w:val="3"/>
            <w:shd w:val="clear" w:color="auto" w:fill="FFFFFF"/>
            <w:tcMar>
              <w:top w:w="30" w:type="dxa"/>
              <w:left w:w="155" w:type="dxa"/>
              <w:bottom w:w="30" w:type="dxa"/>
              <w:right w:w="20" w:type="dxa"/>
            </w:tcMar>
            <w:hideMark/>
          </w:tcPr>
          <w:p w:rsidR="00000000" w:rsidRDefault="003F1733">
            <w:pPr>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Cost of sales</w:t>
            </w:r>
          </w:p>
        </w:tc>
      </w:tr>
      <w:tr w:rsidR="00000000">
        <w:trPr>
          <w:divId w:val="674576896"/>
          <w:jc w:val="center"/>
        </w:trPr>
        <w:tc>
          <w:tcPr>
            <w:tcW w:w="0" w:type="auto"/>
            <w:gridSpan w:val="3"/>
            <w:vAlign w:val="center"/>
            <w:hideMark/>
          </w:tcPr>
          <w:p w:rsidR="00000000" w:rsidRDefault="003F1733">
            <w:pPr>
              <w:rPr>
                <w:rFonts w:eastAsia="Times New Roman"/>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674576896"/>
          <w:jc w:val="center"/>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 operating income, net</w:t>
            </w:r>
          </w:p>
        </w:tc>
      </w:tr>
      <w:tr w:rsidR="00000000">
        <w:trPr>
          <w:divId w:val="674576896"/>
          <w:jc w:val="center"/>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 non-operating income (expense), net</w:t>
            </w:r>
          </w:p>
        </w:tc>
      </w:tr>
      <w:tr w:rsidR="00000000">
        <w:trPr>
          <w:divId w:val="674576896"/>
          <w:jc w:val="center"/>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bl>
    <w:p w:rsidR="00000000" w:rsidRDefault="003F1733">
      <w:pPr>
        <w:jc w:val="center"/>
        <w:rPr>
          <w:rFonts w:eastAsia="Times New Roman"/>
        </w:rPr>
      </w:pPr>
    </w:p>
    <w:p w:rsidR="00000000" w:rsidRDefault="003F1733">
      <w:pPr>
        <w:jc w:val="both"/>
        <w:rPr>
          <w:rFonts w:eastAsia="Times New Roman"/>
        </w:rPr>
      </w:pPr>
      <w:r>
        <w:rPr>
          <w:rFonts w:eastAsia="Times New Roman"/>
          <w:color w:val="000000"/>
          <w:sz w:val="20"/>
          <w:szCs w:val="20"/>
        </w:rPr>
        <w:t>We are also a party to a number of other contracts that have elements of a derivative instrument. However, these contracts qualify for NPNS exception accounting because they provide for the delivery of products or services in quantities that are expected t</w:t>
      </w:r>
      <w:r>
        <w:rPr>
          <w:rFonts w:eastAsia="Times New Roman"/>
          <w:color w:val="000000"/>
          <w:sz w:val="20"/>
          <w:szCs w:val="20"/>
        </w:rPr>
        <w:t>o be used in the normal course of operating our business and the price in the contract is based on an underlying that is directly associated with the price of the product or service being purchased or sold. These contracts include, among others, binding pu</w:t>
      </w:r>
      <w:r>
        <w:rPr>
          <w:rFonts w:eastAsia="Times New Roman"/>
          <w:color w:val="000000"/>
          <w:sz w:val="20"/>
          <w:szCs w:val="20"/>
        </w:rPr>
        <w:t>rchase orders, contracts that provide for the purchase and delivery, or sale, of energy products, and service contracts that require the counterparty to provide commodity storage, transportation or capacity service to meet our normal sales commitments.</w:t>
      </w:r>
    </w:p>
    <w:p w:rsidR="00000000" w:rsidRDefault="003F1733">
      <w:pPr>
        <w:jc w:val="both"/>
        <w:rPr>
          <w:rFonts w:eastAsia="Times New Roman"/>
        </w:rPr>
      </w:pPr>
    </w:p>
    <w:p w:rsidR="00000000" w:rsidRDefault="003F1733">
      <w:pPr>
        <w:jc w:val="center"/>
        <w:divId w:val="539783976"/>
        <w:rPr>
          <w:rFonts w:eastAsia="Times New Roman"/>
        </w:rPr>
      </w:pPr>
      <w:r>
        <w:rPr>
          <w:rFonts w:eastAsia="Times New Roman"/>
          <w:color w:val="000000"/>
          <w:sz w:val="20"/>
          <w:szCs w:val="20"/>
        </w:rPr>
        <w:t>2</w:t>
      </w:r>
      <w:r>
        <w:rPr>
          <w:rFonts w:eastAsia="Times New Roman"/>
          <w:color w:val="000000"/>
          <w:sz w:val="20"/>
          <w:szCs w:val="20"/>
        </w:rPr>
        <w:t>8</w:t>
      </w:r>
    </w:p>
    <w:p w:rsidR="00000000" w:rsidRDefault="003F1733">
      <w:pPr>
        <w:rPr>
          <w:rFonts w:eastAsia="Times New Roman"/>
        </w:rPr>
      </w:pPr>
      <w:r>
        <w:rPr>
          <w:rFonts w:eastAsia="Times New Roman"/>
        </w:rPr>
        <w:pict>
          <v:rect id="_x0000_i1054" style="width:0;height:1.5pt" o:hralign="center" o:hrstd="t" o:hr="t" fillcolor="#a0a0a0" stroked="f"/>
        </w:pict>
      </w:r>
    </w:p>
    <w:p w:rsidR="00000000" w:rsidRDefault="003F1733">
      <w:pPr>
        <w:divId w:val="1258251234"/>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971448436"/>
        <w:rPr>
          <w:rFonts w:eastAsia="Times New Roman"/>
        </w:rPr>
      </w:pPr>
      <w:r>
        <w:rPr>
          <w:rFonts w:eastAsia="Times New Roman"/>
          <w:b/>
          <w:bCs/>
          <w:color w:val="000000"/>
          <w:sz w:val="20"/>
          <w:szCs w:val="20"/>
        </w:rPr>
        <w:t>UGI CORPORATION AND SUBSIDIARIES</w:t>
      </w:r>
    </w:p>
    <w:p w:rsidR="00000000" w:rsidRDefault="003F1733">
      <w:pPr>
        <w:jc w:val="center"/>
        <w:divId w:val="2009746902"/>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971448436"/>
        <w:rPr>
          <w:rFonts w:eastAsia="Times New Roman"/>
        </w:rPr>
      </w:pPr>
      <w:r>
        <w:rPr>
          <w:rFonts w:eastAsia="Times New Roman"/>
          <w:color w:val="000000"/>
          <w:sz w:val="20"/>
          <w:szCs w:val="20"/>
        </w:rPr>
        <w:t>(unaudited)</w:t>
      </w:r>
    </w:p>
    <w:p w:rsidR="00000000" w:rsidRDefault="003F1733">
      <w:pPr>
        <w:jc w:val="center"/>
        <w:divId w:val="971448436"/>
        <w:rPr>
          <w:rFonts w:eastAsia="Times New Roman"/>
        </w:rPr>
      </w:pPr>
      <w:r>
        <w:rPr>
          <w:rFonts w:eastAsia="Times New Roman"/>
          <w:color w:val="000000"/>
          <w:sz w:val="20"/>
          <w:szCs w:val="20"/>
        </w:rPr>
        <w:t>(Currency in millions, except per share amounts and where indicated otherwise)</w:t>
      </w:r>
    </w:p>
    <w:p w:rsidR="00000000" w:rsidRDefault="003F1733">
      <w:pPr>
        <w:jc w:val="both"/>
        <w:rPr>
          <w:rFonts w:eastAsia="Times New Roman"/>
        </w:rPr>
      </w:pPr>
      <w:r>
        <w:rPr>
          <w:rFonts w:eastAsia="Times New Roman"/>
          <w:b/>
          <w:bCs/>
          <w:color w:val="000000"/>
          <w:sz w:val="20"/>
          <w:szCs w:val="20"/>
          <w:u w:val="single"/>
        </w:rPr>
        <w:t>Note 12 — Accumulated Other Comprehensive Income (Loss)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tables below present changes in AOCI, net of tax:</w:t>
      </w:r>
    </w:p>
    <w:tbl>
      <w:tblPr>
        <w:tblW w:w="4963" w:type="pct"/>
        <w:tblCellMar>
          <w:top w:w="15" w:type="dxa"/>
          <w:left w:w="15" w:type="dxa"/>
          <w:bottom w:w="15" w:type="dxa"/>
          <w:right w:w="15" w:type="dxa"/>
        </w:tblCellMar>
        <w:tblLook w:val="04A0" w:firstRow="1" w:lastRow="0" w:firstColumn="1" w:lastColumn="0" w:noHBand="0" w:noVBand="1"/>
      </w:tblPr>
      <w:tblGrid>
        <w:gridCol w:w="39"/>
        <w:gridCol w:w="4022"/>
        <w:gridCol w:w="38"/>
        <w:gridCol w:w="36"/>
        <w:gridCol w:w="36"/>
        <w:gridCol w:w="36"/>
        <w:gridCol w:w="121"/>
        <w:gridCol w:w="996"/>
        <w:gridCol w:w="36"/>
        <w:gridCol w:w="36"/>
        <w:gridCol w:w="36"/>
        <w:gridCol w:w="36"/>
        <w:gridCol w:w="121"/>
        <w:gridCol w:w="807"/>
        <w:gridCol w:w="36"/>
        <w:gridCol w:w="36"/>
        <w:gridCol w:w="36"/>
        <w:gridCol w:w="36"/>
        <w:gridCol w:w="121"/>
        <w:gridCol w:w="675"/>
        <w:gridCol w:w="36"/>
        <w:gridCol w:w="36"/>
        <w:gridCol w:w="36"/>
        <w:gridCol w:w="36"/>
        <w:gridCol w:w="120"/>
        <w:gridCol w:w="609"/>
        <w:gridCol w:w="36"/>
      </w:tblGrid>
      <w:tr w:rsidR="00000000">
        <w:trPr>
          <w:divId w:val="1460338914"/>
        </w:trPr>
        <w:tc>
          <w:tcPr>
            <w:tcW w:w="50" w:type="pct"/>
            <w:vAlign w:val="center"/>
            <w:hideMark/>
          </w:tcPr>
          <w:p w:rsidR="00000000" w:rsidRDefault="003F1733">
            <w:pPr>
              <w:jc w:val="both"/>
              <w:rPr>
                <w:rFonts w:eastAsia="Times New Roman"/>
              </w:rPr>
            </w:pPr>
          </w:p>
        </w:tc>
        <w:tc>
          <w:tcPr>
            <w:tcW w:w="248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460338914"/>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460338914"/>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Three Months Ended March 31, 2021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Total</w:t>
            </w:r>
          </w:p>
        </w:tc>
      </w:tr>
      <w:tr w:rsidR="00000000">
        <w:trPr>
          <w:divId w:val="146033891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AOCI — December 31, 2020</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46033891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 comprehensive income (loss)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460338914"/>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46033891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xml:space="preserve">Other comprehensive income (loss) attributable to UGI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460338914"/>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AOCI — March 31, 2021</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460338914"/>
          <w:trHeight w:val="28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460338914"/>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Three Months Ended March 31, 2020</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Total</w:t>
            </w:r>
          </w:p>
        </w:tc>
      </w:tr>
      <w:tr w:rsidR="00000000">
        <w:trPr>
          <w:divId w:val="146033891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AOCI — December 31, 2019</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46033891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 comprehensive loss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460338914"/>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46033891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xml:space="preserve">Other comprehensive income (loss) attributable to UGI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460338914"/>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AOCI — March 31, 2020</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4133"/>
        <w:gridCol w:w="144"/>
        <w:gridCol w:w="144"/>
        <w:gridCol w:w="144"/>
        <w:gridCol w:w="144"/>
        <w:gridCol w:w="144"/>
        <w:gridCol w:w="963"/>
        <w:gridCol w:w="144"/>
        <w:gridCol w:w="144"/>
        <w:gridCol w:w="144"/>
        <w:gridCol w:w="144"/>
        <w:gridCol w:w="144"/>
        <w:gridCol w:w="879"/>
        <w:gridCol w:w="144"/>
        <w:gridCol w:w="144"/>
        <w:gridCol w:w="144"/>
        <w:gridCol w:w="144"/>
        <w:gridCol w:w="144"/>
        <w:gridCol w:w="879"/>
        <w:gridCol w:w="144"/>
        <w:gridCol w:w="144"/>
        <w:gridCol w:w="144"/>
        <w:gridCol w:w="144"/>
        <w:gridCol w:w="144"/>
        <w:gridCol w:w="722"/>
        <w:gridCol w:w="144"/>
      </w:tblGrid>
      <w:tr w:rsidR="00000000">
        <w:trPr>
          <w:jc w:val="center"/>
        </w:trPr>
        <w:tc>
          <w:tcPr>
            <w:tcW w:w="50" w:type="pct"/>
            <w:vAlign w:val="center"/>
            <w:hideMark/>
          </w:tcPr>
          <w:p w:rsidR="00000000" w:rsidRDefault="003F1733">
            <w:pPr>
              <w:jc w:val="both"/>
              <w:rPr>
                <w:rFonts w:eastAsia="Times New Roman"/>
              </w:rPr>
            </w:pPr>
          </w:p>
        </w:tc>
        <w:tc>
          <w:tcPr>
            <w:tcW w:w="249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Six Months Ended March 31, 2021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Total</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xml:space="preserve">AOCI — </w:t>
            </w:r>
            <w:r>
              <w:rPr>
                <w:rFonts w:eastAsia="Times New Roman"/>
                <w:color w:val="000000"/>
                <w:sz w:val="20"/>
                <w:szCs w:val="20"/>
              </w:rPr>
              <w:t>September 30, 2020</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 comprehensive income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xml:space="preserve">Other comprehensive income attributable to UGI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AOCI — March 31, 2021</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Six Months Ended March 31, 2020</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Total</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AOCI — September 30, 2019</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 comprehensive (loss) income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jc w:val="center"/>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jc w:val="center"/>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xml:space="preserve">Other comprehensive income (loss) attributable to UGI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AOCI — March 31, 2020</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u w:val="single"/>
        </w:rPr>
        <w:t>Note 13 — Segment Information</w:t>
      </w:r>
      <w:r>
        <w:rPr>
          <w:rFonts w:eastAsia="Times New Roman"/>
          <w:b/>
          <w:bCs/>
          <w:color w:val="000000"/>
          <w:sz w:val="20"/>
          <w:szCs w:val="20"/>
        </w:rPr>
        <w:t xml:space="preserve">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Our operations comprise four reportable segments generally based upon products or services sold, geographic location and regulatory environment: (1) AmeriGas Propane; (2) UGI Internation</w:t>
      </w:r>
      <w:r>
        <w:rPr>
          <w:rFonts w:eastAsia="Times New Roman"/>
          <w:color w:val="000000"/>
          <w:sz w:val="20"/>
          <w:szCs w:val="20"/>
        </w:rPr>
        <w:t>al; (3) Midstream &amp; Marketing; and (4) UGI Utilities.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Corporate &amp; Other includes certain items that are excluded from our CODM’s assessment of segment performance (see below for further details on these items). Corporate &amp; Other also includes the net exp</w:t>
      </w:r>
      <w:r>
        <w:rPr>
          <w:rFonts w:eastAsia="Times New Roman"/>
          <w:color w:val="000000"/>
          <w:sz w:val="20"/>
          <w:szCs w:val="20"/>
        </w:rPr>
        <w:t>enses of UGI’s captive general liability insurance company, UGI’s corporate headquarters facility and UGI’s unallocated corporate and general expenses as well as interest expense on UGI debt that is not allocated. Corporate &amp; Other assets principally compr</w:t>
      </w:r>
      <w:r>
        <w:rPr>
          <w:rFonts w:eastAsia="Times New Roman"/>
          <w:color w:val="000000"/>
          <w:sz w:val="20"/>
          <w:szCs w:val="20"/>
        </w:rPr>
        <w:t>ise cash and cash equivalents of UGI and its captive insurance company, and UGI corporate headquarters’ assets. The accounting policies of our reportable segments are the same as those described in Note 2, “Summary of Significant Accounting Policies,” in t</w:t>
      </w:r>
      <w:r>
        <w:rPr>
          <w:rFonts w:eastAsia="Times New Roman"/>
          <w:color w:val="000000"/>
          <w:sz w:val="20"/>
          <w:szCs w:val="20"/>
        </w:rPr>
        <w:t xml:space="preserve">he Company’s 2020 Annual Report. </w:t>
      </w:r>
    </w:p>
    <w:p w:rsidR="00000000" w:rsidRDefault="003F1733">
      <w:pPr>
        <w:jc w:val="center"/>
        <w:divId w:val="819690791"/>
        <w:rPr>
          <w:rFonts w:eastAsia="Times New Roman"/>
        </w:rPr>
      </w:pPr>
      <w:r>
        <w:rPr>
          <w:rFonts w:eastAsia="Times New Roman"/>
          <w:color w:val="000000"/>
          <w:sz w:val="20"/>
          <w:szCs w:val="20"/>
        </w:rPr>
        <w:t>29</w:t>
      </w:r>
    </w:p>
    <w:p w:rsidR="00000000" w:rsidRDefault="003F1733">
      <w:pPr>
        <w:rPr>
          <w:rFonts w:eastAsia="Times New Roman"/>
        </w:rPr>
      </w:pPr>
      <w:r>
        <w:rPr>
          <w:rFonts w:eastAsia="Times New Roman"/>
        </w:rPr>
        <w:pict>
          <v:rect id="_x0000_i1055" style="width:0;height:1.5pt" o:hralign="center" o:hrstd="t" o:hr="t" fillcolor="#a0a0a0" stroked="f"/>
        </w:pict>
      </w:r>
    </w:p>
    <w:p w:rsidR="00000000" w:rsidRDefault="003F1733">
      <w:pPr>
        <w:divId w:val="167530499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867328235"/>
        <w:rPr>
          <w:rFonts w:eastAsia="Times New Roman"/>
        </w:rPr>
      </w:pPr>
      <w:r>
        <w:rPr>
          <w:rFonts w:eastAsia="Times New Roman"/>
          <w:b/>
          <w:bCs/>
          <w:color w:val="000000"/>
          <w:sz w:val="20"/>
          <w:szCs w:val="20"/>
        </w:rPr>
        <w:t>UGI CORPORATION AND SUBSIDIARIES</w:t>
      </w:r>
    </w:p>
    <w:p w:rsidR="00000000" w:rsidRDefault="003F1733">
      <w:pPr>
        <w:jc w:val="center"/>
        <w:divId w:val="1548295913"/>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867328235"/>
        <w:rPr>
          <w:rFonts w:eastAsia="Times New Roman"/>
        </w:rPr>
      </w:pPr>
      <w:r>
        <w:rPr>
          <w:rFonts w:eastAsia="Times New Roman"/>
          <w:color w:val="000000"/>
          <w:sz w:val="20"/>
          <w:szCs w:val="20"/>
        </w:rPr>
        <w:t>(unaudited)</w:t>
      </w:r>
    </w:p>
    <w:p w:rsidR="00000000" w:rsidRDefault="003F1733">
      <w:pPr>
        <w:jc w:val="center"/>
        <w:divId w:val="1867328235"/>
        <w:rPr>
          <w:rFonts w:eastAsia="Times New Roman"/>
        </w:rPr>
      </w:pPr>
      <w:r>
        <w:rPr>
          <w:rFonts w:eastAsia="Times New Roman"/>
          <w:color w:val="000000"/>
          <w:sz w:val="20"/>
          <w:szCs w:val="20"/>
        </w:rPr>
        <w:t>(Currency in millions, except per share amounts and where indicated otherwise)</w:t>
      </w:r>
    </w:p>
    <w:tbl>
      <w:tblPr>
        <w:tblW w:w="4985" w:type="pct"/>
        <w:tblCellMar>
          <w:top w:w="15" w:type="dxa"/>
          <w:left w:w="15" w:type="dxa"/>
          <w:bottom w:w="15" w:type="dxa"/>
          <w:right w:w="15" w:type="dxa"/>
        </w:tblCellMar>
        <w:tblLook w:val="04A0" w:firstRow="1" w:lastRow="0" w:firstColumn="1" w:lastColumn="0" w:noHBand="0" w:noVBand="1"/>
      </w:tblPr>
      <w:tblGrid>
        <w:gridCol w:w="39"/>
        <w:gridCol w:w="105"/>
        <w:gridCol w:w="1668"/>
        <w:gridCol w:w="38"/>
        <w:gridCol w:w="36"/>
        <w:gridCol w:w="36"/>
        <w:gridCol w:w="36"/>
        <w:gridCol w:w="37"/>
        <w:gridCol w:w="63"/>
        <w:gridCol w:w="81"/>
        <w:gridCol w:w="144"/>
        <w:gridCol w:w="144"/>
        <w:gridCol w:w="91"/>
        <w:gridCol w:w="36"/>
        <w:gridCol w:w="17"/>
        <w:gridCol w:w="19"/>
        <w:gridCol w:w="36"/>
        <w:gridCol w:w="36"/>
        <w:gridCol w:w="53"/>
        <w:gridCol w:w="48"/>
        <w:gridCol w:w="528"/>
        <w:gridCol w:w="144"/>
        <w:gridCol w:w="86"/>
        <w:gridCol w:w="36"/>
        <w:gridCol w:w="22"/>
        <w:gridCol w:w="53"/>
        <w:gridCol w:w="91"/>
        <w:gridCol w:w="54"/>
        <w:gridCol w:w="36"/>
        <w:gridCol w:w="54"/>
        <w:gridCol w:w="47"/>
        <w:gridCol w:w="97"/>
        <w:gridCol w:w="512"/>
        <w:gridCol w:w="36"/>
        <w:gridCol w:w="36"/>
        <w:gridCol w:w="36"/>
        <w:gridCol w:w="36"/>
        <w:gridCol w:w="41"/>
        <w:gridCol w:w="60"/>
        <w:gridCol w:w="84"/>
        <w:gridCol w:w="144"/>
        <w:gridCol w:w="162"/>
        <w:gridCol w:w="144"/>
        <w:gridCol w:w="144"/>
        <w:gridCol w:w="77"/>
        <w:gridCol w:w="36"/>
        <w:gridCol w:w="36"/>
        <w:gridCol w:w="63"/>
        <w:gridCol w:w="36"/>
        <w:gridCol w:w="101"/>
        <w:gridCol w:w="275"/>
        <w:gridCol w:w="144"/>
        <w:gridCol w:w="144"/>
        <w:gridCol w:w="85"/>
        <w:gridCol w:w="36"/>
        <w:gridCol w:w="72"/>
        <w:gridCol w:w="32"/>
        <w:gridCol w:w="107"/>
        <w:gridCol w:w="36"/>
        <w:gridCol w:w="1"/>
        <w:gridCol w:w="100"/>
        <w:gridCol w:w="44"/>
        <w:gridCol w:w="439"/>
        <w:gridCol w:w="36"/>
        <w:gridCol w:w="36"/>
        <w:gridCol w:w="36"/>
        <w:gridCol w:w="36"/>
        <w:gridCol w:w="89"/>
        <w:gridCol w:w="12"/>
        <w:gridCol w:w="132"/>
        <w:gridCol w:w="144"/>
        <w:gridCol w:w="162"/>
        <w:gridCol w:w="144"/>
        <w:gridCol w:w="108"/>
        <w:gridCol w:w="36"/>
        <w:gridCol w:w="685"/>
        <w:gridCol w:w="144"/>
        <w:gridCol w:w="144"/>
        <w:gridCol w:w="162"/>
        <w:gridCol w:w="144"/>
        <w:gridCol w:w="144"/>
        <w:gridCol w:w="599"/>
        <w:gridCol w:w="144"/>
        <w:gridCol w:w="144"/>
        <w:gridCol w:w="144"/>
        <w:gridCol w:w="144"/>
        <w:gridCol w:w="144"/>
        <w:gridCol w:w="649"/>
        <w:gridCol w:w="144"/>
      </w:tblGrid>
      <w:tr w:rsidR="00000000">
        <w:trPr>
          <w:gridAfter w:val="14"/>
          <w:divId w:val="903838349"/>
        </w:trPr>
        <w:tc>
          <w:tcPr>
            <w:tcW w:w="50" w:type="pct"/>
            <w:vAlign w:val="center"/>
            <w:hideMark/>
          </w:tcPr>
          <w:p w:rsidR="00000000" w:rsidRDefault="003F1733">
            <w:pPr>
              <w:jc w:val="center"/>
              <w:rPr>
                <w:rFonts w:eastAsia="Times New Roman"/>
              </w:rPr>
            </w:pPr>
          </w:p>
        </w:tc>
        <w:tc>
          <w:tcPr>
            <w:tcW w:w="1118" w:type="pct"/>
            <w:gridSpan w:val="2"/>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gridSpan w:val="2"/>
            <w:vAlign w:val="center"/>
            <w:hideMark/>
          </w:tcPr>
          <w:p w:rsidR="00000000" w:rsidRDefault="003F1733">
            <w:pPr>
              <w:rPr>
                <w:rFonts w:eastAsia="Times New Roman"/>
                <w:sz w:val="20"/>
                <w:szCs w:val="20"/>
              </w:rPr>
            </w:pPr>
          </w:p>
        </w:tc>
        <w:tc>
          <w:tcPr>
            <w:tcW w:w="348" w:type="pct"/>
            <w:gridSpan w:val="4"/>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gridSpan w:val="2"/>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gridSpan w:val="2"/>
            <w:vAlign w:val="center"/>
            <w:hideMark/>
          </w:tcPr>
          <w:p w:rsidR="00000000" w:rsidRDefault="003F1733">
            <w:pPr>
              <w:rPr>
                <w:rFonts w:eastAsia="Times New Roman"/>
                <w:sz w:val="20"/>
                <w:szCs w:val="20"/>
              </w:rPr>
            </w:pPr>
          </w:p>
        </w:tc>
        <w:tc>
          <w:tcPr>
            <w:tcW w:w="421" w:type="pct"/>
            <w:gridSpan w:val="3"/>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gridSpan w:val="2"/>
            <w:vAlign w:val="center"/>
            <w:hideMark/>
          </w:tcPr>
          <w:p w:rsidR="00000000" w:rsidRDefault="003F1733">
            <w:pPr>
              <w:rPr>
                <w:rFonts w:eastAsia="Times New Roman"/>
                <w:sz w:val="20"/>
                <w:szCs w:val="20"/>
              </w:rPr>
            </w:pPr>
          </w:p>
        </w:tc>
        <w:tc>
          <w:tcPr>
            <w:tcW w:w="98" w:type="pct"/>
            <w:gridSpan w:val="2"/>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gridSpan w:val="2"/>
            <w:vAlign w:val="center"/>
            <w:hideMark/>
          </w:tcPr>
          <w:p w:rsidR="00000000" w:rsidRDefault="003F1733">
            <w:pPr>
              <w:rPr>
                <w:rFonts w:eastAsia="Times New Roman"/>
                <w:sz w:val="20"/>
                <w:szCs w:val="20"/>
              </w:rPr>
            </w:pPr>
          </w:p>
        </w:tc>
        <w:tc>
          <w:tcPr>
            <w:tcW w:w="377" w:type="pct"/>
            <w:gridSpan w:val="2"/>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13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gridSpan w:val="2"/>
            <w:vAlign w:val="center"/>
            <w:hideMark/>
          </w:tcPr>
          <w:p w:rsidR="00000000" w:rsidRDefault="003F1733">
            <w:pPr>
              <w:rPr>
                <w:rFonts w:eastAsia="Times New Roman"/>
                <w:sz w:val="20"/>
                <w:szCs w:val="20"/>
              </w:rPr>
            </w:pPr>
          </w:p>
        </w:tc>
        <w:tc>
          <w:tcPr>
            <w:tcW w:w="406" w:type="pct"/>
            <w:gridSpan w:val="6"/>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14" w:type="pct"/>
            <w:gridSpan w:val="4"/>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gridSpan w:val="2"/>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gridSpan w:val="2"/>
            <w:vAlign w:val="center"/>
            <w:hideMark/>
          </w:tcPr>
          <w:p w:rsidR="00000000" w:rsidRDefault="003F1733">
            <w:pPr>
              <w:rPr>
                <w:rFonts w:eastAsia="Times New Roman"/>
                <w:sz w:val="20"/>
                <w:szCs w:val="20"/>
              </w:rPr>
            </w:pPr>
          </w:p>
        </w:tc>
        <w:tc>
          <w:tcPr>
            <w:tcW w:w="362" w:type="pct"/>
            <w:gridSpan w:val="2"/>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gridSpan w:val="2"/>
            <w:vAlign w:val="center"/>
            <w:hideMark/>
          </w:tcPr>
          <w:p w:rsidR="00000000" w:rsidRDefault="003F1733">
            <w:pPr>
              <w:rPr>
                <w:rFonts w:eastAsia="Times New Roman"/>
                <w:sz w:val="20"/>
                <w:szCs w:val="20"/>
              </w:rPr>
            </w:pPr>
          </w:p>
        </w:tc>
        <w:tc>
          <w:tcPr>
            <w:tcW w:w="392" w:type="pct"/>
            <w:gridSpan w:val="5"/>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gridAfter w:val="14"/>
          <w:divId w:val="903838349"/>
          <w:trHeight w:val="60"/>
        </w:trPr>
        <w:tc>
          <w:tcPr>
            <w:tcW w:w="0" w:type="auto"/>
            <w:gridSpan w:val="4"/>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7"/>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5"/>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5"/>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5"/>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8"/>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gridAfter w:val="14"/>
          <w:divId w:val="903838349"/>
        </w:trPr>
        <w:tc>
          <w:tcPr>
            <w:tcW w:w="0" w:type="auto"/>
            <w:gridSpan w:val="4"/>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Three Months Ended March 31, 2021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7"/>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Total</w:t>
            </w:r>
          </w:p>
        </w:tc>
        <w:tc>
          <w:tcPr>
            <w:tcW w:w="0" w:type="auto"/>
            <w:gridSpan w:val="4"/>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Eliminations</w:t>
            </w:r>
          </w:p>
        </w:tc>
        <w:tc>
          <w:tcPr>
            <w:tcW w:w="0" w:type="auto"/>
            <w:gridSpan w:val="5"/>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Midstream &amp; Marketing</w:t>
            </w:r>
          </w:p>
        </w:tc>
        <w:tc>
          <w:tcPr>
            <w:tcW w:w="0" w:type="auto"/>
            <w:gridSpan w:val="4"/>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UGI</w:t>
            </w:r>
            <w:r>
              <w:rPr>
                <w:rFonts w:eastAsia="Times New Roman"/>
                <w:color w:val="000000"/>
                <w:sz w:val="16"/>
                <w:szCs w:val="16"/>
              </w:rPr>
              <w:br/>
              <w:t>Utilities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3F1733">
        <w:trPr>
          <w:gridAfter w:val="14"/>
          <w:divId w:val="903838349"/>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3F1733">
        <w:trPr>
          <w:gridAfter w:val="14"/>
          <w:divId w:val="903838349"/>
        </w:trPr>
        <w:tc>
          <w:tcPr>
            <w:tcW w:w="0" w:type="auto"/>
            <w:gridSpan w:val="4"/>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(118)</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(b)</w:t>
            </w: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5"/>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gridAfter w:val="14"/>
          <w:divId w:val="903838349"/>
        </w:trPr>
        <w:tc>
          <w:tcPr>
            <w:tcW w:w="0" w:type="auto"/>
            <w:gridSpan w:val="4"/>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1,274 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(b)</w:t>
            </w: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431 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491 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343 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202 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5"/>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3F1733">
        <w:trPr>
          <w:gridAfter w:val="14"/>
          <w:divId w:val="903838349"/>
        </w:trPr>
        <w:tc>
          <w:tcPr>
            <w:tcW w:w="0" w:type="auto"/>
            <w:gridSpan w:val="4"/>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671 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239 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5"/>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gridAfter w:val="14"/>
          <w:divId w:val="903838349"/>
        </w:trPr>
        <w:tc>
          <w:tcPr>
            <w:tcW w:w="0" w:type="auto"/>
            <w:gridSpan w:val="4"/>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w:t>
            </w:r>
          </w:p>
        </w:tc>
        <w:tc>
          <w:tcPr>
            <w:tcW w:w="0" w:type="auto"/>
            <w:gridSpan w:val="4"/>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gridAfter w:val="14"/>
          <w:divId w:val="903838349"/>
        </w:trPr>
        <w:tc>
          <w:tcPr>
            <w:tcW w:w="0" w:type="auto"/>
            <w:gridSpan w:val="4"/>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7"/>
            <w:vAlign w:val="center"/>
            <w:hideMark/>
          </w:tcPr>
          <w:p w:rsidR="00000000" w:rsidRDefault="003F1733">
            <w:pPr>
              <w:rPr>
                <w:rFonts w:eastAsia="Times New Roman"/>
                <w:sz w:val="20"/>
                <w:szCs w:val="20"/>
              </w:rPr>
            </w:pPr>
          </w:p>
        </w:tc>
        <w:tc>
          <w:tcPr>
            <w:tcW w:w="0" w:type="auto"/>
            <w:gridSpan w:val="4"/>
            <w:vAlign w:val="center"/>
            <w:hideMark/>
          </w:tcPr>
          <w:p w:rsidR="00000000" w:rsidRDefault="003F1733">
            <w:pPr>
              <w:rPr>
                <w:rFonts w:eastAsia="Times New Roman"/>
                <w:sz w:val="20"/>
                <w:szCs w:val="20"/>
              </w:rPr>
            </w:pPr>
          </w:p>
        </w:tc>
        <w:tc>
          <w:tcPr>
            <w:tcW w:w="0" w:type="auto"/>
            <w:gridSpan w:val="6"/>
            <w:vAlign w:val="center"/>
            <w:hideMark/>
          </w:tcPr>
          <w:p w:rsidR="00000000" w:rsidRDefault="003F1733">
            <w:pPr>
              <w:rPr>
                <w:rFonts w:eastAsia="Times New Roman"/>
                <w:sz w:val="20"/>
                <w:szCs w:val="20"/>
              </w:rPr>
            </w:pPr>
          </w:p>
        </w:tc>
        <w:tc>
          <w:tcPr>
            <w:tcW w:w="0" w:type="auto"/>
            <w:gridSpan w:val="5"/>
            <w:vAlign w:val="center"/>
            <w:hideMark/>
          </w:tcPr>
          <w:p w:rsidR="00000000" w:rsidRDefault="003F1733">
            <w:pPr>
              <w:rPr>
                <w:rFonts w:eastAsia="Times New Roman"/>
                <w:sz w:val="20"/>
                <w:szCs w:val="20"/>
              </w:rPr>
            </w:pPr>
          </w:p>
        </w:tc>
        <w:tc>
          <w:tcPr>
            <w:tcW w:w="0" w:type="auto"/>
            <w:gridSpan w:val="5"/>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9"/>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6"/>
            <w:vAlign w:val="center"/>
            <w:hideMark/>
          </w:tcPr>
          <w:p w:rsidR="00000000" w:rsidRDefault="003F1733">
            <w:pPr>
              <w:rPr>
                <w:rFonts w:eastAsia="Times New Roman"/>
                <w:sz w:val="20"/>
                <w:szCs w:val="20"/>
              </w:rPr>
            </w:pPr>
          </w:p>
        </w:tc>
        <w:tc>
          <w:tcPr>
            <w:tcW w:w="0" w:type="auto"/>
            <w:gridSpan w:val="4"/>
            <w:vAlign w:val="center"/>
            <w:hideMark/>
          </w:tcPr>
          <w:p w:rsidR="00000000" w:rsidRDefault="003F1733">
            <w:pPr>
              <w:rPr>
                <w:rFonts w:eastAsia="Times New Roman"/>
                <w:sz w:val="20"/>
                <w:szCs w:val="20"/>
              </w:rPr>
            </w:pPr>
          </w:p>
        </w:tc>
        <w:tc>
          <w:tcPr>
            <w:tcW w:w="0" w:type="auto"/>
            <w:gridSpan w:val="5"/>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8"/>
            <w:vAlign w:val="center"/>
            <w:hideMark/>
          </w:tcPr>
          <w:p w:rsidR="00000000" w:rsidRDefault="003F1733">
            <w:pPr>
              <w:rPr>
                <w:rFonts w:eastAsia="Times New Roman"/>
                <w:sz w:val="20"/>
                <w:szCs w:val="20"/>
              </w:rPr>
            </w:pPr>
          </w:p>
        </w:tc>
      </w:tr>
      <w:tr w:rsidR="00000000">
        <w:trPr>
          <w:gridAfter w:val="14"/>
          <w:divId w:val="903838349"/>
        </w:trPr>
        <w:tc>
          <w:tcPr>
            <w:tcW w:w="0" w:type="auto"/>
            <w:gridSpan w:val="4"/>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 non-operating income, net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gridAfter w:val="14"/>
          <w:divId w:val="903838349"/>
        </w:trPr>
        <w:tc>
          <w:tcPr>
            <w:tcW w:w="0" w:type="auto"/>
            <w:gridSpan w:val="4"/>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gridAfter w:val="14"/>
          <w:divId w:val="903838349"/>
        </w:trPr>
        <w:tc>
          <w:tcPr>
            <w:tcW w:w="0" w:type="auto"/>
            <w:gridSpan w:val="4"/>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(78)</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w:t>
            </w:r>
            <w:r>
              <w:rPr>
                <w:rFonts w:eastAsia="Times New Roman"/>
                <w:color w:val="000000"/>
                <w:sz w:val="16"/>
                <w:szCs w:val="16"/>
              </w:rPr>
              <w:t>40)</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gridAfter w:val="14"/>
          <w:divId w:val="903838349"/>
        </w:trPr>
        <w:tc>
          <w:tcPr>
            <w:tcW w:w="0" w:type="auto"/>
            <w:gridSpan w:val="4"/>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gridAfter w:val="14"/>
          <w:divId w:val="903838349"/>
        </w:trPr>
        <w:tc>
          <w:tcPr>
            <w:tcW w:w="0" w:type="auto"/>
            <w:gridSpan w:val="4"/>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7"/>
            <w:vAlign w:val="center"/>
            <w:hideMark/>
          </w:tcPr>
          <w:p w:rsidR="00000000" w:rsidRDefault="003F1733">
            <w:pPr>
              <w:rPr>
                <w:rFonts w:eastAsia="Times New Roman"/>
                <w:sz w:val="20"/>
                <w:szCs w:val="20"/>
              </w:rPr>
            </w:pPr>
          </w:p>
        </w:tc>
        <w:tc>
          <w:tcPr>
            <w:tcW w:w="0" w:type="auto"/>
            <w:gridSpan w:val="4"/>
            <w:vAlign w:val="center"/>
            <w:hideMark/>
          </w:tcPr>
          <w:p w:rsidR="00000000" w:rsidRDefault="003F1733">
            <w:pPr>
              <w:rPr>
                <w:rFonts w:eastAsia="Times New Roman"/>
                <w:sz w:val="20"/>
                <w:szCs w:val="20"/>
              </w:rPr>
            </w:pPr>
          </w:p>
        </w:tc>
        <w:tc>
          <w:tcPr>
            <w:tcW w:w="0" w:type="auto"/>
            <w:gridSpan w:val="6"/>
            <w:vAlign w:val="center"/>
            <w:hideMark/>
          </w:tcPr>
          <w:p w:rsidR="00000000" w:rsidRDefault="003F1733">
            <w:pPr>
              <w:rPr>
                <w:rFonts w:eastAsia="Times New Roman"/>
                <w:sz w:val="20"/>
                <w:szCs w:val="20"/>
              </w:rPr>
            </w:pPr>
          </w:p>
        </w:tc>
        <w:tc>
          <w:tcPr>
            <w:tcW w:w="0" w:type="auto"/>
            <w:gridSpan w:val="5"/>
            <w:vAlign w:val="center"/>
            <w:hideMark/>
          </w:tcPr>
          <w:p w:rsidR="00000000" w:rsidRDefault="003F1733">
            <w:pPr>
              <w:rPr>
                <w:rFonts w:eastAsia="Times New Roman"/>
                <w:sz w:val="20"/>
                <w:szCs w:val="20"/>
              </w:rPr>
            </w:pPr>
          </w:p>
        </w:tc>
        <w:tc>
          <w:tcPr>
            <w:tcW w:w="0" w:type="auto"/>
            <w:gridSpan w:val="5"/>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9"/>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6"/>
            <w:vAlign w:val="center"/>
            <w:hideMark/>
          </w:tcPr>
          <w:p w:rsidR="00000000" w:rsidRDefault="003F1733">
            <w:pPr>
              <w:rPr>
                <w:rFonts w:eastAsia="Times New Roman"/>
                <w:sz w:val="20"/>
                <w:szCs w:val="20"/>
              </w:rPr>
            </w:pPr>
          </w:p>
        </w:tc>
        <w:tc>
          <w:tcPr>
            <w:tcW w:w="0" w:type="auto"/>
            <w:gridSpan w:val="4"/>
            <w:vAlign w:val="center"/>
            <w:hideMark/>
          </w:tcPr>
          <w:p w:rsidR="00000000" w:rsidRDefault="003F1733">
            <w:pPr>
              <w:rPr>
                <w:rFonts w:eastAsia="Times New Roman"/>
                <w:sz w:val="20"/>
                <w:szCs w:val="20"/>
              </w:rPr>
            </w:pPr>
          </w:p>
        </w:tc>
        <w:tc>
          <w:tcPr>
            <w:tcW w:w="0" w:type="auto"/>
            <w:gridSpan w:val="5"/>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8"/>
            <w:vAlign w:val="center"/>
            <w:hideMark/>
          </w:tcPr>
          <w:p w:rsidR="00000000" w:rsidRDefault="003F1733">
            <w:pPr>
              <w:rPr>
                <w:rFonts w:eastAsia="Times New Roman"/>
                <w:sz w:val="20"/>
                <w:szCs w:val="20"/>
              </w:rPr>
            </w:pPr>
          </w:p>
        </w:tc>
      </w:tr>
      <w:tr w:rsidR="003F1733">
        <w:trPr>
          <w:gridAfter w:val="14"/>
          <w:divId w:val="903838349"/>
        </w:trPr>
        <w:tc>
          <w:tcPr>
            <w:tcW w:w="0" w:type="auto"/>
            <w:gridSpan w:val="4"/>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gridAfter w:val="14"/>
          <w:divId w:val="903838349"/>
        </w:trPr>
        <w:tc>
          <w:tcPr>
            <w:tcW w:w="0" w:type="auto"/>
            <w:gridSpan w:val="4"/>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5"/>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50" w:type="pct"/>
            <w:gridSpan w:val="2"/>
            <w:vAlign w:val="center"/>
            <w:hideMark/>
          </w:tcPr>
          <w:p w:rsidR="00000000" w:rsidRDefault="003F1733">
            <w:pPr>
              <w:jc w:val="both"/>
              <w:rPr>
                <w:rFonts w:eastAsia="Times New Roman"/>
              </w:rPr>
            </w:pPr>
          </w:p>
        </w:tc>
        <w:tc>
          <w:tcPr>
            <w:tcW w:w="1118" w:type="pct"/>
            <w:gridSpan w:val="6"/>
            <w:vAlign w:val="center"/>
            <w:hideMark/>
          </w:tcPr>
          <w:p w:rsidR="00000000" w:rsidRDefault="003F1733">
            <w:pPr>
              <w:rPr>
                <w:rFonts w:eastAsia="Times New Roman"/>
                <w:sz w:val="20"/>
                <w:szCs w:val="20"/>
              </w:rPr>
            </w:pPr>
          </w:p>
        </w:tc>
        <w:tc>
          <w:tcPr>
            <w:tcW w:w="5" w:type="pct"/>
            <w:gridSpan w:val="2"/>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gridSpan w:val="3"/>
            <w:vAlign w:val="center"/>
            <w:hideMark/>
          </w:tcPr>
          <w:p w:rsidR="00000000" w:rsidRDefault="003F1733">
            <w:pPr>
              <w:rPr>
                <w:rFonts w:eastAsia="Times New Roman"/>
                <w:sz w:val="20"/>
                <w:szCs w:val="20"/>
              </w:rPr>
            </w:pPr>
          </w:p>
        </w:tc>
        <w:tc>
          <w:tcPr>
            <w:tcW w:w="50" w:type="pct"/>
            <w:gridSpan w:val="4"/>
            <w:vAlign w:val="center"/>
            <w:hideMark/>
          </w:tcPr>
          <w:p w:rsidR="00000000" w:rsidRDefault="003F1733">
            <w:pPr>
              <w:rPr>
                <w:rFonts w:eastAsia="Times New Roman"/>
                <w:sz w:val="20"/>
                <w:szCs w:val="20"/>
              </w:rPr>
            </w:pPr>
          </w:p>
        </w:tc>
        <w:tc>
          <w:tcPr>
            <w:tcW w:w="348" w:type="pct"/>
            <w:gridSpan w:val="2"/>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gridSpan w:val="3"/>
            <w:vAlign w:val="center"/>
            <w:hideMark/>
          </w:tcPr>
          <w:p w:rsidR="00000000" w:rsidRDefault="003F1733">
            <w:pPr>
              <w:rPr>
                <w:rFonts w:eastAsia="Times New Roman"/>
                <w:sz w:val="20"/>
                <w:szCs w:val="20"/>
              </w:rPr>
            </w:pPr>
          </w:p>
        </w:tc>
        <w:tc>
          <w:tcPr>
            <w:tcW w:w="26" w:type="pct"/>
            <w:gridSpan w:val="2"/>
            <w:vAlign w:val="center"/>
            <w:hideMark/>
          </w:tcPr>
          <w:p w:rsidR="00000000" w:rsidRDefault="003F1733">
            <w:pPr>
              <w:rPr>
                <w:rFonts w:eastAsia="Times New Roman"/>
                <w:sz w:val="20"/>
                <w:szCs w:val="20"/>
              </w:rPr>
            </w:pPr>
          </w:p>
        </w:tc>
        <w:tc>
          <w:tcPr>
            <w:tcW w:w="5" w:type="pct"/>
            <w:gridSpan w:val="3"/>
            <w:vAlign w:val="center"/>
            <w:hideMark/>
          </w:tcPr>
          <w:p w:rsidR="00000000" w:rsidRDefault="003F1733">
            <w:pPr>
              <w:rPr>
                <w:rFonts w:eastAsia="Times New Roman"/>
                <w:sz w:val="20"/>
                <w:szCs w:val="20"/>
              </w:rPr>
            </w:pPr>
          </w:p>
        </w:tc>
        <w:tc>
          <w:tcPr>
            <w:tcW w:w="50" w:type="pct"/>
            <w:gridSpan w:val="2"/>
            <w:vAlign w:val="center"/>
            <w:hideMark/>
          </w:tcPr>
          <w:p w:rsidR="00000000" w:rsidRDefault="003F1733">
            <w:pPr>
              <w:rPr>
                <w:rFonts w:eastAsia="Times New Roman"/>
                <w:sz w:val="20"/>
                <w:szCs w:val="20"/>
              </w:rPr>
            </w:pPr>
          </w:p>
        </w:tc>
        <w:tc>
          <w:tcPr>
            <w:tcW w:w="421" w:type="pct"/>
            <w:gridSpan w:val="6"/>
            <w:vAlign w:val="center"/>
            <w:hideMark/>
          </w:tcPr>
          <w:p w:rsidR="00000000" w:rsidRDefault="003F1733">
            <w:pPr>
              <w:rPr>
                <w:rFonts w:eastAsia="Times New Roman"/>
                <w:sz w:val="20"/>
                <w:szCs w:val="20"/>
              </w:rPr>
            </w:pPr>
          </w:p>
        </w:tc>
        <w:tc>
          <w:tcPr>
            <w:tcW w:w="5" w:type="pct"/>
            <w:gridSpan w:val="2"/>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7" w:type="pct"/>
            <w:gridSpan w:val="7"/>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136" w:type="pct"/>
            <w:gridSpan w:val="4"/>
            <w:vAlign w:val="center"/>
            <w:hideMark/>
          </w:tcPr>
          <w:p w:rsidR="00000000" w:rsidRDefault="003F1733">
            <w:pPr>
              <w:rPr>
                <w:rFonts w:eastAsia="Times New Roman"/>
                <w:sz w:val="20"/>
                <w:szCs w:val="20"/>
              </w:rPr>
            </w:pPr>
          </w:p>
        </w:tc>
        <w:tc>
          <w:tcPr>
            <w:tcW w:w="5" w:type="pct"/>
            <w:gridSpan w:val="3"/>
            <w:vAlign w:val="center"/>
            <w:hideMark/>
          </w:tcPr>
          <w:p w:rsidR="00000000" w:rsidRDefault="003F1733">
            <w:pPr>
              <w:rPr>
                <w:rFonts w:eastAsia="Times New Roman"/>
                <w:sz w:val="20"/>
                <w:szCs w:val="20"/>
              </w:rPr>
            </w:pPr>
          </w:p>
        </w:tc>
        <w:tc>
          <w:tcPr>
            <w:tcW w:w="50" w:type="pct"/>
            <w:gridSpan w:val="2"/>
            <w:vAlign w:val="center"/>
            <w:hideMark/>
          </w:tcPr>
          <w:p w:rsidR="00000000" w:rsidRDefault="003F1733">
            <w:pPr>
              <w:rPr>
                <w:rFonts w:eastAsia="Times New Roman"/>
                <w:sz w:val="20"/>
                <w:szCs w:val="20"/>
              </w:rPr>
            </w:pPr>
          </w:p>
        </w:tc>
        <w:tc>
          <w:tcPr>
            <w:tcW w:w="406" w:type="pct"/>
            <w:gridSpan w:val="6"/>
            <w:vAlign w:val="center"/>
            <w:hideMark/>
          </w:tcPr>
          <w:p w:rsidR="00000000" w:rsidRDefault="003F1733">
            <w:pPr>
              <w:rPr>
                <w:rFonts w:eastAsia="Times New Roman"/>
                <w:sz w:val="20"/>
                <w:szCs w:val="20"/>
              </w:rPr>
            </w:pPr>
          </w:p>
        </w:tc>
        <w:tc>
          <w:tcPr>
            <w:tcW w:w="5" w:type="pct"/>
            <w:gridSpan w:val="2"/>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gridSpan w:val="2"/>
            <w:vAlign w:val="center"/>
            <w:hideMark/>
          </w:tcPr>
          <w:p w:rsidR="00000000" w:rsidRDefault="003F1733">
            <w:pPr>
              <w:rPr>
                <w:rFonts w:eastAsia="Times New Roman"/>
                <w:sz w:val="20"/>
                <w:szCs w:val="20"/>
              </w:rPr>
            </w:pPr>
          </w:p>
        </w:tc>
        <w:tc>
          <w:tcPr>
            <w:tcW w:w="41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6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9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trHeight w:val="60"/>
        </w:trPr>
        <w:tc>
          <w:tcPr>
            <w:tcW w:w="0" w:type="auto"/>
            <w:gridSpan w:val="10"/>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5"/>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7"/>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8"/>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10"/>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8"/>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10"/>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c>
          <w:tcPr>
            <w:tcW w:w="0" w:type="auto"/>
            <w:gridSpan w:val="10"/>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Three Months Ended March 31, 2020</w:t>
            </w:r>
          </w:p>
        </w:tc>
        <w:tc>
          <w:tcPr>
            <w:tcW w:w="0" w:type="auto"/>
            <w:gridSpan w:val="5"/>
            <w:tcMar>
              <w:top w:w="0" w:type="dxa"/>
              <w:left w:w="20" w:type="dxa"/>
              <w:bottom w:w="0" w:type="dxa"/>
              <w:right w:w="20" w:type="dxa"/>
            </w:tcMar>
            <w:vAlign w:val="center"/>
            <w:hideMark/>
          </w:tcPr>
          <w:p w:rsidR="00000000" w:rsidRDefault="003F1733">
            <w:pPr>
              <w:rPr>
                <w:rFonts w:eastAsia="Times New Roman"/>
              </w:rPr>
            </w:pPr>
          </w:p>
        </w:tc>
        <w:tc>
          <w:tcPr>
            <w:tcW w:w="0" w:type="auto"/>
            <w:gridSpan w:val="7"/>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Total</w:t>
            </w:r>
          </w:p>
        </w:tc>
        <w:tc>
          <w:tcPr>
            <w:tcW w:w="0" w:type="auto"/>
            <w:gridSpan w:val="8"/>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10"/>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Eliminations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8"/>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10"/>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UGI</w:t>
            </w:r>
            <w:r>
              <w:rPr>
                <w:rFonts w:eastAsia="Times New Roman"/>
                <w:color w:val="000000"/>
                <w:sz w:val="16"/>
                <w:szCs w:val="16"/>
              </w:rPr>
              <w:br/>
              <w:t>Utilities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000000">
        <w:tc>
          <w:tcPr>
            <w:tcW w:w="0" w:type="auto"/>
            <w:gridSpan w:val="10"/>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Revenues from external customers</w:t>
            </w:r>
          </w:p>
        </w:tc>
        <w:tc>
          <w:tcPr>
            <w:tcW w:w="0" w:type="auto"/>
            <w:gridSpan w:val="5"/>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704 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0" w:type="auto"/>
            <w:gridSpan w:val="10"/>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Intersegment revenues</w:t>
            </w:r>
          </w:p>
        </w:tc>
        <w:tc>
          <w:tcPr>
            <w:tcW w:w="0" w:type="auto"/>
            <w:gridSpan w:val="5"/>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(94)</w:t>
            </w:r>
          </w:p>
        </w:tc>
        <w:tc>
          <w:tcPr>
            <w:tcW w:w="0" w:type="auto"/>
            <w:gridSpan w:val="2"/>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7"/>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0" w:type="auto"/>
            <w:gridSpan w:val="10"/>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Cost of sales</w:t>
            </w:r>
          </w:p>
        </w:tc>
        <w:tc>
          <w:tcPr>
            <w:tcW w:w="0" w:type="auto"/>
            <w:gridSpan w:val="5"/>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1,248 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(94)</w:t>
            </w:r>
          </w:p>
        </w:tc>
        <w:tc>
          <w:tcPr>
            <w:tcW w:w="0" w:type="auto"/>
            <w:gridSpan w:val="2"/>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7"/>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325 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402 </w:t>
            </w:r>
          </w:p>
        </w:tc>
        <w:tc>
          <w:tcPr>
            <w:tcW w:w="0" w:type="auto"/>
            <w:gridSpan w:val="2"/>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299 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185 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0" w:type="auto"/>
            <w:gridSpan w:val="10"/>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Operating income (loss)</w:t>
            </w:r>
          </w:p>
        </w:tc>
        <w:tc>
          <w:tcPr>
            <w:tcW w:w="0" w:type="auto"/>
            <w:gridSpan w:val="5"/>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362 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7"/>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206 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117 </w:t>
            </w:r>
          </w:p>
        </w:tc>
        <w:tc>
          <w:tcPr>
            <w:tcW w:w="0" w:type="auto"/>
            <w:gridSpan w:val="2"/>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(148)</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0" w:type="auto"/>
            <w:gridSpan w:val="10"/>
            <w:vAlign w:val="center"/>
            <w:hideMark/>
          </w:tcPr>
          <w:p w:rsidR="00000000" w:rsidRDefault="003F1733">
            <w:pPr>
              <w:jc w:val="right"/>
              <w:rPr>
                <w:rFonts w:eastAsia="Times New Roman"/>
                <w:sz w:val="20"/>
                <w:szCs w:val="20"/>
              </w:rPr>
            </w:pPr>
          </w:p>
        </w:tc>
        <w:tc>
          <w:tcPr>
            <w:tcW w:w="0" w:type="auto"/>
            <w:gridSpan w:val="5"/>
            <w:vAlign w:val="center"/>
            <w:hideMark/>
          </w:tcPr>
          <w:p w:rsidR="00000000" w:rsidRDefault="003F1733">
            <w:pPr>
              <w:rPr>
                <w:rFonts w:eastAsia="Times New Roman"/>
                <w:sz w:val="20"/>
                <w:szCs w:val="20"/>
              </w:rPr>
            </w:pPr>
          </w:p>
        </w:tc>
        <w:tc>
          <w:tcPr>
            <w:tcW w:w="0" w:type="auto"/>
            <w:gridSpan w:val="7"/>
            <w:vAlign w:val="center"/>
            <w:hideMark/>
          </w:tcPr>
          <w:p w:rsidR="00000000" w:rsidRDefault="003F1733">
            <w:pPr>
              <w:rPr>
                <w:rFonts w:eastAsia="Times New Roman"/>
                <w:sz w:val="20"/>
                <w:szCs w:val="20"/>
              </w:rPr>
            </w:pPr>
          </w:p>
        </w:tc>
        <w:tc>
          <w:tcPr>
            <w:tcW w:w="0" w:type="auto"/>
            <w:gridSpan w:val="8"/>
            <w:vAlign w:val="center"/>
            <w:hideMark/>
          </w:tcPr>
          <w:p w:rsidR="00000000" w:rsidRDefault="003F1733">
            <w:pPr>
              <w:rPr>
                <w:rFonts w:eastAsia="Times New Roman"/>
                <w:sz w:val="20"/>
                <w:szCs w:val="20"/>
              </w:rPr>
            </w:pPr>
          </w:p>
        </w:tc>
        <w:tc>
          <w:tcPr>
            <w:tcW w:w="0" w:type="auto"/>
            <w:gridSpan w:val="10"/>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9"/>
            <w:vAlign w:val="center"/>
            <w:hideMark/>
          </w:tcPr>
          <w:p w:rsidR="00000000" w:rsidRDefault="003F1733">
            <w:pPr>
              <w:rPr>
                <w:rFonts w:eastAsia="Times New Roman"/>
                <w:sz w:val="20"/>
                <w:szCs w:val="20"/>
              </w:rPr>
            </w:pPr>
          </w:p>
        </w:tc>
        <w:tc>
          <w:tcPr>
            <w:tcW w:w="0" w:type="auto"/>
            <w:gridSpan w:val="8"/>
            <w:vAlign w:val="center"/>
            <w:hideMark/>
          </w:tcPr>
          <w:p w:rsidR="00000000" w:rsidRDefault="003F1733">
            <w:pPr>
              <w:rPr>
                <w:rFonts w:eastAsia="Times New Roman"/>
                <w:sz w:val="20"/>
                <w:szCs w:val="20"/>
              </w:rPr>
            </w:pPr>
          </w:p>
        </w:tc>
        <w:tc>
          <w:tcPr>
            <w:tcW w:w="0" w:type="auto"/>
            <w:gridSpan w:val="10"/>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4"/>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c>
          <w:tcPr>
            <w:tcW w:w="0" w:type="auto"/>
            <w:gridSpan w:val="10"/>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Income from equity investees</w:t>
            </w:r>
          </w:p>
        </w:tc>
        <w:tc>
          <w:tcPr>
            <w:tcW w:w="0" w:type="auto"/>
            <w:gridSpan w:val="5"/>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0" w:type="auto"/>
            <w:gridSpan w:val="10"/>
            <w:vAlign w:val="center"/>
            <w:hideMark/>
          </w:tcPr>
          <w:p w:rsidR="00000000" w:rsidRDefault="003F1733">
            <w:pPr>
              <w:jc w:val="right"/>
              <w:rPr>
                <w:rFonts w:eastAsia="Times New Roman"/>
                <w:sz w:val="20"/>
                <w:szCs w:val="20"/>
              </w:rPr>
            </w:pPr>
          </w:p>
        </w:tc>
        <w:tc>
          <w:tcPr>
            <w:tcW w:w="0" w:type="auto"/>
            <w:gridSpan w:val="5"/>
            <w:vAlign w:val="center"/>
            <w:hideMark/>
          </w:tcPr>
          <w:p w:rsidR="00000000" w:rsidRDefault="003F1733">
            <w:pPr>
              <w:rPr>
                <w:rFonts w:eastAsia="Times New Roman"/>
                <w:sz w:val="20"/>
                <w:szCs w:val="20"/>
              </w:rPr>
            </w:pPr>
          </w:p>
        </w:tc>
        <w:tc>
          <w:tcPr>
            <w:tcW w:w="0" w:type="auto"/>
            <w:gridSpan w:val="7"/>
            <w:vAlign w:val="center"/>
            <w:hideMark/>
          </w:tcPr>
          <w:p w:rsidR="00000000" w:rsidRDefault="003F1733">
            <w:pPr>
              <w:rPr>
                <w:rFonts w:eastAsia="Times New Roman"/>
                <w:sz w:val="20"/>
                <w:szCs w:val="20"/>
              </w:rPr>
            </w:pPr>
          </w:p>
        </w:tc>
        <w:tc>
          <w:tcPr>
            <w:tcW w:w="0" w:type="auto"/>
            <w:gridSpan w:val="8"/>
            <w:vAlign w:val="center"/>
            <w:hideMark/>
          </w:tcPr>
          <w:p w:rsidR="00000000" w:rsidRDefault="003F1733">
            <w:pPr>
              <w:rPr>
                <w:rFonts w:eastAsia="Times New Roman"/>
                <w:sz w:val="20"/>
                <w:szCs w:val="20"/>
              </w:rPr>
            </w:pPr>
          </w:p>
        </w:tc>
        <w:tc>
          <w:tcPr>
            <w:tcW w:w="0" w:type="auto"/>
            <w:gridSpan w:val="10"/>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9"/>
            <w:vAlign w:val="center"/>
            <w:hideMark/>
          </w:tcPr>
          <w:p w:rsidR="00000000" w:rsidRDefault="003F1733">
            <w:pPr>
              <w:rPr>
                <w:rFonts w:eastAsia="Times New Roman"/>
                <w:sz w:val="20"/>
                <w:szCs w:val="20"/>
              </w:rPr>
            </w:pPr>
          </w:p>
        </w:tc>
        <w:tc>
          <w:tcPr>
            <w:tcW w:w="0" w:type="auto"/>
            <w:gridSpan w:val="8"/>
            <w:vAlign w:val="center"/>
            <w:hideMark/>
          </w:tcPr>
          <w:p w:rsidR="00000000" w:rsidRDefault="003F1733">
            <w:pPr>
              <w:rPr>
                <w:rFonts w:eastAsia="Times New Roman"/>
                <w:sz w:val="20"/>
                <w:szCs w:val="20"/>
              </w:rPr>
            </w:pPr>
          </w:p>
        </w:tc>
        <w:tc>
          <w:tcPr>
            <w:tcW w:w="0" w:type="auto"/>
            <w:gridSpan w:val="10"/>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4"/>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c>
          <w:tcPr>
            <w:tcW w:w="0" w:type="auto"/>
            <w:gridSpan w:val="10"/>
            <w:vAlign w:val="center"/>
            <w:hideMark/>
          </w:tcPr>
          <w:p w:rsidR="00000000" w:rsidRDefault="003F1733">
            <w:pPr>
              <w:rPr>
                <w:rFonts w:eastAsia="Times New Roman"/>
                <w:sz w:val="20"/>
                <w:szCs w:val="20"/>
              </w:rPr>
            </w:pPr>
          </w:p>
        </w:tc>
        <w:tc>
          <w:tcPr>
            <w:tcW w:w="0" w:type="auto"/>
            <w:gridSpan w:val="5"/>
            <w:vAlign w:val="center"/>
            <w:hideMark/>
          </w:tcPr>
          <w:p w:rsidR="00000000" w:rsidRDefault="003F1733">
            <w:pPr>
              <w:rPr>
                <w:rFonts w:eastAsia="Times New Roman"/>
                <w:sz w:val="20"/>
                <w:szCs w:val="20"/>
              </w:rPr>
            </w:pPr>
          </w:p>
        </w:tc>
        <w:tc>
          <w:tcPr>
            <w:tcW w:w="0" w:type="auto"/>
            <w:gridSpan w:val="7"/>
            <w:vAlign w:val="center"/>
            <w:hideMark/>
          </w:tcPr>
          <w:p w:rsidR="00000000" w:rsidRDefault="003F1733">
            <w:pPr>
              <w:rPr>
                <w:rFonts w:eastAsia="Times New Roman"/>
                <w:sz w:val="20"/>
                <w:szCs w:val="20"/>
              </w:rPr>
            </w:pPr>
          </w:p>
        </w:tc>
        <w:tc>
          <w:tcPr>
            <w:tcW w:w="0" w:type="auto"/>
            <w:gridSpan w:val="8"/>
            <w:vAlign w:val="center"/>
            <w:hideMark/>
          </w:tcPr>
          <w:p w:rsidR="00000000" w:rsidRDefault="003F1733">
            <w:pPr>
              <w:rPr>
                <w:rFonts w:eastAsia="Times New Roman"/>
                <w:sz w:val="20"/>
                <w:szCs w:val="20"/>
              </w:rPr>
            </w:pPr>
          </w:p>
        </w:tc>
        <w:tc>
          <w:tcPr>
            <w:tcW w:w="0" w:type="auto"/>
            <w:gridSpan w:val="10"/>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9"/>
            <w:vAlign w:val="center"/>
            <w:hideMark/>
          </w:tcPr>
          <w:p w:rsidR="00000000" w:rsidRDefault="003F1733">
            <w:pPr>
              <w:rPr>
                <w:rFonts w:eastAsia="Times New Roman"/>
                <w:sz w:val="20"/>
                <w:szCs w:val="20"/>
              </w:rPr>
            </w:pPr>
          </w:p>
        </w:tc>
        <w:tc>
          <w:tcPr>
            <w:tcW w:w="0" w:type="auto"/>
            <w:gridSpan w:val="8"/>
            <w:vAlign w:val="center"/>
            <w:hideMark/>
          </w:tcPr>
          <w:p w:rsidR="00000000" w:rsidRDefault="003F1733">
            <w:pPr>
              <w:rPr>
                <w:rFonts w:eastAsia="Times New Roman"/>
                <w:sz w:val="20"/>
                <w:szCs w:val="20"/>
              </w:rPr>
            </w:pPr>
          </w:p>
        </w:tc>
        <w:tc>
          <w:tcPr>
            <w:tcW w:w="0" w:type="auto"/>
            <w:gridSpan w:val="10"/>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4"/>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c>
          <w:tcPr>
            <w:tcW w:w="0" w:type="auto"/>
            <w:gridSpan w:val="10"/>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 non-operating income, net</w:t>
            </w:r>
          </w:p>
        </w:tc>
        <w:tc>
          <w:tcPr>
            <w:tcW w:w="0" w:type="auto"/>
            <w:gridSpan w:val="5"/>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9 </w:t>
            </w:r>
          </w:p>
        </w:tc>
        <w:tc>
          <w:tcPr>
            <w:tcW w:w="0" w:type="auto"/>
            <w:gridSpan w:val="2"/>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0" w:type="auto"/>
            <w:gridSpan w:val="10"/>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Earnings (loss) before interest expense and income taxes</w:t>
            </w:r>
          </w:p>
        </w:tc>
        <w:tc>
          <w:tcPr>
            <w:tcW w:w="0" w:type="auto"/>
            <w:gridSpan w:val="5"/>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126 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0" w:type="auto"/>
            <w:gridSpan w:val="10"/>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Interest expense</w:t>
            </w:r>
          </w:p>
        </w:tc>
        <w:tc>
          <w:tcPr>
            <w:tcW w:w="0" w:type="auto"/>
            <w:gridSpan w:val="5"/>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w:t>
            </w:r>
          </w:p>
        </w:tc>
        <w:tc>
          <w:tcPr>
            <w:tcW w:w="0" w:type="auto"/>
            <w:gridSpan w:val="2"/>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0" w:type="auto"/>
            <w:gridSpan w:val="10"/>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Income (loss) before income taxes</w:t>
            </w:r>
          </w:p>
        </w:tc>
        <w:tc>
          <w:tcPr>
            <w:tcW w:w="0" w:type="auto"/>
            <w:gridSpan w:val="5"/>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118 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0" w:type="auto"/>
            <w:gridSpan w:val="10"/>
            <w:vAlign w:val="center"/>
            <w:hideMark/>
          </w:tcPr>
          <w:p w:rsidR="00000000" w:rsidRDefault="003F1733">
            <w:pPr>
              <w:jc w:val="right"/>
              <w:rPr>
                <w:rFonts w:eastAsia="Times New Roman"/>
                <w:sz w:val="20"/>
                <w:szCs w:val="20"/>
              </w:rPr>
            </w:pPr>
          </w:p>
        </w:tc>
        <w:tc>
          <w:tcPr>
            <w:tcW w:w="0" w:type="auto"/>
            <w:gridSpan w:val="5"/>
            <w:vAlign w:val="center"/>
            <w:hideMark/>
          </w:tcPr>
          <w:p w:rsidR="00000000" w:rsidRDefault="003F1733">
            <w:pPr>
              <w:rPr>
                <w:rFonts w:eastAsia="Times New Roman"/>
                <w:sz w:val="20"/>
                <w:szCs w:val="20"/>
              </w:rPr>
            </w:pPr>
          </w:p>
        </w:tc>
        <w:tc>
          <w:tcPr>
            <w:tcW w:w="0" w:type="auto"/>
            <w:gridSpan w:val="7"/>
            <w:vAlign w:val="center"/>
            <w:hideMark/>
          </w:tcPr>
          <w:p w:rsidR="00000000" w:rsidRDefault="003F1733">
            <w:pPr>
              <w:rPr>
                <w:rFonts w:eastAsia="Times New Roman"/>
                <w:sz w:val="20"/>
                <w:szCs w:val="20"/>
              </w:rPr>
            </w:pPr>
          </w:p>
        </w:tc>
        <w:tc>
          <w:tcPr>
            <w:tcW w:w="0" w:type="auto"/>
            <w:gridSpan w:val="8"/>
            <w:vAlign w:val="center"/>
            <w:hideMark/>
          </w:tcPr>
          <w:p w:rsidR="00000000" w:rsidRDefault="003F1733">
            <w:pPr>
              <w:rPr>
                <w:rFonts w:eastAsia="Times New Roman"/>
                <w:sz w:val="20"/>
                <w:szCs w:val="20"/>
              </w:rPr>
            </w:pPr>
          </w:p>
        </w:tc>
        <w:tc>
          <w:tcPr>
            <w:tcW w:w="0" w:type="auto"/>
            <w:gridSpan w:val="10"/>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9"/>
            <w:vAlign w:val="center"/>
            <w:hideMark/>
          </w:tcPr>
          <w:p w:rsidR="00000000" w:rsidRDefault="003F1733">
            <w:pPr>
              <w:rPr>
                <w:rFonts w:eastAsia="Times New Roman"/>
                <w:sz w:val="20"/>
                <w:szCs w:val="20"/>
              </w:rPr>
            </w:pPr>
          </w:p>
        </w:tc>
        <w:tc>
          <w:tcPr>
            <w:tcW w:w="0" w:type="auto"/>
            <w:gridSpan w:val="8"/>
            <w:vAlign w:val="center"/>
            <w:hideMark/>
          </w:tcPr>
          <w:p w:rsidR="00000000" w:rsidRDefault="003F1733">
            <w:pPr>
              <w:rPr>
                <w:rFonts w:eastAsia="Times New Roman"/>
                <w:sz w:val="20"/>
                <w:szCs w:val="20"/>
              </w:rPr>
            </w:pPr>
          </w:p>
        </w:tc>
        <w:tc>
          <w:tcPr>
            <w:tcW w:w="0" w:type="auto"/>
            <w:gridSpan w:val="10"/>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4"/>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c>
          <w:tcPr>
            <w:tcW w:w="0" w:type="auto"/>
            <w:gridSpan w:val="10"/>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Depreciation and amortization</w:t>
            </w:r>
          </w:p>
        </w:tc>
        <w:tc>
          <w:tcPr>
            <w:tcW w:w="0" w:type="auto"/>
            <w:gridSpan w:val="5"/>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4"/>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7"/>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31 </w:t>
            </w:r>
          </w:p>
        </w:tc>
        <w:tc>
          <w:tcPr>
            <w:tcW w:w="0" w:type="auto"/>
            <w:gridSpan w:val="2"/>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c>
          <w:tcPr>
            <w:tcW w:w="0" w:type="auto"/>
            <w:gridSpan w:val="10"/>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Capital expenditures (including the effects of accruals)</w:t>
            </w:r>
          </w:p>
        </w:tc>
        <w:tc>
          <w:tcPr>
            <w:tcW w:w="0" w:type="auto"/>
            <w:gridSpan w:val="5"/>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7"/>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gridSpan w:val="6"/>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22 </w:t>
            </w:r>
          </w:p>
        </w:tc>
        <w:tc>
          <w:tcPr>
            <w:tcW w:w="0" w:type="auto"/>
            <w:gridSpan w:val="2"/>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divId w:val="1000426657"/>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1773"/>
        <w:gridCol w:w="38"/>
        <w:gridCol w:w="36"/>
        <w:gridCol w:w="36"/>
        <w:gridCol w:w="36"/>
        <w:gridCol w:w="100"/>
        <w:gridCol w:w="480"/>
        <w:gridCol w:w="36"/>
        <w:gridCol w:w="36"/>
        <w:gridCol w:w="36"/>
        <w:gridCol w:w="36"/>
        <w:gridCol w:w="101"/>
        <w:gridCol w:w="758"/>
        <w:gridCol w:w="36"/>
        <w:gridCol w:w="75"/>
        <w:gridCol w:w="145"/>
        <w:gridCol w:w="36"/>
        <w:gridCol w:w="101"/>
        <w:gridCol w:w="609"/>
        <w:gridCol w:w="36"/>
        <w:gridCol w:w="36"/>
        <w:gridCol w:w="36"/>
        <w:gridCol w:w="36"/>
        <w:gridCol w:w="101"/>
        <w:gridCol w:w="755"/>
        <w:gridCol w:w="36"/>
        <w:gridCol w:w="36"/>
        <w:gridCol w:w="43"/>
        <w:gridCol w:w="36"/>
        <w:gridCol w:w="101"/>
        <w:gridCol w:w="648"/>
        <w:gridCol w:w="36"/>
        <w:gridCol w:w="72"/>
        <w:gridCol w:w="139"/>
        <w:gridCol w:w="36"/>
        <w:gridCol w:w="101"/>
        <w:gridCol w:w="483"/>
        <w:gridCol w:w="36"/>
        <w:gridCol w:w="36"/>
        <w:gridCol w:w="36"/>
        <w:gridCol w:w="36"/>
        <w:gridCol w:w="101"/>
        <w:gridCol w:w="690"/>
        <w:gridCol w:w="36"/>
      </w:tblGrid>
      <w:tr w:rsidR="00000000">
        <w:trPr>
          <w:divId w:val="1000426657"/>
        </w:trPr>
        <w:tc>
          <w:tcPr>
            <w:tcW w:w="50" w:type="pct"/>
            <w:vAlign w:val="center"/>
            <w:hideMark/>
          </w:tcPr>
          <w:p w:rsidR="00000000" w:rsidRDefault="003F1733">
            <w:pPr>
              <w:jc w:val="both"/>
              <w:rPr>
                <w:rFonts w:eastAsia="Times New Roman"/>
              </w:rPr>
            </w:pPr>
          </w:p>
        </w:tc>
        <w:tc>
          <w:tcPr>
            <w:tcW w:w="11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4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2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13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0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1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6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9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000426657"/>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Six Months Ended March 31, 2021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Eliminations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 xml:space="preserve">Midstream &amp; </w:t>
            </w:r>
            <w:r>
              <w:rPr>
                <w:rFonts w:eastAsia="Times New Roman"/>
                <w:color w:val="000000"/>
                <w:sz w:val="16"/>
                <w:szCs w:val="16"/>
              </w:rPr>
              <w:t>Marketing</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UGI</w:t>
            </w:r>
            <w:r>
              <w:rPr>
                <w:rFonts w:eastAsia="Times New Roman"/>
                <w:color w:val="000000"/>
                <w:sz w:val="16"/>
                <w:szCs w:val="16"/>
              </w:rPr>
              <w:br/>
              <w:t>Utilities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3F1733">
        <w:trPr>
          <w:divId w:val="100042665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4,513 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1000426657"/>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1000426657"/>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2,107 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703 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874 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580 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334 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(190)</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1000426657"/>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1,173 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380 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282 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219 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0426657"/>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0426657"/>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000426657"/>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 non-operating (expense) income, net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0426657"/>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0426657"/>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(80)</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(28)</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1000426657"/>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0426657"/>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3F1733">
        <w:trPr>
          <w:divId w:val="1000426657"/>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250 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1000426657"/>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276 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0426657"/>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As of March 31, 2021</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3F1733">
        <w:trPr>
          <w:divId w:val="1000426657"/>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14,945 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4,515 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3,576 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2,893 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3,982 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206 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000426657"/>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000426657"/>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bl>
    <w:p w:rsidR="00000000" w:rsidRDefault="003F1733">
      <w:pPr>
        <w:jc w:val="center"/>
        <w:divId w:val="1298025994"/>
        <w:rPr>
          <w:rFonts w:eastAsia="Times New Roman"/>
        </w:rPr>
      </w:pPr>
      <w:r>
        <w:rPr>
          <w:rFonts w:eastAsia="Times New Roman"/>
          <w:color w:val="000000"/>
          <w:sz w:val="20"/>
          <w:szCs w:val="20"/>
        </w:rPr>
        <w:t>30</w:t>
      </w:r>
    </w:p>
    <w:p w:rsidR="00000000" w:rsidRDefault="003F1733">
      <w:pPr>
        <w:rPr>
          <w:rFonts w:eastAsia="Times New Roman"/>
        </w:rPr>
      </w:pPr>
      <w:r>
        <w:rPr>
          <w:rFonts w:eastAsia="Times New Roman"/>
        </w:rPr>
        <w:pict>
          <v:rect id="_x0000_i1056" style="width:0;height:1.5pt" o:hralign="center" o:hrstd="t" o:hr="t" fillcolor="#a0a0a0" stroked="f"/>
        </w:pict>
      </w:r>
    </w:p>
    <w:p w:rsidR="00000000" w:rsidRDefault="003F1733">
      <w:pPr>
        <w:divId w:val="1408067872"/>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41948501"/>
        <w:rPr>
          <w:rFonts w:eastAsia="Times New Roman"/>
        </w:rPr>
      </w:pPr>
      <w:r>
        <w:rPr>
          <w:rFonts w:eastAsia="Times New Roman"/>
          <w:b/>
          <w:bCs/>
          <w:color w:val="000000"/>
          <w:sz w:val="20"/>
          <w:szCs w:val="20"/>
        </w:rPr>
        <w:t>UGI CORPORATION AND SUBSIDIARIES</w:t>
      </w:r>
    </w:p>
    <w:p w:rsidR="00000000" w:rsidRDefault="003F1733">
      <w:pPr>
        <w:jc w:val="center"/>
        <w:divId w:val="570965213"/>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41948501"/>
        <w:rPr>
          <w:rFonts w:eastAsia="Times New Roman"/>
        </w:rPr>
      </w:pPr>
      <w:r>
        <w:rPr>
          <w:rFonts w:eastAsia="Times New Roman"/>
          <w:color w:val="000000"/>
          <w:sz w:val="20"/>
          <w:szCs w:val="20"/>
        </w:rPr>
        <w:t>(unaudited)</w:t>
      </w:r>
    </w:p>
    <w:p w:rsidR="00000000" w:rsidRDefault="003F1733">
      <w:pPr>
        <w:jc w:val="center"/>
        <w:divId w:val="41948501"/>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tbl>
      <w:tblPr>
        <w:tblW w:w="4985" w:type="pct"/>
        <w:tblCellMar>
          <w:top w:w="15" w:type="dxa"/>
          <w:left w:w="15" w:type="dxa"/>
          <w:bottom w:w="15" w:type="dxa"/>
          <w:right w:w="15" w:type="dxa"/>
        </w:tblCellMar>
        <w:tblLook w:val="04A0" w:firstRow="1" w:lastRow="0" w:firstColumn="1" w:lastColumn="0" w:noHBand="0" w:noVBand="1"/>
      </w:tblPr>
      <w:tblGrid>
        <w:gridCol w:w="39"/>
        <w:gridCol w:w="1773"/>
        <w:gridCol w:w="38"/>
        <w:gridCol w:w="36"/>
        <w:gridCol w:w="36"/>
        <w:gridCol w:w="36"/>
        <w:gridCol w:w="100"/>
        <w:gridCol w:w="480"/>
        <w:gridCol w:w="36"/>
        <w:gridCol w:w="36"/>
        <w:gridCol w:w="36"/>
        <w:gridCol w:w="36"/>
        <w:gridCol w:w="101"/>
        <w:gridCol w:w="758"/>
        <w:gridCol w:w="36"/>
        <w:gridCol w:w="75"/>
        <w:gridCol w:w="145"/>
        <w:gridCol w:w="36"/>
        <w:gridCol w:w="101"/>
        <w:gridCol w:w="609"/>
        <w:gridCol w:w="36"/>
        <w:gridCol w:w="36"/>
        <w:gridCol w:w="36"/>
        <w:gridCol w:w="36"/>
        <w:gridCol w:w="101"/>
        <w:gridCol w:w="755"/>
        <w:gridCol w:w="36"/>
        <w:gridCol w:w="36"/>
        <w:gridCol w:w="43"/>
        <w:gridCol w:w="36"/>
        <w:gridCol w:w="101"/>
        <w:gridCol w:w="648"/>
        <w:gridCol w:w="36"/>
        <w:gridCol w:w="72"/>
        <w:gridCol w:w="139"/>
        <w:gridCol w:w="36"/>
        <w:gridCol w:w="101"/>
        <w:gridCol w:w="483"/>
        <w:gridCol w:w="36"/>
        <w:gridCol w:w="36"/>
        <w:gridCol w:w="36"/>
        <w:gridCol w:w="36"/>
        <w:gridCol w:w="101"/>
        <w:gridCol w:w="690"/>
        <w:gridCol w:w="36"/>
      </w:tblGrid>
      <w:tr w:rsidR="00000000">
        <w:trPr>
          <w:divId w:val="2079588636"/>
        </w:trPr>
        <w:tc>
          <w:tcPr>
            <w:tcW w:w="50" w:type="pct"/>
            <w:vAlign w:val="center"/>
            <w:hideMark/>
          </w:tcPr>
          <w:p w:rsidR="00000000" w:rsidRDefault="003F1733">
            <w:pPr>
              <w:jc w:val="center"/>
              <w:rPr>
                <w:rFonts w:eastAsia="Times New Roman"/>
              </w:rPr>
            </w:pPr>
          </w:p>
        </w:tc>
        <w:tc>
          <w:tcPr>
            <w:tcW w:w="11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4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2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7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13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0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1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6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9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2079588636"/>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Six Months Ended March 31, 2020</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Eliminations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UGI</w:t>
            </w:r>
            <w:r>
              <w:rPr>
                <w:rFonts w:eastAsia="Times New Roman"/>
                <w:color w:val="000000"/>
                <w:sz w:val="16"/>
                <w:szCs w:val="16"/>
              </w:rPr>
              <w:br/>
              <w:t>Utilities</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6"/>
                <w:szCs w:val="16"/>
              </w:rPr>
              <w:t>Corporate</w:t>
            </w:r>
            <w:r>
              <w:rPr>
                <w:rFonts w:eastAsia="Times New Roman"/>
                <w:color w:val="000000"/>
                <w:sz w:val="16"/>
                <w:szCs w:val="16"/>
              </w:rPr>
              <w:br/>
              <w:t>&amp; </w:t>
            </w:r>
            <w:r>
              <w:rPr>
                <w:rFonts w:eastAsia="Times New Roman"/>
                <w:color w:val="000000"/>
                <w:sz w:val="16"/>
                <w:szCs w:val="16"/>
              </w:rPr>
              <w:t>Other (a)</w:t>
            </w:r>
          </w:p>
        </w:tc>
      </w:tr>
      <w:tr w:rsidR="003F1733">
        <w:trPr>
          <w:divId w:val="207958863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207958863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(174)</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2079588636"/>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2,256 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(173)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614 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770 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563 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336 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2079588636"/>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Operating income (loss)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739 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371 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213 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126 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208 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(179)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79588636"/>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79588636"/>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079588636"/>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Other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79588636"/>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Earnings (loss)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79588636"/>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(167)</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(27)</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2079588636"/>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16"/>
                <w:szCs w:val="16"/>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79588636"/>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3F1733">
        <w:trPr>
          <w:divId w:val="207958863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89 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62 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52 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2079588636"/>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311 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74 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7958863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6"/>
                <w:szCs w:val="16"/>
              </w:rPr>
              <w:t>As of March 31, 2020</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3F1733">
        <w:trPr>
          <w:divId w:val="2079588636"/>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14,136 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(370)</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4,509 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3,227 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2,824 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3,730 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6"/>
                <w:szCs w:val="16"/>
              </w:rPr>
              <w:t>216 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079588636"/>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2079588636"/>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bl>
    <w:p w:rsidR="00000000" w:rsidRDefault="003F1733">
      <w:pPr>
        <w:jc w:val="center"/>
        <w:divId w:val="235747958"/>
        <w:rPr>
          <w:rFonts w:eastAsia="Times New Roman"/>
        </w:rPr>
      </w:pPr>
      <w:r>
        <w:rPr>
          <w:rFonts w:eastAsia="Times New Roman"/>
          <w:color w:val="000000"/>
          <w:sz w:val="20"/>
          <w:szCs w:val="20"/>
        </w:rPr>
        <w:t>31</w:t>
      </w:r>
    </w:p>
    <w:p w:rsidR="00000000" w:rsidRDefault="003F1733">
      <w:pPr>
        <w:rPr>
          <w:rFonts w:eastAsia="Times New Roman"/>
        </w:rPr>
      </w:pPr>
      <w:r>
        <w:rPr>
          <w:rFonts w:eastAsia="Times New Roman"/>
        </w:rPr>
        <w:pict>
          <v:rect id="_x0000_i1057" style="width:0;height:1.5pt" o:hralign="center" o:hrstd="t" o:hr="t" fillcolor="#a0a0a0" stroked="f"/>
        </w:pict>
      </w:r>
    </w:p>
    <w:p w:rsidR="00000000" w:rsidRDefault="003F1733">
      <w:pPr>
        <w:divId w:val="1441025883"/>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804419388"/>
        <w:rPr>
          <w:rFonts w:eastAsia="Times New Roman"/>
        </w:rPr>
      </w:pPr>
      <w:r>
        <w:rPr>
          <w:rFonts w:eastAsia="Times New Roman"/>
          <w:b/>
          <w:bCs/>
          <w:color w:val="000000"/>
          <w:sz w:val="20"/>
          <w:szCs w:val="20"/>
        </w:rPr>
        <w:t>UGI CORPORATION AND SUBSIDIARIES</w:t>
      </w:r>
    </w:p>
    <w:p w:rsidR="00000000" w:rsidRDefault="003F1733">
      <w:pPr>
        <w:jc w:val="center"/>
        <w:divId w:val="1700350177"/>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804419388"/>
        <w:rPr>
          <w:rFonts w:eastAsia="Times New Roman"/>
        </w:rPr>
      </w:pPr>
      <w:r>
        <w:rPr>
          <w:rFonts w:eastAsia="Times New Roman"/>
          <w:color w:val="000000"/>
          <w:sz w:val="20"/>
          <w:szCs w:val="20"/>
        </w:rPr>
        <w:t>(unaudited)</w:t>
      </w:r>
    </w:p>
    <w:p w:rsidR="00000000" w:rsidRDefault="003F1733">
      <w:pPr>
        <w:jc w:val="center"/>
        <w:divId w:val="1804419388"/>
        <w:rPr>
          <w:rFonts w:eastAsia="Times New Roman"/>
        </w:rPr>
      </w:pPr>
      <w:r>
        <w:rPr>
          <w:rFonts w:eastAsia="Times New Roman"/>
          <w:color w:val="000000"/>
          <w:sz w:val="20"/>
          <w:szCs w:val="20"/>
        </w:rPr>
        <w:t>(Currency in millions, except per share amounts and where indicated otherwise)</w:t>
      </w:r>
    </w:p>
    <w:p w:rsidR="00000000" w:rsidRDefault="003F1733">
      <w:pPr>
        <w:ind w:hanging="360"/>
        <w:jc w:val="both"/>
        <w:divId w:val="589848134"/>
        <w:rPr>
          <w:rFonts w:eastAsia="Times New Roman"/>
        </w:rPr>
      </w:pPr>
      <w:r>
        <w:rPr>
          <w:rFonts w:eastAsia="Times New Roman"/>
          <w:color w:val="000000"/>
          <w:sz w:val="20"/>
          <w:szCs w:val="20"/>
        </w:rPr>
        <w:t>(a)Corporate &amp; Other includes specific items attributable to our reportable segments that are not included in the segment profit measures used by our CODM in assessing our repor</w:t>
      </w:r>
      <w:r>
        <w:rPr>
          <w:rFonts w:eastAsia="Times New Roman"/>
          <w:color w:val="000000"/>
          <w:sz w:val="20"/>
          <w:szCs w:val="20"/>
        </w:rPr>
        <w:t>table segments’ performance or allocating resources. The following table presents such pre-tax gains (losses) which have been included in Corporate &amp; Other, and the reportable segments to which they relate:</w:t>
      </w: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rPr>
          <w:divId w:val="230383729"/>
        </w:trPr>
        <w:tc>
          <w:tcPr>
            <w:tcW w:w="50" w:type="pct"/>
            <w:vAlign w:val="center"/>
            <w:hideMark/>
          </w:tcPr>
          <w:p w:rsidR="00000000" w:rsidRDefault="003F1733">
            <w:pPr>
              <w:ind w:hanging="360"/>
              <w:jc w:val="both"/>
              <w:rPr>
                <w:rFonts w:eastAsia="Times New Roman"/>
              </w:rPr>
            </w:pPr>
          </w:p>
        </w:tc>
        <w:tc>
          <w:tcPr>
            <w:tcW w:w="218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3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230383729"/>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Three Months Ended March 31, 2021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3F1733">
            <w:pPr>
              <w:jc w:val="center"/>
              <w:rPr>
                <w:rFonts w:eastAsia="Times New Roman"/>
              </w:rPr>
            </w:pPr>
          </w:p>
        </w:tc>
        <w:tc>
          <w:tcPr>
            <w:tcW w:w="0" w:type="auto"/>
            <w:vAlign w:val="center"/>
            <w:hideMark/>
          </w:tcPr>
          <w:p w:rsidR="00000000" w:rsidRDefault="003F1733">
            <w:pPr>
              <w:rPr>
                <w:rFonts w:eastAsia="Times New Roman"/>
                <w:sz w:val="20"/>
                <w:szCs w:val="20"/>
              </w:rPr>
            </w:pPr>
          </w:p>
        </w:tc>
      </w:tr>
      <w:tr w:rsidR="00000000">
        <w:trPr>
          <w:divId w:val="23038372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230383729"/>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230383729"/>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230383729"/>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230383729"/>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230383729"/>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230383729"/>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230383729"/>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bl>
    <w:p w:rsidR="00000000" w:rsidRDefault="003F1733">
      <w:pPr>
        <w:ind w:firstLine="720"/>
        <w:jc w:val="both"/>
        <w:rPr>
          <w:rFonts w:eastAsia="Times New Roman"/>
        </w:rPr>
      </w:pP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rPr>
          <w:divId w:val="1261110254"/>
        </w:trPr>
        <w:tc>
          <w:tcPr>
            <w:tcW w:w="50" w:type="pct"/>
            <w:vAlign w:val="center"/>
            <w:hideMark/>
          </w:tcPr>
          <w:p w:rsidR="00000000" w:rsidRDefault="003F1733">
            <w:pPr>
              <w:ind w:firstLine="720"/>
              <w:jc w:val="both"/>
              <w:rPr>
                <w:rFonts w:eastAsia="Times New Roman"/>
              </w:rPr>
            </w:pPr>
          </w:p>
        </w:tc>
        <w:tc>
          <w:tcPr>
            <w:tcW w:w="218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3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261110254"/>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Three Months Ended March 31, 2020</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3F1733">
            <w:pPr>
              <w:jc w:val="center"/>
              <w:rPr>
                <w:rFonts w:eastAsia="Times New Roman"/>
              </w:rPr>
            </w:pPr>
          </w:p>
        </w:tc>
        <w:tc>
          <w:tcPr>
            <w:tcW w:w="0" w:type="auto"/>
            <w:vAlign w:val="center"/>
            <w:hideMark/>
          </w:tcPr>
          <w:p w:rsidR="00000000" w:rsidRDefault="003F1733">
            <w:pPr>
              <w:rPr>
                <w:rFonts w:eastAsia="Times New Roman"/>
                <w:sz w:val="20"/>
                <w:szCs w:val="20"/>
              </w:rPr>
            </w:pPr>
          </w:p>
        </w:tc>
      </w:tr>
      <w:tr w:rsidR="00000000">
        <w:trPr>
          <w:divId w:val="126111025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26111025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Net (losses)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(118)</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261110254"/>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261110254"/>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261110254"/>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261110254"/>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Acquisition and integration expenses associated with the CMG Acquisition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261110254"/>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261110254"/>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bl>
    <w:tbl>
      <w:tblPr>
        <w:tblW w:w="4824" w:type="pct"/>
        <w:tblCellMar>
          <w:top w:w="15" w:type="dxa"/>
          <w:left w:w="15" w:type="dxa"/>
          <w:bottom w:w="15" w:type="dxa"/>
          <w:right w:w="15" w:type="dxa"/>
        </w:tblCellMar>
        <w:tblLook w:val="04A0" w:firstRow="1" w:lastRow="0" w:firstColumn="1" w:lastColumn="0" w:noHBand="0" w:noVBand="1"/>
      </w:tblPr>
      <w:tblGrid>
        <w:gridCol w:w="144"/>
        <w:gridCol w:w="3504"/>
        <w:gridCol w:w="144"/>
        <w:gridCol w:w="144"/>
        <w:gridCol w:w="144"/>
        <w:gridCol w:w="144"/>
        <w:gridCol w:w="144"/>
        <w:gridCol w:w="1501"/>
        <w:gridCol w:w="144"/>
        <w:gridCol w:w="144"/>
        <w:gridCol w:w="144"/>
        <w:gridCol w:w="144"/>
        <w:gridCol w:w="144"/>
        <w:gridCol w:w="772"/>
        <w:gridCol w:w="144"/>
        <w:gridCol w:w="144"/>
        <w:gridCol w:w="144"/>
        <w:gridCol w:w="144"/>
        <w:gridCol w:w="144"/>
        <w:gridCol w:w="772"/>
        <w:gridCol w:w="144"/>
        <w:gridCol w:w="144"/>
        <w:gridCol w:w="144"/>
        <w:gridCol w:w="144"/>
        <w:gridCol w:w="144"/>
        <w:gridCol w:w="774"/>
        <w:gridCol w:w="144"/>
        <w:gridCol w:w="480"/>
        <w:gridCol w:w="1440"/>
      </w:tblGrid>
      <w:tr w:rsidR="00000000">
        <w:tc>
          <w:tcPr>
            <w:tcW w:w="50" w:type="pct"/>
            <w:vAlign w:val="center"/>
            <w:hideMark/>
          </w:tcPr>
          <w:p w:rsidR="00000000" w:rsidRDefault="003F1733">
            <w:pPr>
              <w:jc w:val="both"/>
              <w:rPr>
                <w:rFonts w:eastAsia="Times New Roman"/>
              </w:rPr>
            </w:pPr>
          </w:p>
        </w:tc>
        <w:tc>
          <w:tcPr>
            <w:tcW w:w="218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3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Six Months Ended March 31, 2021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3F1733">
            <w:pPr>
              <w:jc w:val="center"/>
              <w:rPr>
                <w:rFonts w:eastAsia="Times New Roman"/>
              </w:rPr>
            </w:pPr>
          </w:p>
        </w:tc>
        <w:tc>
          <w:tcPr>
            <w:tcW w:w="0" w:type="auto"/>
            <w:vAlign w:val="center"/>
            <w:hideMark/>
          </w:tcPr>
          <w:p w:rsidR="00000000" w:rsidRDefault="003F1733">
            <w:pPr>
              <w:rPr>
                <w:rFonts w:eastAsia="Times New Roman"/>
                <w:sz w:val="20"/>
                <w:szCs w:val="20"/>
              </w:rPr>
            </w:pPr>
          </w:p>
        </w:tc>
      </w:tr>
      <w:tr w:rsidR="00000000">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Net gains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 xml:space="preserve">Cost of sales </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Other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bl>
    <w:p w:rsidR="00000000" w:rsidRDefault="003F1733">
      <w:pPr>
        <w:jc w:val="both"/>
        <w:rPr>
          <w:rFonts w:eastAsia="Times New Roman"/>
        </w:rPr>
      </w:pPr>
      <w:r>
        <w:rPr>
          <w:rFonts w:eastAsia="Times New Roman"/>
          <w:color w:val="000000"/>
          <w:sz w:val="20"/>
          <w:szCs w:val="20"/>
        </w:rPr>
        <w:t>    </w:t>
      </w: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rPr>
          <w:divId w:val="1695693506"/>
        </w:trPr>
        <w:tc>
          <w:tcPr>
            <w:tcW w:w="50" w:type="pct"/>
            <w:vAlign w:val="center"/>
            <w:hideMark/>
          </w:tcPr>
          <w:p w:rsidR="00000000" w:rsidRDefault="003F1733">
            <w:pPr>
              <w:jc w:val="both"/>
              <w:rPr>
                <w:rFonts w:eastAsia="Times New Roman"/>
              </w:rPr>
            </w:pPr>
          </w:p>
        </w:tc>
        <w:tc>
          <w:tcPr>
            <w:tcW w:w="218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93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695693506"/>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18"/>
                <w:szCs w:val="18"/>
              </w:rPr>
              <w:t>Six Months Ended March 31, 2020</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3F1733">
            <w:pPr>
              <w:jc w:val="center"/>
              <w:rPr>
                <w:rFonts w:eastAsia="Times New Roman"/>
              </w:rPr>
            </w:pPr>
          </w:p>
        </w:tc>
        <w:tc>
          <w:tcPr>
            <w:tcW w:w="0" w:type="auto"/>
            <w:vAlign w:val="center"/>
            <w:hideMark/>
          </w:tcPr>
          <w:p w:rsidR="00000000" w:rsidRDefault="003F1733">
            <w:pPr>
              <w:rPr>
                <w:rFonts w:eastAsia="Times New Roman"/>
                <w:sz w:val="20"/>
                <w:szCs w:val="20"/>
              </w:rPr>
            </w:pPr>
          </w:p>
        </w:tc>
      </w:tr>
      <w:tr w:rsidR="00000000">
        <w:trPr>
          <w:divId w:val="169569350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69569350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(132)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695693506"/>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69569350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Acquisition and integration expenses associated with the CMG Acquisition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r w:rsidR="00000000">
        <w:trPr>
          <w:divId w:val="1695693506"/>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(24)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vAlign w:val="center"/>
            <w:hideMark/>
          </w:tcPr>
          <w:p w:rsidR="00000000" w:rsidRDefault="003F1733">
            <w:pPr>
              <w:jc w:val="right"/>
              <w:rPr>
                <w:rFonts w:eastAsia="Times New Roman"/>
                <w:sz w:val="20"/>
                <w:szCs w:val="20"/>
              </w:rPr>
            </w:pPr>
          </w:p>
        </w:tc>
        <w:tc>
          <w:tcPr>
            <w:tcW w:w="0" w:type="auto"/>
            <w:vAlign w:val="center"/>
            <w:hideMark/>
          </w:tcPr>
          <w:p w:rsidR="00000000" w:rsidRDefault="003F1733">
            <w:pPr>
              <w:rPr>
                <w:rFonts w:eastAsia="Times New Roman"/>
                <w:sz w:val="20"/>
                <w:szCs w:val="20"/>
              </w:rPr>
            </w:pPr>
          </w:p>
        </w:tc>
      </w:tr>
    </w:tbl>
    <w:p w:rsidR="00000000" w:rsidRDefault="003F1733">
      <w:pPr>
        <w:jc w:val="both"/>
        <w:divId w:val="995256523"/>
        <w:rPr>
          <w:rFonts w:eastAsia="Times New Roman"/>
        </w:rPr>
      </w:pPr>
    </w:p>
    <w:p w:rsidR="00000000" w:rsidRDefault="003F1733">
      <w:pPr>
        <w:ind w:hanging="360"/>
        <w:jc w:val="both"/>
        <w:divId w:val="1606427035"/>
        <w:rPr>
          <w:rFonts w:eastAsia="Times New Roman"/>
        </w:rPr>
      </w:pPr>
      <w:r>
        <w:rPr>
          <w:rFonts w:eastAsia="Times New Roman"/>
          <w:color w:val="000000"/>
          <w:sz w:val="20"/>
          <w:szCs w:val="20"/>
        </w:rPr>
        <w:t>(b)Represents the elimination of intersegment transactions principally among Midstream &amp; Marketing, UGI Utilities and AmeriGas Propane.</w:t>
      </w:r>
    </w:p>
    <w:p w:rsidR="00000000" w:rsidRDefault="003F1733">
      <w:pPr>
        <w:jc w:val="center"/>
        <w:divId w:val="1148478130"/>
        <w:rPr>
          <w:rFonts w:eastAsia="Times New Roman"/>
        </w:rPr>
      </w:pPr>
      <w:r>
        <w:rPr>
          <w:rFonts w:eastAsia="Times New Roman"/>
          <w:color w:val="000000"/>
          <w:sz w:val="20"/>
          <w:szCs w:val="20"/>
        </w:rPr>
        <w:t>32</w:t>
      </w:r>
    </w:p>
    <w:p w:rsidR="00000000" w:rsidRDefault="003F1733">
      <w:pPr>
        <w:rPr>
          <w:rFonts w:eastAsia="Times New Roman"/>
        </w:rPr>
      </w:pPr>
      <w:r>
        <w:rPr>
          <w:rFonts w:eastAsia="Times New Roman"/>
        </w:rPr>
        <w:pict>
          <v:rect id="_x0000_i1058" style="width:0;height:1.5pt" o:hralign="center" o:hrstd="t" o:hr="t" fillcolor="#a0a0a0" stroked="f"/>
        </w:pict>
      </w:r>
    </w:p>
    <w:p w:rsidR="00000000" w:rsidRDefault="003F1733">
      <w:pPr>
        <w:divId w:val="761688229"/>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938250800"/>
        <w:rPr>
          <w:rFonts w:eastAsia="Times New Roman"/>
        </w:rPr>
      </w:pPr>
      <w:r>
        <w:rPr>
          <w:rFonts w:eastAsia="Times New Roman"/>
          <w:b/>
          <w:bCs/>
          <w:color w:val="000000"/>
          <w:sz w:val="20"/>
          <w:szCs w:val="20"/>
        </w:rPr>
        <w:t>UGI CORPORATION AND SUBSIDIARIES</w:t>
      </w:r>
    </w:p>
    <w:p w:rsidR="00000000" w:rsidRDefault="003F1733">
      <w:pPr>
        <w:jc w:val="center"/>
        <w:divId w:val="330643112"/>
        <w:rPr>
          <w:rFonts w:eastAsia="Times New Roman"/>
        </w:rPr>
      </w:pPr>
      <w:r>
        <w:rPr>
          <w:rFonts w:eastAsia="Times New Roman"/>
          <w:b/>
          <w:bCs/>
          <w:color w:val="000000"/>
          <w:sz w:val="20"/>
          <w:szCs w:val="20"/>
          <w:u w:val="single"/>
        </w:rPr>
        <w:t>Notes to Condensed Consolidated Financial Statements</w:t>
      </w:r>
    </w:p>
    <w:p w:rsidR="00000000" w:rsidRDefault="003F1733">
      <w:pPr>
        <w:jc w:val="center"/>
        <w:divId w:val="1938250800"/>
        <w:rPr>
          <w:rFonts w:eastAsia="Times New Roman"/>
        </w:rPr>
      </w:pPr>
      <w:r>
        <w:rPr>
          <w:rFonts w:eastAsia="Times New Roman"/>
          <w:color w:val="000000"/>
          <w:sz w:val="20"/>
          <w:szCs w:val="20"/>
        </w:rPr>
        <w:t>(unaudited)</w:t>
      </w:r>
    </w:p>
    <w:p w:rsidR="00000000" w:rsidRDefault="003F1733">
      <w:pPr>
        <w:jc w:val="center"/>
        <w:divId w:val="1938250800"/>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p w:rsidR="00000000" w:rsidRDefault="003F1733">
      <w:pPr>
        <w:ind w:hanging="360"/>
        <w:jc w:val="both"/>
        <w:divId w:val="1284461161"/>
        <w:rPr>
          <w:rFonts w:eastAsia="Times New Roman"/>
        </w:rPr>
      </w:pPr>
      <w:r>
        <w:rPr>
          <w:rFonts w:eastAsia="Times New Roman"/>
          <w:color w:val="000000"/>
          <w:sz w:val="20"/>
          <w:szCs w:val="20"/>
        </w:rPr>
        <w:t>(c)Includes AFUDC associated with PennEast and equity income primarily from Pennant and Pine Run.</w:t>
      </w:r>
    </w:p>
    <w:p w:rsidR="00000000" w:rsidRDefault="003F1733">
      <w:pPr>
        <w:jc w:val="both"/>
        <w:rPr>
          <w:rFonts w:eastAsia="Times New Roman"/>
        </w:rPr>
      </w:pPr>
    </w:p>
    <w:p w:rsidR="00000000" w:rsidRDefault="003F1733">
      <w:pPr>
        <w:divId w:val="335497088"/>
        <w:rPr>
          <w:rFonts w:eastAsia="Times New Roman"/>
        </w:rPr>
      </w:pPr>
      <w:r>
        <w:rPr>
          <w:rFonts w:eastAsia="Times New Roman"/>
          <w:b/>
          <w:bCs/>
          <w:color w:val="000000"/>
          <w:sz w:val="20"/>
          <w:szCs w:val="20"/>
          <w:u w:val="single"/>
        </w:rPr>
        <w:t>Note 14 — Business Transformation Initiatives</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AmeriGas and UGI International. </w:t>
      </w:r>
      <w:r>
        <w:rPr>
          <w:rFonts w:eastAsia="Times New Roman"/>
          <w:color w:val="000000"/>
          <w:sz w:val="20"/>
          <w:szCs w:val="20"/>
        </w:rPr>
        <w:t>Beginning in Fiscal 2019, we began executin</w:t>
      </w:r>
      <w:r>
        <w:rPr>
          <w:rFonts w:eastAsia="Times New Roman"/>
          <w:color w:val="000000"/>
          <w:sz w:val="20"/>
          <w:szCs w:val="20"/>
        </w:rPr>
        <w:t>g on multi-year business transformation initiatives at our AmeriGas Propane and UGI International business segments. These initiatives are designed to improve long-term operational performance by, among other things, reducing costs and improving efficiency</w:t>
      </w:r>
      <w:r>
        <w:rPr>
          <w:rFonts w:eastAsia="Times New Roman"/>
          <w:color w:val="000000"/>
          <w:sz w:val="20"/>
          <w:szCs w:val="20"/>
        </w:rPr>
        <w:t xml:space="preserve"> in the areas of sales and marketing, supply and logistics, operations, purchasing, and administration. In addition, these business transformation initiatives focus on enhancing the customer experience through, among other things, enhanced customer relatio</w:t>
      </w:r>
      <w:r>
        <w:rPr>
          <w:rFonts w:eastAsia="Times New Roman"/>
          <w:color w:val="000000"/>
          <w:sz w:val="20"/>
          <w:szCs w:val="20"/>
        </w:rPr>
        <w:t>nship management and an improved digital customer experience. In connection with these initiatives, we recognized expenses of $17 and $19 during the three months ended March 31, 2021 and 2020, respectively, and $32 and $36 during the six months ended March</w:t>
      </w:r>
      <w:r>
        <w:rPr>
          <w:rFonts w:eastAsia="Times New Roman"/>
          <w:color w:val="000000"/>
          <w:sz w:val="20"/>
          <w:szCs w:val="20"/>
        </w:rPr>
        <w:t> 31, 2021 and 2020, respectively. These expenses principally comprising consulting, advisory, marketing and employee-related costs and are primarily reflected in “Operating and administrative expenses” on the Condensed Consolidated Statements of Income.</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Corporate Services.</w:t>
      </w:r>
      <w:r>
        <w:rPr>
          <w:rFonts w:eastAsia="Times New Roman"/>
          <w:color w:val="000000"/>
          <w:sz w:val="20"/>
          <w:szCs w:val="20"/>
        </w:rPr>
        <w:t xml:space="preserve"> Beginning in Fiscal 2020, we initiated a transformation project focused on our support functions including: finance, procurement, human resources, and information technology. This initiative will standardize processes and activities acr</w:t>
      </w:r>
      <w:r>
        <w:rPr>
          <w:rFonts w:eastAsia="Times New Roman"/>
          <w:color w:val="000000"/>
          <w:sz w:val="20"/>
          <w:szCs w:val="20"/>
        </w:rPr>
        <w:t xml:space="preserve">oss our global platform, while leveraging the use of best practices and efficiencies between our businesses. Amounts reflected in “Operating and administrative expenses” on the Condensed Consolidated Statement of Income in connection with this initiative, </w:t>
      </w:r>
      <w:r>
        <w:rPr>
          <w:rFonts w:eastAsia="Times New Roman"/>
          <w:color w:val="000000"/>
          <w:sz w:val="20"/>
          <w:szCs w:val="20"/>
        </w:rPr>
        <w:t>during the three and six months ended March 31, 2021, were not material.</w:t>
      </w:r>
    </w:p>
    <w:p w:rsidR="00000000" w:rsidRDefault="003F1733">
      <w:pPr>
        <w:jc w:val="both"/>
        <w:rPr>
          <w:rFonts w:eastAsia="Times New Roman"/>
        </w:rPr>
      </w:pPr>
    </w:p>
    <w:p w:rsidR="00000000" w:rsidRDefault="003F1733">
      <w:pPr>
        <w:divId w:val="399183020"/>
        <w:rPr>
          <w:rFonts w:eastAsia="Times New Roman"/>
        </w:rPr>
      </w:pPr>
      <w:r>
        <w:rPr>
          <w:rFonts w:eastAsia="Times New Roman"/>
          <w:b/>
          <w:bCs/>
          <w:color w:val="000000"/>
          <w:sz w:val="20"/>
          <w:szCs w:val="20"/>
          <w:u w:val="single"/>
        </w:rPr>
        <w:t>Note 15 — Impact of Global Pandemic</w:t>
      </w:r>
    </w:p>
    <w:p w:rsidR="00000000" w:rsidRDefault="003F1733">
      <w:pPr>
        <w:divId w:val="940838273"/>
        <w:rPr>
          <w:rFonts w:eastAsia="Times New Roman"/>
        </w:rPr>
      </w:pPr>
    </w:p>
    <w:p w:rsidR="00000000" w:rsidRDefault="003F1733">
      <w:pPr>
        <w:jc w:val="both"/>
        <w:divId w:val="754086680"/>
        <w:rPr>
          <w:rFonts w:eastAsia="Times New Roman"/>
        </w:rPr>
      </w:pPr>
      <w:r>
        <w:rPr>
          <w:rFonts w:eastAsia="Times New Roman"/>
          <w:color w:val="000000"/>
          <w:sz w:val="20"/>
          <w:szCs w:val="20"/>
        </w:rPr>
        <w:t>In March 2020, the WHO declared a global pandemic attributable to the outbreak and continued spread of COVID-19 that has had a significant impact throughout the global economy. In connection with the mitigation and containment procedures recommended by the</w:t>
      </w:r>
      <w:r>
        <w:rPr>
          <w:rFonts w:eastAsia="Times New Roman"/>
          <w:color w:val="000000"/>
          <w:sz w:val="20"/>
          <w:szCs w:val="20"/>
        </w:rPr>
        <w:t xml:space="preserve"> WHO, the CDC, and as imposed by federal, state, and local governmental authorities, including shelter-in-place orders, quarantines and similar restrictions, the Company implemented a variety of procedures to protect our employees, third-party business par</w:t>
      </w:r>
      <w:r>
        <w:rPr>
          <w:rFonts w:eastAsia="Times New Roman"/>
          <w:color w:val="000000"/>
          <w:sz w:val="20"/>
          <w:szCs w:val="20"/>
        </w:rPr>
        <w:t xml:space="preserve">tners, and customers worldwide. The Company continues to provide essential products and services to its global customers in a safe and reliable manner, and will continue to do so in compliance with mandated restrictions presented by each of the markets it </w:t>
      </w:r>
      <w:r>
        <w:rPr>
          <w:rFonts w:eastAsia="Times New Roman"/>
          <w:color w:val="000000"/>
          <w:sz w:val="20"/>
          <w:szCs w:val="20"/>
        </w:rPr>
        <w:t>serves. The Company continues to evaluate and react to the potential effects of a prolonged disruption and the continued impact on its results of operations. These items may include, but are not limited to: the financial condition of its customers; decreas</w:t>
      </w:r>
      <w:r>
        <w:rPr>
          <w:rFonts w:eastAsia="Times New Roman"/>
          <w:color w:val="000000"/>
          <w:sz w:val="20"/>
          <w:szCs w:val="20"/>
        </w:rPr>
        <w:t>ed availability and demand for its products and services; realization of accounts receivable; impairment considerations related to certain current assets, long-lived assets and goodwill; delays related to current and future projects; and the effects of gov</w:t>
      </w:r>
      <w:r>
        <w:rPr>
          <w:rFonts w:eastAsia="Times New Roman"/>
          <w:color w:val="000000"/>
          <w:sz w:val="20"/>
          <w:szCs w:val="20"/>
        </w:rPr>
        <w:t>ernment stimulus efforts including tax legislation in response to COVID-19. While its operations and financial performance continue to be impacted by COVID-19, the Company cannot predict the duration or magnitude of the pandemic and the total effects on it</w:t>
      </w:r>
      <w:r>
        <w:rPr>
          <w:rFonts w:eastAsia="Times New Roman"/>
          <w:color w:val="000000"/>
          <w:sz w:val="20"/>
          <w:szCs w:val="20"/>
        </w:rPr>
        <w:t>s business, financial position, results of operations, liquidity or cash flows at this time.</w:t>
      </w:r>
    </w:p>
    <w:p w:rsidR="00000000" w:rsidRDefault="003F1733">
      <w:pPr>
        <w:jc w:val="center"/>
        <w:divId w:val="266238866"/>
        <w:rPr>
          <w:rFonts w:eastAsia="Times New Roman"/>
        </w:rPr>
      </w:pPr>
      <w:r>
        <w:rPr>
          <w:rFonts w:eastAsia="Times New Roman"/>
          <w:color w:val="000000"/>
          <w:sz w:val="20"/>
          <w:szCs w:val="20"/>
        </w:rPr>
        <w:t>33</w:t>
      </w:r>
    </w:p>
    <w:p w:rsidR="00000000" w:rsidRDefault="003F1733">
      <w:pPr>
        <w:rPr>
          <w:rFonts w:eastAsia="Times New Roman"/>
        </w:rPr>
      </w:pPr>
      <w:r>
        <w:rPr>
          <w:rFonts w:eastAsia="Times New Roman"/>
        </w:rPr>
        <w:pict>
          <v:rect id="_x0000_i1059" style="width:0;height:1.5pt" o:hralign="center" o:hrstd="t" o:hr="t" fillcolor="#a0a0a0" stroked="f"/>
        </w:pict>
      </w:r>
    </w:p>
    <w:p w:rsidR="00000000" w:rsidRDefault="003F1733">
      <w:pPr>
        <w:divId w:val="71724003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679236829"/>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b/>
          <w:bCs/>
          <w:color w:val="000000"/>
          <w:sz w:val="20"/>
          <w:szCs w:val="20"/>
        </w:rPr>
        <w:t>ITEM 2. MANAGEM</w:t>
      </w:r>
      <w:r>
        <w:rPr>
          <w:rFonts w:eastAsia="Times New Roman"/>
          <w:b/>
          <w:bCs/>
          <w:color w:val="000000"/>
          <w:sz w:val="20"/>
          <w:szCs w:val="20"/>
        </w:rPr>
        <w:t>ENT’S DISCUSSION AND ANALYSIS OF FINANCIAL CONDITION AND RESULTS OF OPERATIONS</w:t>
      </w:r>
    </w:p>
    <w:p w:rsidR="00000000" w:rsidRDefault="003F1733">
      <w:pPr>
        <w:divId w:val="1426002398"/>
        <w:rPr>
          <w:rFonts w:eastAsia="Times New Roman"/>
        </w:rPr>
      </w:pPr>
    </w:p>
    <w:p w:rsidR="00000000" w:rsidRDefault="003F1733">
      <w:pPr>
        <w:divId w:val="1991523337"/>
        <w:rPr>
          <w:rFonts w:eastAsia="Times New Roman"/>
        </w:rPr>
      </w:pPr>
      <w:r>
        <w:rPr>
          <w:rFonts w:eastAsia="Times New Roman"/>
          <w:b/>
          <w:bCs/>
          <w:color w:val="000000"/>
          <w:sz w:val="20"/>
          <w:szCs w:val="20"/>
        </w:rPr>
        <w:t>Forward-Looking Statements</w:t>
      </w:r>
    </w:p>
    <w:p w:rsidR="00000000" w:rsidRDefault="003F1733">
      <w:pPr>
        <w:divId w:val="1083256001"/>
        <w:rPr>
          <w:rFonts w:eastAsia="Times New Roman"/>
        </w:rPr>
      </w:pPr>
    </w:p>
    <w:p w:rsidR="00000000" w:rsidRDefault="003F1733">
      <w:pPr>
        <w:jc w:val="both"/>
        <w:rPr>
          <w:rFonts w:eastAsia="Times New Roman"/>
        </w:rPr>
      </w:pPr>
      <w:r>
        <w:rPr>
          <w:rFonts w:eastAsia="Times New Roman"/>
          <w:color w:val="000000"/>
          <w:sz w:val="20"/>
          <w:szCs w:val="20"/>
        </w:rPr>
        <w:t>Information contained in this Quarterly Report on Form 10-Q may contain forward-looking statements within the meaning of Section 27A of the Securities Act of 1933, as amended, and Section 21E of the Exchange Act. Such statements use forward-looking words s</w:t>
      </w:r>
      <w:r>
        <w:rPr>
          <w:rFonts w:eastAsia="Times New Roman"/>
          <w:color w:val="000000"/>
          <w:sz w:val="20"/>
          <w:szCs w:val="20"/>
        </w:rPr>
        <w:t>uch as “believe,” “plan,” “anticipate,” “continue,” “estimate,” “expect,” “may,” or other similar words. These statements discuss plans, strategies, events or developments that we expect or anticipate will or may occur in the future.</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A forward-looking st</w:t>
      </w:r>
      <w:r>
        <w:rPr>
          <w:rFonts w:eastAsia="Times New Roman"/>
          <w:color w:val="000000"/>
          <w:sz w:val="20"/>
          <w:szCs w:val="20"/>
        </w:rPr>
        <w:t>atement may include a statement of the assumptions or bases underlying the forward-looking statement. We believe that we have chosen these assumptions or bases in good faith and that they are reasonable. However, we caution you that actual results almost a</w:t>
      </w:r>
      <w:r>
        <w:rPr>
          <w:rFonts w:eastAsia="Times New Roman"/>
          <w:color w:val="000000"/>
          <w:sz w:val="20"/>
          <w:szCs w:val="20"/>
        </w:rPr>
        <w:t>lways vary from assumed facts or bases, and the differences between actual results and assumed facts or bases can be material, depending on the circumstances. When considering forward-looking statements, you should keep in mind the following important fact</w:t>
      </w:r>
      <w:r>
        <w:rPr>
          <w:rFonts w:eastAsia="Times New Roman"/>
          <w:color w:val="000000"/>
          <w:sz w:val="20"/>
          <w:szCs w:val="20"/>
        </w:rPr>
        <w:t>ors that could affect our future results and could cause those results to differ materially from those expressed in our forward-looking statements: (1) weather conditions, including increasingly uncertain weather patterns due to climate change, resulting i</w:t>
      </w:r>
      <w:r>
        <w:rPr>
          <w:rFonts w:eastAsia="Times New Roman"/>
          <w:color w:val="000000"/>
          <w:sz w:val="20"/>
          <w:szCs w:val="20"/>
        </w:rPr>
        <w:t xml:space="preserve">n reduced demand and the seasonal nature of our business; (2) cost volatility and availability of propane and other LPG, electricity, and natural gas, as well as the availability of LPG cylinders and the capacity to transport product to our customers; (3) </w:t>
      </w:r>
      <w:r>
        <w:rPr>
          <w:rFonts w:eastAsia="Times New Roman"/>
          <w:color w:val="000000"/>
          <w:sz w:val="20"/>
          <w:szCs w:val="20"/>
        </w:rPr>
        <w:t>changes in domestic and foreign laws and regulations, including safety, tax, consumer protection, data privacy, accounting matters, and environmental, including regulatory responses to climate change; (4) inability to timely recover costs through utility r</w:t>
      </w:r>
      <w:r>
        <w:rPr>
          <w:rFonts w:eastAsia="Times New Roman"/>
          <w:color w:val="000000"/>
          <w:sz w:val="20"/>
          <w:szCs w:val="20"/>
        </w:rPr>
        <w:t>ate proceedings; (5) the impact of pending and future legal or regulatory proceedings, inquiries or investigations; (6) competitive pressures from the same and alternative energy sources; (7) failure to acquire new customers or retain current customers the</w:t>
      </w:r>
      <w:r>
        <w:rPr>
          <w:rFonts w:eastAsia="Times New Roman"/>
          <w:color w:val="000000"/>
          <w:sz w:val="20"/>
          <w:szCs w:val="20"/>
        </w:rPr>
        <w:t>reby reducing or limiting any increase in revenues; (8) liability for environmental claims; (9) increased customer conservation measures due to high energy prices and improvements in energy efficiency and technology resulting in reduced demand; (10) advers</w:t>
      </w:r>
      <w:r>
        <w:rPr>
          <w:rFonts w:eastAsia="Times New Roman"/>
          <w:color w:val="000000"/>
          <w:sz w:val="20"/>
          <w:szCs w:val="20"/>
        </w:rPr>
        <w:t>e labor relations; (11) customer, counterparty, supplier, or vendor defaults; (12) liability for uninsured claims and for claims in excess of insurance coverage, including those for personal injury and property damage arising from explosions, terrorism, na</w:t>
      </w:r>
      <w:r>
        <w:rPr>
          <w:rFonts w:eastAsia="Times New Roman"/>
          <w:color w:val="000000"/>
          <w:sz w:val="20"/>
          <w:szCs w:val="20"/>
        </w:rPr>
        <w:t>tural disasters, pandemics and other catastrophic events that may result from operating hazards and risks incidental to generating and distributing electricity and transporting, storing and distributing natural gas in all forms; (13) transmission or distri</w:t>
      </w:r>
      <w:r>
        <w:rPr>
          <w:rFonts w:eastAsia="Times New Roman"/>
          <w:color w:val="000000"/>
          <w:sz w:val="20"/>
          <w:szCs w:val="20"/>
        </w:rPr>
        <w:t xml:space="preserve">bution system service interruptions; (14) political, regulatory and economic conditions in the United States, Europe and other foreign countries, including the current conflicts in the Middle East and the withdrawal of the United Kingdom from the European </w:t>
      </w:r>
      <w:r>
        <w:rPr>
          <w:rFonts w:eastAsia="Times New Roman"/>
          <w:color w:val="000000"/>
          <w:sz w:val="20"/>
          <w:szCs w:val="20"/>
        </w:rPr>
        <w:t>Union, and foreign currency exchange rate fluctuations, particularly the euro; (15) capital market conditions, including reduced access to capital markets and interest rate fluctuations; (16) changes in commodity market prices resulting in significantly hi</w:t>
      </w:r>
      <w:r>
        <w:rPr>
          <w:rFonts w:eastAsia="Times New Roman"/>
          <w:color w:val="000000"/>
          <w:sz w:val="20"/>
          <w:szCs w:val="20"/>
        </w:rPr>
        <w:t>gher cash collateral requirements; (17) reduced distributions from subsidiaries impacting the ability to pay dividends; (18) changes in Marcellus and Utica Shale gas production; (19) the availability, timing and success of our acquisitions, commercial init</w:t>
      </w:r>
      <w:r>
        <w:rPr>
          <w:rFonts w:eastAsia="Times New Roman"/>
          <w:color w:val="000000"/>
          <w:sz w:val="20"/>
          <w:szCs w:val="20"/>
        </w:rPr>
        <w:t>iatives and investments to grow our businesses; (20) our ability to successfully integrate acquired businesses and achieve anticipated synergies; (21) the interruption, disruption, failure or malfunction of our information technology systems, including due</w:t>
      </w:r>
      <w:r>
        <w:rPr>
          <w:rFonts w:eastAsia="Times New Roman"/>
          <w:color w:val="000000"/>
          <w:sz w:val="20"/>
          <w:szCs w:val="20"/>
        </w:rPr>
        <w:t xml:space="preserve"> to cyber attack; (22) the inability to complete pending or future energy infrastructure projects; (23) our ability to achieve the operational benefits and cost efficiencies expected from the completion of pending and future business transformation initiat</w:t>
      </w:r>
      <w:r>
        <w:rPr>
          <w:rFonts w:eastAsia="Times New Roman"/>
          <w:color w:val="000000"/>
          <w:sz w:val="20"/>
          <w:szCs w:val="20"/>
        </w:rPr>
        <w:t>ives including the impact of customer service disruptions resulting in potential customer loss due to the transformation activities; (24) uncertainties related to a global pandemic, including the duration and/or impact of the COVID-19 pandemic; and (25) th</w:t>
      </w:r>
      <w:r>
        <w:rPr>
          <w:rFonts w:eastAsia="Times New Roman"/>
          <w:color w:val="000000"/>
          <w:sz w:val="20"/>
          <w:szCs w:val="20"/>
        </w:rPr>
        <w:t>e extent to which we are able to utilize certain tax benefits currently available under the CARES Act and similar tax legislation and whether such benefits will remain available in the future.</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These factors, and those factors set forth in Item 1A. Risk F</w:t>
      </w:r>
      <w:r>
        <w:rPr>
          <w:rFonts w:eastAsia="Times New Roman"/>
          <w:color w:val="000000"/>
          <w:sz w:val="20"/>
          <w:szCs w:val="20"/>
        </w:rPr>
        <w:t>actors in the Company’s 2020 Annual Report, are not necessarily all of the important factors that could cause actual results to differ materially from those expressed in any of our forward-looking statements. Other unknown or unpredictable factors could al</w:t>
      </w:r>
      <w:r>
        <w:rPr>
          <w:rFonts w:eastAsia="Times New Roman"/>
          <w:color w:val="000000"/>
          <w:sz w:val="20"/>
          <w:szCs w:val="20"/>
        </w:rPr>
        <w:t>so have material adverse effects on future results. We undertake no obligation to update publicly any forward-looking statement whether as a result of new information or future events except as required by the federal securities laws.</w:t>
      </w:r>
    </w:p>
    <w:p w:rsidR="00000000" w:rsidRDefault="003F1733">
      <w:pPr>
        <w:jc w:val="both"/>
        <w:rPr>
          <w:rFonts w:eastAsia="Times New Roman"/>
        </w:rPr>
      </w:pPr>
    </w:p>
    <w:p w:rsidR="00000000" w:rsidRDefault="003F1733">
      <w:pPr>
        <w:jc w:val="center"/>
        <w:rPr>
          <w:rFonts w:eastAsia="Times New Roman"/>
        </w:rPr>
      </w:pPr>
      <w:r>
        <w:rPr>
          <w:rFonts w:eastAsia="Times New Roman"/>
          <w:b/>
          <w:bCs/>
          <w:color w:val="000000"/>
          <w:sz w:val="20"/>
          <w:szCs w:val="20"/>
          <w:u w:val="single"/>
        </w:rPr>
        <w:t>ANALYSIS OF RESULTS</w:t>
      </w:r>
      <w:r>
        <w:rPr>
          <w:rFonts w:eastAsia="Times New Roman"/>
          <w:b/>
          <w:bCs/>
          <w:color w:val="000000"/>
          <w:sz w:val="20"/>
          <w:szCs w:val="20"/>
          <w:u w:val="single"/>
        </w:rPr>
        <w:t xml:space="preserve"> OF OPERATIONS</w:t>
      </w:r>
    </w:p>
    <w:p w:rsidR="00000000" w:rsidRDefault="003F1733">
      <w:pPr>
        <w:jc w:val="center"/>
        <w:rPr>
          <w:rFonts w:eastAsia="Times New Roman"/>
        </w:rPr>
      </w:pPr>
    </w:p>
    <w:p w:rsidR="00000000" w:rsidRDefault="003F1733">
      <w:pPr>
        <w:jc w:val="both"/>
        <w:rPr>
          <w:rFonts w:eastAsia="Times New Roman"/>
        </w:rPr>
      </w:pPr>
      <w:r>
        <w:rPr>
          <w:rFonts w:eastAsia="Times New Roman"/>
          <w:color w:val="000000"/>
          <w:sz w:val="20"/>
          <w:szCs w:val="20"/>
        </w:rPr>
        <w:t xml:space="preserve">The following analyses compare the Company’s results of operations for the 2021 three-month period with the 2020 three-month period and the 2021 six-month period with the 2020 six-month period. Our analyses of results of operations should </w:t>
      </w:r>
      <w:r>
        <w:rPr>
          <w:rFonts w:eastAsia="Times New Roman"/>
          <w:color w:val="000000"/>
          <w:sz w:val="20"/>
          <w:szCs w:val="20"/>
        </w:rPr>
        <w:t xml:space="preserve">be read in conjunction with the segment information included in Note 13 to Condensed Consolidated Financial Statements.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Because most of our businesses sell or distribute energy products used in large part for heating purposes, our results are significan</w:t>
      </w:r>
      <w:r>
        <w:rPr>
          <w:rFonts w:eastAsia="Times New Roman"/>
          <w:color w:val="000000"/>
          <w:sz w:val="20"/>
          <w:szCs w:val="20"/>
        </w:rPr>
        <w:t xml:space="preserve">tly influenced by temperatures in our service territories, particularly during the heating-season months of October through March. As a result, our operating results, excluding the effects of gains and losses on commodity derivative </w:t>
      </w:r>
    </w:p>
    <w:p w:rsidR="00000000" w:rsidRDefault="003F1733">
      <w:pPr>
        <w:jc w:val="center"/>
        <w:divId w:val="110441440"/>
        <w:rPr>
          <w:rFonts w:eastAsia="Times New Roman"/>
        </w:rPr>
      </w:pPr>
      <w:r>
        <w:rPr>
          <w:rFonts w:eastAsia="Times New Roman"/>
          <w:color w:val="000000"/>
          <w:sz w:val="20"/>
          <w:szCs w:val="20"/>
        </w:rPr>
        <w:t>34</w:t>
      </w:r>
    </w:p>
    <w:p w:rsidR="00000000" w:rsidRDefault="003F1733">
      <w:pPr>
        <w:rPr>
          <w:rFonts w:eastAsia="Times New Roman"/>
        </w:rPr>
      </w:pPr>
      <w:r>
        <w:rPr>
          <w:rFonts w:eastAsia="Times New Roman"/>
        </w:rPr>
        <w:pict>
          <v:rect id="_x0000_i1060" style="width:0;height:1.5pt" o:hralign="center" o:hrstd="t" o:hr="t" fillcolor="#a0a0a0" stroked="f"/>
        </w:pict>
      </w:r>
    </w:p>
    <w:p w:rsidR="00000000" w:rsidRDefault="003F1733">
      <w:pPr>
        <w:divId w:val="1714958374"/>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137992187"/>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instruments not associated with current-period transactions as further discussed below, are significantly higher in our first and</w:t>
      </w:r>
      <w:r>
        <w:rPr>
          <w:rFonts w:eastAsia="Times New Roman"/>
          <w:color w:val="000000"/>
          <w:sz w:val="20"/>
          <w:szCs w:val="20"/>
        </w:rPr>
        <w:t xml:space="preserve"> second fiscal quarters.</w:t>
      </w:r>
    </w:p>
    <w:p w:rsidR="00000000" w:rsidRDefault="003F1733">
      <w:pPr>
        <w:divId w:val="80302022"/>
        <w:rPr>
          <w:rFonts w:eastAsia="Times New Roman"/>
        </w:rPr>
      </w:pPr>
    </w:p>
    <w:p w:rsidR="00000000" w:rsidRDefault="003F1733">
      <w:pPr>
        <w:jc w:val="both"/>
        <w:rPr>
          <w:rFonts w:eastAsia="Times New Roman"/>
        </w:rPr>
      </w:pPr>
      <w:r>
        <w:rPr>
          <w:rFonts w:eastAsia="Times New Roman"/>
          <w:b/>
          <w:bCs/>
          <w:color w:val="000000"/>
          <w:sz w:val="20"/>
          <w:szCs w:val="20"/>
        </w:rPr>
        <w:t>Recent Developments</w:t>
      </w:r>
    </w:p>
    <w:p w:rsidR="00000000" w:rsidRDefault="003F1733">
      <w:pPr>
        <w:jc w:val="both"/>
        <w:rPr>
          <w:rFonts w:eastAsia="Times New Roman"/>
        </w:rPr>
      </w:pPr>
    </w:p>
    <w:p w:rsidR="00000000" w:rsidRDefault="003F1733">
      <w:pPr>
        <w:jc w:val="both"/>
        <w:divId w:val="81879803"/>
        <w:rPr>
          <w:rFonts w:eastAsia="Times New Roman"/>
        </w:rPr>
      </w:pPr>
      <w:r>
        <w:rPr>
          <w:rFonts w:eastAsia="Times New Roman"/>
          <w:b/>
          <w:bCs/>
          <w:i/>
          <w:iCs/>
          <w:color w:val="000000"/>
          <w:sz w:val="20"/>
          <w:szCs w:val="20"/>
        </w:rPr>
        <w:t xml:space="preserve">Pending Acquisition of Mountaineer Gas Company </w:t>
      </w:r>
    </w:p>
    <w:p w:rsidR="00000000" w:rsidRDefault="003F1733">
      <w:pPr>
        <w:jc w:val="both"/>
        <w:rPr>
          <w:rFonts w:eastAsia="Times New Roman"/>
        </w:rPr>
      </w:pPr>
      <w:r>
        <w:rPr>
          <w:rFonts w:eastAsia="Times New Roman"/>
          <w:color w:val="000000"/>
          <w:sz w:val="20"/>
          <w:szCs w:val="20"/>
        </w:rPr>
        <w:t>On December 29, 2020, UGI Corporation signed a definitive agreement to acquire Mountaineer, the largest natural gas distribution company in West Virginia for a</w:t>
      </w:r>
      <w:r>
        <w:rPr>
          <w:rFonts w:eastAsia="Times New Roman"/>
          <w:color w:val="000000"/>
          <w:sz w:val="20"/>
          <w:szCs w:val="20"/>
        </w:rPr>
        <w:t xml:space="preserve"> preliminary purchase price of $540 million, which includes the assumption of approximately $140 million of long-term debt. Mountaineer serves nearly 215,000 customers across 50 of the state’s 55 counties. The pending acquisition is subject to customary re</w:t>
      </w:r>
      <w:r>
        <w:rPr>
          <w:rFonts w:eastAsia="Times New Roman"/>
          <w:color w:val="000000"/>
          <w:sz w:val="20"/>
          <w:szCs w:val="20"/>
        </w:rPr>
        <w:t>gulatory and other closing conditions, including approval by the Public Service Commission of West Virginia, and is expected to close in the second half of calendar year 2021. UGI currently expects to finance the pending acquisition through the issuance of</w:t>
      </w:r>
      <w:r>
        <w:rPr>
          <w:rFonts w:eastAsia="Times New Roman"/>
          <w:color w:val="000000"/>
          <w:sz w:val="20"/>
          <w:szCs w:val="20"/>
        </w:rPr>
        <w:t xml:space="preserve"> debt and/or equity-linked securities and existing liquidity. </w:t>
      </w:r>
    </w:p>
    <w:p w:rsidR="00000000" w:rsidRDefault="003F1733">
      <w:pPr>
        <w:jc w:val="both"/>
        <w:rPr>
          <w:rFonts w:eastAsia="Times New Roman"/>
        </w:rPr>
      </w:pPr>
    </w:p>
    <w:p w:rsidR="00000000" w:rsidRDefault="003F1733">
      <w:pPr>
        <w:jc w:val="both"/>
        <w:divId w:val="1342664541"/>
        <w:rPr>
          <w:rFonts w:eastAsia="Times New Roman"/>
        </w:rPr>
      </w:pPr>
      <w:r>
        <w:rPr>
          <w:rFonts w:eastAsia="Times New Roman"/>
          <w:b/>
          <w:bCs/>
          <w:i/>
          <w:iCs/>
          <w:color w:val="000000"/>
          <w:sz w:val="20"/>
          <w:szCs w:val="20"/>
        </w:rPr>
        <w:t xml:space="preserve">COVID-19 Pandemic </w:t>
      </w:r>
    </w:p>
    <w:p w:rsidR="00000000" w:rsidRDefault="003F1733">
      <w:pPr>
        <w:jc w:val="both"/>
        <w:divId w:val="1681156984"/>
        <w:rPr>
          <w:rFonts w:eastAsia="Times New Roman"/>
        </w:rPr>
      </w:pPr>
      <w:r>
        <w:rPr>
          <w:rFonts w:eastAsia="Times New Roman"/>
          <w:color w:val="000000"/>
          <w:sz w:val="20"/>
          <w:szCs w:val="20"/>
        </w:rPr>
        <w:t>In March 2020, the WHO declared a global pandemic attributable to the outbreak and continued spread of COVID-19 that has had a significant impact throughout the global economy. In connection with the mitigation and containment procedures recommended by the</w:t>
      </w:r>
      <w:r>
        <w:rPr>
          <w:rFonts w:eastAsia="Times New Roman"/>
          <w:color w:val="000000"/>
          <w:sz w:val="20"/>
          <w:szCs w:val="20"/>
        </w:rPr>
        <w:t xml:space="preserve"> WHO, the CDC, and as imposed by federal, state, and local governmental authorities, including shelter-in-place orders, quarantines and similar restrictions, we implemented a variety of procedures to protect our employees, third-party business partners, an</w:t>
      </w:r>
      <w:r>
        <w:rPr>
          <w:rFonts w:eastAsia="Times New Roman"/>
          <w:color w:val="000000"/>
          <w:sz w:val="20"/>
          <w:szCs w:val="20"/>
        </w:rPr>
        <w:t>d customers worldwide. Although our results continue to be impacted by COVID-19 in Fiscal 2021, we continue to provide essential products and services to our global customers in a safe and reliable manner and will continue to do so in compliance with manda</w:t>
      </w:r>
      <w:r>
        <w:rPr>
          <w:rFonts w:eastAsia="Times New Roman"/>
          <w:color w:val="000000"/>
          <w:sz w:val="20"/>
          <w:szCs w:val="20"/>
        </w:rPr>
        <w:t>ted restrictions presented by each of the markets we serve. We continue to evaluate and react to the potential effects of a prolonged disruption and the continued impact on our results of operations. These items may include, but are not limited to: the fin</w:t>
      </w:r>
      <w:r>
        <w:rPr>
          <w:rFonts w:eastAsia="Times New Roman"/>
          <w:color w:val="000000"/>
          <w:sz w:val="20"/>
          <w:szCs w:val="20"/>
        </w:rPr>
        <w:t>ancial condition of our customers; decreased availability and demand for our products and services; realization of accounts receivable; impairment considerations related to certain current assets, long-lived assets and goodwill; delays related to current a</w:t>
      </w:r>
      <w:r>
        <w:rPr>
          <w:rFonts w:eastAsia="Times New Roman"/>
          <w:color w:val="000000"/>
          <w:sz w:val="20"/>
          <w:szCs w:val="20"/>
        </w:rPr>
        <w:t xml:space="preserve">nd future projects; and the effects of government stimulus efforts including tax legislation (see “Interest Expense and Income Taxes” below) in response to COVID-19. </w:t>
      </w:r>
    </w:p>
    <w:p w:rsidR="00000000" w:rsidRDefault="003F1733">
      <w:pPr>
        <w:jc w:val="both"/>
        <w:divId w:val="236742587"/>
        <w:rPr>
          <w:rFonts w:eastAsia="Times New Roman"/>
        </w:rPr>
      </w:pPr>
      <w:r>
        <w:rPr>
          <w:rFonts w:eastAsia="Times New Roman"/>
          <w:color w:val="000000"/>
          <w:sz w:val="20"/>
          <w:szCs w:val="20"/>
        </w:rPr>
        <w:t>We cannot predict the duration or total magnitude of the pandemic and the total effects o</w:t>
      </w:r>
      <w:r>
        <w:rPr>
          <w:rFonts w:eastAsia="Times New Roman"/>
          <w:color w:val="000000"/>
          <w:sz w:val="20"/>
          <w:szCs w:val="20"/>
        </w:rPr>
        <w:t xml:space="preserve">n our business, financial position, results of operations, liquidity or cash flows at this time, but we remain focused on managing our financial condition and liquidity throughout this global crisis. </w:t>
      </w:r>
    </w:p>
    <w:p w:rsidR="00000000" w:rsidRDefault="003F1733">
      <w:pPr>
        <w:jc w:val="both"/>
        <w:divId w:val="604536332"/>
        <w:rPr>
          <w:rFonts w:eastAsia="Times New Roman"/>
        </w:rPr>
      </w:pPr>
      <w:r>
        <w:rPr>
          <w:rFonts w:eastAsia="Times New Roman"/>
          <w:b/>
          <w:bCs/>
          <w:color w:val="000000"/>
          <w:sz w:val="20"/>
          <w:szCs w:val="20"/>
        </w:rPr>
        <w:t>Business Transformation Initiatives</w:t>
      </w:r>
    </w:p>
    <w:p w:rsidR="00000000" w:rsidRDefault="003F1733">
      <w:pPr>
        <w:jc w:val="both"/>
        <w:divId w:val="1242451313"/>
        <w:rPr>
          <w:rFonts w:eastAsia="Times New Roman"/>
        </w:rPr>
      </w:pPr>
      <w:r>
        <w:rPr>
          <w:rFonts w:eastAsia="Times New Roman"/>
          <w:b/>
          <w:bCs/>
          <w:i/>
          <w:iCs/>
          <w:color w:val="000000"/>
          <w:sz w:val="20"/>
          <w:szCs w:val="20"/>
        </w:rPr>
        <w:t>Corporate Services.</w:t>
      </w:r>
      <w:r>
        <w:rPr>
          <w:rFonts w:eastAsia="Times New Roman"/>
          <w:color w:val="000000"/>
          <w:sz w:val="20"/>
          <w:szCs w:val="20"/>
        </w:rPr>
        <w:t xml:space="preserve"> Beginning in Fiscal 2020, we initiated a transformation project focused on our support functions including: finance, procurement, human resources, and information technology. This initiative will standardize processes and activities acr</w:t>
      </w:r>
      <w:r>
        <w:rPr>
          <w:rFonts w:eastAsia="Times New Roman"/>
          <w:color w:val="000000"/>
          <w:sz w:val="20"/>
          <w:szCs w:val="20"/>
        </w:rPr>
        <w:t xml:space="preserve">oss our global platform, while leveraging the use of best practices and efficiencies between our businesses. While this initiative is being coordinated across multiple support functions, each area is at a different stage of transformation and will undergo </w:t>
      </w:r>
      <w:r>
        <w:rPr>
          <w:rFonts w:eastAsia="Times New Roman"/>
          <w:color w:val="000000"/>
          <w:sz w:val="20"/>
          <w:szCs w:val="20"/>
        </w:rPr>
        <w:t>the required changes over the next two to three years. In connection with these activities, we expect to incur approximately $40 million of non-recurring costs during that time resulting in more than $15 million of ongoing annualized savings by Fiscal 2023</w:t>
      </w:r>
      <w:r>
        <w:rPr>
          <w:rFonts w:eastAsia="Times New Roman"/>
          <w:color w:val="000000"/>
          <w:sz w:val="20"/>
          <w:szCs w:val="20"/>
        </w:rPr>
        <w:t xml:space="preserve">. </w:t>
      </w:r>
    </w:p>
    <w:p w:rsidR="00000000" w:rsidRDefault="003F1733">
      <w:pPr>
        <w:jc w:val="both"/>
        <w:divId w:val="2055276847"/>
        <w:rPr>
          <w:rFonts w:eastAsia="Times New Roman"/>
        </w:rPr>
      </w:pPr>
      <w:r>
        <w:rPr>
          <w:rFonts w:eastAsia="Times New Roman"/>
          <w:b/>
          <w:bCs/>
          <w:i/>
          <w:iCs/>
          <w:color w:val="000000"/>
          <w:sz w:val="20"/>
          <w:szCs w:val="20"/>
        </w:rPr>
        <w:t>AmeriGas Propane.</w:t>
      </w:r>
      <w:r>
        <w:rPr>
          <w:rFonts w:eastAsia="Times New Roman"/>
          <w:color w:val="000000"/>
          <w:sz w:val="20"/>
          <w:szCs w:val="20"/>
        </w:rPr>
        <w:t xml:space="preserve"> At AmeriGas Propane, we began executing on business transformation initiatives during Fiscal 2019 focused on efficiency and effectiveness in the following key areas: customer digital experience; customer relationship management; operat</w:t>
      </w:r>
      <w:r>
        <w:rPr>
          <w:rFonts w:eastAsia="Times New Roman"/>
          <w:color w:val="000000"/>
          <w:sz w:val="20"/>
          <w:szCs w:val="20"/>
        </w:rPr>
        <w:t>ing process redesign and specialization; distribution and routing optimization; sales and marketing effectiveness; purchasing and general and administrative efficiencies; and supply and logistics. The transformation activities will continue to be carried o</w:t>
      </w:r>
      <w:r>
        <w:rPr>
          <w:rFonts w:eastAsia="Times New Roman"/>
          <w:color w:val="000000"/>
          <w:sz w:val="20"/>
          <w:szCs w:val="20"/>
        </w:rPr>
        <w:t>ut over Fiscal 2021 and may result in customer service disruptions over the near term. However, once completed, these initiatives are expected to provide total annual benefits of more than $140 million by the end of Fiscal 2022 which will allow us to impro</w:t>
      </w:r>
      <w:r>
        <w:rPr>
          <w:rFonts w:eastAsia="Times New Roman"/>
          <w:color w:val="000000"/>
          <w:sz w:val="20"/>
          <w:szCs w:val="20"/>
        </w:rPr>
        <w:t>ve profitability and cash flow through operational efficiencies and expense reductions and enable increased investment into base business customer retention and growth initiatives, including the reduction of margins in select segments of our base business.</w:t>
      </w:r>
      <w:r>
        <w:rPr>
          <w:rFonts w:eastAsia="Times New Roman"/>
          <w:color w:val="000000"/>
          <w:sz w:val="20"/>
          <w:szCs w:val="20"/>
        </w:rPr>
        <w:t xml:space="preserve"> We estimate the total cost of executing on these initiatives, including approximately $100 million of related capital expenditures, to be approximately $200 million.</w:t>
      </w:r>
    </w:p>
    <w:p w:rsidR="00000000" w:rsidRDefault="003F1733">
      <w:pPr>
        <w:jc w:val="both"/>
        <w:divId w:val="1441412270"/>
        <w:rPr>
          <w:rFonts w:eastAsia="Times New Roman"/>
        </w:rPr>
      </w:pPr>
      <w:r>
        <w:rPr>
          <w:rFonts w:eastAsia="Times New Roman"/>
          <w:b/>
          <w:bCs/>
          <w:i/>
          <w:iCs/>
          <w:color w:val="000000"/>
          <w:sz w:val="20"/>
          <w:szCs w:val="20"/>
        </w:rPr>
        <w:t>UGI International.</w:t>
      </w:r>
      <w:r>
        <w:rPr>
          <w:rFonts w:eastAsia="Times New Roman"/>
          <w:color w:val="000000"/>
          <w:sz w:val="20"/>
          <w:szCs w:val="20"/>
        </w:rPr>
        <w:t xml:space="preserve"> At our UGI International LPG business, we launched an initiative in Fi</w:t>
      </w:r>
      <w:r>
        <w:rPr>
          <w:rFonts w:eastAsia="Times New Roman"/>
          <w:color w:val="000000"/>
          <w:sz w:val="20"/>
          <w:szCs w:val="20"/>
        </w:rPr>
        <w:t xml:space="preserve">scal 2019 and embarked on a process of identifying operational synergies across all 17 countries in which we currently do business. We call this initiative Project Alliance, the goal of which is to focus attention on enhanced customer service and safe and </w:t>
      </w:r>
      <w:r>
        <w:rPr>
          <w:rFonts w:eastAsia="Times New Roman"/>
          <w:color w:val="000000"/>
          <w:sz w:val="20"/>
          <w:szCs w:val="20"/>
        </w:rPr>
        <w:t xml:space="preserve">efficient operations through the establishment of two centers of excellence. One such center will be focused on commercial excellence to identify and execute projects that improve the customer’s experience. The second center will be focused on operational </w:t>
      </w:r>
      <w:r>
        <w:rPr>
          <w:rFonts w:eastAsia="Times New Roman"/>
          <w:color w:val="000000"/>
          <w:sz w:val="20"/>
          <w:szCs w:val="20"/>
        </w:rPr>
        <w:t>excellence across our distribution network and our filling centers. The business activities are in process and will continue to be executed primarily during Fiscal 2021. Once completed, these activities are expected to generate over €30 million of annual b</w:t>
      </w:r>
      <w:r>
        <w:rPr>
          <w:rFonts w:eastAsia="Times New Roman"/>
          <w:color w:val="000000"/>
          <w:sz w:val="20"/>
          <w:szCs w:val="20"/>
        </w:rPr>
        <w:t xml:space="preserve">enefits. We estimate </w:t>
      </w:r>
    </w:p>
    <w:p w:rsidR="00000000" w:rsidRDefault="003F1733">
      <w:pPr>
        <w:jc w:val="center"/>
        <w:divId w:val="135728973"/>
        <w:rPr>
          <w:rFonts w:eastAsia="Times New Roman"/>
        </w:rPr>
      </w:pPr>
      <w:r>
        <w:rPr>
          <w:rFonts w:eastAsia="Times New Roman"/>
          <w:color w:val="000000"/>
          <w:sz w:val="20"/>
          <w:szCs w:val="20"/>
        </w:rPr>
        <w:t>35</w:t>
      </w:r>
    </w:p>
    <w:p w:rsidR="00000000" w:rsidRDefault="003F1733">
      <w:pPr>
        <w:rPr>
          <w:rFonts w:eastAsia="Times New Roman"/>
        </w:rPr>
      </w:pPr>
      <w:r>
        <w:rPr>
          <w:rFonts w:eastAsia="Times New Roman"/>
        </w:rPr>
        <w:pict>
          <v:rect id="_x0000_i1061" style="width:0;height:1.5pt" o:hralign="center" o:hrstd="t" o:hr="t" fillcolor="#a0a0a0" stroked="f"/>
        </w:pict>
      </w:r>
    </w:p>
    <w:p w:rsidR="00000000" w:rsidRDefault="003F1733">
      <w:pPr>
        <w:divId w:val="1129123957"/>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529488988"/>
        <w:rPr>
          <w:rFonts w:eastAsia="Times New Roman"/>
        </w:rPr>
      </w:pPr>
      <w:r>
        <w:rPr>
          <w:rFonts w:eastAsia="Times New Roman"/>
          <w:b/>
          <w:bCs/>
          <w:color w:val="000000"/>
          <w:sz w:val="20"/>
          <w:szCs w:val="20"/>
        </w:rPr>
        <w:t>UGI CORPORATION AND SUBSIDIARIES</w:t>
      </w:r>
    </w:p>
    <w:p w:rsidR="00000000" w:rsidRDefault="003F1733">
      <w:pPr>
        <w:jc w:val="both"/>
        <w:divId w:val="457988713"/>
        <w:rPr>
          <w:rFonts w:eastAsia="Times New Roman"/>
        </w:rPr>
      </w:pPr>
      <w:r>
        <w:rPr>
          <w:rFonts w:eastAsia="Times New Roman"/>
          <w:color w:val="000000"/>
          <w:sz w:val="20"/>
          <w:szCs w:val="20"/>
        </w:rPr>
        <w:t>the total cumulative cost of executing on these Project Alliance initiatives, includi</w:t>
      </w:r>
      <w:r>
        <w:rPr>
          <w:rFonts w:eastAsia="Times New Roman"/>
          <w:color w:val="000000"/>
          <w:sz w:val="20"/>
          <w:szCs w:val="20"/>
        </w:rPr>
        <w:t>ng approximately €10 million related to IT capital expenditures, to be approximately €55 million.</w:t>
      </w:r>
    </w:p>
    <w:p w:rsidR="00000000" w:rsidRDefault="003F1733">
      <w:pPr>
        <w:jc w:val="both"/>
        <w:divId w:val="150682624"/>
        <w:rPr>
          <w:rFonts w:eastAsia="Times New Roman"/>
        </w:rPr>
      </w:pPr>
      <w:r>
        <w:rPr>
          <w:rFonts w:eastAsia="Times New Roman"/>
          <w:b/>
          <w:bCs/>
          <w:color w:val="000000"/>
          <w:sz w:val="20"/>
          <w:szCs w:val="20"/>
        </w:rPr>
        <w:t>Non-GAAP Financial Measures</w:t>
      </w:r>
    </w:p>
    <w:p w:rsidR="00000000" w:rsidRDefault="003F1733">
      <w:pPr>
        <w:jc w:val="both"/>
        <w:divId w:val="1515460054"/>
        <w:rPr>
          <w:rFonts w:eastAsia="Times New Roman"/>
        </w:rPr>
      </w:pPr>
      <w:r>
        <w:rPr>
          <w:rFonts w:eastAsia="Times New Roman"/>
          <w:color w:val="000000"/>
          <w:sz w:val="20"/>
          <w:szCs w:val="20"/>
        </w:rPr>
        <w:t>UGI management uses “adjusted net income attributable to UGI Corporation” and “adjusted diluted earnings per share,” both of which</w:t>
      </w:r>
      <w:r>
        <w:rPr>
          <w:rFonts w:eastAsia="Times New Roman"/>
          <w:color w:val="000000"/>
          <w:sz w:val="20"/>
          <w:szCs w:val="20"/>
        </w:rPr>
        <w:t xml:space="preserve"> are non-GAAP financial measures, when evaluating UGI’s overall performance. Management believes that these non-GAAP measures provide meaningful information to investors about UGI’s performance because they eliminate gains and losses on commodity and certa</w:t>
      </w:r>
      <w:r>
        <w:rPr>
          <w:rFonts w:eastAsia="Times New Roman"/>
          <w:color w:val="000000"/>
          <w:sz w:val="20"/>
          <w:szCs w:val="20"/>
        </w:rPr>
        <w:t>in foreign currency derivative instruments not associated with current-period transactions and other significant discrete items that can affect the comparison of period-over-period results.</w:t>
      </w:r>
    </w:p>
    <w:p w:rsidR="00000000" w:rsidRDefault="003F1733">
      <w:pPr>
        <w:jc w:val="both"/>
        <w:divId w:val="1332755296"/>
        <w:rPr>
          <w:rFonts w:eastAsia="Times New Roman"/>
        </w:rPr>
      </w:pPr>
      <w:r>
        <w:rPr>
          <w:rFonts w:eastAsia="Times New Roman"/>
          <w:color w:val="000000"/>
          <w:sz w:val="20"/>
          <w:szCs w:val="20"/>
        </w:rPr>
        <w:t xml:space="preserve">UGI does not designate its commodity and certain foreign currency </w:t>
      </w:r>
      <w:r>
        <w:rPr>
          <w:rFonts w:eastAsia="Times New Roman"/>
          <w:color w:val="000000"/>
          <w:sz w:val="20"/>
          <w:szCs w:val="20"/>
        </w:rPr>
        <w:t>derivative instruments as hedges under GAAP. Volatility in net income attributable to UGI Corporation can occur as a result of gains and losses on such derivative instruments not associated with current-period transactions. These gains and losses result pr</w:t>
      </w:r>
      <w:r>
        <w:rPr>
          <w:rFonts w:eastAsia="Times New Roman"/>
          <w:color w:val="000000"/>
          <w:sz w:val="20"/>
          <w:szCs w:val="20"/>
        </w:rPr>
        <w:t xml:space="preserve">incipally from recording changes in unrealized gains and losses on unsettled commodity and certain foreign currency derivative instruments and, to a much lesser extent, certain realized gains and losses on settled commodity derivative instruments that are </w:t>
      </w:r>
      <w:r>
        <w:rPr>
          <w:rFonts w:eastAsia="Times New Roman"/>
          <w:color w:val="000000"/>
          <w:sz w:val="20"/>
          <w:szCs w:val="20"/>
        </w:rPr>
        <w:t>not associated with current-period transactions. However, because these derivative instruments economically hedge anticipated future purchases or sales of energy commodities, or in the case of certain foreign currency derivatives reduce volatility in antic</w:t>
      </w:r>
      <w:r>
        <w:rPr>
          <w:rFonts w:eastAsia="Times New Roman"/>
          <w:color w:val="000000"/>
          <w:sz w:val="20"/>
          <w:szCs w:val="20"/>
        </w:rPr>
        <w:t>ipated future earnings associated with our foreign operations, we expect that such gains or losses will be largely offset by gains or losses on anticipated future energy commodity transactions or mitigate volatility in anticipated future earnings. Non-GAAP</w:t>
      </w:r>
      <w:r>
        <w:rPr>
          <w:rFonts w:eastAsia="Times New Roman"/>
          <w:color w:val="000000"/>
          <w:sz w:val="20"/>
          <w:szCs w:val="20"/>
        </w:rPr>
        <w:t xml:space="preserve"> financial measures are not in accordance with, or an alternative to, GAAP and should be considered in addition to, and not as a substitute for, the comparable GAAP measures.</w:t>
      </w:r>
    </w:p>
    <w:p w:rsidR="00000000" w:rsidRDefault="003F1733">
      <w:pPr>
        <w:jc w:val="both"/>
        <w:divId w:val="1953241854"/>
        <w:rPr>
          <w:rFonts w:eastAsia="Times New Roman"/>
        </w:rPr>
      </w:pPr>
      <w:r>
        <w:rPr>
          <w:rFonts w:eastAsia="Times New Roman"/>
          <w:color w:val="000000"/>
          <w:sz w:val="20"/>
          <w:szCs w:val="20"/>
        </w:rPr>
        <w:t xml:space="preserve">The following tables reflect the adjustments referred to above and reconcile net </w:t>
      </w:r>
      <w:r>
        <w:rPr>
          <w:rFonts w:eastAsia="Times New Roman"/>
          <w:color w:val="000000"/>
          <w:sz w:val="20"/>
          <w:szCs w:val="20"/>
        </w:rPr>
        <w:t>income attributable to UGI Corporation, the most directly comparable GAAP measure, to adjusted net income attributable to UGI Corporation, and reconcile diluted earnings per share, the most directly comparable GAAP measure, to adjusted diluted earnings per</w:t>
      </w:r>
      <w:r>
        <w:rPr>
          <w:rFonts w:eastAsia="Times New Roman"/>
          <w:color w:val="000000"/>
          <w:sz w:val="20"/>
          <w:szCs w:val="20"/>
        </w:rPr>
        <w:t xml:space="preserve"> share:</w:t>
      </w:r>
    </w:p>
    <w:p w:rsidR="00000000" w:rsidRDefault="003F1733">
      <w:pPr>
        <w:jc w:val="center"/>
        <w:divId w:val="518659230"/>
        <w:rPr>
          <w:rFonts w:eastAsia="Times New Roman"/>
        </w:rPr>
      </w:pPr>
      <w:r>
        <w:rPr>
          <w:rFonts w:eastAsia="Times New Roman"/>
          <w:color w:val="000000"/>
          <w:sz w:val="20"/>
          <w:szCs w:val="20"/>
        </w:rPr>
        <w:t>36</w:t>
      </w:r>
    </w:p>
    <w:p w:rsidR="00000000" w:rsidRDefault="003F1733">
      <w:pPr>
        <w:rPr>
          <w:rFonts w:eastAsia="Times New Roman"/>
        </w:rPr>
      </w:pPr>
      <w:r>
        <w:rPr>
          <w:rFonts w:eastAsia="Times New Roman"/>
        </w:rPr>
        <w:pict>
          <v:rect id="_x0000_i1062" style="width:0;height:1.5pt" o:hralign="center" o:hrstd="t" o:hr="t" fillcolor="#a0a0a0" stroked="f"/>
        </w:pict>
      </w:r>
    </w:p>
    <w:p w:rsidR="00000000" w:rsidRDefault="003F1733">
      <w:pPr>
        <w:divId w:val="72556613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493985753"/>
        <w:rPr>
          <w:rFonts w:eastAsia="Times New Roman"/>
        </w:rPr>
      </w:pPr>
      <w:r>
        <w:rPr>
          <w:rFonts w:eastAsia="Times New Roman"/>
          <w:b/>
          <w:bCs/>
          <w:color w:val="000000"/>
          <w:sz w:val="20"/>
          <w:szCs w:val="20"/>
        </w:rPr>
        <w:t>UGI CORPORATION AND SUBSIDIARIES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34"/>
        <w:gridCol w:w="38"/>
        <w:gridCol w:w="36"/>
        <w:gridCol w:w="36"/>
        <w:gridCol w:w="36"/>
        <w:gridCol w:w="120"/>
        <w:gridCol w:w="834"/>
        <w:gridCol w:w="36"/>
        <w:gridCol w:w="36"/>
        <w:gridCol w:w="36"/>
        <w:gridCol w:w="36"/>
        <w:gridCol w:w="120"/>
        <w:gridCol w:w="834"/>
        <w:gridCol w:w="36"/>
        <w:gridCol w:w="36"/>
        <w:gridCol w:w="36"/>
        <w:gridCol w:w="36"/>
        <w:gridCol w:w="120"/>
        <w:gridCol w:w="835"/>
        <w:gridCol w:w="36"/>
        <w:gridCol w:w="36"/>
        <w:gridCol w:w="36"/>
        <w:gridCol w:w="36"/>
        <w:gridCol w:w="120"/>
        <w:gridCol w:w="836"/>
        <w:gridCol w:w="36"/>
      </w:tblGrid>
      <w:tr w:rsidR="00000000">
        <w:trPr>
          <w:divId w:val="1385372165"/>
        </w:trPr>
        <w:tc>
          <w:tcPr>
            <w:tcW w:w="50" w:type="pct"/>
            <w:vAlign w:val="center"/>
            <w:hideMark/>
          </w:tcPr>
          <w:p w:rsidR="00000000" w:rsidRDefault="003F1733">
            <w:pPr>
              <w:jc w:val="center"/>
              <w:rPr>
                <w:rFonts w:eastAsia="Times New Roman"/>
              </w:rPr>
            </w:pPr>
          </w:p>
        </w:tc>
        <w:tc>
          <w:tcPr>
            <w:tcW w:w="234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9"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385372165"/>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Adjusted net income attributable to UGI Corporation</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Three Months Ended</w:t>
            </w:r>
            <w:r>
              <w:rPr>
                <w:rFonts w:eastAsia="Times New Roman"/>
                <w:color w:val="000000"/>
                <w:sz w:val="20"/>
                <w:szCs w:val="20"/>
              </w:rPr>
              <w:br/>
              <w:t>March 31,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Six Months Ended</w:t>
            </w:r>
            <w:r>
              <w:rPr>
                <w:rFonts w:eastAsia="Times New Roman"/>
                <w:color w:val="000000"/>
                <w:sz w:val="20"/>
                <w:szCs w:val="20"/>
              </w:rPr>
              <w:br/>
              <w:t>March 31,</w:t>
            </w:r>
          </w:p>
        </w:tc>
      </w:tr>
      <w:tr w:rsidR="00000000">
        <w:trPr>
          <w:divId w:val="1385372165"/>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r>
      <w:tr w:rsidR="00000000">
        <w:trPr>
          <w:divId w:val="138537216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Net (gains) losses on commodity derivative instruments not associated with current-period transactions (net of tax of $22, $(41), $53, and $(43), respectively)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Unrealized (gains) losses on foreign currency derivative instruments (net of tax of $4, $1, $(1), and $(3), respectively)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5372165"/>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5372165"/>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Acquisition and integration expenses associated with the CMG Acquisition (net of tax of $0, $(1), $0, and $(1), respectively)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Acquisition expenses associated with the pending Mountaineer Acquisition (net of tax of $0, $0, $(1), and $0, respectively)</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Business transformation expenses (net of tax of $(5), $(5), $(9), and $(10), respectively)</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Impact of change in Italian tax law (b)</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5372165"/>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Total adjustments (a) (c)</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Height w:val="300"/>
        </w:trPr>
        <w:tc>
          <w:tcPr>
            <w:tcW w:w="0" w:type="auto"/>
            <w:gridSpan w:val="3"/>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85372165"/>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Three Months Ended</w:t>
            </w:r>
            <w:r>
              <w:rPr>
                <w:rFonts w:eastAsia="Times New Roman"/>
                <w:color w:val="000000"/>
                <w:sz w:val="20"/>
                <w:szCs w:val="20"/>
              </w:rPr>
              <w:br/>
              <w:t>March 31,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Six Months Ended</w:t>
            </w:r>
            <w:r>
              <w:rPr>
                <w:rFonts w:eastAsia="Times New Roman"/>
                <w:color w:val="000000"/>
                <w:sz w:val="20"/>
                <w:szCs w:val="20"/>
              </w:rPr>
              <w:br/>
              <w:t>March 31,</w:t>
            </w:r>
          </w:p>
        </w:tc>
      </w:tr>
      <w:tr w:rsidR="00000000">
        <w:trPr>
          <w:divId w:val="1385372165"/>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Adjusted diluted earnings per share</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r>
      <w:tr w:rsidR="00000000">
        <w:trPr>
          <w:divId w:val="138537216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0.47 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0.36 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0.91 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0.70 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0.31 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0.24 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0.47 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0.41 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0.47 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0.39 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0.71 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0.68 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0.37 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(0.50)</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0.61 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(0.72)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Earnings per share - diluted</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Net (gains)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(0.25)</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0.43 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(0.65)</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0.47 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Unrealized (gains) losses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(0.05)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5372165"/>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5372165"/>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Acquisition and integration expenses associated with the CMG Acquisition</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Acquisition expenses associated with the pending Mountaineer Acquisition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0.13 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Impact of change in Italian tax law (b)</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385372165"/>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Total adjustments (a)</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385372165"/>
        </w:trPr>
        <w:tc>
          <w:tcPr>
            <w:tcW w:w="0" w:type="auto"/>
            <w:gridSpan w:val="3"/>
            <w:shd w:val="clear" w:color="auto" w:fill="FFFFFF"/>
            <w:tcMar>
              <w:top w:w="30" w:type="dxa"/>
              <w:left w:w="20" w:type="dxa"/>
              <w:bottom w:w="30" w:type="dxa"/>
              <w:right w:w="20" w:type="dxa"/>
            </w:tcMar>
            <w:vAlign w:val="bottom"/>
            <w:hideMark/>
          </w:tcPr>
          <w:p w:rsidR="00000000" w:rsidRDefault="003F1733">
            <w:pPr>
              <w:divId w:val="1444301046"/>
              <w:rPr>
                <w:rFonts w:eastAsia="Times New Roman"/>
              </w:rPr>
            </w:pPr>
            <w:r>
              <w:rPr>
                <w:rFonts w:eastAsia="Times New Roman"/>
                <w:b/>
                <w:bCs/>
                <w:color w:val="000000"/>
                <w:sz w:val="20"/>
                <w:szCs w:val="20"/>
              </w:rPr>
              <w:t>Adjusted earnings per share - diluted</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rPr>
          <w:rFonts w:eastAsia="Times New Roman"/>
        </w:rPr>
      </w:pPr>
    </w:p>
    <w:p w:rsidR="00000000" w:rsidRDefault="003F1733">
      <w:pPr>
        <w:ind w:hanging="360"/>
        <w:jc w:val="both"/>
        <w:rPr>
          <w:rFonts w:eastAsia="Times New Roman"/>
        </w:rPr>
      </w:pPr>
      <w:r>
        <w:rPr>
          <w:rFonts w:eastAsia="Times New Roman"/>
          <w:color w:val="000000"/>
          <w:sz w:val="20"/>
          <w:szCs w:val="20"/>
        </w:rPr>
        <w:t>(a)Corporate &amp; Other includes certain adjustments made to our reporting segments in arriving at net income attributable to UGI Corporation. These adjustments have been excluded from the segment result</w:t>
      </w:r>
      <w:r>
        <w:rPr>
          <w:rFonts w:eastAsia="Times New Roman"/>
          <w:color w:val="000000"/>
          <w:sz w:val="20"/>
          <w:szCs w:val="20"/>
        </w:rPr>
        <w:t xml:space="preserve">s to align with the measure used by our CODM in assessing segment performance and allocating resources.  See Note 13 to Condensed Consolidated Financial </w:t>
      </w:r>
    </w:p>
    <w:p w:rsidR="00000000" w:rsidRDefault="003F1733">
      <w:pPr>
        <w:jc w:val="center"/>
        <w:divId w:val="1375738527"/>
        <w:rPr>
          <w:rFonts w:eastAsia="Times New Roman"/>
        </w:rPr>
      </w:pPr>
      <w:r>
        <w:rPr>
          <w:rFonts w:eastAsia="Times New Roman"/>
          <w:color w:val="000000"/>
          <w:sz w:val="20"/>
          <w:szCs w:val="20"/>
        </w:rPr>
        <w:t>37</w:t>
      </w:r>
    </w:p>
    <w:p w:rsidR="00000000" w:rsidRDefault="003F1733">
      <w:pPr>
        <w:rPr>
          <w:rFonts w:eastAsia="Times New Roman"/>
        </w:rPr>
      </w:pPr>
      <w:r>
        <w:rPr>
          <w:rFonts w:eastAsia="Times New Roman"/>
        </w:rPr>
        <w:pict>
          <v:rect id="_x0000_i1063" style="width:0;height:1.5pt" o:hralign="center" o:hrstd="t" o:hr="t" fillcolor="#a0a0a0" stroked="f"/>
        </w:pict>
      </w:r>
    </w:p>
    <w:p w:rsidR="00000000" w:rsidRDefault="003F1733">
      <w:pPr>
        <w:divId w:val="1650357447"/>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481698935"/>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Statements for additional information related to these adjustments, as well as other items included within Corp</w:t>
      </w:r>
      <w:r>
        <w:rPr>
          <w:rFonts w:eastAsia="Times New Roman"/>
          <w:color w:val="000000"/>
          <w:sz w:val="20"/>
          <w:szCs w:val="20"/>
        </w:rPr>
        <w:t>orate &amp; Other.</w:t>
      </w:r>
    </w:p>
    <w:p w:rsidR="00000000" w:rsidRDefault="003F1733">
      <w:pPr>
        <w:ind w:hanging="360"/>
        <w:jc w:val="both"/>
        <w:rPr>
          <w:rFonts w:eastAsia="Times New Roman"/>
        </w:rPr>
      </w:pPr>
      <w:r>
        <w:rPr>
          <w:rFonts w:eastAsia="Times New Roman"/>
          <w:color w:val="000000"/>
          <w:sz w:val="20"/>
          <w:szCs w:val="20"/>
        </w:rPr>
        <w:t>(b)See “Interest Expense and Income Taxes” below for additional information related to this adjustment.</w:t>
      </w:r>
    </w:p>
    <w:p w:rsidR="00000000" w:rsidRDefault="003F1733">
      <w:pPr>
        <w:ind w:hanging="360"/>
        <w:jc w:val="both"/>
        <w:rPr>
          <w:rFonts w:eastAsia="Times New Roman"/>
        </w:rPr>
      </w:pPr>
      <w:r>
        <w:rPr>
          <w:rFonts w:eastAsia="Times New Roman"/>
          <w:color w:val="000000"/>
          <w:sz w:val="20"/>
          <w:szCs w:val="20"/>
        </w:rPr>
        <w:t>(c)Income taxes associated with pre-tax adjustments determined using statutory business unit tax rates.</w:t>
      </w:r>
    </w:p>
    <w:p w:rsidR="00000000" w:rsidRDefault="003F1733">
      <w:pPr>
        <w:jc w:val="both"/>
        <w:rPr>
          <w:rFonts w:eastAsia="Times New Roman"/>
        </w:rPr>
      </w:pPr>
    </w:p>
    <w:p w:rsidR="00000000" w:rsidRDefault="003F1733">
      <w:pPr>
        <w:divId w:val="1925795042"/>
        <w:rPr>
          <w:rFonts w:eastAsia="Times New Roman"/>
        </w:rPr>
      </w:pPr>
      <w:r>
        <w:rPr>
          <w:rFonts w:eastAsia="Times New Roman"/>
          <w:b/>
          <w:bCs/>
          <w:color w:val="000000"/>
          <w:sz w:val="20"/>
          <w:szCs w:val="20"/>
          <w:u w:val="single"/>
        </w:rPr>
        <w:t>EXECUTIVE OVERVIEW</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u w:val="single"/>
        </w:rPr>
        <w:t>2021 three-month period compared with 2020 three-month period</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shd w:val="clear" w:color="auto" w:fill="FFFFFF"/>
        </w:rPr>
        <w:t>Discussion.</w:t>
      </w:r>
      <w:r>
        <w:rPr>
          <w:rFonts w:eastAsia="Times New Roman"/>
          <w:color w:val="000000"/>
          <w:sz w:val="20"/>
          <w:szCs w:val="20"/>
          <w:shd w:val="clear" w:color="auto" w:fill="FFFFFF"/>
        </w:rPr>
        <w:t xml:space="preserve"> Net income attributable to UGI Corporation for the </w:t>
      </w:r>
      <w:r>
        <w:rPr>
          <w:rFonts w:eastAsia="Times New Roman"/>
          <w:color w:val="000000"/>
          <w:sz w:val="20"/>
          <w:szCs w:val="20"/>
        </w:rPr>
        <w:t xml:space="preserve">2021 three-month period </w:t>
      </w:r>
      <w:r>
        <w:rPr>
          <w:rFonts w:eastAsia="Times New Roman"/>
          <w:color w:val="000000"/>
          <w:sz w:val="20"/>
          <w:szCs w:val="20"/>
          <w:shd w:val="clear" w:color="auto" w:fill="FFFFFF"/>
        </w:rPr>
        <w:t xml:space="preserve">was $489 million (equal to $2.33 per diluted share) compared to $226 million (equal to $1.07 per diluted </w:t>
      </w:r>
      <w:r>
        <w:rPr>
          <w:rFonts w:eastAsia="Times New Roman"/>
          <w:color w:val="000000"/>
          <w:sz w:val="20"/>
          <w:szCs w:val="20"/>
          <w:shd w:val="clear" w:color="auto" w:fill="FFFFFF"/>
        </w:rPr>
        <w:t xml:space="preserve">share) during the </w:t>
      </w:r>
      <w:r>
        <w:rPr>
          <w:rFonts w:eastAsia="Times New Roman"/>
          <w:color w:val="000000"/>
          <w:sz w:val="20"/>
          <w:szCs w:val="20"/>
        </w:rPr>
        <w:t>2020 three-month period</w:t>
      </w:r>
      <w:r>
        <w:rPr>
          <w:rFonts w:eastAsia="Times New Roman"/>
          <w:color w:val="000000"/>
          <w:sz w:val="20"/>
          <w:szCs w:val="20"/>
          <w:shd w:val="clear" w:color="auto" w:fill="FFFFFF"/>
        </w:rPr>
        <w:t xml:space="preserve">. Net income attributable to UGI Corporation in the </w:t>
      </w:r>
      <w:r>
        <w:rPr>
          <w:rFonts w:eastAsia="Times New Roman"/>
          <w:color w:val="000000"/>
          <w:sz w:val="20"/>
          <w:szCs w:val="20"/>
        </w:rPr>
        <w:t>2021 three-month period</w:t>
      </w:r>
      <w:r>
        <w:rPr>
          <w:rFonts w:eastAsia="Times New Roman"/>
          <w:color w:val="000000"/>
          <w:sz w:val="20"/>
          <w:szCs w:val="20"/>
          <w:shd w:val="clear" w:color="auto" w:fill="FFFFFF"/>
        </w:rPr>
        <w:t xml:space="preserve"> reflects net gains from changes in unrealized commodity derivative instruments and certain foreign currency derivative instruments compared</w:t>
      </w:r>
      <w:r>
        <w:rPr>
          <w:rFonts w:eastAsia="Times New Roman"/>
          <w:color w:val="000000"/>
          <w:sz w:val="20"/>
          <w:szCs w:val="20"/>
          <w:shd w:val="clear" w:color="auto" w:fill="FFFFFF"/>
        </w:rPr>
        <w:t xml:space="preserve"> to net losses on comparable instruments in the prior-year period. Net income attributable to UGI Corporation also reflects business transformation expenses of $14 million in both the 2021 and 2020 three-month periods, as well as a $23 million tax benefit </w:t>
      </w:r>
      <w:r>
        <w:rPr>
          <w:rFonts w:eastAsia="Times New Roman"/>
          <w:color w:val="000000"/>
          <w:sz w:val="20"/>
          <w:szCs w:val="20"/>
          <w:shd w:val="clear" w:color="auto" w:fill="FFFFFF"/>
        </w:rPr>
        <w:t xml:space="preserve">in the </w:t>
      </w:r>
      <w:r>
        <w:rPr>
          <w:rFonts w:eastAsia="Times New Roman"/>
          <w:color w:val="000000"/>
          <w:sz w:val="20"/>
          <w:szCs w:val="20"/>
        </w:rPr>
        <w:t xml:space="preserve">2021 three-month period related to an election made in connection with a tax law change in Italy. </w:t>
      </w:r>
    </w:p>
    <w:p w:rsidR="00000000" w:rsidRDefault="003F1733">
      <w:pPr>
        <w:divId w:val="119805549"/>
        <w:rPr>
          <w:rFonts w:eastAsia="Times New Roman"/>
        </w:rPr>
      </w:pPr>
    </w:p>
    <w:p w:rsidR="00000000" w:rsidRDefault="003F1733">
      <w:pPr>
        <w:jc w:val="both"/>
        <w:rPr>
          <w:rFonts w:eastAsia="Times New Roman"/>
        </w:rPr>
      </w:pPr>
      <w:r>
        <w:rPr>
          <w:rFonts w:eastAsia="Times New Roman"/>
          <w:color w:val="000000"/>
          <w:sz w:val="20"/>
          <w:szCs w:val="20"/>
          <w:shd w:val="clear" w:color="auto" w:fill="FFFFFF"/>
        </w:rPr>
        <w:t xml:space="preserve">Adjusted net income attributable to UGI Corporation for the </w:t>
      </w:r>
      <w:r>
        <w:rPr>
          <w:rFonts w:eastAsia="Times New Roman"/>
          <w:color w:val="000000"/>
          <w:sz w:val="20"/>
          <w:szCs w:val="20"/>
        </w:rPr>
        <w:t>2021 three-month period</w:t>
      </w:r>
      <w:r>
        <w:rPr>
          <w:rFonts w:eastAsia="Times New Roman"/>
          <w:color w:val="000000"/>
          <w:sz w:val="20"/>
          <w:szCs w:val="20"/>
          <w:shd w:val="clear" w:color="auto" w:fill="FFFFFF"/>
        </w:rPr>
        <w:t xml:space="preserve"> was $418 million (equal to $1.99 per diluted share) compared to </w:t>
      </w:r>
      <w:r>
        <w:rPr>
          <w:rFonts w:eastAsia="Times New Roman"/>
          <w:color w:val="000000"/>
          <w:sz w:val="20"/>
          <w:szCs w:val="20"/>
          <w:shd w:val="clear" w:color="auto" w:fill="FFFFFF"/>
        </w:rPr>
        <w:t xml:space="preserve">$328 million (equal to $1.56 per diluted share) during the </w:t>
      </w:r>
      <w:r>
        <w:rPr>
          <w:rFonts w:eastAsia="Times New Roman"/>
          <w:color w:val="000000"/>
          <w:sz w:val="20"/>
          <w:szCs w:val="20"/>
        </w:rPr>
        <w:t>2020 three-month period</w:t>
      </w:r>
      <w:r>
        <w:rPr>
          <w:rFonts w:eastAsia="Times New Roman"/>
          <w:color w:val="000000"/>
          <w:sz w:val="20"/>
          <w:szCs w:val="20"/>
          <w:shd w:val="clear" w:color="auto" w:fill="FFFFFF"/>
        </w:rPr>
        <w:t xml:space="preserve">. The increase in adjusted net income attributable to UGI Corporation during the </w:t>
      </w:r>
      <w:r>
        <w:rPr>
          <w:rFonts w:eastAsia="Times New Roman"/>
          <w:color w:val="000000"/>
          <w:sz w:val="20"/>
          <w:szCs w:val="20"/>
        </w:rPr>
        <w:t>2021 three-month period</w:t>
      </w:r>
      <w:r>
        <w:rPr>
          <w:rFonts w:eastAsia="Times New Roman"/>
          <w:color w:val="000000"/>
          <w:sz w:val="20"/>
          <w:szCs w:val="20"/>
          <w:shd w:val="clear" w:color="auto" w:fill="FFFFFF"/>
        </w:rPr>
        <w:t xml:space="preserve"> largely reflects higher earnings contributions from each of our busin</w:t>
      </w:r>
      <w:r>
        <w:rPr>
          <w:rFonts w:eastAsia="Times New Roman"/>
          <w:color w:val="000000"/>
          <w:sz w:val="20"/>
          <w:szCs w:val="20"/>
          <w:shd w:val="clear" w:color="auto" w:fill="FFFFFF"/>
        </w:rPr>
        <w:t xml:space="preserve">ess segments which benefited from colder weather compared to the prior-year period, higher average LPG unit margins including effective margin management efforts, and the increase in UGI Utilities base rates that went into effect on January 1, 2021.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Ame</w:t>
      </w:r>
      <w:r>
        <w:rPr>
          <w:rFonts w:eastAsia="Times New Roman"/>
          <w:color w:val="000000"/>
          <w:sz w:val="20"/>
          <w:szCs w:val="20"/>
        </w:rPr>
        <w:t>riGas Propane’s adjusted net income attributable to UGI Corporation increased $28 million in the 2021 three-month period. This increase was largely attributable to higher total margin on improved retail volumes reflecting colder weather compared to the pri</w:t>
      </w:r>
      <w:r>
        <w:rPr>
          <w:rFonts w:eastAsia="Times New Roman"/>
          <w:color w:val="000000"/>
          <w:sz w:val="20"/>
          <w:szCs w:val="20"/>
        </w:rPr>
        <w:t xml:space="preserve">or-year period and higher average unit margins due to effective margin management efforts.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International’s adjusted net income attributable to UGI Corporation increased $24 million in the 2021 three-month period principally reflecting higher total m</w:t>
      </w:r>
      <w:r>
        <w:rPr>
          <w:rFonts w:eastAsia="Times New Roman"/>
          <w:color w:val="000000"/>
          <w:sz w:val="20"/>
          <w:szCs w:val="20"/>
        </w:rPr>
        <w:t>argin which benefited from colder weather compared to the prior-year period, improved retail LPG volumes and average unit margins including effective margin management efforts, and the translation effects of stronger foreign currencies in the 2021 three-mo</w:t>
      </w:r>
      <w:r>
        <w:rPr>
          <w:rFonts w:eastAsia="Times New Roman"/>
          <w:color w:val="000000"/>
          <w:sz w:val="20"/>
          <w:szCs w:val="20"/>
        </w:rPr>
        <w:t xml:space="preserve">nth period. These positive factors were partially offset by lower realized gains on foreign currency exchange contracts and higher operating and administrative expenses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Midstream &amp; Marketing’s adjusted net income attri</w:t>
      </w:r>
      <w:r>
        <w:rPr>
          <w:rFonts w:eastAsia="Times New Roman"/>
          <w:color w:val="000000"/>
          <w:sz w:val="20"/>
          <w:szCs w:val="20"/>
        </w:rPr>
        <w:t>butable to UGI Corporation increased $14 million in the 2021 three-month period reflecting higher earnings attributable to natural gas and renewable energy activities including the impact of acquisitions and new assets placed into service, favorable capaci</w:t>
      </w:r>
      <w:r>
        <w:rPr>
          <w:rFonts w:eastAsia="Times New Roman"/>
          <w:color w:val="000000"/>
          <w:sz w:val="20"/>
          <w:szCs w:val="20"/>
        </w:rPr>
        <w:t xml:space="preserve">ty management margin, and lower operating and administrative expenses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Utilities’ adjusted net income attributable to UGI Corporation increased $17 million in the 2021 three-month period compared to the prior-year p</w:t>
      </w:r>
      <w:r>
        <w:rPr>
          <w:rFonts w:eastAsia="Times New Roman"/>
          <w:color w:val="000000"/>
          <w:sz w:val="20"/>
          <w:szCs w:val="20"/>
        </w:rPr>
        <w:t>eriod. The increase was largely attributable to higher Gas Utility margin reflecting the effects of colder weather compared to the prior-year period and the increase in base rates that went into effect on January 1, 2021. These positive factors were partia</w:t>
      </w:r>
      <w:r>
        <w:rPr>
          <w:rFonts w:eastAsia="Times New Roman"/>
          <w:color w:val="000000"/>
          <w:sz w:val="20"/>
          <w:szCs w:val="20"/>
        </w:rPr>
        <w:t xml:space="preserve">lly offset by higher depreciation expenses related to continued capital improvement activities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u w:val="single"/>
        </w:rPr>
        <w:t>2021 six-month period compared with 2020 six-month period</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shd w:val="clear" w:color="auto" w:fill="FFFFFF"/>
        </w:rPr>
        <w:t>Discussion.</w:t>
      </w:r>
      <w:r>
        <w:rPr>
          <w:rFonts w:eastAsia="Times New Roman"/>
          <w:color w:val="000000"/>
          <w:sz w:val="20"/>
          <w:szCs w:val="20"/>
          <w:shd w:val="clear" w:color="auto" w:fill="FFFFFF"/>
        </w:rPr>
        <w:t xml:space="preserve"> Net income attributable to UGI Corporation for the </w:t>
      </w:r>
      <w:r>
        <w:rPr>
          <w:rFonts w:eastAsia="Times New Roman"/>
          <w:color w:val="000000"/>
          <w:sz w:val="20"/>
          <w:szCs w:val="20"/>
        </w:rPr>
        <w:t>2021 six-month period</w:t>
      </w:r>
      <w:r>
        <w:rPr>
          <w:rFonts w:eastAsia="Times New Roman"/>
          <w:color w:val="000000"/>
          <w:sz w:val="20"/>
          <w:szCs w:val="20"/>
          <w:shd w:val="clear" w:color="auto" w:fill="FFFFFF"/>
        </w:rPr>
        <w:t xml:space="preserve"> was $792 million (equal to $3.77 per diluted share) compared to $438 million (equal to $2.08 per dilute</w:t>
      </w:r>
      <w:r>
        <w:rPr>
          <w:rFonts w:eastAsia="Times New Roman"/>
          <w:color w:val="000000"/>
          <w:sz w:val="20"/>
          <w:szCs w:val="20"/>
        </w:rPr>
        <w:t xml:space="preserve">d share) during the 2020 six-month period. Net income attributable to UGI Corporation in the 2021 six-month period reflects </w:t>
      </w:r>
      <w:r>
        <w:rPr>
          <w:rFonts w:eastAsia="Times New Roman"/>
          <w:color w:val="000000"/>
          <w:sz w:val="20"/>
          <w:szCs w:val="20"/>
          <w:shd w:val="clear" w:color="auto" w:fill="FFFFFF"/>
        </w:rPr>
        <w:t>net gai</w:t>
      </w:r>
      <w:r>
        <w:rPr>
          <w:rFonts w:eastAsia="Times New Roman"/>
          <w:color w:val="000000"/>
          <w:sz w:val="20"/>
          <w:szCs w:val="20"/>
          <w:shd w:val="clear" w:color="auto" w:fill="FFFFFF"/>
        </w:rPr>
        <w:t xml:space="preserve">ns from changes in unrealized commodity derivative instruments and certain foreign currency derivative instruments compared to net losses on comparable instruments in the prior-year period. Net income attributable to UGI Corporation also reflects business </w:t>
      </w:r>
      <w:r>
        <w:rPr>
          <w:rFonts w:eastAsia="Times New Roman"/>
          <w:color w:val="000000"/>
          <w:sz w:val="20"/>
          <w:szCs w:val="20"/>
          <w:shd w:val="clear" w:color="auto" w:fill="FFFFFF"/>
        </w:rPr>
        <w:t xml:space="preserve">transformation expenses of $27 million and $26 million, respectively, in the 2021 and 2020 six-month periods, as well as a $23 million tax benefit in the </w:t>
      </w:r>
      <w:r>
        <w:rPr>
          <w:rFonts w:eastAsia="Times New Roman"/>
          <w:color w:val="000000"/>
          <w:sz w:val="20"/>
          <w:szCs w:val="20"/>
        </w:rPr>
        <w:t xml:space="preserve">2021 six-month period related to an election made in connection with a tax law change in Italy. </w:t>
      </w:r>
    </w:p>
    <w:p w:rsidR="00000000" w:rsidRDefault="003F1733">
      <w:pPr>
        <w:jc w:val="both"/>
        <w:rPr>
          <w:rFonts w:eastAsia="Times New Roman"/>
        </w:rPr>
      </w:pPr>
    </w:p>
    <w:p w:rsidR="00000000" w:rsidRDefault="003F1733">
      <w:pPr>
        <w:jc w:val="both"/>
        <w:divId w:val="1856189529"/>
        <w:rPr>
          <w:rFonts w:eastAsia="Times New Roman"/>
        </w:rPr>
      </w:pPr>
      <w:r>
        <w:rPr>
          <w:rFonts w:eastAsia="Times New Roman"/>
          <w:color w:val="000000"/>
          <w:sz w:val="20"/>
          <w:szCs w:val="20"/>
          <w:shd w:val="clear" w:color="auto" w:fill="FFFFFF"/>
        </w:rPr>
        <w:t xml:space="preserve">Adjusted net income attributable to UGI Corporation for the </w:t>
      </w:r>
      <w:r>
        <w:rPr>
          <w:rFonts w:eastAsia="Times New Roman"/>
          <w:color w:val="000000"/>
          <w:sz w:val="20"/>
          <w:szCs w:val="20"/>
        </w:rPr>
        <w:t>2021 six-month period</w:t>
      </w:r>
      <w:r>
        <w:rPr>
          <w:rFonts w:eastAsia="Times New Roman"/>
          <w:color w:val="000000"/>
          <w:sz w:val="20"/>
          <w:szCs w:val="20"/>
          <w:shd w:val="clear" w:color="auto" w:fill="FFFFFF"/>
        </w:rPr>
        <w:t xml:space="preserve"> was $665 million (equal to $3.17 per diluted share) compared to $574 million (equal to $2.73 per diluted shar</w:t>
      </w:r>
      <w:r>
        <w:rPr>
          <w:rFonts w:eastAsia="Times New Roman"/>
          <w:color w:val="000000"/>
          <w:sz w:val="20"/>
          <w:szCs w:val="20"/>
        </w:rPr>
        <w:t>e) during the 2020 six-month period. The increase in adjusted net</w:t>
      </w:r>
      <w:r>
        <w:rPr>
          <w:rFonts w:eastAsia="Times New Roman"/>
          <w:color w:val="000000"/>
          <w:sz w:val="20"/>
          <w:szCs w:val="20"/>
        </w:rPr>
        <w:t xml:space="preserve"> income attributable to UGI Corporation during the 2021 six-month period reflects higher earnings contributions from each of our business segments which benefited from colder weather compared to the prior-year period, effective expense </w:t>
      </w:r>
    </w:p>
    <w:p w:rsidR="00000000" w:rsidRDefault="003F1733">
      <w:pPr>
        <w:jc w:val="center"/>
        <w:divId w:val="1340817919"/>
        <w:rPr>
          <w:rFonts w:eastAsia="Times New Roman"/>
        </w:rPr>
      </w:pPr>
      <w:r>
        <w:rPr>
          <w:rFonts w:eastAsia="Times New Roman"/>
          <w:color w:val="000000"/>
          <w:sz w:val="20"/>
          <w:szCs w:val="20"/>
        </w:rPr>
        <w:t>38</w:t>
      </w:r>
    </w:p>
    <w:p w:rsidR="00000000" w:rsidRDefault="003F1733">
      <w:pPr>
        <w:rPr>
          <w:rFonts w:eastAsia="Times New Roman"/>
        </w:rPr>
      </w:pPr>
      <w:r>
        <w:rPr>
          <w:rFonts w:eastAsia="Times New Roman"/>
        </w:rPr>
        <w:pict>
          <v:rect id="_x0000_i1064" style="width:0;height:1.5pt" o:hralign="center" o:hrstd="t" o:hr="t" fillcolor="#a0a0a0" stroked="f"/>
        </w:pict>
      </w:r>
    </w:p>
    <w:p w:rsidR="00000000" w:rsidRDefault="003F1733">
      <w:pPr>
        <w:divId w:val="1708606863"/>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339355997"/>
        <w:rPr>
          <w:rFonts w:eastAsia="Times New Roman"/>
        </w:rPr>
      </w:pPr>
      <w:r>
        <w:rPr>
          <w:rFonts w:eastAsia="Times New Roman"/>
          <w:b/>
          <w:bCs/>
          <w:color w:val="000000"/>
          <w:sz w:val="20"/>
          <w:szCs w:val="20"/>
        </w:rPr>
        <w:t>UGI CORPORATION AND SUBSIDIARIES</w:t>
      </w:r>
    </w:p>
    <w:p w:rsidR="00000000" w:rsidRDefault="003F1733">
      <w:pPr>
        <w:jc w:val="both"/>
        <w:divId w:val="1714233984"/>
        <w:rPr>
          <w:rFonts w:eastAsia="Times New Roman"/>
        </w:rPr>
      </w:pPr>
      <w:r>
        <w:rPr>
          <w:rFonts w:eastAsia="Times New Roman"/>
          <w:color w:val="000000"/>
          <w:sz w:val="20"/>
          <w:szCs w:val="20"/>
        </w:rPr>
        <w:t>management efforts, the increase in base rates at UGI Utilities that went into effect on January 1, 2021, and the effects of acquisitions and assets placed into service. These positive impacts were partially offset by the effects of COVID-19 compared to th</w:t>
      </w:r>
      <w:r>
        <w:rPr>
          <w:rFonts w:eastAsia="Times New Roman"/>
          <w:color w:val="000000"/>
          <w:sz w:val="20"/>
          <w:szCs w:val="20"/>
        </w:rPr>
        <w:t xml:space="preserve">e prior-year period. </w:t>
      </w:r>
    </w:p>
    <w:p w:rsidR="00000000" w:rsidRDefault="003F1733">
      <w:pPr>
        <w:jc w:val="both"/>
        <w:divId w:val="171847812"/>
        <w:rPr>
          <w:rFonts w:eastAsia="Times New Roman"/>
        </w:rPr>
      </w:pPr>
      <w:r>
        <w:rPr>
          <w:rFonts w:eastAsia="Times New Roman"/>
          <w:color w:val="000000"/>
          <w:sz w:val="20"/>
          <w:szCs w:val="20"/>
          <w:shd w:val="clear" w:color="auto" w:fill="FFFFFF"/>
        </w:rPr>
        <w:t xml:space="preserve">AmeriGas Propane’s adjusted net income attributable to UGI Corporation increased $11 million in the </w:t>
      </w:r>
      <w:r>
        <w:rPr>
          <w:rFonts w:eastAsia="Times New Roman"/>
          <w:color w:val="000000"/>
          <w:sz w:val="20"/>
          <w:szCs w:val="20"/>
        </w:rPr>
        <w:t>2021 six-month period.</w:t>
      </w:r>
      <w:r>
        <w:rPr>
          <w:rFonts w:eastAsia="Times New Roman"/>
          <w:color w:val="000000"/>
          <w:sz w:val="20"/>
          <w:szCs w:val="20"/>
          <w:shd w:val="clear" w:color="auto" w:fill="FFFFFF"/>
        </w:rPr>
        <w:t xml:space="preserve"> This increase principally reflects lower operating and administrative expenses, including partial benefits rela</w:t>
      </w:r>
      <w:r>
        <w:rPr>
          <w:rFonts w:eastAsia="Times New Roman"/>
          <w:color w:val="000000"/>
          <w:sz w:val="20"/>
          <w:szCs w:val="20"/>
          <w:shd w:val="clear" w:color="auto" w:fill="FFFFFF"/>
        </w:rPr>
        <w:t xml:space="preserve">ted to ongoing transformation initiatives, and lower interest expense compared to the prior-year period. These positive factors were partially offset by lower retail propane margin primarily attributable to lower volumes. </w:t>
      </w:r>
    </w:p>
    <w:p w:rsidR="00000000" w:rsidRDefault="003F1733">
      <w:pPr>
        <w:jc w:val="both"/>
        <w:divId w:val="1549878871"/>
        <w:rPr>
          <w:rFonts w:eastAsia="Times New Roman"/>
        </w:rPr>
      </w:pPr>
      <w:r>
        <w:rPr>
          <w:rFonts w:eastAsia="Times New Roman"/>
          <w:color w:val="000000"/>
          <w:sz w:val="20"/>
          <w:szCs w:val="20"/>
        </w:rPr>
        <w:t xml:space="preserve">UGI International’s adjusted net </w:t>
      </w:r>
      <w:r>
        <w:rPr>
          <w:rFonts w:eastAsia="Times New Roman"/>
          <w:color w:val="000000"/>
          <w:sz w:val="20"/>
          <w:szCs w:val="20"/>
        </w:rPr>
        <w:t xml:space="preserve">income </w:t>
      </w:r>
      <w:r>
        <w:rPr>
          <w:rFonts w:eastAsia="Times New Roman"/>
          <w:color w:val="000000"/>
          <w:sz w:val="20"/>
          <w:szCs w:val="20"/>
          <w:shd w:val="clear" w:color="auto" w:fill="FFFFFF"/>
        </w:rPr>
        <w:t xml:space="preserve">attributable to UGI Corporation </w:t>
      </w:r>
      <w:r>
        <w:rPr>
          <w:rFonts w:eastAsia="Times New Roman"/>
          <w:color w:val="000000"/>
          <w:sz w:val="20"/>
          <w:szCs w:val="20"/>
        </w:rPr>
        <w:t>increased $43 million in the 2021 six-month period principally reflecting higher total margin due to higher bulk and heating-related LPG retail volumes on colder weather compared to the prior-year period, and higher a</w:t>
      </w:r>
      <w:r>
        <w:rPr>
          <w:rFonts w:eastAsia="Times New Roman"/>
          <w:color w:val="000000"/>
          <w:sz w:val="20"/>
          <w:szCs w:val="20"/>
        </w:rPr>
        <w:t>verage LPG unit margins including effective margin management efforts. These positive factors were partially offset by higher operating and administrative expenses principally reflecting the translation effects of stronger foreign currencies compared to th</w:t>
      </w:r>
      <w:r>
        <w:rPr>
          <w:rFonts w:eastAsia="Times New Roman"/>
          <w:color w:val="000000"/>
          <w:sz w:val="20"/>
          <w:szCs w:val="20"/>
        </w:rPr>
        <w:t xml:space="preserve">e prior-year period. </w:t>
      </w:r>
    </w:p>
    <w:p w:rsidR="00000000" w:rsidRDefault="003F1733">
      <w:pPr>
        <w:jc w:val="both"/>
        <w:divId w:val="501088540"/>
        <w:rPr>
          <w:rFonts w:eastAsia="Times New Roman"/>
        </w:rPr>
      </w:pPr>
      <w:r>
        <w:rPr>
          <w:rFonts w:eastAsia="Times New Roman"/>
          <w:color w:val="000000"/>
          <w:sz w:val="20"/>
          <w:szCs w:val="20"/>
        </w:rPr>
        <w:t xml:space="preserve">Midstream &amp; Marketing’s adjusted net income </w:t>
      </w:r>
      <w:r>
        <w:rPr>
          <w:rFonts w:eastAsia="Times New Roman"/>
          <w:color w:val="000000"/>
          <w:sz w:val="20"/>
          <w:szCs w:val="20"/>
          <w:shd w:val="clear" w:color="auto" w:fill="FFFFFF"/>
        </w:rPr>
        <w:t xml:space="preserve">attributable to UGI Corporation </w:t>
      </w:r>
      <w:r>
        <w:rPr>
          <w:rFonts w:eastAsia="Times New Roman"/>
          <w:color w:val="000000"/>
          <w:sz w:val="20"/>
          <w:szCs w:val="20"/>
        </w:rPr>
        <w:t>increased $13 million in the 2021 six-month period largely driven by higher total margin attributable to capacity management, natural gas, and renewable energ</w:t>
      </w:r>
      <w:r>
        <w:rPr>
          <w:rFonts w:eastAsia="Times New Roman"/>
          <w:color w:val="000000"/>
          <w:sz w:val="20"/>
          <w:szCs w:val="20"/>
        </w:rPr>
        <w:t xml:space="preserve">y activities compared to the prior-year period. These positive factors were partially offset by the absence of earnings contributions from assets divested in the prior year. </w:t>
      </w:r>
    </w:p>
    <w:p w:rsidR="00000000" w:rsidRDefault="003F1733">
      <w:pPr>
        <w:jc w:val="both"/>
        <w:rPr>
          <w:rFonts w:eastAsia="Times New Roman"/>
        </w:rPr>
      </w:pPr>
      <w:r>
        <w:rPr>
          <w:rFonts w:eastAsia="Times New Roman"/>
          <w:color w:val="000000"/>
          <w:sz w:val="20"/>
          <w:szCs w:val="20"/>
        </w:rPr>
        <w:t>UGI Utilities’ adjusted net income attributable to UGI Corporation increased $5 m</w:t>
      </w:r>
      <w:r>
        <w:rPr>
          <w:rFonts w:eastAsia="Times New Roman"/>
          <w:color w:val="000000"/>
          <w:sz w:val="20"/>
          <w:szCs w:val="20"/>
        </w:rPr>
        <w:t>illion in the 2021 six-month period compared to the prior-year period. The increase was largely attributable to higher Gas Utility margin reflecting increased base rates that went into effect on January 1, 2021, and the effects of colder weather compared t</w:t>
      </w:r>
      <w:r>
        <w:rPr>
          <w:rFonts w:eastAsia="Times New Roman"/>
          <w:color w:val="000000"/>
          <w:sz w:val="20"/>
          <w:szCs w:val="20"/>
        </w:rPr>
        <w:t>o the prior-year period. These positive factors were largely offset by higher depreciation expense related to continued capital improvement activities, and slightly higher operating and administrative expenses compared to the prior-year period.</w:t>
      </w:r>
    </w:p>
    <w:p w:rsidR="00000000" w:rsidRDefault="003F1733">
      <w:pPr>
        <w:jc w:val="both"/>
        <w:rPr>
          <w:rFonts w:eastAsia="Times New Roman"/>
        </w:rPr>
      </w:pPr>
    </w:p>
    <w:p w:rsidR="00000000" w:rsidRDefault="003F1733">
      <w:pPr>
        <w:divId w:val="166597128"/>
        <w:rPr>
          <w:rFonts w:eastAsia="Times New Roman"/>
        </w:rPr>
      </w:pPr>
      <w:r>
        <w:rPr>
          <w:rFonts w:eastAsia="Times New Roman"/>
          <w:b/>
          <w:bCs/>
          <w:color w:val="000000"/>
          <w:sz w:val="20"/>
          <w:szCs w:val="20"/>
          <w:u w:val="single"/>
        </w:rPr>
        <w:t>SEGMENT R</w:t>
      </w:r>
      <w:r>
        <w:rPr>
          <w:rFonts w:eastAsia="Times New Roman"/>
          <w:b/>
          <w:bCs/>
          <w:color w:val="000000"/>
          <w:sz w:val="20"/>
          <w:szCs w:val="20"/>
          <w:u w:val="single"/>
        </w:rPr>
        <w:t>ESULTS OF OPERATIONS</w:t>
      </w:r>
    </w:p>
    <w:p w:rsidR="00000000" w:rsidRDefault="003F1733">
      <w:pPr>
        <w:divId w:val="1525678568"/>
        <w:rPr>
          <w:rFonts w:eastAsia="Times New Roman"/>
        </w:rPr>
      </w:pPr>
      <w:r>
        <w:rPr>
          <w:rFonts w:eastAsia="Times New Roman"/>
          <w:b/>
          <w:bCs/>
          <w:color w:val="000000"/>
          <w:sz w:val="20"/>
          <w:szCs w:val="20"/>
        </w:rPr>
        <w:t>2021 Three-Month Period Compared with the 2020 Three-Month Period</w:t>
      </w:r>
    </w:p>
    <w:p w:rsidR="00000000" w:rsidRDefault="003F1733">
      <w:pPr>
        <w:divId w:val="990596994"/>
        <w:rPr>
          <w:rFonts w:eastAsia="Times New Roman"/>
        </w:rPr>
      </w:pPr>
    </w:p>
    <w:p w:rsidR="00000000" w:rsidRDefault="003F1733">
      <w:pPr>
        <w:jc w:val="both"/>
        <w:rPr>
          <w:rFonts w:eastAsia="Times New Roman"/>
        </w:rPr>
      </w:pPr>
      <w:r>
        <w:rPr>
          <w:rFonts w:eastAsia="Times New Roman"/>
          <w:b/>
          <w:bCs/>
          <w:i/>
          <w:iCs/>
          <w:color w:val="000000"/>
          <w:sz w:val="20"/>
          <w:szCs w:val="20"/>
        </w:rPr>
        <w:t>AmeriGas Propane</w:t>
      </w:r>
    </w:p>
    <w:tbl>
      <w:tblPr>
        <w:tblW w:w="4992" w:type="pct"/>
        <w:tblCellMar>
          <w:top w:w="15" w:type="dxa"/>
          <w:left w:w="15" w:type="dxa"/>
          <w:bottom w:w="15" w:type="dxa"/>
          <w:right w:w="15" w:type="dxa"/>
        </w:tblCellMar>
        <w:tblLook w:val="04A0" w:firstRow="1" w:lastRow="0" w:firstColumn="1" w:lastColumn="0" w:noHBand="0" w:noVBand="1"/>
      </w:tblPr>
      <w:tblGrid>
        <w:gridCol w:w="40"/>
        <w:gridCol w:w="3731"/>
        <w:gridCol w:w="39"/>
        <w:gridCol w:w="36"/>
        <w:gridCol w:w="36"/>
        <w:gridCol w:w="36"/>
        <w:gridCol w:w="120"/>
        <w:gridCol w:w="802"/>
        <w:gridCol w:w="187"/>
        <w:gridCol w:w="36"/>
        <w:gridCol w:w="36"/>
        <w:gridCol w:w="36"/>
        <w:gridCol w:w="121"/>
        <w:gridCol w:w="803"/>
        <w:gridCol w:w="187"/>
        <w:gridCol w:w="36"/>
        <w:gridCol w:w="36"/>
        <w:gridCol w:w="36"/>
        <w:gridCol w:w="120"/>
        <w:gridCol w:w="683"/>
        <w:gridCol w:w="36"/>
        <w:gridCol w:w="36"/>
        <w:gridCol w:w="36"/>
        <w:gridCol w:w="36"/>
        <w:gridCol w:w="37"/>
        <w:gridCol w:w="768"/>
        <w:gridCol w:w="187"/>
      </w:tblGrid>
      <w:tr w:rsidR="00000000">
        <w:trPr>
          <w:divId w:val="1005859836"/>
        </w:trPr>
        <w:tc>
          <w:tcPr>
            <w:tcW w:w="50" w:type="pct"/>
            <w:vAlign w:val="center"/>
            <w:hideMark/>
          </w:tcPr>
          <w:p w:rsidR="00000000" w:rsidRDefault="003F1733">
            <w:pPr>
              <w:jc w:val="both"/>
              <w:rPr>
                <w:rFonts w:eastAsia="Times New Roman"/>
              </w:rPr>
            </w:pPr>
          </w:p>
        </w:tc>
        <w:tc>
          <w:tcPr>
            <w:tcW w:w="232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0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005859836"/>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005859836"/>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Increase</w:t>
            </w:r>
          </w:p>
        </w:tc>
      </w:tr>
      <w:tr w:rsidR="00000000">
        <w:trPr>
          <w:divId w:val="100585983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005859836"/>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940 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802 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005859836"/>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005859836"/>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005859836"/>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income/earnings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005859836"/>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005859836"/>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Heating degree days—% warmer than normal (b)</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3F1733">
      <w:pPr>
        <w:ind w:hanging="360"/>
        <w:jc w:val="both"/>
        <w:rPr>
          <w:rFonts w:eastAsia="Times New Roman"/>
        </w:rPr>
      </w:pPr>
      <w:r>
        <w:rPr>
          <w:rFonts w:eastAsia="Times New Roman"/>
          <w:color w:val="000000"/>
          <w:sz w:val="20"/>
          <w:szCs w:val="20"/>
        </w:rPr>
        <w:t>(b)Beginning in Fiscal 2021, deviation from average heating</w:t>
      </w:r>
      <w:r>
        <w:rPr>
          <w:rFonts w:eastAsia="Times New Roman"/>
          <w:color w:val="000000"/>
          <w:sz w:val="20"/>
          <w:szCs w:val="20"/>
        </w:rPr>
        <w:t xml:space="preserve"> degree days is determined on a rolling 10-year period utilizing volume-weighted weather data based on weather statistics provided by NOAA for 344 regions in the United States, excluding Alaska and Hawaii. Prior-period amounts have been restated to conform</w:t>
      </w:r>
      <w:r>
        <w:rPr>
          <w:rFonts w:eastAsia="Times New Roman"/>
          <w:color w:val="000000"/>
          <w:sz w:val="20"/>
          <w:szCs w:val="20"/>
        </w:rPr>
        <w:t xml:space="preserve"> to the current-period presentation.</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Average temperatures during the 2021 three-month period were 2.2% warmer than normal but 8.4% colder than the prior-year period. Total retail gallons sold during the 2021 three-month period were 5% higher principally </w:t>
      </w:r>
      <w:r>
        <w:rPr>
          <w:rFonts w:eastAsia="Times New Roman"/>
          <w:color w:val="000000"/>
          <w:sz w:val="20"/>
          <w:szCs w:val="20"/>
        </w:rPr>
        <w:t>reflecting higher residential and resale volumes attributable to colder weather compared to the prior-year period and pandemic-related usage. These increases were partially offset by the effects of structural conservation and other residual volume loss and</w:t>
      </w:r>
      <w:r>
        <w:rPr>
          <w:rFonts w:eastAsia="Times New Roman"/>
          <w:color w:val="000000"/>
          <w:sz w:val="20"/>
          <w:szCs w:val="20"/>
        </w:rPr>
        <w:t xml:space="preserve"> the continued impact of COVID-19 on commercial and motor fuel volumes.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Total revenues increased $138 million during the 2021 three-month period largely reflecting higher average retail and wholesale propane selling prices ($104 million) and the higher </w:t>
      </w:r>
      <w:r>
        <w:rPr>
          <w:rFonts w:eastAsia="Times New Roman"/>
          <w:color w:val="000000"/>
          <w:sz w:val="20"/>
          <w:szCs w:val="20"/>
        </w:rPr>
        <w:t>retail propane volumes ($33 million) compared to the prior-year period. Average daily wholesale propane commodity prices at Mont Belvieu, Texas, one of the major supply points in the U.S., were significantly higher during the 2021 three-month period (appro</w:t>
      </w:r>
      <w:r>
        <w:rPr>
          <w:rFonts w:eastAsia="Times New Roman"/>
          <w:color w:val="000000"/>
          <w:sz w:val="20"/>
          <w:szCs w:val="20"/>
        </w:rPr>
        <w:t xml:space="preserve">ximately 143%) compared to such prices during the prior-year period. Total cost of sales increased $106 million during the 2021 three-month period principally reflecting the higher average total propane product costs ($88 million) and higher total propane </w:t>
      </w:r>
      <w:r>
        <w:rPr>
          <w:rFonts w:eastAsia="Times New Roman"/>
          <w:color w:val="000000"/>
          <w:sz w:val="20"/>
          <w:szCs w:val="20"/>
        </w:rPr>
        <w:t xml:space="preserve">volumes ($17 million). </w:t>
      </w:r>
    </w:p>
    <w:p w:rsidR="00000000" w:rsidRDefault="003F1733">
      <w:pPr>
        <w:jc w:val="both"/>
        <w:rPr>
          <w:rFonts w:eastAsia="Times New Roman"/>
        </w:rPr>
      </w:pPr>
    </w:p>
    <w:p w:rsidR="00000000" w:rsidRDefault="003F1733">
      <w:pPr>
        <w:jc w:val="center"/>
        <w:divId w:val="1450589100"/>
        <w:rPr>
          <w:rFonts w:eastAsia="Times New Roman"/>
        </w:rPr>
      </w:pPr>
      <w:r>
        <w:rPr>
          <w:rFonts w:eastAsia="Times New Roman"/>
          <w:color w:val="000000"/>
          <w:sz w:val="20"/>
          <w:szCs w:val="20"/>
        </w:rPr>
        <w:t>39</w:t>
      </w:r>
    </w:p>
    <w:p w:rsidR="00000000" w:rsidRDefault="003F1733">
      <w:pPr>
        <w:rPr>
          <w:rFonts w:eastAsia="Times New Roman"/>
        </w:rPr>
      </w:pPr>
      <w:r>
        <w:rPr>
          <w:rFonts w:eastAsia="Times New Roman"/>
        </w:rPr>
        <w:pict>
          <v:rect id="_x0000_i1065" style="width:0;height:1.5pt" o:hralign="center" o:hrstd="t" o:hr="t" fillcolor="#a0a0a0" stroked="f"/>
        </w:pict>
      </w:r>
    </w:p>
    <w:p w:rsidR="00000000" w:rsidRDefault="003F1733">
      <w:pPr>
        <w:divId w:val="687103814"/>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329992667"/>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AmeriGas Propane total margin increased $32 million in the 2021 three-month perio</w:t>
      </w:r>
      <w:r>
        <w:rPr>
          <w:rFonts w:eastAsia="Times New Roman"/>
          <w:color w:val="000000"/>
          <w:sz w:val="20"/>
          <w:szCs w:val="20"/>
        </w:rPr>
        <w:t xml:space="preserve">d reflecting the higher retail propane volumes ($20 million) and higher average retail unit margins including ($15 million) compared to the prior-year period due to effective margin management efforts. These positive impacts were partially offset by lower </w:t>
      </w:r>
      <w:r>
        <w:rPr>
          <w:rFonts w:eastAsia="Times New Roman"/>
          <w:color w:val="000000"/>
          <w:sz w:val="20"/>
          <w:szCs w:val="20"/>
        </w:rPr>
        <w:t>non-propane margin attributable to fees and services ($3 million).</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Operating income and earnings before interest expense and income taxes both increased $33 million during the 2021 three-month period principally reflecting the increase in total margin. O</w:t>
      </w:r>
      <w:r>
        <w:rPr>
          <w:rFonts w:eastAsia="Times New Roman"/>
          <w:color w:val="000000"/>
          <w:sz w:val="20"/>
          <w:szCs w:val="20"/>
        </w:rPr>
        <w:t>perating and administrative expenses were slightly higher in the 2021 three-month period reflecting, among other things, higher employee related cost primarily attributable to incentive compensation ($3 million), increased advertising costs ($2 million) an</w:t>
      </w:r>
      <w:r>
        <w:rPr>
          <w:rFonts w:eastAsia="Times New Roman"/>
          <w:color w:val="000000"/>
          <w:sz w:val="20"/>
          <w:szCs w:val="20"/>
        </w:rPr>
        <w:t>d higher telecommunications expenses ($2 million) partially offset by lower general insurance costs ($5 million). Operating and administrative expenses continue to reflect the partial benefits related to the previously mentioned ongoing business transforma</w:t>
      </w:r>
      <w:r>
        <w:rPr>
          <w:rFonts w:eastAsia="Times New Roman"/>
          <w:color w:val="000000"/>
          <w:sz w:val="20"/>
          <w:szCs w:val="20"/>
        </w:rPr>
        <w:t>tion initiatives.</w:t>
      </w:r>
    </w:p>
    <w:p w:rsidR="00000000" w:rsidRDefault="003F1733">
      <w:pPr>
        <w:jc w:val="both"/>
        <w:rPr>
          <w:rFonts w:eastAsia="Times New Roman"/>
        </w:rPr>
      </w:pPr>
    </w:p>
    <w:p w:rsidR="00000000" w:rsidRDefault="003F1733">
      <w:pPr>
        <w:jc w:val="both"/>
        <w:divId w:val="43718524"/>
        <w:rPr>
          <w:rFonts w:eastAsia="Times New Roman"/>
        </w:rPr>
      </w:pPr>
      <w:r>
        <w:rPr>
          <w:rFonts w:eastAsia="Times New Roman"/>
          <w:b/>
          <w:bCs/>
          <w:i/>
          <w:iCs/>
          <w:color w:val="000000"/>
          <w:sz w:val="20"/>
          <w:szCs w:val="20"/>
        </w:rPr>
        <w:t>UGI International</w:t>
      </w:r>
    </w:p>
    <w:tbl>
      <w:tblPr>
        <w:tblW w:w="5000" w:type="pct"/>
        <w:tblCellMar>
          <w:top w:w="15" w:type="dxa"/>
          <w:left w:w="15" w:type="dxa"/>
          <w:bottom w:w="15" w:type="dxa"/>
          <w:right w:w="15" w:type="dxa"/>
        </w:tblCellMar>
        <w:tblLook w:val="04A0" w:firstRow="1" w:lastRow="0" w:firstColumn="1" w:lastColumn="0" w:noHBand="0" w:noVBand="1"/>
      </w:tblPr>
      <w:tblGrid>
        <w:gridCol w:w="39"/>
        <w:gridCol w:w="3953"/>
        <w:gridCol w:w="38"/>
        <w:gridCol w:w="36"/>
        <w:gridCol w:w="36"/>
        <w:gridCol w:w="36"/>
        <w:gridCol w:w="120"/>
        <w:gridCol w:w="804"/>
        <w:gridCol w:w="187"/>
        <w:gridCol w:w="36"/>
        <w:gridCol w:w="36"/>
        <w:gridCol w:w="36"/>
        <w:gridCol w:w="120"/>
        <w:gridCol w:w="804"/>
        <w:gridCol w:w="187"/>
        <w:gridCol w:w="36"/>
        <w:gridCol w:w="36"/>
        <w:gridCol w:w="36"/>
        <w:gridCol w:w="120"/>
        <w:gridCol w:w="658"/>
        <w:gridCol w:w="36"/>
        <w:gridCol w:w="36"/>
        <w:gridCol w:w="36"/>
        <w:gridCol w:w="36"/>
        <w:gridCol w:w="37"/>
        <w:gridCol w:w="584"/>
        <w:gridCol w:w="187"/>
      </w:tblGrid>
      <w:tr w:rsidR="00000000">
        <w:trPr>
          <w:divId w:val="459811625"/>
        </w:trPr>
        <w:tc>
          <w:tcPr>
            <w:tcW w:w="50" w:type="pct"/>
            <w:vAlign w:val="center"/>
            <w:hideMark/>
          </w:tcPr>
          <w:p w:rsidR="00000000" w:rsidRDefault="003F1733">
            <w:pPr>
              <w:jc w:val="both"/>
              <w:rPr>
                <w:rFonts w:eastAsia="Times New Roman"/>
              </w:rPr>
            </w:pPr>
          </w:p>
        </w:tc>
        <w:tc>
          <w:tcPr>
            <w:tcW w:w="245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9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7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459811625"/>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459811625"/>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Increase</w:t>
            </w:r>
          </w:p>
        </w:tc>
      </w:tr>
      <w:tr w:rsidR="00000000">
        <w:trPr>
          <w:divId w:val="45981162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459811625"/>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834 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704 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459811625"/>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459811625"/>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459811625"/>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459811625"/>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459811625"/>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459811625"/>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Heating degree days—% warmer than normal (b)</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ind w:hanging="360"/>
        <w:jc w:val="both"/>
        <w:rPr>
          <w:rFonts w:eastAsia="Times New Roman"/>
        </w:rPr>
      </w:pPr>
      <w:r>
        <w:rPr>
          <w:rFonts w:eastAsia="Times New Roman"/>
          <w:color w:val="000000"/>
          <w:sz w:val="20"/>
          <w:szCs w:val="20"/>
        </w:rPr>
        <w:t>(a)Total ma</w:t>
      </w:r>
      <w:r>
        <w:rPr>
          <w:rFonts w:eastAsia="Times New Roman"/>
          <w:color w:val="000000"/>
          <w:sz w:val="20"/>
          <w:szCs w:val="20"/>
        </w:rPr>
        <w:t>rgin represents revenues less cost of sales and, in the 2020 three-month period, LPG cylinder filling costs of $7 million. For financial statement purposes, LPG cylinder filling costs in the 2020 three-month period are included in “Operating and administra</w:t>
      </w:r>
      <w:r>
        <w:rPr>
          <w:rFonts w:eastAsia="Times New Roman"/>
          <w:color w:val="000000"/>
          <w:sz w:val="20"/>
          <w:szCs w:val="20"/>
        </w:rPr>
        <w:t xml:space="preserve">tive expenses” on the 2020 Condensed Consolidated Statement of Income (but are excluded from operating and administrative expenses presented above). LPG cylinder filling costs are included in “Cost of sales” on the 2021 Condensed Consolidated Statement of </w:t>
      </w:r>
      <w:r>
        <w:rPr>
          <w:rFonts w:eastAsia="Times New Roman"/>
          <w:color w:val="000000"/>
          <w:sz w:val="20"/>
          <w:szCs w:val="20"/>
        </w:rPr>
        <w:t>Income.</w:t>
      </w:r>
    </w:p>
    <w:p w:rsidR="00000000" w:rsidRDefault="003F1733">
      <w:pPr>
        <w:ind w:hanging="360"/>
        <w:jc w:val="both"/>
        <w:rPr>
          <w:rFonts w:eastAsia="Times New Roman"/>
        </w:rPr>
      </w:pPr>
      <w:r>
        <w:rPr>
          <w:rFonts w:eastAsia="Times New Roman"/>
          <w:color w:val="000000"/>
          <w:sz w:val="20"/>
          <w:szCs w:val="20"/>
        </w:rPr>
        <w:t>(b)Beginning in Fiscal 2021, deviation from average heating degree days is determined on a rolling 10-year period utilizing volume-weighted weather data at locations in our UGI International service territories. Prior-period amounts have been resta</w:t>
      </w:r>
      <w:r>
        <w:rPr>
          <w:rFonts w:eastAsia="Times New Roman"/>
          <w:color w:val="000000"/>
          <w:sz w:val="20"/>
          <w:szCs w:val="20"/>
        </w:rPr>
        <w:t>ted to conform to the current-period presentation.</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Average temperatures during the 2021 three-month period were 3.4% warmer than normal but 11.8% colder than the prior-year period. Total LPG retail gallons sold during the 2021 three-month period increase</w:t>
      </w:r>
      <w:r>
        <w:rPr>
          <w:rFonts w:eastAsia="Times New Roman"/>
          <w:color w:val="000000"/>
          <w:sz w:val="20"/>
          <w:szCs w:val="20"/>
        </w:rPr>
        <w:t>d 5% reflecting higher bulk volumes attributable to increased heating-related bulk sales related to colder weather and higher cylinder volumes compared to the prior-year period. These volume improvements were partially offset by the continued impact of COV</w:t>
      </w:r>
      <w:r>
        <w:rPr>
          <w:rFonts w:eastAsia="Times New Roman"/>
          <w:color w:val="000000"/>
          <w:sz w:val="20"/>
          <w:szCs w:val="20"/>
        </w:rPr>
        <w:t xml:space="preserve">ID-19 on certain commercial and industrial volumes. Average wholesale prices for propane and butane during the 2021 three-month period in northwest Europe were approximately 47% and 13% higher, respectively, compared with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International base-currency results are translated into U.S. dollars based upon exchange rates experienced during the reporting periods. The functional currency of a significant portion of our UGI International results is the euro and, to a much lesser</w:t>
      </w:r>
      <w:r>
        <w:rPr>
          <w:rFonts w:eastAsia="Times New Roman"/>
          <w:color w:val="000000"/>
          <w:sz w:val="20"/>
          <w:szCs w:val="20"/>
        </w:rPr>
        <w:t xml:space="preserve"> extent, the British pound sterling. During the 2021 and 2020 three-month periods, the average unweighted euro-to-dollar translation rates were approximately $1.21 and $1.10, respectively, and the average unweighted British pound sterling-to-dollar transla</w:t>
      </w:r>
      <w:r>
        <w:rPr>
          <w:rFonts w:eastAsia="Times New Roman"/>
          <w:color w:val="000000"/>
          <w:sz w:val="20"/>
          <w:szCs w:val="20"/>
        </w:rPr>
        <w:t>tion rates were approximately $1.38 and $1.28, respectively. Fluctuations in these foreign currency exchange rates can have a significant impact on the individual financial statement components discussed below. The net effect of changes in foreign currency</w:t>
      </w:r>
      <w:r>
        <w:rPr>
          <w:rFonts w:eastAsia="Times New Roman"/>
          <w:color w:val="000000"/>
          <w:sz w:val="20"/>
          <w:szCs w:val="20"/>
        </w:rPr>
        <w:t xml:space="preserve"> exchange rates on UGI International’s earnings before interest expense and income taxes resulted in a net benefit of $13 million in the 2021 three-month period. However, the impact of these changes is mitigated by the effects of forward foreign currency e</w:t>
      </w:r>
      <w:r>
        <w:rPr>
          <w:rFonts w:eastAsia="Times New Roman"/>
          <w:color w:val="000000"/>
          <w:sz w:val="20"/>
          <w:szCs w:val="20"/>
        </w:rPr>
        <w:t>xchange contracts entered into over a multi-year period intended to substantially offset this volatility. These forward foreign currency exchange contracts resulted in realized net gains of $2 million and $9 million, respectively, in the 2021 and 2020 thre</w:t>
      </w:r>
      <w:r>
        <w:rPr>
          <w:rFonts w:eastAsia="Times New Roman"/>
          <w:color w:val="000000"/>
          <w:sz w:val="20"/>
          <w:szCs w:val="20"/>
        </w:rPr>
        <w:t>e-month periods.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International revenues and cost of sales increased $130 million and $82 million, respectively, during the 2021 three-month period. The increase in both revenues and cost of sales principally reflects the translation effects of strong</w:t>
      </w:r>
      <w:r>
        <w:rPr>
          <w:rFonts w:eastAsia="Times New Roman"/>
          <w:color w:val="000000"/>
          <w:sz w:val="20"/>
          <w:szCs w:val="20"/>
        </w:rPr>
        <w:t>er foreign currencies (approximately $69 million and $40 million, respectively), the effects of higher average LPG selling prices and product costs compared to the prior-year period, and the previously mentioned increase in retail LPG volumes. Energy marke</w:t>
      </w:r>
      <w:r>
        <w:rPr>
          <w:rFonts w:eastAsia="Times New Roman"/>
          <w:color w:val="000000"/>
          <w:sz w:val="20"/>
          <w:szCs w:val="20"/>
        </w:rPr>
        <w:t xml:space="preserve">ting activities </w:t>
      </w:r>
    </w:p>
    <w:p w:rsidR="00000000" w:rsidRDefault="003F1733">
      <w:pPr>
        <w:jc w:val="center"/>
        <w:divId w:val="1349982512"/>
        <w:rPr>
          <w:rFonts w:eastAsia="Times New Roman"/>
        </w:rPr>
      </w:pPr>
      <w:r>
        <w:rPr>
          <w:rFonts w:eastAsia="Times New Roman"/>
          <w:color w:val="000000"/>
          <w:sz w:val="20"/>
          <w:szCs w:val="20"/>
        </w:rPr>
        <w:t>40</w:t>
      </w:r>
    </w:p>
    <w:p w:rsidR="00000000" w:rsidRDefault="003F1733">
      <w:pPr>
        <w:rPr>
          <w:rFonts w:eastAsia="Times New Roman"/>
        </w:rPr>
      </w:pPr>
      <w:r>
        <w:rPr>
          <w:rFonts w:eastAsia="Times New Roman"/>
        </w:rPr>
        <w:pict>
          <v:rect id="_x0000_i1066" style="width:0;height:1.5pt" o:hralign="center" o:hrstd="t" o:hr="t" fillcolor="#a0a0a0" stroked="f"/>
        </w:pict>
      </w:r>
    </w:p>
    <w:p w:rsidR="00000000" w:rsidRDefault="003F1733">
      <w:pPr>
        <w:divId w:val="885681227"/>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862279979"/>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during the 2021 three-month period also contributed to the increased revenues and cost of s</w:t>
      </w:r>
      <w:r>
        <w:rPr>
          <w:rFonts w:eastAsia="Times New Roman"/>
          <w:color w:val="000000"/>
          <w:sz w:val="20"/>
          <w:szCs w:val="20"/>
        </w:rPr>
        <w:t xml:space="preserve">ales largely related to higher natural gas volumes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International total margin increased $48 million during the 2021 three-month period reflecting the translation effects of stronger foreign currencies (approximatel</w:t>
      </w:r>
      <w:r>
        <w:rPr>
          <w:rFonts w:eastAsia="Times New Roman"/>
          <w:color w:val="000000"/>
          <w:sz w:val="20"/>
          <w:szCs w:val="20"/>
        </w:rPr>
        <w:t>y $29 million), higher average LPG unit margins and the previously mentioned increase in bulk and cylinder volumes. These positive impacts were partially offset by lower autogas and other low-margin volumes. The increase in average LPG unit margins include</w:t>
      </w:r>
      <w:r>
        <w:rPr>
          <w:rFonts w:eastAsia="Times New Roman"/>
          <w:color w:val="000000"/>
          <w:sz w:val="20"/>
          <w:szCs w:val="20"/>
        </w:rPr>
        <w:t xml:space="preserve">s the continued effects of margin management efforts.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International operating income and earnings before interest expense and income taxes increased $30 million and $23 million, respectively, during the 2021 three-month period compared to the prior-</w:t>
      </w:r>
      <w:r>
        <w:rPr>
          <w:rFonts w:eastAsia="Times New Roman"/>
          <w:color w:val="000000"/>
          <w:sz w:val="20"/>
          <w:szCs w:val="20"/>
        </w:rPr>
        <w:t>year period. The increase in operating income principally reflects the increase in total margin partially offset by higher operating and administrative expenses ($17 million) largely attributable to the effects of stronger foreign currencies (approximately</w:t>
      </w:r>
      <w:r>
        <w:rPr>
          <w:rFonts w:eastAsia="Times New Roman"/>
          <w:color w:val="000000"/>
          <w:sz w:val="20"/>
          <w:szCs w:val="20"/>
        </w:rPr>
        <w:t xml:space="preserve"> $13 million) compared to the prior-year period. Higher maintenance and distribution costs related to the increased volumes also contributed to the increase in operating and administrative expenses, substantially offset by lower employee costs, travel and </w:t>
      </w:r>
      <w:r>
        <w:rPr>
          <w:rFonts w:eastAsia="Times New Roman"/>
          <w:color w:val="000000"/>
          <w:sz w:val="20"/>
          <w:szCs w:val="20"/>
        </w:rPr>
        <w:t>entertainment expenses and uncollectible accounts expense. The increase in earnings before interest expense and income taxes in the 2021 three-month period largely reflects the higher operating income, and was partially offset by lower realized gains on fo</w:t>
      </w:r>
      <w:r>
        <w:rPr>
          <w:rFonts w:eastAsia="Times New Roman"/>
          <w:color w:val="000000"/>
          <w:sz w:val="20"/>
          <w:szCs w:val="20"/>
        </w:rPr>
        <w:t xml:space="preserve">reign currency exchange contracts entered into in order to reduce volatility in UGI International earnings resulting from the effects of changes in foreign currency exchange rates ($7 million). </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Midstream &amp; Marketing</w:t>
      </w:r>
    </w:p>
    <w:tbl>
      <w:tblPr>
        <w:tblW w:w="4992" w:type="pct"/>
        <w:tblCellMar>
          <w:top w:w="15" w:type="dxa"/>
          <w:left w:w="15" w:type="dxa"/>
          <w:bottom w:w="15" w:type="dxa"/>
          <w:right w:w="15" w:type="dxa"/>
        </w:tblCellMar>
        <w:tblLook w:val="04A0" w:firstRow="1" w:lastRow="0" w:firstColumn="1" w:lastColumn="0" w:noHBand="0" w:noVBand="1"/>
      </w:tblPr>
      <w:tblGrid>
        <w:gridCol w:w="39"/>
        <w:gridCol w:w="3666"/>
        <w:gridCol w:w="38"/>
        <w:gridCol w:w="36"/>
        <w:gridCol w:w="36"/>
        <w:gridCol w:w="36"/>
        <w:gridCol w:w="120"/>
        <w:gridCol w:w="858"/>
        <w:gridCol w:w="36"/>
        <w:gridCol w:w="36"/>
        <w:gridCol w:w="36"/>
        <w:gridCol w:w="36"/>
        <w:gridCol w:w="120"/>
        <w:gridCol w:w="858"/>
        <w:gridCol w:w="36"/>
        <w:gridCol w:w="36"/>
        <w:gridCol w:w="36"/>
        <w:gridCol w:w="36"/>
        <w:gridCol w:w="121"/>
        <w:gridCol w:w="858"/>
        <w:gridCol w:w="37"/>
        <w:gridCol w:w="37"/>
        <w:gridCol w:w="37"/>
        <w:gridCol w:w="36"/>
        <w:gridCol w:w="36"/>
        <w:gridCol w:w="849"/>
        <w:gridCol w:w="187"/>
      </w:tblGrid>
      <w:tr w:rsidR="00000000">
        <w:trPr>
          <w:divId w:val="1747142682"/>
        </w:trPr>
        <w:tc>
          <w:tcPr>
            <w:tcW w:w="50" w:type="pct"/>
            <w:vAlign w:val="center"/>
            <w:hideMark/>
          </w:tcPr>
          <w:p w:rsidR="00000000" w:rsidRDefault="003F1733">
            <w:pPr>
              <w:jc w:val="both"/>
              <w:rPr>
                <w:rFonts w:eastAsia="Times New Roman"/>
              </w:rPr>
            </w:pPr>
          </w:p>
        </w:tc>
        <w:tc>
          <w:tcPr>
            <w:tcW w:w="225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747142682"/>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747142682"/>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Increase (Decrease)</w:t>
            </w:r>
          </w:p>
        </w:tc>
      </w:tr>
      <w:tr w:rsidR="00000000">
        <w:trPr>
          <w:divId w:val="174714268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747142682"/>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 xml:space="preserve">Revenues </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484 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422 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747142682"/>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747142682"/>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747142682"/>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747142682"/>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bl>
    <w:p w:rsidR="00000000" w:rsidRDefault="003F1733">
      <w:pPr>
        <w:ind w:hanging="360"/>
        <w:jc w:val="both"/>
        <w:rPr>
          <w:rFonts w:eastAsia="Times New Roman"/>
        </w:rPr>
      </w:pPr>
      <w:r>
        <w:rPr>
          <w:rFonts w:eastAsia="Times New Roman"/>
          <w:color w:val="000000"/>
          <w:sz w:val="20"/>
          <w:szCs w:val="20"/>
        </w:rPr>
        <w:t>(a)Total margin represents revenues less cost of sales.</w:t>
      </w:r>
    </w:p>
    <w:p w:rsidR="00000000" w:rsidRDefault="003F1733">
      <w:pPr>
        <w:divId w:val="511846443"/>
        <w:rPr>
          <w:rFonts w:eastAsia="Times New Roman"/>
        </w:rPr>
      </w:pPr>
    </w:p>
    <w:p w:rsidR="00000000" w:rsidRDefault="003F1733">
      <w:pPr>
        <w:jc w:val="both"/>
        <w:rPr>
          <w:rFonts w:eastAsia="Times New Roman"/>
        </w:rPr>
      </w:pPr>
      <w:r>
        <w:rPr>
          <w:rFonts w:eastAsia="Times New Roman"/>
          <w:color w:val="000000"/>
          <w:sz w:val="20"/>
          <w:szCs w:val="20"/>
        </w:rPr>
        <w:t>Average temperatures across Midstream &amp; Marketing’s energy marketing territory duri</w:t>
      </w:r>
      <w:r>
        <w:rPr>
          <w:rFonts w:eastAsia="Times New Roman"/>
          <w:color w:val="000000"/>
          <w:sz w:val="20"/>
          <w:szCs w:val="20"/>
        </w:rPr>
        <w:t xml:space="preserve">ng the 2021 three-month period were 5.8% warmer than normal but 11.7% colder than the prior-year period. Beginning in Fiscal 2021, deviation from average heating degree days is determined on a rolling 10-year period utilizing volume-weighted weather data. </w:t>
      </w:r>
      <w:r>
        <w:rPr>
          <w:rFonts w:eastAsia="Times New Roman"/>
          <w:color w:val="000000"/>
          <w:sz w:val="20"/>
          <w:szCs w:val="20"/>
        </w:rPr>
        <w:t>Prior-period amounts have been restated to conform to the current-period presentation. Midstream &amp; Marketing’s prior year results include contributions from its HVAC business and ownership interest in Conemaugh, both of which were sold in September 2020.</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Midstream &amp; Marketing revenues for the 2021 three-month period were $62 million higher than the prior-year period principally reflecting increased revenues from natural gas marketing activities ($50 million), renewable energy marketing activities ($15 mil</w:t>
      </w:r>
      <w:r>
        <w:rPr>
          <w:rFonts w:eastAsia="Times New Roman"/>
          <w:color w:val="000000"/>
          <w:sz w:val="20"/>
          <w:szCs w:val="20"/>
        </w:rPr>
        <w:t>lion), and capacity management activities ($6 million). These revenue increases were partially offset by the absence of revenues attributable to its former HVAC business and ownership interest in Conemaugh ($14 million). Midstream &amp; Marketing cost of sales</w:t>
      </w:r>
      <w:r>
        <w:rPr>
          <w:rFonts w:eastAsia="Times New Roman"/>
          <w:color w:val="000000"/>
          <w:sz w:val="20"/>
          <w:szCs w:val="20"/>
        </w:rPr>
        <w:t xml:space="preserve"> were $343 million in the 2021 three-month period compared to $299 million in the prior-year period. This $44 million increase largely reflects increased cost of sales attributable to natural gas ($40 million) and renewable energy ($9 million) marketing ac</w:t>
      </w:r>
      <w:r>
        <w:rPr>
          <w:rFonts w:eastAsia="Times New Roman"/>
          <w:color w:val="000000"/>
          <w:sz w:val="20"/>
          <w:szCs w:val="20"/>
        </w:rPr>
        <w:t>tivities, partially offset by the absence of costs attributable to HVAC and Conemaugh ($7 million). The significant increases in both natural gas revenues and cost of sales during the 2021 three-month period are largely attributable to higher average natur</w:t>
      </w:r>
      <w:r>
        <w:rPr>
          <w:rFonts w:eastAsia="Times New Roman"/>
          <w:color w:val="000000"/>
          <w:sz w:val="20"/>
          <w:szCs w:val="20"/>
        </w:rPr>
        <w:t xml:space="preserve">al gas prices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Midstream &amp; Marketing total margin increased $18 million in the 2021 three-month period reflecting higher margin from natural gas ($10 million) and renewable energy ($6 million) marketing activities, impr</w:t>
      </w:r>
      <w:r>
        <w:rPr>
          <w:rFonts w:eastAsia="Times New Roman"/>
          <w:color w:val="000000"/>
          <w:sz w:val="20"/>
          <w:szCs w:val="20"/>
        </w:rPr>
        <w:t>oved capacity management margin ($6 million), and higher margin from natural gas gathering activities ($4 million). These margin improvements include the impact of acquisitions and new assets placed into service since March 31, 2020, and were partially off</w:t>
      </w:r>
      <w:r>
        <w:rPr>
          <w:rFonts w:eastAsia="Times New Roman"/>
          <w:color w:val="000000"/>
          <w:sz w:val="20"/>
          <w:szCs w:val="20"/>
        </w:rPr>
        <w:t xml:space="preserve">set by the absence of margins attributable to HVAC and Conemaugh ($7 million) in 2021 three-month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Midstream &amp; Marketing operating income and earnings before interest expense and income taxes during the 2021 three-month period increased $19 milli</w:t>
      </w:r>
      <w:r>
        <w:rPr>
          <w:rFonts w:eastAsia="Times New Roman"/>
          <w:color w:val="000000"/>
          <w:sz w:val="20"/>
          <w:szCs w:val="20"/>
        </w:rPr>
        <w:t>on and $21 million, respectively, compared to the prior-year period. The increase in operating income principally reflects the increase in total margin and lower operating and administrative expenses ($6 million) compared to the prior-year period, partiall</w:t>
      </w:r>
      <w:r>
        <w:rPr>
          <w:rFonts w:eastAsia="Times New Roman"/>
          <w:color w:val="000000"/>
          <w:sz w:val="20"/>
          <w:szCs w:val="20"/>
        </w:rPr>
        <w:t xml:space="preserve">y offset by an adjustment to the contingent consideration related to the GHI acquisition ($4 million). The decrease in operating and administrative expenses was largely related to the absence of the previously mentioned divested assets partially offset by </w:t>
      </w:r>
      <w:r>
        <w:rPr>
          <w:rFonts w:eastAsia="Times New Roman"/>
          <w:color w:val="000000"/>
          <w:sz w:val="20"/>
          <w:szCs w:val="20"/>
        </w:rPr>
        <w:t xml:space="preserve">increases related to acquisitions and new assets placed into service. The increase in earnings before </w:t>
      </w:r>
    </w:p>
    <w:p w:rsidR="00000000" w:rsidRDefault="003F1733">
      <w:pPr>
        <w:jc w:val="center"/>
        <w:divId w:val="110786643"/>
        <w:rPr>
          <w:rFonts w:eastAsia="Times New Roman"/>
        </w:rPr>
      </w:pPr>
      <w:r>
        <w:rPr>
          <w:rFonts w:eastAsia="Times New Roman"/>
          <w:color w:val="000000"/>
          <w:sz w:val="20"/>
          <w:szCs w:val="20"/>
        </w:rPr>
        <w:t>41</w:t>
      </w:r>
    </w:p>
    <w:p w:rsidR="00000000" w:rsidRDefault="003F1733">
      <w:pPr>
        <w:rPr>
          <w:rFonts w:eastAsia="Times New Roman"/>
        </w:rPr>
      </w:pPr>
      <w:r>
        <w:rPr>
          <w:rFonts w:eastAsia="Times New Roman"/>
        </w:rPr>
        <w:pict>
          <v:rect id="_x0000_i1067" style="width:0;height:1.5pt" o:hralign="center" o:hrstd="t" o:hr="t" fillcolor="#a0a0a0" stroked="f"/>
        </w:pict>
      </w:r>
    </w:p>
    <w:p w:rsidR="00000000" w:rsidRDefault="003F1733">
      <w:pPr>
        <w:divId w:val="2058122043"/>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448039833"/>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inter</w:t>
      </w:r>
      <w:r>
        <w:rPr>
          <w:rFonts w:eastAsia="Times New Roman"/>
          <w:color w:val="000000"/>
          <w:sz w:val="20"/>
          <w:szCs w:val="20"/>
        </w:rPr>
        <w:t xml:space="preserve">est expense and income taxes reflects the increase in operating income and incremental equity method earnings related to the investment in Pine Run. </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UGI Utilities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061"/>
        <w:gridCol w:w="38"/>
        <w:gridCol w:w="36"/>
        <w:gridCol w:w="36"/>
        <w:gridCol w:w="36"/>
        <w:gridCol w:w="120"/>
        <w:gridCol w:w="718"/>
        <w:gridCol w:w="187"/>
        <w:gridCol w:w="36"/>
        <w:gridCol w:w="36"/>
        <w:gridCol w:w="36"/>
        <w:gridCol w:w="121"/>
        <w:gridCol w:w="730"/>
        <w:gridCol w:w="187"/>
        <w:gridCol w:w="36"/>
        <w:gridCol w:w="36"/>
        <w:gridCol w:w="36"/>
        <w:gridCol w:w="120"/>
        <w:gridCol w:w="672"/>
        <w:gridCol w:w="36"/>
        <w:gridCol w:w="36"/>
        <w:gridCol w:w="36"/>
        <w:gridCol w:w="36"/>
        <w:gridCol w:w="37"/>
        <w:gridCol w:w="596"/>
        <w:gridCol w:w="187"/>
      </w:tblGrid>
      <w:tr w:rsidR="00000000">
        <w:trPr>
          <w:divId w:val="367070004"/>
          <w:jc w:val="center"/>
        </w:trPr>
        <w:tc>
          <w:tcPr>
            <w:tcW w:w="50" w:type="pct"/>
            <w:vAlign w:val="center"/>
            <w:hideMark/>
          </w:tcPr>
          <w:p w:rsidR="00000000" w:rsidRDefault="003F1733">
            <w:pPr>
              <w:jc w:val="both"/>
              <w:rPr>
                <w:rFonts w:eastAsia="Times New Roman"/>
              </w:rPr>
            </w:pPr>
          </w:p>
        </w:tc>
        <w:tc>
          <w:tcPr>
            <w:tcW w:w="252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0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367070004"/>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367070004"/>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Increase</w:t>
            </w:r>
          </w:p>
        </w:tc>
      </w:tr>
      <w:tr w:rsidR="00000000">
        <w:trPr>
          <w:divId w:val="367070004"/>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367070004"/>
          <w:jc w:val="center"/>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442 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367070004"/>
          <w:jc w:val="center"/>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367070004"/>
          <w:jc w:val="center"/>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367070004"/>
          <w:jc w:val="center"/>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367070004"/>
          <w:jc w:val="center"/>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367070004"/>
          <w:jc w:val="center"/>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Gas Utility system throughput—bcf</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367070004"/>
          <w:jc w:val="center"/>
        </w:trPr>
        <w:tc>
          <w:tcPr>
            <w:tcW w:w="0" w:type="auto"/>
            <w:gridSpan w:val="3"/>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Core market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367070004"/>
          <w:jc w:val="center"/>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367070004"/>
          <w:jc w:val="center"/>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367070004"/>
          <w:jc w:val="center"/>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Gas Utility heating degree days—% warmer than normal (b)</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ind w:hanging="360"/>
        <w:jc w:val="both"/>
        <w:rPr>
          <w:rFonts w:eastAsia="Times New Roman"/>
        </w:rPr>
      </w:pPr>
      <w:r>
        <w:rPr>
          <w:rFonts w:eastAsia="Times New Roman"/>
          <w:color w:val="000000"/>
          <w:sz w:val="20"/>
          <w:szCs w:val="20"/>
        </w:rPr>
        <w:t>(a)Total margin represents revenues less cost of sales and revenue-related taxes (i.e., Electric Utility gross receipts taxes) of $2 million and $1 million during the 2021 and 2020 three-month periods, respectively. For financial stat</w:t>
      </w:r>
      <w:r>
        <w:rPr>
          <w:rFonts w:eastAsia="Times New Roman"/>
          <w:color w:val="000000"/>
          <w:sz w:val="20"/>
          <w:szCs w:val="20"/>
        </w:rPr>
        <w:t>ement purposes, revenue-related taxes are included in “Operating and administrative expenses” on the Condensed Consolidated Statements of Income (but are excluded from operating and administrative expenses presented above).</w:t>
      </w:r>
    </w:p>
    <w:p w:rsidR="00000000" w:rsidRDefault="003F1733">
      <w:pPr>
        <w:ind w:hanging="360"/>
        <w:jc w:val="both"/>
        <w:rPr>
          <w:rFonts w:eastAsia="Times New Roman"/>
        </w:rPr>
      </w:pPr>
      <w:r>
        <w:rPr>
          <w:rFonts w:eastAsia="Times New Roman"/>
          <w:color w:val="000000"/>
          <w:sz w:val="20"/>
          <w:szCs w:val="20"/>
        </w:rPr>
        <w:t>(b)Beginning in Fiscal 2021, dev</w:t>
      </w:r>
      <w:r>
        <w:rPr>
          <w:rFonts w:eastAsia="Times New Roman"/>
          <w:color w:val="000000"/>
          <w:sz w:val="20"/>
          <w:szCs w:val="20"/>
        </w:rPr>
        <w:t>iation from average heating degree days is determined on a rolling 10-year period utilizing volume-weighted weather data based on weather statistics provided by NOAA for airports located within Gas Utility’s service territory. Prior-period amounts have bee</w:t>
      </w:r>
      <w:r>
        <w:rPr>
          <w:rFonts w:eastAsia="Times New Roman"/>
          <w:color w:val="000000"/>
          <w:sz w:val="20"/>
          <w:szCs w:val="20"/>
        </w:rPr>
        <w:t xml:space="preserve">n restated to conform to the current-period presentation. </w:t>
      </w:r>
    </w:p>
    <w:p w:rsidR="00000000" w:rsidRDefault="003F1733">
      <w:pPr>
        <w:jc w:val="both"/>
        <w:rPr>
          <w:rFonts w:eastAsia="Times New Roman"/>
        </w:rPr>
      </w:pPr>
    </w:p>
    <w:p w:rsidR="00000000" w:rsidRDefault="003F1733">
      <w:pPr>
        <w:jc w:val="both"/>
        <w:divId w:val="1675956246"/>
        <w:rPr>
          <w:rFonts w:eastAsia="Times New Roman"/>
        </w:rPr>
      </w:pPr>
      <w:r>
        <w:rPr>
          <w:rFonts w:eastAsia="Times New Roman"/>
          <w:color w:val="000000"/>
          <w:sz w:val="20"/>
          <w:szCs w:val="20"/>
        </w:rPr>
        <w:t>Temperatures in Gas Utility’s service territory during the 2021 three-month period were 8.1% warmer than normal but 13.3% colder than the prior-year period. Gas Utility core market volumes increa</w:t>
      </w:r>
      <w:r>
        <w:rPr>
          <w:rFonts w:eastAsia="Times New Roman"/>
          <w:color w:val="000000"/>
          <w:sz w:val="20"/>
          <w:szCs w:val="20"/>
        </w:rPr>
        <w:t>sed 15% (5 bcf) during the 2021 three-month period primarily attributable to the effects of colder weather compared with the prior-year period and growth in the number of core market customers. Total Gas Utility distribution system throughput increased dur</w:t>
      </w:r>
      <w:r>
        <w:rPr>
          <w:rFonts w:eastAsia="Times New Roman"/>
          <w:color w:val="000000"/>
          <w:sz w:val="20"/>
          <w:szCs w:val="20"/>
        </w:rPr>
        <w:t>ing the 2021 three-month period (2 bcf) reflecting the increased core market volumes and higher large firm delivery service volumes, partially offset by a decrease in interruptible delivery service volumes. Electric Utility distribution sales volumes incre</w:t>
      </w:r>
      <w:r>
        <w:rPr>
          <w:rFonts w:eastAsia="Times New Roman"/>
          <w:color w:val="000000"/>
          <w:sz w:val="20"/>
          <w:szCs w:val="20"/>
        </w:rPr>
        <w:t xml:space="preserve">ased during the 2021 three-month period largely related to the colder weather compared to the prior-year period. </w:t>
      </w:r>
    </w:p>
    <w:p w:rsidR="00000000" w:rsidRDefault="003F1733">
      <w:pPr>
        <w:jc w:val="both"/>
        <w:rPr>
          <w:rFonts w:eastAsia="Times New Roman"/>
        </w:rPr>
      </w:pPr>
      <w:r>
        <w:rPr>
          <w:rFonts w:eastAsia="Times New Roman"/>
          <w:color w:val="000000"/>
          <w:sz w:val="20"/>
          <w:szCs w:val="20"/>
        </w:rPr>
        <w:t>UGI Utilities revenues increased $49 million in the 2021 three-month period reflecting a $47 million increase in Gas Utility revenues and a sl</w:t>
      </w:r>
      <w:r>
        <w:rPr>
          <w:rFonts w:eastAsia="Times New Roman"/>
          <w:color w:val="000000"/>
          <w:sz w:val="20"/>
          <w:szCs w:val="20"/>
        </w:rPr>
        <w:t>ight increase in Electric Utility revenues. The increase in Gas Utility revenues principally reflects higher core market revenues ($35 million) attributable to the increase in base rates that went into effect on January 1, 2021 and the higher core market v</w:t>
      </w:r>
      <w:r>
        <w:rPr>
          <w:rFonts w:eastAsia="Times New Roman"/>
          <w:color w:val="000000"/>
          <w:sz w:val="20"/>
          <w:szCs w:val="20"/>
        </w:rPr>
        <w:t xml:space="preserve">olumes. The increase in Electric Utility revenues during the 2021 three-month period reflects the increase in sales volumes and slightly higher DS rates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Utilities cost of sales was $202 million in the 2021 three-month period compared with $185 million in the prior-year period. The increase is largely attributable to higher Gas Utility cost of sales ($16 million) which reflects the effects of the increa</w:t>
      </w:r>
      <w:r>
        <w:rPr>
          <w:rFonts w:eastAsia="Times New Roman"/>
          <w:color w:val="000000"/>
          <w:sz w:val="20"/>
          <w:szCs w:val="20"/>
        </w:rPr>
        <w:t xml:space="preserve">sed core market volumes partially offset by lower PGC rates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Utilities total margin increased $31 million during the 2021 three-month period primarily reflecting higher margin from Gas Utility ($30 million). This in</w:t>
      </w:r>
      <w:r>
        <w:rPr>
          <w:rFonts w:eastAsia="Times New Roman"/>
          <w:color w:val="000000"/>
          <w:sz w:val="20"/>
          <w:szCs w:val="20"/>
        </w:rPr>
        <w:t>crease largely reflects higher margin from core market customers ($26 million) primarily attributable to the previously mentioned increase in core market volumes and the increase in base rates that went into effect on January 1, 2021. Customer growth and i</w:t>
      </w:r>
      <w:r>
        <w:rPr>
          <w:rFonts w:eastAsia="Times New Roman"/>
          <w:color w:val="000000"/>
          <w:sz w:val="20"/>
          <w:szCs w:val="20"/>
        </w:rPr>
        <w:t xml:space="preserve">ncreased sales volumes related to large firm delivery service ($3 million) compared to the prior-year period also contributed to the increase.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Utilities operating income and earnings before interest expense and income taxes both increased $26 millio</w:t>
      </w:r>
      <w:r>
        <w:rPr>
          <w:rFonts w:eastAsia="Times New Roman"/>
          <w:color w:val="000000"/>
          <w:sz w:val="20"/>
          <w:szCs w:val="20"/>
        </w:rPr>
        <w:t xml:space="preserve">n during the 2021 three-month period. These improvements reflect the previously mentioned increase in total margin partially offset by higher depreciation expense ($3 million) and slightly higher operating and administrative expenses ($1 million) compared </w:t>
      </w:r>
      <w:r>
        <w:rPr>
          <w:rFonts w:eastAsia="Times New Roman"/>
          <w:color w:val="000000"/>
          <w:sz w:val="20"/>
          <w:szCs w:val="20"/>
        </w:rPr>
        <w:t>to the prior-year period. The increase in depreciation expense relates to continued distribution system and IT capital expenditure activity. The slight increase in operating and administrative expenses reflect, among other things, higher allocation of corp</w:t>
      </w:r>
      <w:r>
        <w:rPr>
          <w:rFonts w:eastAsia="Times New Roman"/>
          <w:color w:val="000000"/>
          <w:sz w:val="20"/>
          <w:szCs w:val="20"/>
        </w:rPr>
        <w:t>orate expenses partially offset by lower professional services costs compared to the prior-year period.</w:t>
      </w:r>
    </w:p>
    <w:p w:rsidR="00000000" w:rsidRDefault="003F1733">
      <w:pPr>
        <w:jc w:val="both"/>
        <w:rPr>
          <w:rFonts w:eastAsia="Times New Roman"/>
        </w:rPr>
      </w:pPr>
    </w:p>
    <w:p w:rsidR="00000000" w:rsidRDefault="003F1733">
      <w:pPr>
        <w:jc w:val="center"/>
        <w:divId w:val="545071040"/>
        <w:rPr>
          <w:rFonts w:eastAsia="Times New Roman"/>
        </w:rPr>
      </w:pPr>
      <w:r>
        <w:rPr>
          <w:rFonts w:eastAsia="Times New Roman"/>
          <w:color w:val="000000"/>
          <w:sz w:val="20"/>
          <w:szCs w:val="20"/>
        </w:rPr>
        <w:t>42</w:t>
      </w:r>
    </w:p>
    <w:p w:rsidR="00000000" w:rsidRDefault="003F1733">
      <w:pPr>
        <w:rPr>
          <w:rFonts w:eastAsia="Times New Roman"/>
        </w:rPr>
      </w:pPr>
      <w:r>
        <w:rPr>
          <w:rFonts w:eastAsia="Times New Roman"/>
        </w:rPr>
        <w:pict>
          <v:rect id="_x0000_i1068" style="width:0;height:1.5pt" o:hralign="center" o:hrstd="t" o:hr="t" fillcolor="#a0a0a0" stroked="f"/>
        </w:pict>
      </w:r>
    </w:p>
    <w:p w:rsidR="00000000" w:rsidRDefault="003F1733">
      <w:pPr>
        <w:divId w:val="205263312"/>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746369485"/>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b/>
          <w:bCs/>
          <w:i/>
          <w:iCs/>
          <w:color w:val="000000"/>
          <w:sz w:val="20"/>
          <w:szCs w:val="20"/>
        </w:rPr>
        <w:t>I</w:t>
      </w:r>
      <w:r>
        <w:rPr>
          <w:rFonts w:eastAsia="Times New Roman"/>
          <w:b/>
          <w:bCs/>
          <w:i/>
          <w:iCs/>
          <w:color w:val="000000"/>
          <w:sz w:val="20"/>
          <w:szCs w:val="20"/>
        </w:rPr>
        <w:t>nterest Expense and Income Taxes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Our consolidated interest expense during the 2021 three-month period was $78 million, compared to $83 million during the 2020 three-month period. The decrease in interest expense principally reflects lower average short-t</w:t>
      </w:r>
      <w:r>
        <w:rPr>
          <w:rFonts w:eastAsia="Times New Roman"/>
          <w:color w:val="000000"/>
          <w:sz w:val="20"/>
          <w:szCs w:val="20"/>
        </w:rPr>
        <w:t xml:space="preserve">erm borrowings outstanding compared to the prior-year period. </w:t>
      </w:r>
    </w:p>
    <w:p w:rsidR="00000000" w:rsidRDefault="003F1733">
      <w:pPr>
        <w:jc w:val="both"/>
        <w:rPr>
          <w:rFonts w:eastAsia="Times New Roman"/>
        </w:rPr>
      </w:pPr>
    </w:p>
    <w:p w:rsidR="00000000" w:rsidRDefault="003F1733">
      <w:pPr>
        <w:jc w:val="both"/>
        <w:divId w:val="571047611"/>
        <w:rPr>
          <w:rFonts w:eastAsia="Times New Roman"/>
        </w:rPr>
      </w:pPr>
      <w:r>
        <w:rPr>
          <w:rFonts w:eastAsia="Times New Roman"/>
          <w:color w:val="000000"/>
          <w:sz w:val="20"/>
          <w:szCs w:val="20"/>
        </w:rPr>
        <w:t>The lower effective income tax rate for the 2021 three-month period is largely attributable to higher discrete benefits compared to the prior-year period. This positive impact was largely rel</w:t>
      </w:r>
      <w:r>
        <w:rPr>
          <w:rFonts w:eastAsia="Times New Roman"/>
          <w:color w:val="000000"/>
          <w:sz w:val="20"/>
          <w:szCs w:val="20"/>
        </w:rPr>
        <w:t>ated to an election made available under a tax law change in Italy which allowed the Company to step up its tax basis on certain assets in exchange for paying a three percent substitute tax in connection with such election. This resulted in a $23 million n</w:t>
      </w:r>
      <w:r>
        <w:rPr>
          <w:rFonts w:eastAsia="Times New Roman"/>
          <w:color w:val="000000"/>
          <w:sz w:val="20"/>
          <w:szCs w:val="20"/>
        </w:rPr>
        <w:t>et benefit in the current period resulting in incremental tax basis that will be deductible in future periods. Also contributing to the decreased effective rate was lower U.S. tax on foreign source income including the effects of regulations issued in July</w:t>
      </w:r>
      <w:r>
        <w:rPr>
          <w:rFonts w:eastAsia="Times New Roman"/>
          <w:color w:val="000000"/>
          <w:sz w:val="20"/>
          <w:szCs w:val="20"/>
        </w:rPr>
        <w:t xml:space="preserve"> 2020 related to the high-tax exception on GILTI income. These reductions were partially offset by a lower NOL carryback benefit under the CARES Act compared to the prior-year period. </w:t>
      </w:r>
    </w:p>
    <w:p w:rsidR="00000000" w:rsidRDefault="003F1733">
      <w:pPr>
        <w:jc w:val="both"/>
        <w:divId w:val="115026607"/>
        <w:rPr>
          <w:rFonts w:eastAsia="Times New Roman"/>
        </w:rPr>
      </w:pPr>
      <w:r>
        <w:rPr>
          <w:rFonts w:eastAsia="Times New Roman"/>
          <w:color w:val="000000"/>
          <w:sz w:val="20"/>
          <w:szCs w:val="20"/>
        </w:rPr>
        <w:t>The Company continues to evaluate the elections available under current</w:t>
      </w:r>
      <w:r>
        <w:rPr>
          <w:rFonts w:eastAsia="Times New Roman"/>
          <w:color w:val="000000"/>
          <w:sz w:val="20"/>
          <w:szCs w:val="20"/>
        </w:rPr>
        <w:t xml:space="preserve"> regulations, recent government stimulus efforts including the anticipated benefits mentioned above related to the election made in connection with the tax law change in Italy, the modified GILTI provisions, and the CARES Act. Accordingly, the impacts on t</w:t>
      </w:r>
      <w:r>
        <w:rPr>
          <w:rFonts w:eastAsia="Times New Roman"/>
          <w:color w:val="000000"/>
          <w:sz w:val="20"/>
          <w:szCs w:val="20"/>
        </w:rPr>
        <w:t>he Company’s income tax provisions and taxes payable or refundable related to these items are subject to change.</w:t>
      </w:r>
    </w:p>
    <w:p w:rsidR="00000000" w:rsidRDefault="003F1733">
      <w:pPr>
        <w:divId w:val="134688317"/>
        <w:rPr>
          <w:rFonts w:eastAsia="Times New Roman"/>
        </w:rPr>
      </w:pPr>
      <w:r>
        <w:rPr>
          <w:rFonts w:eastAsia="Times New Roman"/>
          <w:b/>
          <w:bCs/>
          <w:color w:val="000000"/>
          <w:sz w:val="20"/>
          <w:szCs w:val="20"/>
        </w:rPr>
        <w:t>2021 Six-Month Period Compared with the 2020 Six-Month Period</w:t>
      </w:r>
    </w:p>
    <w:p w:rsidR="00000000" w:rsidRDefault="003F1733">
      <w:pPr>
        <w:divId w:val="1904440238"/>
        <w:rPr>
          <w:rFonts w:eastAsia="Times New Roman"/>
        </w:rPr>
      </w:pPr>
      <w:r>
        <w:rPr>
          <w:rFonts w:eastAsia="Times New Roman"/>
          <w:b/>
          <w:bCs/>
          <w:i/>
          <w:iCs/>
          <w:color w:val="000000"/>
          <w:sz w:val="20"/>
          <w:szCs w:val="20"/>
        </w:rPr>
        <w:t>AmeriGas Propane</w:t>
      </w:r>
    </w:p>
    <w:tbl>
      <w:tblPr>
        <w:tblW w:w="4992" w:type="pct"/>
        <w:tblCellMar>
          <w:top w:w="15" w:type="dxa"/>
          <w:left w:w="15" w:type="dxa"/>
          <w:bottom w:w="15" w:type="dxa"/>
          <w:right w:w="15" w:type="dxa"/>
        </w:tblCellMar>
        <w:tblLook w:val="04A0" w:firstRow="1" w:lastRow="0" w:firstColumn="1" w:lastColumn="0" w:noHBand="0" w:noVBand="1"/>
      </w:tblPr>
      <w:tblGrid>
        <w:gridCol w:w="40"/>
        <w:gridCol w:w="3731"/>
        <w:gridCol w:w="39"/>
        <w:gridCol w:w="36"/>
        <w:gridCol w:w="36"/>
        <w:gridCol w:w="36"/>
        <w:gridCol w:w="120"/>
        <w:gridCol w:w="802"/>
        <w:gridCol w:w="187"/>
        <w:gridCol w:w="36"/>
        <w:gridCol w:w="36"/>
        <w:gridCol w:w="36"/>
        <w:gridCol w:w="120"/>
        <w:gridCol w:w="802"/>
        <w:gridCol w:w="187"/>
        <w:gridCol w:w="36"/>
        <w:gridCol w:w="36"/>
        <w:gridCol w:w="36"/>
        <w:gridCol w:w="121"/>
        <w:gridCol w:w="682"/>
        <w:gridCol w:w="37"/>
        <w:gridCol w:w="37"/>
        <w:gridCol w:w="37"/>
        <w:gridCol w:w="36"/>
        <w:gridCol w:w="36"/>
        <w:gridCol w:w="768"/>
        <w:gridCol w:w="187"/>
      </w:tblGrid>
      <w:tr w:rsidR="00000000">
        <w:tc>
          <w:tcPr>
            <w:tcW w:w="50" w:type="pct"/>
            <w:vAlign w:val="center"/>
            <w:hideMark/>
          </w:tcPr>
          <w:p w:rsidR="00000000" w:rsidRDefault="003F1733">
            <w:pPr>
              <w:rPr>
                <w:rFonts w:eastAsia="Times New Roman"/>
              </w:rPr>
            </w:pPr>
          </w:p>
        </w:tc>
        <w:tc>
          <w:tcPr>
            <w:tcW w:w="232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0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 the six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1,606 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1,532 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903 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918 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454 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income/earnings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631 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Heating degree days—% warmer than normal (b)</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3F1733">
      <w:pPr>
        <w:ind w:hanging="360"/>
        <w:jc w:val="both"/>
        <w:rPr>
          <w:rFonts w:eastAsia="Times New Roman"/>
        </w:rPr>
      </w:pPr>
      <w:r>
        <w:rPr>
          <w:rFonts w:eastAsia="Times New Roman"/>
          <w:color w:val="000000"/>
          <w:sz w:val="20"/>
          <w:szCs w:val="20"/>
        </w:rPr>
        <w:t>(b)Beginning in Fiscal 2021, deviation from average heating</w:t>
      </w:r>
      <w:r>
        <w:rPr>
          <w:rFonts w:eastAsia="Times New Roman"/>
          <w:color w:val="000000"/>
          <w:sz w:val="20"/>
          <w:szCs w:val="20"/>
        </w:rPr>
        <w:t xml:space="preserve"> degree days is determined on a rolling 10-year period utilizing volume-weighted weather data based on weather statistics provided by NOAA for 344 regions in the United States, excluding Alaska and Hawaii. Prior-period amounts have been restated to conform</w:t>
      </w:r>
      <w:r>
        <w:rPr>
          <w:rFonts w:eastAsia="Times New Roman"/>
          <w:color w:val="000000"/>
          <w:sz w:val="20"/>
          <w:szCs w:val="20"/>
        </w:rPr>
        <w:t xml:space="preserve"> to the current-period presentation.</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Average temperatures during the 2021 six-month period were 3.3% warmer than normal and relatively consistent with the prior-year period (0.7% colder). Total retail gallons sold during the 2021 six-month period were 2%</w:t>
      </w:r>
      <w:r>
        <w:rPr>
          <w:rFonts w:eastAsia="Times New Roman"/>
          <w:color w:val="000000"/>
          <w:sz w:val="20"/>
          <w:szCs w:val="20"/>
        </w:rPr>
        <w:t xml:space="preserve"> lower than the prior-year period principally reflecting structural conservation and other residual volume loss and the continued impact of COVID-19 on commercial and motor fuel volumes. These decreases were partially offset by higher resale and cylinder e</w:t>
      </w:r>
      <w:r>
        <w:rPr>
          <w:rFonts w:eastAsia="Times New Roman"/>
          <w:color w:val="000000"/>
          <w:sz w:val="20"/>
          <w:szCs w:val="20"/>
        </w:rPr>
        <w:t>xchange volumes attributable to growth and pandemic-related usage.</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Total revenues increased $74 million during the 2021 six-month period largely reflecting higher average propane selling prices ($104 million) partially offset by the lower retail propane </w:t>
      </w:r>
      <w:r>
        <w:rPr>
          <w:rFonts w:eastAsia="Times New Roman"/>
          <w:color w:val="000000"/>
          <w:sz w:val="20"/>
          <w:szCs w:val="20"/>
        </w:rPr>
        <w:t>volumes ($27 million) compared to the prior-year period. Average daily wholesale propane commodity prices during the 2021 six-month period at Mont Belvieu, Texas, one of the major supply points in the U.S., were approximately 70% higher than such prices du</w:t>
      </w:r>
      <w:r>
        <w:rPr>
          <w:rFonts w:eastAsia="Times New Roman"/>
          <w:color w:val="000000"/>
          <w:sz w:val="20"/>
          <w:szCs w:val="20"/>
        </w:rPr>
        <w:t xml:space="preserve">ring the 2020 six-month period. Total cost of sales increased $89 million during the 2021 six-month period principally reflecting the higher average propane product costs ($96 million) partially offset by the lower retail propane volumes ($11 million).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AmeriGas Propane total margin decreased $15 million in the 2021 six-month period largely attributable to the lower retail propane volumes ($16 million) and decreased non-propane margin ($6 million) principally reflecting lower fees and services partially o</w:t>
      </w:r>
      <w:r>
        <w:rPr>
          <w:rFonts w:eastAsia="Times New Roman"/>
          <w:color w:val="000000"/>
          <w:sz w:val="20"/>
          <w:szCs w:val="20"/>
        </w:rPr>
        <w:t xml:space="preserve">ffset by increased cylinder sales. The effects of these decreases were partially offset by slight improvements in average retail propane unit margins ($8 million) compared to the prior-year period due to effective margin management efforts.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Operating in</w:t>
      </w:r>
      <w:r>
        <w:rPr>
          <w:rFonts w:eastAsia="Times New Roman"/>
          <w:color w:val="000000"/>
          <w:sz w:val="20"/>
          <w:szCs w:val="20"/>
        </w:rPr>
        <w:t>come and earnings before interest expense and income taxes increased $9 million during the 2021 six-month period reflecting lower operating and administrative expenses ($17 million) compared to the prior-year period and gains on the early settlement of cer</w:t>
      </w:r>
      <w:r>
        <w:rPr>
          <w:rFonts w:eastAsia="Times New Roman"/>
          <w:color w:val="000000"/>
          <w:sz w:val="20"/>
          <w:szCs w:val="20"/>
        </w:rPr>
        <w:t xml:space="preserve">tain commodity derivative instruments ($5 million) during the 2021 six-month period. These positive impacts </w:t>
      </w:r>
    </w:p>
    <w:p w:rsidR="00000000" w:rsidRDefault="003F1733">
      <w:pPr>
        <w:jc w:val="center"/>
        <w:divId w:val="256014036"/>
        <w:rPr>
          <w:rFonts w:eastAsia="Times New Roman"/>
        </w:rPr>
      </w:pPr>
      <w:r>
        <w:rPr>
          <w:rFonts w:eastAsia="Times New Roman"/>
          <w:color w:val="000000"/>
          <w:sz w:val="20"/>
          <w:szCs w:val="20"/>
        </w:rPr>
        <w:t>43</w:t>
      </w:r>
    </w:p>
    <w:p w:rsidR="00000000" w:rsidRDefault="003F1733">
      <w:pPr>
        <w:rPr>
          <w:rFonts w:eastAsia="Times New Roman"/>
        </w:rPr>
      </w:pPr>
      <w:r>
        <w:rPr>
          <w:rFonts w:eastAsia="Times New Roman"/>
        </w:rPr>
        <w:pict>
          <v:rect id="_x0000_i1069" style="width:0;height:1.5pt" o:hralign="center" o:hrstd="t" o:hr="t" fillcolor="#a0a0a0" stroked="f"/>
        </w:pict>
      </w:r>
    </w:p>
    <w:p w:rsidR="00000000" w:rsidRDefault="003F1733">
      <w:pPr>
        <w:divId w:val="364989178"/>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960598850"/>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were partially offset by the previously mentioned decrease in total margin ($15 million). The decrease in operating and administrative expenses in the 2021 six-month period reflects, among other things, lower employee compe</w:t>
      </w:r>
      <w:r>
        <w:rPr>
          <w:rFonts w:eastAsia="Times New Roman"/>
          <w:color w:val="000000"/>
          <w:sz w:val="20"/>
          <w:szCs w:val="20"/>
        </w:rPr>
        <w:t>nsation and benefits-related costs ($8 million), decreased vehicle and equipment operating and maintenance expenses ($7 million), lower general insurance costs ($8 million), and lower employee travel expenses ($3 million). These decreases were partially of</w:t>
      </w:r>
      <w:r>
        <w:rPr>
          <w:rFonts w:eastAsia="Times New Roman"/>
          <w:color w:val="000000"/>
          <w:sz w:val="20"/>
          <w:szCs w:val="20"/>
        </w:rPr>
        <w:t>fset by increased advertising expenses ($3 million), higher allocated corporate costs ($2 million), and higher telecommunications expenses ($2 million) compared to the prior-year period. The lower operating and administrative expenses reflect the partial b</w:t>
      </w:r>
      <w:r>
        <w:rPr>
          <w:rFonts w:eastAsia="Times New Roman"/>
          <w:color w:val="000000"/>
          <w:sz w:val="20"/>
          <w:szCs w:val="20"/>
        </w:rPr>
        <w:t>enefits related to the previously mentioned ongoing business transformation initiatives.</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UGI International</w:t>
      </w:r>
    </w:p>
    <w:tbl>
      <w:tblPr>
        <w:tblW w:w="5000" w:type="pct"/>
        <w:tblCellMar>
          <w:top w:w="15" w:type="dxa"/>
          <w:left w:w="15" w:type="dxa"/>
          <w:bottom w:w="15" w:type="dxa"/>
          <w:right w:w="15" w:type="dxa"/>
        </w:tblCellMar>
        <w:tblLook w:val="04A0" w:firstRow="1" w:lastRow="0" w:firstColumn="1" w:lastColumn="0" w:noHBand="0" w:noVBand="1"/>
      </w:tblPr>
      <w:tblGrid>
        <w:gridCol w:w="39"/>
        <w:gridCol w:w="3953"/>
        <w:gridCol w:w="38"/>
        <w:gridCol w:w="36"/>
        <w:gridCol w:w="36"/>
        <w:gridCol w:w="36"/>
        <w:gridCol w:w="120"/>
        <w:gridCol w:w="804"/>
        <w:gridCol w:w="187"/>
        <w:gridCol w:w="36"/>
        <w:gridCol w:w="36"/>
        <w:gridCol w:w="36"/>
        <w:gridCol w:w="120"/>
        <w:gridCol w:w="804"/>
        <w:gridCol w:w="187"/>
        <w:gridCol w:w="36"/>
        <w:gridCol w:w="36"/>
        <w:gridCol w:w="36"/>
        <w:gridCol w:w="120"/>
        <w:gridCol w:w="658"/>
        <w:gridCol w:w="36"/>
        <w:gridCol w:w="36"/>
        <w:gridCol w:w="36"/>
        <w:gridCol w:w="36"/>
        <w:gridCol w:w="37"/>
        <w:gridCol w:w="584"/>
        <w:gridCol w:w="187"/>
      </w:tblGrid>
      <w:tr w:rsidR="00000000">
        <w:trPr>
          <w:divId w:val="1798178872"/>
        </w:trPr>
        <w:tc>
          <w:tcPr>
            <w:tcW w:w="50" w:type="pct"/>
            <w:vAlign w:val="center"/>
            <w:hideMark/>
          </w:tcPr>
          <w:p w:rsidR="00000000" w:rsidRDefault="003F1733">
            <w:pPr>
              <w:jc w:val="both"/>
              <w:rPr>
                <w:rFonts w:eastAsia="Times New Roman"/>
              </w:rPr>
            </w:pPr>
          </w:p>
        </w:tc>
        <w:tc>
          <w:tcPr>
            <w:tcW w:w="245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9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7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798178872"/>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 the six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Increase</w:t>
            </w:r>
          </w:p>
        </w:tc>
      </w:tr>
      <w:tr w:rsidR="00000000">
        <w:trPr>
          <w:divId w:val="179817887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798178872"/>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1,534 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1,355 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798178872"/>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660 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571 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798178872"/>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798178872"/>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282 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798178872"/>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285 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798178872"/>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798178872"/>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Heating degree days—% warmer than normal (b)</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ind w:hanging="360"/>
        <w:jc w:val="both"/>
        <w:rPr>
          <w:rFonts w:eastAsia="Times New Roman"/>
        </w:rPr>
      </w:pPr>
      <w:r>
        <w:rPr>
          <w:rFonts w:eastAsia="Times New Roman"/>
          <w:color w:val="000000"/>
          <w:sz w:val="20"/>
          <w:szCs w:val="20"/>
        </w:rPr>
        <w:t>(a)Total ma</w:t>
      </w:r>
      <w:r>
        <w:rPr>
          <w:rFonts w:eastAsia="Times New Roman"/>
          <w:color w:val="000000"/>
          <w:sz w:val="20"/>
          <w:szCs w:val="20"/>
        </w:rPr>
        <w:t>rgin represents revenues less cost of sales and, in the 2020 six-month period, LPG cylinder filling costs of $14 million. For financial statement purposes, LPG cylinder filling costs in the 2020 six-month period are included in “Operating and administrativ</w:t>
      </w:r>
      <w:r>
        <w:rPr>
          <w:rFonts w:eastAsia="Times New Roman"/>
          <w:color w:val="000000"/>
          <w:sz w:val="20"/>
          <w:szCs w:val="20"/>
        </w:rPr>
        <w:t>e expenses” on the 2020 Condensed Consolidated Statement of Income (but are excluded from operating and administrative expenses presented above). LPG cylinder filling costs are included in “Cost of sales” on the 2021 Condensed Consolidated Statement of Inc</w:t>
      </w:r>
      <w:r>
        <w:rPr>
          <w:rFonts w:eastAsia="Times New Roman"/>
          <w:color w:val="000000"/>
          <w:sz w:val="20"/>
          <w:szCs w:val="20"/>
        </w:rPr>
        <w:t>ome.</w:t>
      </w:r>
    </w:p>
    <w:p w:rsidR="00000000" w:rsidRDefault="003F1733">
      <w:pPr>
        <w:ind w:hanging="360"/>
        <w:jc w:val="both"/>
        <w:rPr>
          <w:rFonts w:eastAsia="Times New Roman"/>
        </w:rPr>
      </w:pPr>
      <w:r>
        <w:rPr>
          <w:rFonts w:eastAsia="Times New Roman"/>
          <w:color w:val="000000"/>
          <w:sz w:val="20"/>
          <w:szCs w:val="20"/>
        </w:rPr>
        <w:t>(b)Beginning in Fiscal 2021, deviation from average heating degree days is determined on a rolling 10-year period utilizing volume-weighted weather data at locations in our UGI International service territories. Prior-period amounts have been restated</w:t>
      </w:r>
      <w:r>
        <w:rPr>
          <w:rFonts w:eastAsia="Times New Roman"/>
          <w:color w:val="000000"/>
          <w:sz w:val="20"/>
          <w:szCs w:val="20"/>
        </w:rPr>
        <w:t xml:space="preserve"> to conform to the current-period presentation.</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Average temperatures during the 2021 six-month period were 2.8% warmer than normal but 8.7% colder than the prior-year period. Total LPG retail gallons sold during the 2021 six-month period increased slight</w:t>
      </w:r>
      <w:r>
        <w:rPr>
          <w:rFonts w:eastAsia="Times New Roman"/>
          <w:color w:val="000000"/>
          <w:sz w:val="20"/>
          <w:szCs w:val="20"/>
        </w:rPr>
        <w:t>ly reflecting the effects of higher bulk volumes attributable to increased heating-related bulk sales related to colder weather, crop drying volumes and higher cylinder volumes compared to the prior-year period. These volume improvements were partially off</w:t>
      </w:r>
      <w:r>
        <w:rPr>
          <w:rFonts w:eastAsia="Times New Roman"/>
          <w:color w:val="000000"/>
          <w:sz w:val="20"/>
          <w:szCs w:val="20"/>
        </w:rPr>
        <w:t>set by the termination of a high-volume, low-margin autogas contract in Italy during the prior year and the continued impact of COVID-19 on certain commercial and industrial volumes. Average wholesale prices for propane in northwest Europe were approximate</w:t>
      </w:r>
      <w:r>
        <w:rPr>
          <w:rFonts w:eastAsia="Times New Roman"/>
          <w:color w:val="000000"/>
          <w:sz w:val="20"/>
          <w:szCs w:val="20"/>
        </w:rPr>
        <w:t xml:space="preserve">ly 17% higher during the 2021 six-month period compared with the prior-year period, while average butane prices were relatively constant during both periods.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International base-currency results are translated into U.S. dollars based upon exchange ra</w:t>
      </w:r>
      <w:r>
        <w:rPr>
          <w:rFonts w:eastAsia="Times New Roman"/>
          <w:color w:val="000000"/>
          <w:sz w:val="20"/>
          <w:szCs w:val="20"/>
        </w:rPr>
        <w:t>tes experienced during the reporting periods. The functional currency of a significant portion of our UGI International results is the euro and, to a much lesser extent, the British pound sterling. During the 2021 and 2020 six-month periods, the average un</w:t>
      </w:r>
      <w:r>
        <w:rPr>
          <w:rFonts w:eastAsia="Times New Roman"/>
          <w:color w:val="000000"/>
          <w:sz w:val="20"/>
          <w:szCs w:val="20"/>
        </w:rPr>
        <w:t>weighted euro-to-dollar translation rates were approximately $1.20 and $1.10, respectively, and the average unweighted British pound sterling-to-dollar translation rates were approximately $1.35 and $1.28, respectively. Fluctuations in these foreign curren</w:t>
      </w:r>
      <w:r>
        <w:rPr>
          <w:rFonts w:eastAsia="Times New Roman"/>
          <w:color w:val="000000"/>
          <w:sz w:val="20"/>
          <w:szCs w:val="20"/>
        </w:rPr>
        <w:t>cy exchange rates can have a significant impact on the individual financial statement components discussed below. The net effect of changes in foreign currency exchange rates on UGI International’s earnings before interest expense and income taxes resulted</w:t>
      </w:r>
      <w:r>
        <w:rPr>
          <w:rFonts w:eastAsia="Times New Roman"/>
          <w:color w:val="000000"/>
          <w:sz w:val="20"/>
          <w:szCs w:val="20"/>
        </w:rPr>
        <w:t xml:space="preserve"> in a net benefit of $22 million in the 2021 six-month period. However, the impact of these changes is mitigated by the effects of forward foreign currency exchange contracts entered into over a multi-year period intended to substantially offset this volat</w:t>
      </w:r>
      <w:r>
        <w:rPr>
          <w:rFonts w:eastAsia="Times New Roman"/>
          <w:color w:val="000000"/>
          <w:sz w:val="20"/>
          <w:szCs w:val="20"/>
        </w:rPr>
        <w:t xml:space="preserve">ility. These forward foreign currency exchange contracts resulted in realized net gains of $2 million and $13 million, respectively, in the 2021 and 2020 six-month periods.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International revenues and cost of sales increased $179 million and $90 mill</w:t>
      </w:r>
      <w:r>
        <w:rPr>
          <w:rFonts w:eastAsia="Times New Roman"/>
          <w:color w:val="000000"/>
          <w:sz w:val="20"/>
          <w:szCs w:val="20"/>
        </w:rPr>
        <w:t>ion, respectively, during the 2021 six-month period compared to the prior-year period. The increase in revenues and cost of sales principally reflects the translation effects of stronger foreign currencies (approximately $113 million and $63 million, respe</w:t>
      </w:r>
      <w:r>
        <w:rPr>
          <w:rFonts w:eastAsia="Times New Roman"/>
          <w:color w:val="000000"/>
          <w:sz w:val="20"/>
          <w:szCs w:val="20"/>
        </w:rPr>
        <w:t>ctively), the effects of higher average butane selling prices compared to the prior-year period, and the previously mentioned increases in bulk, crop drying and cylinder volumes. Energy marketing activities during the 2021 six-month period also contributed</w:t>
      </w:r>
      <w:r>
        <w:rPr>
          <w:rFonts w:eastAsia="Times New Roman"/>
          <w:color w:val="000000"/>
          <w:sz w:val="20"/>
          <w:szCs w:val="20"/>
        </w:rPr>
        <w:t xml:space="preserve"> to the increased revenues and cost of sales largely related to higher natural gas volumes.</w:t>
      </w:r>
    </w:p>
    <w:p w:rsidR="00000000" w:rsidRDefault="003F1733">
      <w:pPr>
        <w:jc w:val="both"/>
        <w:rPr>
          <w:rFonts w:eastAsia="Times New Roman"/>
        </w:rPr>
      </w:pPr>
    </w:p>
    <w:p w:rsidR="00000000" w:rsidRDefault="003F1733">
      <w:pPr>
        <w:jc w:val="center"/>
        <w:divId w:val="1614632629"/>
        <w:rPr>
          <w:rFonts w:eastAsia="Times New Roman"/>
        </w:rPr>
      </w:pPr>
      <w:r>
        <w:rPr>
          <w:rFonts w:eastAsia="Times New Roman"/>
          <w:color w:val="000000"/>
          <w:sz w:val="20"/>
          <w:szCs w:val="20"/>
        </w:rPr>
        <w:t>44</w:t>
      </w:r>
    </w:p>
    <w:p w:rsidR="00000000" w:rsidRDefault="003F1733">
      <w:pPr>
        <w:rPr>
          <w:rFonts w:eastAsia="Times New Roman"/>
        </w:rPr>
      </w:pPr>
      <w:r>
        <w:rPr>
          <w:rFonts w:eastAsia="Times New Roman"/>
        </w:rPr>
        <w:pict>
          <v:rect id="_x0000_i1070" style="width:0;height:1.5pt" o:hralign="center" o:hrstd="t" o:hr="t" fillcolor="#a0a0a0" stroked="f"/>
        </w:pict>
      </w:r>
    </w:p>
    <w:p w:rsidR="00000000" w:rsidRDefault="003F1733">
      <w:pPr>
        <w:divId w:val="74049326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460681352"/>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UGI Internati</w:t>
      </w:r>
      <w:r>
        <w:rPr>
          <w:rFonts w:eastAsia="Times New Roman"/>
          <w:color w:val="000000"/>
          <w:sz w:val="20"/>
          <w:szCs w:val="20"/>
        </w:rPr>
        <w:t>onal total margin increased $89 million during the 2021 six-month period reflecting the translation effects of stronger foreign currencies (approximately $50 million), higher average LPG unit margins including the continued effects of margin management eff</w:t>
      </w:r>
      <w:r>
        <w:rPr>
          <w:rFonts w:eastAsia="Times New Roman"/>
          <w:color w:val="000000"/>
          <w:sz w:val="20"/>
          <w:szCs w:val="20"/>
        </w:rPr>
        <w:t>orts, lower costs associated with energy conservation certificates including adjustments related to the current compliance period, and the previously mentioned increase in crop drying and bulk volumes. Higher margin from energy marketing activities also co</w:t>
      </w:r>
      <w:r>
        <w:rPr>
          <w:rFonts w:eastAsia="Times New Roman"/>
          <w:color w:val="000000"/>
          <w:sz w:val="20"/>
          <w:szCs w:val="20"/>
        </w:rPr>
        <w:t xml:space="preserve">ntributed to the increase including increased natural gas volumes and average margins. These margin improvements were partially offset by lower autogas and other low-margin volumes and the effects of COVID-19 compared with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Int</w:t>
      </w:r>
      <w:r>
        <w:rPr>
          <w:rFonts w:eastAsia="Times New Roman"/>
          <w:color w:val="000000"/>
          <w:sz w:val="20"/>
          <w:szCs w:val="20"/>
        </w:rPr>
        <w:t>ernational operating income and earnings before interest expense and income taxes increased $69 million and $59 million, respectively, during the 2021 six-month period compared to the prior-year period. The increase in operating income principally reflects</w:t>
      </w:r>
      <w:r>
        <w:rPr>
          <w:rFonts w:eastAsia="Times New Roman"/>
          <w:color w:val="000000"/>
          <w:sz w:val="20"/>
          <w:szCs w:val="20"/>
        </w:rPr>
        <w:t xml:space="preserve"> the increase in total margin partially offset by higher operating and administrative expenses ($23 million) which was largely attributable to the effects of stronger foreign currencies compared to the prior-year period. The increase in earnings before int</w:t>
      </w:r>
      <w:r>
        <w:rPr>
          <w:rFonts w:eastAsia="Times New Roman"/>
          <w:color w:val="000000"/>
          <w:sz w:val="20"/>
          <w:szCs w:val="20"/>
        </w:rPr>
        <w:t>erest expense and income taxes in the 2021 six-month period largely reflects the higher operating income, partially offset by lower realized gains on foreign currency exchange contracts entered into in order to reduce volatility in UGI International earnin</w:t>
      </w:r>
      <w:r>
        <w:rPr>
          <w:rFonts w:eastAsia="Times New Roman"/>
          <w:color w:val="000000"/>
          <w:sz w:val="20"/>
          <w:szCs w:val="20"/>
        </w:rPr>
        <w:t xml:space="preserve">gs resulting from the effects of changes in foreign currency exchange rates ($11 million). </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Midstream &amp; Marketing</w:t>
      </w:r>
    </w:p>
    <w:tbl>
      <w:tblPr>
        <w:tblW w:w="4992" w:type="pct"/>
        <w:tblCellMar>
          <w:top w:w="15" w:type="dxa"/>
          <w:left w:w="15" w:type="dxa"/>
          <w:bottom w:w="15" w:type="dxa"/>
          <w:right w:w="15" w:type="dxa"/>
        </w:tblCellMar>
        <w:tblLook w:val="04A0" w:firstRow="1" w:lastRow="0" w:firstColumn="1" w:lastColumn="0" w:noHBand="0" w:noVBand="1"/>
      </w:tblPr>
      <w:tblGrid>
        <w:gridCol w:w="39"/>
        <w:gridCol w:w="3666"/>
        <w:gridCol w:w="38"/>
        <w:gridCol w:w="36"/>
        <w:gridCol w:w="36"/>
        <w:gridCol w:w="36"/>
        <w:gridCol w:w="120"/>
        <w:gridCol w:w="858"/>
        <w:gridCol w:w="36"/>
        <w:gridCol w:w="36"/>
        <w:gridCol w:w="36"/>
        <w:gridCol w:w="36"/>
        <w:gridCol w:w="120"/>
        <w:gridCol w:w="858"/>
        <w:gridCol w:w="36"/>
        <w:gridCol w:w="36"/>
        <w:gridCol w:w="36"/>
        <w:gridCol w:w="36"/>
        <w:gridCol w:w="121"/>
        <w:gridCol w:w="858"/>
        <w:gridCol w:w="37"/>
        <w:gridCol w:w="37"/>
        <w:gridCol w:w="37"/>
        <w:gridCol w:w="36"/>
        <w:gridCol w:w="36"/>
        <w:gridCol w:w="849"/>
        <w:gridCol w:w="187"/>
      </w:tblGrid>
      <w:tr w:rsidR="00000000">
        <w:trPr>
          <w:divId w:val="1813520865"/>
        </w:trPr>
        <w:tc>
          <w:tcPr>
            <w:tcW w:w="50" w:type="pct"/>
            <w:vAlign w:val="center"/>
            <w:hideMark/>
          </w:tcPr>
          <w:p w:rsidR="00000000" w:rsidRDefault="003F1733">
            <w:pPr>
              <w:jc w:val="both"/>
              <w:rPr>
                <w:rFonts w:eastAsia="Times New Roman"/>
              </w:rPr>
            </w:pPr>
          </w:p>
        </w:tc>
        <w:tc>
          <w:tcPr>
            <w:tcW w:w="225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8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813520865"/>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 the six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Increase (Decrease)</w:t>
            </w:r>
          </w:p>
        </w:tc>
      </w:tr>
      <w:tr w:rsidR="00000000">
        <w:trPr>
          <w:divId w:val="181352086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1813520865"/>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 xml:space="preserve">Revenues </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825 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795 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813520865"/>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813520865"/>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813520865"/>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1813520865"/>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bl>
    <w:p w:rsidR="00000000" w:rsidRDefault="003F1733">
      <w:pPr>
        <w:ind w:hanging="360"/>
        <w:jc w:val="both"/>
        <w:rPr>
          <w:rFonts w:eastAsia="Times New Roman"/>
        </w:rPr>
      </w:pPr>
      <w:r>
        <w:rPr>
          <w:rFonts w:eastAsia="Times New Roman"/>
          <w:color w:val="000000"/>
          <w:sz w:val="20"/>
          <w:szCs w:val="20"/>
        </w:rPr>
        <w:t>(a)Total margin represents revenues less cost of sales.</w:t>
      </w:r>
    </w:p>
    <w:p w:rsidR="00000000" w:rsidRDefault="003F1733">
      <w:pPr>
        <w:divId w:val="874854177"/>
        <w:rPr>
          <w:rFonts w:eastAsia="Times New Roman"/>
        </w:rPr>
      </w:pPr>
    </w:p>
    <w:p w:rsidR="00000000" w:rsidRDefault="003F1733">
      <w:pPr>
        <w:jc w:val="both"/>
        <w:rPr>
          <w:rFonts w:eastAsia="Times New Roman"/>
        </w:rPr>
      </w:pPr>
      <w:r>
        <w:rPr>
          <w:rFonts w:eastAsia="Times New Roman"/>
          <w:color w:val="000000"/>
          <w:sz w:val="20"/>
          <w:szCs w:val="20"/>
        </w:rPr>
        <w:t>Average temperatures across Midstream &amp; Marketing’s energy marketing territory duri</w:t>
      </w:r>
      <w:r>
        <w:rPr>
          <w:rFonts w:eastAsia="Times New Roman"/>
          <w:color w:val="000000"/>
          <w:sz w:val="20"/>
          <w:szCs w:val="20"/>
        </w:rPr>
        <w:t>ng the 2021 six-month period were 7.1% warmer than normal but 1.4% colder than the prior-year period. Beginning in Fiscal 2021, deviation from average heating degree days is determined on a rolling 10-year period utilizing volume-weighted weather data. Pri</w:t>
      </w:r>
      <w:r>
        <w:rPr>
          <w:rFonts w:eastAsia="Times New Roman"/>
          <w:color w:val="000000"/>
          <w:sz w:val="20"/>
          <w:szCs w:val="20"/>
        </w:rPr>
        <w:t>or-period amounts have been restated to conform to the current-period presentation. Midstream &amp; Marketing’s prior year results include contributions from its HVAC business and ownership interest in Conemaugh, both of which were sold in September 2020.</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Mi</w:t>
      </w:r>
      <w:r>
        <w:rPr>
          <w:rFonts w:eastAsia="Times New Roman"/>
          <w:color w:val="000000"/>
          <w:sz w:val="20"/>
          <w:szCs w:val="20"/>
        </w:rPr>
        <w:t>dstream &amp; Marketing revenues for the 2021 six-month period increased $30 million compared to the prior-year period principally reflecting increased revenues from natural gas ($21 million) and renewable energy ($22 million) marketing activities, higher capa</w:t>
      </w:r>
      <w:r>
        <w:rPr>
          <w:rFonts w:eastAsia="Times New Roman"/>
          <w:color w:val="000000"/>
          <w:sz w:val="20"/>
          <w:szCs w:val="20"/>
        </w:rPr>
        <w:t>city management revenues ($14 million), and higher natural gas gathering revenues ($5 million). These revenue increases were partially offset by the absence of revenues attributable to its former HVAC business and ownership interest in Conemaugh ($30 milli</w:t>
      </w:r>
      <w:r>
        <w:rPr>
          <w:rFonts w:eastAsia="Times New Roman"/>
          <w:color w:val="000000"/>
          <w:sz w:val="20"/>
          <w:szCs w:val="20"/>
        </w:rPr>
        <w:t>on). Midstream &amp; Marketing cost of sales were $580 million in the 2021 six-month period compared to $563 million in the prior-year period. The $17 million increase principally reflects higher cost of sales related to natural gas ($14 million) and renewable</w:t>
      </w:r>
      <w:r>
        <w:rPr>
          <w:rFonts w:eastAsia="Times New Roman"/>
          <w:color w:val="000000"/>
          <w:sz w:val="20"/>
          <w:szCs w:val="20"/>
        </w:rPr>
        <w:t xml:space="preserve"> energy marketing activities ($17 million), partially offset by the absence of costs attributable to HVAC and Conemaugh ($16 million). The increases in both natural gas revenues and cost of sales during the 2021 six-month period are largely attributable to</w:t>
      </w:r>
      <w:r>
        <w:rPr>
          <w:rFonts w:eastAsia="Times New Roman"/>
          <w:color w:val="000000"/>
          <w:sz w:val="20"/>
          <w:szCs w:val="20"/>
        </w:rPr>
        <w:t xml:space="preserve"> higher average natural gas prices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Midstream &amp; Marketing total margin increased $13 million in the 2021 six-month period reflecting improved capacity management margin ($14 million), higher margin from natural gas ($7 </w:t>
      </w:r>
      <w:r>
        <w:rPr>
          <w:rFonts w:eastAsia="Times New Roman"/>
          <w:color w:val="000000"/>
          <w:sz w:val="20"/>
          <w:szCs w:val="20"/>
        </w:rPr>
        <w:t>million) and renewable energy ($5 million) marketing activities, and higher margin from natural gas gathering activities ($5 million). These margin improvements include the impact of acquisitions and new assets placed into service since March 31, 2020, and</w:t>
      </w:r>
      <w:r>
        <w:rPr>
          <w:rFonts w:eastAsia="Times New Roman"/>
          <w:color w:val="000000"/>
          <w:sz w:val="20"/>
          <w:szCs w:val="20"/>
        </w:rPr>
        <w:t xml:space="preserve"> were partially offset by the absence of margins attributable to HVAC and Conemaugh ($14 million).</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Midstream &amp; Marketing operating income and earnings before interest expense and income taxes during the 2021 six-month period increased $16 million and $18</w:t>
      </w:r>
      <w:r>
        <w:rPr>
          <w:rFonts w:eastAsia="Times New Roman"/>
          <w:color w:val="000000"/>
          <w:sz w:val="20"/>
          <w:szCs w:val="20"/>
        </w:rPr>
        <w:t xml:space="preserve"> million, respectively, compared to the prior-year period. The improvement in operating income reflects the increase in total margin and lower operating and administrative expenses ($9 million) compared to the prior-year period, partially offset by an adju</w:t>
      </w:r>
      <w:r>
        <w:rPr>
          <w:rFonts w:eastAsia="Times New Roman"/>
          <w:color w:val="000000"/>
          <w:sz w:val="20"/>
          <w:szCs w:val="20"/>
        </w:rPr>
        <w:t>stment to the contingent consideration related to the GHI acquisition ($6 million). The decrease in operating and administrative expenses was largely related to the absence of the previously mentioned divested assets partially offset by increases related t</w:t>
      </w:r>
      <w:r>
        <w:rPr>
          <w:rFonts w:eastAsia="Times New Roman"/>
          <w:color w:val="000000"/>
          <w:sz w:val="20"/>
          <w:szCs w:val="20"/>
        </w:rPr>
        <w:t>o new assets placed into service and acquisitions. The increase in earnings before interest expense and income taxes reflects the improvement in operating income and incremental equity method earnings related to the investment in Pine Run.</w:t>
      </w:r>
    </w:p>
    <w:p w:rsidR="00000000" w:rsidRDefault="003F1733">
      <w:pPr>
        <w:jc w:val="center"/>
        <w:divId w:val="117769704"/>
        <w:rPr>
          <w:rFonts w:eastAsia="Times New Roman"/>
        </w:rPr>
      </w:pPr>
      <w:r>
        <w:rPr>
          <w:rFonts w:eastAsia="Times New Roman"/>
          <w:color w:val="000000"/>
          <w:sz w:val="20"/>
          <w:szCs w:val="20"/>
        </w:rPr>
        <w:t>45</w:t>
      </w:r>
    </w:p>
    <w:p w:rsidR="00000000" w:rsidRDefault="003F1733">
      <w:pPr>
        <w:rPr>
          <w:rFonts w:eastAsia="Times New Roman"/>
        </w:rPr>
      </w:pPr>
      <w:r>
        <w:rPr>
          <w:rFonts w:eastAsia="Times New Roman"/>
        </w:rPr>
        <w:pict>
          <v:rect id="_x0000_i1071" style="width:0;height:1.5pt" o:hralign="center" o:hrstd="t" o:hr="t" fillcolor="#a0a0a0" stroked="f"/>
        </w:pict>
      </w:r>
    </w:p>
    <w:p w:rsidR="00000000" w:rsidRDefault="003F1733">
      <w:pPr>
        <w:divId w:val="45641400"/>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668288126"/>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UGI Utilities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4061"/>
        <w:gridCol w:w="38"/>
        <w:gridCol w:w="36"/>
        <w:gridCol w:w="36"/>
        <w:gridCol w:w="36"/>
        <w:gridCol w:w="120"/>
        <w:gridCol w:w="718"/>
        <w:gridCol w:w="187"/>
        <w:gridCol w:w="36"/>
        <w:gridCol w:w="36"/>
        <w:gridCol w:w="36"/>
        <w:gridCol w:w="121"/>
        <w:gridCol w:w="730"/>
        <w:gridCol w:w="187"/>
        <w:gridCol w:w="36"/>
        <w:gridCol w:w="36"/>
        <w:gridCol w:w="36"/>
        <w:gridCol w:w="120"/>
        <w:gridCol w:w="672"/>
        <w:gridCol w:w="36"/>
        <w:gridCol w:w="36"/>
        <w:gridCol w:w="36"/>
        <w:gridCol w:w="36"/>
        <w:gridCol w:w="38"/>
        <w:gridCol w:w="595"/>
        <w:gridCol w:w="187"/>
      </w:tblGrid>
      <w:tr w:rsidR="00000000">
        <w:trPr>
          <w:divId w:val="687291059"/>
        </w:trPr>
        <w:tc>
          <w:tcPr>
            <w:tcW w:w="50" w:type="pct"/>
            <w:vAlign w:val="center"/>
            <w:hideMark/>
          </w:tcPr>
          <w:p w:rsidR="00000000" w:rsidRDefault="003F1733">
            <w:pPr>
              <w:jc w:val="both"/>
              <w:rPr>
                <w:rFonts w:eastAsia="Times New Roman"/>
              </w:rPr>
            </w:pPr>
          </w:p>
        </w:tc>
        <w:tc>
          <w:tcPr>
            <w:tcW w:w="252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0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8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687291059"/>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 the six months ended March 31,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Increase</w:t>
            </w:r>
          </w:p>
        </w:tc>
      </w:tr>
      <w:tr w:rsidR="00000000">
        <w:trPr>
          <w:divId w:val="68729105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687291059"/>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742 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722 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687291059"/>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405 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384 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687291059"/>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687291059"/>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208 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687291059"/>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687291059"/>
        </w:trPr>
        <w:tc>
          <w:tcPr>
            <w:tcW w:w="0" w:type="auto"/>
            <w:gridSpan w:val="3"/>
            <w:shd w:val="clear" w:color="auto" w:fill="FFFF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Gas Utility system throughput—bcf</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687291059"/>
        </w:trPr>
        <w:tc>
          <w:tcPr>
            <w:tcW w:w="0" w:type="auto"/>
            <w:gridSpan w:val="3"/>
            <w:shd w:val="clear" w:color="auto" w:fill="CCEE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Core market</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687291059"/>
        </w:trPr>
        <w:tc>
          <w:tcPr>
            <w:tcW w:w="0" w:type="auto"/>
            <w:gridSpan w:val="3"/>
            <w:shd w:val="clear" w:color="auto" w:fill="FFFFFF"/>
            <w:tcMar>
              <w:top w:w="30" w:type="dxa"/>
              <w:left w:w="380" w:type="dxa"/>
              <w:bottom w:w="30" w:type="dxa"/>
              <w:right w:w="20" w:type="dxa"/>
            </w:tcMar>
            <w:hideMark/>
          </w:tcPr>
          <w:p w:rsidR="00000000" w:rsidRDefault="003F1733">
            <w:pPr>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687291059"/>
        </w:trPr>
        <w:tc>
          <w:tcPr>
            <w:tcW w:w="0" w:type="auto"/>
            <w:gridSpan w:val="3"/>
            <w:shd w:val="clear" w:color="auto" w:fill="CCEEFF"/>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505 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r>
      <w:tr w:rsidR="00000000">
        <w:trPr>
          <w:divId w:val="687291059"/>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Gas Utility heating degree days—% warmer than normal (b)</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(11.2)</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ind w:hanging="360"/>
        <w:jc w:val="both"/>
        <w:rPr>
          <w:rFonts w:eastAsia="Times New Roman"/>
        </w:rPr>
      </w:pPr>
      <w:r>
        <w:rPr>
          <w:rFonts w:eastAsia="Times New Roman"/>
          <w:color w:val="000000"/>
          <w:sz w:val="20"/>
          <w:szCs w:val="20"/>
        </w:rPr>
        <w:t>(a)Total margin represents revenues less cost of sales and revenue-related taxes (i.e., Electric Utility gross receipts taxes</w:t>
      </w:r>
      <w:r>
        <w:rPr>
          <w:rFonts w:eastAsia="Times New Roman"/>
          <w:color w:val="000000"/>
          <w:sz w:val="20"/>
          <w:szCs w:val="20"/>
        </w:rPr>
        <w:t>) of $3 million and $2 million during the 2021 and 2020 six-month periods, respectively. For financial statement purposes, revenue-related taxes are included in “Operating and administrative expenses” on the Condensed Consolidated Statements of Income (but</w:t>
      </w:r>
      <w:r>
        <w:rPr>
          <w:rFonts w:eastAsia="Times New Roman"/>
          <w:color w:val="000000"/>
          <w:sz w:val="20"/>
          <w:szCs w:val="20"/>
        </w:rPr>
        <w:t xml:space="preserve"> are excluded from operating and administrative expenses presented above).</w:t>
      </w:r>
    </w:p>
    <w:p w:rsidR="00000000" w:rsidRDefault="003F1733">
      <w:pPr>
        <w:ind w:hanging="360"/>
        <w:jc w:val="both"/>
        <w:rPr>
          <w:rFonts w:eastAsia="Times New Roman"/>
        </w:rPr>
      </w:pPr>
      <w:r>
        <w:rPr>
          <w:rFonts w:eastAsia="Times New Roman"/>
          <w:color w:val="000000"/>
          <w:sz w:val="20"/>
          <w:szCs w:val="20"/>
        </w:rPr>
        <w:t xml:space="preserve">(b)Beginning in Fiscal 2021, deviation from average heating degree days is determined on a rolling 10-year period utilizing volume-weighted weather data based on weather statistics </w:t>
      </w:r>
      <w:r>
        <w:rPr>
          <w:rFonts w:eastAsia="Times New Roman"/>
          <w:color w:val="000000"/>
          <w:sz w:val="20"/>
          <w:szCs w:val="20"/>
        </w:rPr>
        <w:t xml:space="preserve">provided by NOAA for airports located within Gas Utility’s service territory. Prior-period amounts have been restated to conform to the current-period presentation. </w:t>
      </w:r>
    </w:p>
    <w:p w:rsidR="00000000" w:rsidRDefault="003F1733">
      <w:pPr>
        <w:jc w:val="both"/>
        <w:rPr>
          <w:rFonts w:eastAsia="Times New Roman"/>
        </w:rPr>
      </w:pPr>
    </w:p>
    <w:p w:rsidR="00000000" w:rsidRDefault="003F1733">
      <w:pPr>
        <w:jc w:val="both"/>
        <w:divId w:val="193924263"/>
        <w:rPr>
          <w:rFonts w:eastAsia="Times New Roman"/>
        </w:rPr>
      </w:pPr>
      <w:r>
        <w:rPr>
          <w:rFonts w:eastAsia="Times New Roman"/>
          <w:color w:val="000000"/>
          <w:sz w:val="20"/>
          <w:szCs w:val="20"/>
        </w:rPr>
        <w:t>Temperatures in Gas Utility’</w:t>
      </w:r>
      <w:r>
        <w:rPr>
          <w:rFonts w:eastAsia="Times New Roman"/>
          <w:color w:val="000000"/>
          <w:sz w:val="20"/>
          <w:szCs w:val="20"/>
        </w:rPr>
        <w:t>s service territory during the 2021 six-month period were 8.8% warmer than normal but 2.7% colder than the prior-year period. Gas Utility core market volumes increased during the 2021 six-month period (3 bcf) reflecting the effects of colder weather compar</w:t>
      </w:r>
      <w:r>
        <w:rPr>
          <w:rFonts w:eastAsia="Times New Roman"/>
          <w:color w:val="000000"/>
          <w:sz w:val="20"/>
          <w:szCs w:val="20"/>
        </w:rPr>
        <w:t>ed to the prior-year period and growth in the number of core market customers. Total Gas Utility distribution system throughput reflects a slight increase (1 bcf) during the 2021 six-month period attributable to the increased core market volumes and higher</w:t>
      </w:r>
      <w:r>
        <w:rPr>
          <w:rFonts w:eastAsia="Times New Roman"/>
          <w:color w:val="000000"/>
          <w:sz w:val="20"/>
          <w:szCs w:val="20"/>
        </w:rPr>
        <w:t xml:space="preserve"> large firm delivery service volumes, partially offset by a decrease in interruptible delivery service volumes and the continued impact of COVID-19 on commercial and industrial volumes. Electric Utility distribution sales volumes increase during the 2021 s</w:t>
      </w:r>
      <w:r>
        <w:rPr>
          <w:rFonts w:eastAsia="Times New Roman"/>
          <w:color w:val="000000"/>
          <w:sz w:val="20"/>
          <w:szCs w:val="20"/>
        </w:rPr>
        <w:t xml:space="preserve">ix-month period primarily attributable to the colder weather compared to the prior-year period. </w:t>
      </w:r>
    </w:p>
    <w:p w:rsidR="00000000" w:rsidRDefault="003F1733">
      <w:pPr>
        <w:jc w:val="both"/>
        <w:rPr>
          <w:rFonts w:eastAsia="Times New Roman"/>
        </w:rPr>
      </w:pPr>
      <w:r>
        <w:rPr>
          <w:rFonts w:eastAsia="Times New Roman"/>
          <w:color w:val="000000"/>
          <w:sz w:val="20"/>
          <w:szCs w:val="20"/>
        </w:rPr>
        <w:t>UGI Utilities revenues increased $20 million in the 2021 six-month period reflecting increases of $16 million and $4 million attributable to Gas Utility and El</w:t>
      </w:r>
      <w:r>
        <w:rPr>
          <w:rFonts w:eastAsia="Times New Roman"/>
          <w:color w:val="000000"/>
          <w:sz w:val="20"/>
          <w:szCs w:val="20"/>
        </w:rPr>
        <w:t>ectric Utility, respectively. The increase in Gas Utility revenues principally reflects higher core market revenues ($7 million) largely attributable to the increase in base rates that went into effect on January 1, 2021, and the increased core market volu</w:t>
      </w:r>
      <w:r>
        <w:rPr>
          <w:rFonts w:eastAsia="Times New Roman"/>
          <w:color w:val="000000"/>
          <w:sz w:val="20"/>
          <w:szCs w:val="20"/>
        </w:rPr>
        <w:t>mes, slightly offset by lower PGC rates compared to the prior-year period. Higher off system sales ($5 million), and higher large firm delivery service sales ($3 million) also contributed to the increase. The increase in Electric Utility revenues during th</w:t>
      </w:r>
      <w:r>
        <w:rPr>
          <w:rFonts w:eastAsia="Times New Roman"/>
          <w:color w:val="000000"/>
          <w:sz w:val="20"/>
          <w:szCs w:val="20"/>
        </w:rPr>
        <w:t xml:space="preserve">e 2021 six-month period reflects higher sales volumes and DS rates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Utilities cost of sales was $334 million in the 2021 six-month period compared with $336 million in the prior-year period. Gas Utility cost of sale</w:t>
      </w:r>
      <w:r>
        <w:rPr>
          <w:rFonts w:eastAsia="Times New Roman"/>
          <w:color w:val="000000"/>
          <w:sz w:val="20"/>
          <w:szCs w:val="20"/>
        </w:rPr>
        <w:t>s decreased during the 2021 six-month period ($5 million) reflecting lower PGC rates partially offset by the increase in core market volumes and higher cost of sales associated with off system sales. Electric Utility cost of sales increased during the 2021</w:t>
      </w:r>
      <w:r>
        <w:rPr>
          <w:rFonts w:eastAsia="Times New Roman"/>
          <w:color w:val="000000"/>
          <w:sz w:val="20"/>
          <w:szCs w:val="20"/>
        </w:rPr>
        <w:t xml:space="preserve"> six-month period ($3 million) reflecting the increased volumes and higher average DS rates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Utilities total margin increased $21 million during the 2021 six-month period principally reflecting higher margin from Ga</w:t>
      </w:r>
      <w:r>
        <w:rPr>
          <w:rFonts w:eastAsia="Times New Roman"/>
          <w:color w:val="000000"/>
          <w:sz w:val="20"/>
          <w:szCs w:val="20"/>
        </w:rPr>
        <w:t>s Utility. This increase largely reflects higher margin from core market customers ($18 million) primarily attributable to the increase in base rates that went into effect on January 1, 2021, and the previously mentioned increase in core market volumes. Cu</w:t>
      </w:r>
      <w:r>
        <w:rPr>
          <w:rFonts w:eastAsia="Times New Roman"/>
          <w:color w:val="000000"/>
          <w:sz w:val="20"/>
          <w:szCs w:val="20"/>
        </w:rPr>
        <w:t xml:space="preserve">stomer growth and increased sales volumes related to large firm delivery service ($3 million) compared to the prior-year period also contributed to the increase.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UGI Utilities operating income and earnings before interest expense and income taxes increa</w:t>
      </w:r>
      <w:r>
        <w:rPr>
          <w:rFonts w:eastAsia="Times New Roman"/>
          <w:color w:val="000000"/>
          <w:sz w:val="20"/>
          <w:szCs w:val="20"/>
        </w:rPr>
        <w:t>sed $11 million and $12 million, respectively, during the 2021 six-month period. These increases largely reflect the previously mentioned increase in total margin partially offset by higher depreciation expense ($6 million) and higher operating and adminis</w:t>
      </w:r>
      <w:r>
        <w:rPr>
          <w:rFonts w:eastAsia="Times New Roman"/>
          <w:color w:val="000000"/>
          <w:sz w:val="20"/>
          <w:szCs w:val="20"/>
        </w:rPr>
        <w:t xml:space="preserve">trative expenses ($3 </w:t>
      </w:r>
    </w:p>
    <w:p w:rsidR="00000000" w:rsidRDefault="003F1733">
      <w:pPr>
        <w:jc w:val="center"/>
        <w:divId w:val="1918243350"/>
        <w:rPr>
          <w:rFonts w:eastAsia="Times New Roman"/>
        </w:rPr>
      </w:pPr>
      <w:r>
        <w:rPr>
          <w:rFonts w:eastAsia="Times New Roman"/>
          <w:color w:val="000000"/>
          <w:sz w:val="20"/>
          <w:szCs w:val="20"/>
        </w:rPr>
        <w:t>46</w:t>
      </w:r>
    </w:p>
    <w:p w:rsidR="00000000" w:rsidRDefault="003F1733">
      <w:pPr>
        <w:rPr>
          <w:rFonts w:eastAsia="Times New Roman"/>
        </w:rPr>
      </w:pPr>
      <w:r>
        <w:rPr>
          <w:rFonts w:eastAsia="Times New Roman"/>
        </w:rPr>
        <w:pict>
          <v:rect id="_x0000_i1072" style="width:0;height:1.5pt" o:hralign="center" o:hrstd="t" o:hr="t" fillcolor="#a0a0a0" stroked="f"/>
        </w:pict>
      </w:r>
    </w:p>
    <w:p w:rsidR="00000000" w:rsidRDefault="003F1733">
      <w:pPr>
        <w:divId w:val="395669669"/>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607782098"/>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million) compared to the prior-year period. The increase in depreciation expense relates to continued distribut</w:t>
      </w:r>
      <w:r>
        <w:rPr>
          <w:rFonts w:eastAsia="Times New Roman"/>
          <w:color w:val="000000"/>
          <w:sz w:val="20"/>
          <w:szCs w:val="20"/>
        </w:rPr>
        <w:t>ion system and IT capital expenditure activity. The increase in operating and administrative expenses reflect, among other things, higher employee compensation and benefits-related costs and higher allocations of corporate expenses. These increases were pa</w:t>
      </w:r>
      <w:r>
        <w:rPr>
          <w:rFonts w:eastAsia="Times New Roman"/>
          <w:color w:val="000000"/>
          <w:sz w:val="20"/>
          <w:szCs w:val="20"/>
        </w:rPr>
        <w:t xml:space="preserve">rtially offset by lower professional services costs and contracted labor compared to the prior-year period. </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Interest Expense and Income Taxes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Our consolidated interest expense during the 2021 six-month period was $156 million compared to $167 million </w:t>
      </w:r>
      <w:r>
        <w:rPr>
          <w:rFonts w:eastAsia="Times New Roman"/>
          <w:color w:val="000000"/>
          <w:sz w:val="20"/>
          <w:szCs w:val="20"/>
        </w:rPr>
        <w:t xml:space="preserve">during the 2020 six-month period. The decrease in interest expense principally reflects lower average short-term borrowings outstanding compared to the prior-year period. </w:t>
      </w:r>
    </w:p>
    <w:p w:rsidR="00000000" w:rsidRDefault="003F1733">
      <w:pPr>
        <w:jc w:val="both"/>
        <w:rPr>
          <w:rFonts w:eastAsia="Times New Roman"/>
        </w:rPr>
      </w:pPr>
    </w:p>
    <w:p w:rsidR="00000000" w:rsidRDefault="003F1733">
      <w:pPr>
        <w:jc w:val="both"/>
        <w:divId w:val="2047563162"/>
        <w:rPr>
          <w:rFonts w:eastAsia="Times New Roman"/>
        </w:rPr>
      </w:pPr>
      <w:r>
        <w:rPr>
          <w:rFonts w:eastAsia="Times New Roman"/>
          <w:color w:val="000000"/>
          <w:sz w:val="20"/>
          <w:szCs w:val="20"/>
        </w:rPr>
        <w:t>The lower effective income tax rate for the 2021 six-month period is largely attri</w:t>
      </w:r>
      <w:r>
        <w:rPr>
          <w:rFonts w:eastAsia="Times New Roman"/>
          <w:color w:val="000000"/>
          <w:sz w:val="20"/>
          <w:szCs w:val="20"/>
        </w:rPr>
        <w:t>butable to higher discrete benefits compared to the prior-year period. This positive impact was largely related to an election made available under a tax law change in Italy which allowed the Company to step up its tax basis on certain assets in exchange f</w:t>
      </w:r>
      <w:r>
        <w:rPr>
          <w:rFonts w:eastAsia="Times New Roman"/>
          <w:color w:val="000000"/>
          <w:sz w:val="20"/>
          <w:szCs w:val="20"/>
        </w:rPr>
        <w:t>or paying a three percent substitute tax in connection with such election. This resulted in a $23 million net benefit in the current period resulting in incremental tax basis that will be deductible in future periods. Also contributing to the decreased eff</w:t>
      </w:r>
      <w:r>
        <w:rPr>
          <w:rFonts w:eastAsia="Times New Roman"/>
          <w:color w:val="000000"/>
          <w:sz w:val="20"/>
          <w:szCs w:val="20"/>
        </w:rPr>
        <w:t xml:space="preserve">ective rate was lower U.S. tax on foreign source income including the effects of regulations issued in July 2020 related to the high-tax exception on GILTI income. These reductions were partially offset by a lower NOL carryback benefit under the CARES Act </w:t>
      </w:r>
      <w:r>
        <w:rPr>
          <w:rFonts w:eastAsia="Times New Roman"/>
          <w:color w:val="000000"/>
          <w:sz w:val="20"/>
          <w:szCs w:val="20"/>
        </w:rPr>
        <w:t xml:space="preserve">compared to the prior-year period. </w:t>
      </w:r>
    </w:p>
    <w:p w:rsidR="00000000" w:rsidRDefault="003F1733">
      <w:pPr>
        <w:jc w:val="both"/>
        <w:divId w:val="127821295"/>
        <w:rPr>
          <w:rFonts w:eastAsia="Times New Roman"/>
        </w:rPr>
      </w:pPr>
      <w:r>
        <w:rPr>
          <w:rFonts w:eastAsia="Times New Roman"/>
          <w:color w:val="000000"/>
          <w:sz w:val="20"/>
          <w:szCs w:val="20"/>
        </w:rPr>
        <w:t>The Company continues to evaluate the elections available under current regulations, recent government stimulus efforts including the anticipated benefits mentioned above related to the election made in connection with t</w:t>
      </w:r>
      <w:r>
        <w:rPr>
          <w:rFonts w:eastAsia="Times New Roman"/>
          <w:color w:val="000000"/>
          <w:sz w:val="20"/>
          <w:szCs w:val="20"/>
        </w:rPr>
        <w:t>he tax law change in Italy, the modified GILTI provisions, and the CARES Act. Accordingly, the impacts on the Company’s income tax provisions and taxes payable or refundable related to these items are subject to change.</w:t>
      </w:r>
    </w:p>
    <w:p w:rsidR="00000000" w:rsidRDefault="003F1733">
      <w:pPr>
        <w:jc w:val="center"/>
        <w:rPr>
          <w:rFonts w:eastAsia="Times New Roman"/>
        </w:rPr>
      </w:pPr>
    </w:p>
    <w:p w:rsidR="00000000" w:rsidRDefault="003F1733">
      <w:pPr>
        <w:jc w:val="center"/>
        <w:rPr>
          <w:rFonts w:eastAsia="Times New Roman"/>
        </w:rPr>
      </w:pPr>
      <w:r>
        <w:rPr>
          <w:rFonts w:eastAsia="Times New Roman"/>
          <w:b/>
          <w:bCs/>
          <w:color w:val="000000"/>
          <w:sz w:val="20"/>
          <w:szCs w:val="20"/>
          <w:u w:val="single"/>
        </w:rPr>
        <w:t>FINANCIAL CONDITION AND LIQUIDITY</w:t>
      </w:r>
    </w:p>
    <w:p w:rsidR="00000000" w:rsidRDefault="003F1733">
      <w:pPr>
        <w:jc w:val="center"/>
        <w:rPr>
          <w:rFonts w:eastAsia="Times New Roman"/>
        </w:rPr>
      </w:pPr>
    </w:p>
    <w:p w:rsidR="00000000" w:rsidRDefault="003F1733">
      <w:pPr>
        <w:jc w:val="both"/>
        <w:rPr>
          <w:rFonts w:eastAsia="Times New Roman"/>
        </w:rPr>
      </w:pPr>
      <w:r>
        <w:rPr>
          <w:rFonts w:eastAsia="Times New Roman"/>
          <w:color w:val="000000"/>
          <w:sz w:val="20"/>
          <w:szCs w:val="20"/>
        </w:rPr>
        <w:t>The Company expects to have sufficient liquidity including cash on hand and available borrowing capacity to continue to support long-term commitments and ongoing operations despite uncertainties associated with the outbreak and continued spread of COVID-</w:t>
      </w:r>
      <w:r>
        <w:rPr>
          <w:rFonts w:eastAsia="Times New Roman"/>
          <w:color w:val="000000"/>
          <w:sz w:val="20"/>
          <w:szCs w:val="20"/>
        </w:rPr>
        <w:t>19. Our total available liquidity balance, comprising cash and cash equivalents and available borrowing capacity on our revolving credit facilities, totaled approximately $1.6 billion and $1.5 billion at March 31, 2021 and September 30, 2020, respectively.</w:t>
      </w:r>
      <w:r>
        <w:rPr>
          <w:rFonts w:eastAsia="Times New Roman"/>
          <w:color w:val="000000"/>
          <w:sz w:val="20"/>
          <w:szCs w:val="20"/>
        </w:rPr>
        <w:t xml:space="preserve"> The Company does not have any near-term senior note or term loan maturities. While the Company’s operations and financial performance has been impacted by COVID-19 in the 2021 three- and six-month periods, it is a rapidly evolving situation and the Compan</w:t>
      </w:r>
      <w:r>
        <w:rPr>
          <w:rFonts w:eastAsia="Times New Roman"/>
          <w:color w:val="000000"/>
          <w:sz w:val="20"/>
          <w:szCs w:val="20"/>
        </w:rPr>
        <w:t>y cannot predict the ultimate impact that COVID-19 will have on its liquidity, debt covenants, financial condition or the timing of capital expenditures. UGI and its subsidiaries were in compliance with all debt covenants as of March 31, 2021.</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We depend </w:t>
      </w:r>
      <w:r>
        <w:rPr>
          <w:rFonts w:eastAsia="Times New Roman"/>
          <w:color w:val="000000"/>
          <w:sz w:val="20"/>
          <w:szCs w:val="20"/>
        </w:rPr>
        <w:t xml:space="preserve">on both internal and external sources of liquidity to provide funds for working capital and to fund capital requirements. Our short-term cash requirements not met by cash from operations are generally satisfied with borrowings under credit facilities and, </w:t>
      </w:r>
      <w:r>
        <w:rPr>
          <w:rFonts w:eastAsia="Times New Roman"/>
          <w:color w:val="000000"/>
          <w:sz w:val="20"/>
          <w:szCs w:val="20"/>
        </w:rPr>
        <w:t>in the case of Midstream &amp; Marketing, also from a Receivables Facility. Long-term cash requirements are generally met through the issuance of long-term debt or equity securities. We believe that each of our business units has sufficient liquidity in the fo</w:t>
      </w:r>
      <w:r>
        <w:rPr>
          <w:rFonts w:eastAsia="Times New Roman"/>
          <w:color w:val="000000"/>
          <w:sz w:val="20"/>
          <w:szCs w:val="20"/>
        </w:rPr>
        <w:t>rms of cash and cash equivalents on hand; cash expected to be generated from operations; credit facility and Receivables Facility borrowing capacity; and the ability to obtain long-term financing to meet anticipated contractual and projected cash commitmen</w:t>
      </w:r>
      <w:r>
        <w:rPr>
          <w:rFonts w:eastAsia="Times New Roman"/>
          <w:color w:val="000000"/>
          <w:sz w:val="20"/>
          <w:szCs w:val="20"/>
        </w:rPr>
        <w:t>ts. Issuances of debt and equity securities in the capital markets and additional credit facilities may not, however, be available to us on acceptable terms.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primary sources of UGI’s cash and cash equivalents are the dividends and other cash payments</w:t>
      </w:r>
      <w:r>
        <w:rPr>
          <w:rFonts w:eastAsia="Times New Roman"/>
          <w:color w:val="000000"/>
          <w:sz w:val="20"/>
          <w:szCs w:val="20"/>
        </w:rPr>
        <w:t xml:space="preserve"> made to UGI or its corporate subsidiaries by its principal business units. Our cash and cash equivalents totaled $444 million at March 31, 2021, compared with $336 million at September 30, 2020. Excluding cash and cash equivalents that reside at UGI’s ope</w:t>
      </w:r>
      <w:r>
        <w:rPr>
          <w:rFonts w:eastAsia="Times New Roman"/>
          <w:color w:val="000000"/>
          <w:sz w:val="20"/>
          <w:szCs w:val="20"/>
        </w:rPr>
        <w:t>rating subsidiaries, at March 31, 2021 and September 30, 2020, UGI had $83 million and $112 million of cash and cash equivalents, respectively. Such cash is available to pay dividends on UGI Common Stock and for investment purposes.</w:t>
      </w:r>
    </w:p>
    <w:p w:rsidR="00000000" w:rsidRDefault="003F1733">
      <w:pPr>
        <w:jc w:val="both"/>
        <w:rPr>
          <w:rFonts w:eastAsia="Times New Roman"/>
        </w:rPr>
      </w:pPr>
    </w:p>
    <w:p w:rsidR="00000000" w:rsidRDefault="003F1733">
      <w:pPr>
        <w:jc w:val="center"/>
        <w:divId w:val="832716293"/>
        <w:rPr>
          <w:rFonts w:eastAsia="Times New Roman"/>
        </w:rPr>
      </w:pPr>
      <w:r>
        <w:rPr>
          <w:rFonts w:eastAsia="Times New Roman"/>
          <w:color w:val="000000"/>
          <w:sz w:val="20"/>
          <w:szCs w:val="20"/>
        </w:rPr>
        <w:t>47</w:t>
      </w:r>
    </w:p>
    <w:p w:rsidR="00000000" w:rsidRDefault="003F1733">
      <w:pPr>
        <w:rPr>
          <w:rFonts w:eastAsia="Times New Roman"/>
        </w:rPr>
      </w:pPr>
      <w:r>
        <w:rPr>
          <w:rFonts w:eastAsia="Times New Roman"/>
        </w:rPr>
        <w:pict>
          <v:rect id="_x0000_i1073" style="width:0;height:1.5pt" o:hralign="center" o:hrstd="t" o:hr="t" fillcolor="#a0a0a0" stroked="f"/>
        </w:pict>
      </w:r>
    </w:p>
    <w:p w:rsidR="00000000" w:rsidRDefault="003F1733">
      <w:pPr>
        <w:divId w:val="1289438647"/>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544220615"/>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b/>
          <w:bCs/>
          <w:color w:val="000000"/>
          <w:sz w:val="20"/>
          <w:szCs w:val="20"/>
        </w:rPr>
        <w:t>Long-term Debt and Credit Facilities</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Long-term Debt</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The Company’s debt outstanding at March 31, 2021 and Se</w:t>
      </w:r>
      <w:r>
        <w:rPr>
          <w:rFonts w:eastAsia="Times New Roman"/>
          <w:color w:val="000000"/>
          <w:sz w:val="20"/>
          <w:szCs w:val="20"/>
        </w:rPr>
        <w:t>ptember 30, 2020, comprises the following:</w:t>
      </w:r>
    </w:p>
    <w:tbl>
      <w:tblPr>
        <w:tblW w:w="4846" w:type="pct"/>
        <w:jc w:val="center"/>
        <w:tblCellMar>
          <w:top w:w="15" w:type="dxa"/>
          <w:left w:w="15" w:type="dxa"/>
          <w:bottom w:w="15" w:type="dxa"/>
          <w:right w:w="15" w:type="dxa"/>
        </w:tblCellMar>
        <w:tblLook w:val="04A0" w:firstRow="1" w:lastRow="0" w:firstColumn="1" w:lastColumn="0" w:noHBand="0" w:noVBand="1"/>
      </w:tblPr>
      <w:tblGrid>
        <w:gridCol w:w="58"/>
        <w:gridCol w:w="1380"/>
        <w:gridCol w:w="38"/>
        <w:gridCol w:w="121"/>
        <w:gridCol w:w="766"/>
        <w:gridCol w:w="36"/>
        <w:gridCol w:w="36"/>
        <w:gridCol w:w="36"/>
        <w:gridCol w:w="36"/>
        <w:gridCol w:w="121"/>
        <w:gridCol w:w="964"/>
        <w:gridCol w:w="36"/>
        <w:gridCol w:w="36"/>
        <w:gridCol w:w="36"/>
        <w:gridCol w:w="36"/>
        <w:gridCol w:w="121"/>
        <w:gridCol w:w="823"/>
        <w:gridCol w:w="36"/>
        <w:gridCol w:w="36"/>
        <w:gridCol w:w="36"/>
        <w:gridCol w:w="36"/>
        <w:gridCol w:w="121"/>
        <w:gridCol w:w="605"/>
        <w:gridCol w:w="36"/>
        <w:gridCol w:w="36"/>
        <w:gridCol w:w="36"/>
        <w:gridCol w:w="36"/>
        <w:gridCol w:w="120"/>
        <w:gridCol w:w="350"/>
        <w:gridCol w:w="36"/>
        <w:gridCol w:w="36"/>
        <w:gridCol w:w="36"/>
        <w:gridCol w:w="36"/>
        <w:gridCol w:w="120"/>
        <w:gridCol w:w="500"/>
        <w:gridCol w:w="36"/>
        <w:gridCol w:w="36"/>
        <w:gridCol w:w="36"/>
        <w:gridCol w:w="36"/>
        <w:gridCol w:w="121"/>
        <w:gridCol w:w="821"/>
        <w:gridCol w:w="36"/>
      </w:tblGrid>
      <w:tr w:rsidR="00000000">
        <w:trPr>
          <w:divId w:val="1967854921"/>
          <w:jc w:val="center"/>
        </w:trPr>
        <w:tc>
          <w:tcPr>
            <w:tcW w:w="50" w:type="pct"/>
            <w:vAlign w:val="center"/>
            <w:hideMark/>
          </w:tcPr>
          <w:p w:rsidR="00000000" w:rsidRDefault="003F1733">
            <w:pPr>
              <w:jc w:val="both"/>
              <w:rPr>
                <w:rFonts w:eastAsia="Times New Roman"/>
              </w:rPr>
            </w:pPr>
          </w:p>
        </w:tc>
        <w:tc>
          <w:tcPr>
            <w:tcW w:w="1083"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3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4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4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2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14"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39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60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967854921"/>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March 31, 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September 30, 2020</w:t>
            </w:r>
          </w:p>
        </w:tc>
      </w:tr>
      <w:tr w:rsidR="00000000">
        <w:trPr>
          <w:divId w:val="1967854921"/>
          <w:jc w:val="center"/>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(Millions of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AmeriGas Propane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UGI International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 xml:space="preserve">Midstream &amp; </w:t>
            </w:r>
            <w:r>
              <w:rPr>
                <w:rFonts w:eastAsia="Times New Roman"/>
                <w:color w:val="000000"/>
                <w:sz w:val="20"/>
                <w:szCs w:val="20"/>
              </w:rPr>
              <w:t>Marketing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UGI Utilities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Corp &amp; 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Total</w:t>
            </w:r>
          </w:p>
        </w:tc>
      </w:tr>
      <w:tr w:rsidR="003F1733">
        <w:trPr>
          <w:divId w:val="1967854921"/>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Short-term borrowings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7854921"/>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967854921"/>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Long-term debt (including current maturities):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3F1733">
        <w:trPr>
          <w:divId w:val="1967854921"/>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Senior notes</w:t>
            </w: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2,575 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975 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3,961 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3,960 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7854921"/>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Term loans</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352 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688 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1,734 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1,741 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7854921"/>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Other long-term debt</w:t>
            </w: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967854921"/>
          <w:jc w:val="center"/>
        </w:trPr>
        <w:tc>
          <w:tcPr>
            <w:tcW w:w="0" w:type="auto"/>
            <w:gridSpan w:val="3"/>
            <w:shd w:val="clear" w:color="auto" w:fill="CCEE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Unamortized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1967854921"/>
          <w:jc w:val="center"/>
        </w:trPr>
        <w:tc>
          <w:tcPr>
            <w:tcW w:w="0" w:type="auto"/>
            <w:gridSpan w:val="3"/>
            <w:shd w:val="clear" w:color="auto" w:fill="FFFFFF"/>
            <w:tcMar>
              <w:top w:w="30" w:type="dxa"/>
              <w:left w:w="245" w:type="dxa"/>
              <w:bottom w:w="30" w:type="dxa"/>
              <w:right w:w="20" w:type="dxa"/>
            </w:tcMar>
            <w:vAlign w:val="bottom"/>
            <w:hideMark/>
          </w:tcPr>
          <w:p w:rsidR="00000000" w:rsidRDefault="003F1733">
            <w:pPr>
              <w:rPr>
                <w:rFonts w:eastAsia="Times New Roman"/>
              </w:rPr>
            </w:pPr>
            <w:r>
              <w:rPr>
                <w:rFonts w:eastAsia="Times New Roman"/>
                <w:color w:val="000000"/>
                <w:sz w:val="20"/>
                <w:szCs w:val="20"/>
              </w:rPr>
              <w:t>Total long-term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1,116 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3F1733">
        <w:trPr>
          <w:divId w:val="1967854921"/>
          <w:jc w:val="center"/>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Total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6,344 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6,381 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Credit Facilities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Additional information related to the Company’s credit agreements can be found in Item 7, “Management’s Discussion and Analysis of Financial Condition and Results of Operations,” and Note 6 to Consolidated Financial Statements in the Company’s 2020 Annual </w:t>
      </w:r>
      <w:r>
        <w:rPr>
          <w:rFonts w:eastAsia="Times New Roman"/>
          <w:color w:val="000000"/>
          <w:sz w:val="20"/>
          <w:szCs w:val="20"/>
        </w:rPr>
        <w:t>Report.</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Information about the Company’s principal credit agreements (excluding the Energy Services Receivables Facility discussed below) as of March 31, 2021 and 2020, is presented in the table below.</w:t>
      </w:r>
    </w:p>
    <w:tbl>
      <w:tblPr>
        <w:tblW w:w="4992" w:type="pct"/>
        <w:tblCellMar>
          <w:top w:w="15" w:type="dxa"/>
          <w:left w:w="15" w:type="dxa"/>
          <w:bottom w:w="15" w:type="dxa"/>
          <w:right w:w="15" w:type="dxa"/>
        </w:tblCellMar>
        <w:tblLook w:val="04A0" w:firstRow="1" w:lastRow="0" w:firstColumn="1" w:lastColumn="0" w:noHBand="0" w:noVBand="1"/>
      </w:tblPr>
      <w:tblGrid>
        <w:gridCol w:w="39"/>
        <w:gridCol w:w="3871"/>
        <w:gridCol w:w="38"/>
        <w:gridCol w:w="36"/>
        <w:gridCol w:w="36"/>
        <w:gridCol w:w="36"/>
        <w:gridCol w:w="121"/>
        <w:gridCol w:w="820"/>
        <w:gridCol w:w="36"/>
        <w:gridCol w:w="36"/>
        <w:gridCol w:w="36"/>
        <w:gridCol w:w="36"/>
        <w:gridCol w:w="121"/>
        <w:gridCol w:w="837"/>
        <w:gridCol w:w="36"/>
        <w:gridCol w:w="36"/>
        <w:gridCol w:w="36"/>
        <w:gridCol w:w="36"/>
        <w:gridCol w:w="121"/>
        <w:gridCol w:w="837"/>
        <w:gridCol w:w="36"/>
        <w:gridCol w:w="36"/>
        <w:gridCol w:w="36"/>
        <w:gridCol w:w="36"/>
        <w:gridCol w:w="121"/>
        <w:gridCol w:w="791"/>
        <w:gridCol w:w="36"/>
      </w:tblGrid>
      <w:tr w:rsidR="00000000">
        <w:trPr>
          <w:divId w:val="1769495736"/>
        </w:trPr>
        <w:tc>
          <w:tcPr>
            <w:tcW w:w="50" w:type="pct"/>
            <w:vAlign w:val="center"/>
            <w:hideMark/>
          </w:tcPr>
          <w:p w:rsidR="00000000" w:rsidRDefault="003F1733">
            <w:pPr>
              <w:jc w:val="both"/>
              <w:rPr>
                <w:rFonts w:eastAsia="Times New Roman"/>
              </w:rPr>
            </w:pPr>
          </w:p>
        </w:tc>
        <w:tc>
          <w:tcPr>
            <w:tcW w:w="236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769495736"/>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(Currency in millions)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Total Capacity</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Borrowings Outstanding</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Letters of Credit and Guarantees Outstanding</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Available Borrowing Capacity</w:t>
            </w:r>
          </w:p>
        </w:tc>
      </w:tr>
      <w:tr w:rsidR="00000000">
        <w:trPr>
          <w:divId w:val="176949573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As of March 31, 2021</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76949573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69495736"/>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International, LLC (a)</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6949573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Energy Services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69495736"/>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6949573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Corporation (b)</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69495736"/>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As of March 31, 2020</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76949573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336 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69495736"/>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International, LLC (a)</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69495736"/>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769495736"/>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176949573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Energy Services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69495736"/>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1769495736"/>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Corporation (b)</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280 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ind w:hanging="360"/>
        <w:jc w:val="both"/>
        <w:rPr>
          <w:rFonts w:eastAsia="Times New Roman"/>
        </w:rPr>
      </w:pPr>
      <w:r>
        <w:rPr>
          <w:rFonts w:eastAsia="Times New Roman"/>
          <w:color w:val="000000"/>
          <w:sz w:val="20"/>
          <w:szCs w:val="20"/>
        </w:rPr>
        <w:t>(a)Permits UGI International, LLC to borrow in euros or dollars. At March 31, 2020, the amount borrowed c</w:t>
      </w:r>
      <w:r>
        <w:rPr>
          <w:rFonts w:eastAsia="Times New Roman"/>
          <w:color w:val="000000"/>
          <w:sz w:val="20"/>
          <w:szCs w:val="20"/>
        </w:rPr>
        <w:t>onsisted of USD-denominated borrowings of $180 million.</w:t>
      </w:r>
    </w:p>
    <w:p w:rsidR="00000000" w:rsidRDefault="003F1733">
      <w:pPr>
        <w:ind w:hanging="360"/>
        <w:jc w:val="both"/>
        <w:rPr>
          <w:rFonts w:eastAsia="Times New Roman"/>
        </w:rPr>
      </w:pPr>
      <w:r>
        <w:rPr>
          <w:rFonts w:eastAsia="Times New Roman"/>
          <w:color w:val="000000"/>
          <w:sz w:val="20"/>
          <w:szCs w:val="20"/>
        </w:rPr>
        <w:t>(b)Borrowings outstanding have been classified as “Long-term debt” on the Condensed Consolidated Balance Sheets. In April 2021, the Company repaid $30 million of such borrowings and classified these r</w:t>
      </w:r>
      <w:r>
        <w:rPr>
          <w:rFonts w:eastAsia="Times New Roman"/>
          <w:color w:val="000000"/>
          <w:sz w:val="20"/>
          <w:szCs w:val="20"/>
        </w:rPr>
        <w:t>epayments as “Current maturities of long-term debt” on the March 31, 2021 Condensed Consolidated Balance Sheet.</w:t>
      </w:r>
    </w:p>
    <w:p w:rsidR="00000000" w:rsidRDefault="003F1733">
      <w:pPr>
        <w:divId w:val="686560831"/>
        <w:rPr>
          <w:rFonts w:eastAsia="Times New Roman"/>
        </w:rPr>
      </w:pPr>
    </w:p>
    <w:p w:rsidR="00000000" w:rsidRDefault="003F1733">
      <w:pPr>
        <w:jc w:val="center"/>
        <w:divId w:val="1988122437"/>
        <w:rPr>
          <w:rFonts w:eastAsia="Times New Roman"/>
        </w:rPr>
      </w:pPr>
      <w:r>
        <w:rPr>
          <w:rFonts w:eastAsia="Times New Roman"/>
          <w:color w:val="000000"/>
          <w:sz w:val="20"/>
          <w:szCs w:val="20"/>
        </w:rPr>
        <w:t>48</w:t>
      </w:r>
    </w:p>
    <w:p w:rsidR="00000000" w:rsidRDefault="003F1733">
      <w:pPr>
        <w:rPr>
          <w:rFonts w:eastAsia="Times New Roman"/>
        </w:rPr>
      </w:pPr>
      <w:r>
        <w:rPr>
          <w:rFonts w:eastAsia="Times New Roman"/>
        </w:rPr>
        <w:pict>
          <v:rect id="_x0000_i1074" style="width:0;height:1.5pt" o:hralign="center" o:hrstd="t" o:hr="t" fillcolor="#a0a0a0" stroked="f"/>
        </w:pict>
      </w:r>
    </w:p>
    <w:p w:rsidR="00000000" w:rsidRDefault="003F1733">
      <w:pPr>
        <w:divId w:val="100078973"/>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977904697"/>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The average daily and peak short-term borrowings under the Company’s principal credit agreements are as follows:</w:t>
      </w:r>
    </w:p>
    <w:tbl>
      <w:tblPr>
        <w:tblW w:w="4992" w:type="pct"/>
        <w:tblCellMar>
          <w:top w:w="15" w:type="dxa"/>
          <w:left w:w="15" w:type="dxa"/>
          <w:bottom w:w="15" w:type="dxa"/>
          <w:right w:w="15" w:type="dxa"/>
        </w:tblCellMar>
        <w:tblLook w:val="04A0" w:firstRow="1" w:lastRow="0" w:firstColumn="1" w:lastColumn="0" w:noHBand="0" w:noVBand="1"/>
      </w:tblPr>
      <w:tblGrid>
        <w:gridCol w:w="39"/>
        <w:gridCol w:w="3871"/>
        <w:gridCol w:w="38"/>
        <w:gridCol w:w="36"/>
        <w:gridCol w:w="36"/>
        <w:gridCol w:w="36"/>
        <w:gridCol w:w="121"/>
        <w:gridCol w:w="820"/>
        <w:gridCol w:w="37"/>
        <w:gridCol w:w="36"/>
        <w:gridCol w:w="36"/>
        <w:gridCol w:w="36"/>
        <w:gridCol w:w="120"/>
        <w:gridCol w:w="821"/>
        <w:gridCol w:w="36"/>
        <w:gridCol w:w="36"/>
        <w:gridCol w:w="36"/>
        <w:gridCol w:w="36"/>
        <w:gridCol w:w="121"/>
        <w:gridCol w:w="822"/>
        <w:gridCol w:w="37"/>
        <w:gridCol w:w="36"/>
        <w:gridCol w:w="36"/>
        <w:gridCol w:w="36"/>
        <w:gridCol w:w="120"/>
        <w:gridCol w:w="822"/>
        <w:gridCol w:w="36"/>
      </w:tblGrid>
      <w:tr w:rsidR="00000000">
        <w:trPr>
          <w:divId w:val="699279653"/>
        </w:trPr>
        <w:tc>
          <w:tcPr>
            <w:tcW w:w="50" w:type="pct"/>
            <w:vAlign w:val="center"/>
            <w:hideMark/>
          </w:tcPr>
          <w:p w:rsidR="00000000" w:rsidRDefault="003F1733">
            <w:pPr>
              <w:jc w:val="both"/>
              <w:rPr>
                <w:rFonts w:eastAsia="Times New Roman"/>
              </w:rPr>
            </w:pPr>
          </w:p>
        </w:tc>
        <w:tc>
          <w:tcPr>
            <w:tcW w:w="236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5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699279653"/>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3F1733">
            <w:pPr>
              <w:jc w:val="center"/>
              <w:rPr>
                <w:rFonts w:eastAsia="Times New Roman"/>
              </w:rPr>
            </w:pPr>
            <w:r>
              <w:rPr>
                <w:rFonts w:eastAsia="Times New Roman"/>
                <w:color w:val="000000"/>
                <w:sz w:val="18"/>
                <w:szCs w:val="18"/>
              </w:rPr>
              <w:t xml:space="preserve">For the six months ended </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3F1733">
            <w:pPr>
              <w:jc w:val="center"/>
              <w:rPr>
                <w:rFonts w:eastAsia="Times New Roman"/>
              </w:rPr>
            </w:pPr>
            <w:r>
              <w:rPr>
                <w:rFonts w:eastAsia="Times New Roman"/>
                <w:color w:val="000000"/>
                <w:sz w:val="18"/>
                <w:szCs w:val="18"/>
              </w:rPr>
              <w:t xml:space="preserve">For the six months ended </w:t>
            </w:r>
          </w:p>
        </w:tc>
      </w:tr>
      <w:tr w:rsidR="00000000">
        <w:trPr>
          <w:divId w:val="699279653"/>
        </w:trPr>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3F1733">
            <w:pPr>
              <w:jc w:val="center"/>
              <w:rPr>
                <w:rFonts w:eastAsia="Times New Roman"/>
              </w:rPr>
            </w:pPr>
            <w:r>
              <w:rPr>
                <w:rFonts w:eastAsia="Times New Roman"/>
                <w:color w:val="000000"/>
                <w:sz w:val="18"/>
                <w:szCs w:val="18"/>
              </w:rPr>
              <w:t>March 31, 2021</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3F1733">
            <w:pPr>
              <w:jc w:val="center"/>
              <w:rPr>
                <w:rFonts w:eastAsia="Times New Roman"/>
              </w:rPr>
            </w:pPr>
            <w:r>
              <w:rPr>
                <w:rFonts w:eastAsia="Times New Roman"/>
                <w:color w:val="000000"/>
                <w:sz w:val="18"/>
                <w:szCs w:val="18"/>
              </w:rPr>
              <w:t>March 31, 2020</w:t>
            </w:r>
          </w:p>
        </w:tc>
      </w:tr>
      <w:tr w:rsidR="00000000">
        <w:trPr>
          <w:divId w:val="699279653"/>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8"/>
                <w:szCs w:val="18"/>
              </w:rPr>
              <w:t>(Millions of dollars or euros)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Peak</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18"/>
                <w:szCs w:val="18"/>
              </w:rPr>
              <w:t>Peak</w:t>
            </w:r>
          </w:p>
        </w:tc>
      </w:tr>
      <w:tr w:rsidR="00000000">
        <w:trPr>
          <w:divId w:val="69927965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699279653"/>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International, LLC</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699279653"/>
        </w:trPr>
        <w:tc>
          <w:tcPr>
            <w:tcW w:w="0" w:type="auto"/>
            <w:gridSpan w:val="3"/>
            <w:vAlign w:val="center"/>
            <w:hideMark/>
          </w:tcPr>
          <w:p w:rsidR="00000000" w:rsidRDefault="003F1733">
            <w:pPr>
              <w:jc w:val="right"/>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699279653"/>
        </w:trPr>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c>
          <w:tcPr>
            <w:tcW w:w="0" w:type="auto"/>
            <w:gridSpan w:val="3"/>
            <w:vAlign w:val="center"/>
            <w:hideMark/>
          </w:tcPr>
          <w:p w:rsidR="00000000" w:rsidRDefault="003F1733">
            <w:pPr>
              <w:rPr>
                <w:rFonts w:eastAsia="Times New Roman"/>
                <w:sz w:val="20"/>
                <w:szCs w:val="20"/>
              </w:rPr>
            </w:pPr>
          </w:p>
        </w:tc>
      </w:tr>
      <w:tr w:rsidR="00000000">
        <w:trPr>
          <w:divId w:val="699279653"/>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Energy Services</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699279653"/>
        </w:trPr>
        <w:tc>
          <w:tcPr>
            <w:tcW w:w="0" w:type="auto"/>
            <w:gridSpan w:val="3"/>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228 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290 </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699279653"/>
        </w:trPr>
        <w:tc>
          <w:tcPr>
            <w:tcW w:w="0" w:type="auto"/>
            <w:gridSpan w:val="3"/>
            <w:shd w:val="clear" w:color="auto" w:fill="FFFF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UGI Corporation</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265 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290 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Receivables Facility. </w:t>
      </w:r>
      <w:r>
        <w:rPr>
          <w:rFonts w:eastAsia="Times New Roman"/>
          <w:color w:val="000000"/>
          <w:sz w:val="20"/>
          <w:szCs w:val="20"/>
        </w:rPr>
        <w:t>Energy Services has a Receivables Facility with an issuer of receivables-backed commercial paper currently scheduled to expire in October 22, 2021. At March 31, 2021, the outstanding balance of ESFC trade receivables was $81 million, of which $17 million w</w:t>
      </w:r>
      <w:r>
        <w:rPr>
          <w:rFonts w:eastAsia="Times New Roman"/>
          <w:color w:val="000000"/>
          <w:sz w:val="20"/>
          <w:szCs w:val="20"/>
        </w:rPr>
        <w:t>as sold to the bank. At March 31, 2020, the outstanding balance of ESFC trade receivables was $86 million, of which $43 million was sold to the bank. Amounts sold to the bank are reflected as “Short-term borrowings” on the Condensed Consolidated Balance Sh</w:t>
      </w:r>
      <w:r>
        <w:rPr>
          <w:rFonts w:eastAsia="Times New Roman"/>
          <w:color w:val="000000"/>
          <w:sz w:val="20"/>
          <w:szCs w:val="20"/>
        </w:rPr>
        <w:t>eets. During the six months ended March 31, 2021 and 2020, peak sales of receivables were $87 million and $97 million, respectively, and average daily amounts sold were $38 million and $55 million, respectively.</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Subsequent Event</w:t>
      </w:r>
    </w:p>
    <w:p w:rsidR="00000000" w:rsidRDefault="003F1733">
      <w:pPr>
        <w:divId w:val="377894402"/>
        <w:rPr>
          <w:rFonts w:eastAsia="Times New Roman"/>
        </w:rPr>
      </w:pPr>
    </w:p>
    <w:p w:rsidR="00000000" w:rsidRDefault="003F1733">
      <w:pPr>
        <w:jc w:val="both"/>
        <w:rPr>
          <w:rFonts w:eastAsia="Times New Roman"/>
        </w:rPr>
      </w:pPr>
      <w:r>
        <w:rPr>
          <w:rFonts w:eastAsia="Times New Roman"/>
          <w:b/>
          <w:bCs/>
          <w:i/>
          <w:iCs/>
          <w:color w:val="000000"/>
          <w:sz w:val="20"/>
          <w:szCs w:val="20"/>
        </w:rPr>
        <w:t xml:space="preserve">UGI Corporation Senior </w:t>
      </w:r>
      <w:r>
        <w:rPr>
          <w:rFonts w:eastAsia="Times New Roman"/>
          <w:b/>
          <w:bCs/>
          <w:i/>
          <w:iCs/>
          <w:color w:val="000000"/>
          <w:sz w:val="20"/>
          <w:szCs w:val="20"/>
        </w:rPr>
        <w:t xml:space="preserve">Credit Facility. </w:t>
      </w:r>
      <w:r>
        <w:rPr>
          <w:rFonts w:eastAsia="Times New Roman"/>
          <w:color w:val="000000"/>
          <w:sz w:val="20"/>
          <w:szCs w:val="20"/>
        </w:rPr>
        <w:t>On May 4, 2021, UGI amended the existing UGI Corporation Senior Credit Facility. The 2021 UGI Corporation Senior Credit Facility (1) extends the maturity date of the previous three-year $300 million term loan included in the existing UGI C</w:t>
      </w:r>
      <w:r>
        <w:rPr>
          <w:rFonts w:eastAsia="Times New Roman"/>
          <w:color w:val="000000"/>
          <w:sz w:val="20"/>
          <w:szCs w:val="20"/>
        </w:rPr>
        <w:t xml:space="preserve">orporation Senior Credit Facility, which is now due in May 2025; and (2) includes a new four-year $300 million term loan commitment. Proceeds from new borrowings under the 2021 UGI Corporation Senior Credit Facility may be used to finance a portion of the </w:t>
      </w:r>
      <w:r>
        <w:rPr>
          <w:rFonts w:eastAsia="Times New Roman"/>
          <w:color w:val="000000"/>
          <w:sz w:val="20"/>
          <w:szCs w:val="20"/>
        </w:rPr>
        <w:t>Mountaineer Acquisition and for general corporate purposes.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New borrowings under the 2021 UGI Corporation Senior Credit Facility bear interest subject to our election, at either (1) the associated prime rate plus a margin or (2) an adjusted LIBOR or an a</w:t>
      </w:r>
      <w:r>
        <w:rPr>
          <w:rFonts w:eastAsia="Times New Roman"/>
          <w:color w:val="000000"/>
          <w:sz w:val="20"/>
          <w:szCs w:val="20"/>
        </w:rPr>
        <w:t>lternate benchmark rate plus a margin and are due in their entirety at the maturity date. The applicable margin on the new borrowings, which is dependent upon a ratio of consolidated net indebtedness to consolidated EBITDA, as defined, or UGI’s credit rati</w:t>
      </w:r>
      <w:r>
        <w:rPr>
          <w:rFonts w:eastAsia="Times New Roman"/>
          <w:color w:val="000000"/>
          <w:sz w:val="20"/>
          <w:szCs w:val="20"/>
        </w:rPr>
        <w:t>ngs, ranges from 0.125% to 1.50% if the prime rate option is elected and 1.125% to 2.50% if the LIBOR option is elected.</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Dividends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On May 5, 2021, UGI’s Board of Directors approved an increase in the quarterly dividend rate on UGI Common Stock to $0.34</w:t>
      </w:r>
      <w:r>
        <w:rPr>
          <w:rFonts w:eastAsia="Times New Roman"/>
          <w:color w:val="000000"/>
          <w:sz w:val="20"/>
          <w:szCs w:val="20"/>
        </w:rPr>
        <w:t xml:space="preserve">5 per Common Share, or $1.38 on an annual basis. The new dividend rate reflects an approximate 4.5% increase from the previous quarterly rate of $0.33. The new quarterly dividend rate is effective with the dividend payable on July 1, 2021, to shareholders </w:t>
      </w:r>
      <w:r>
        <w:rPr>
          <w:rFonts w:eastAsia="Times New Roman"/>
          <w:color w:val="000000"/>
          <w:sz w:val="20"/>
          <w:szCs w:val="20"/>
        </w:rPr>
        <w:t>of record on June 15, 2021.</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 xml:space="preserve">Cash Flows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Due to the seasonal nature of the Company’</w:t>
      </w:r>
      <w:r>
        <w:rPr>
          <w:rFonts w:eastAsia="Times New Roman"/>
          <w:color w:val="000000"/>
          <w:sz w:val="20"/>
          <w:szCs w:val="20"/>
        </w:rPr>
        <w:t>s businesses, cash flows from operating activities are generally strongest during the second and third fiscal quarters when customers pay for natural gas, LPG, electricity and other energy products and services consumed during the peak heating season month</w:t>
      </w:r>
      <w:r>
        <w:rPr>
          <w:rFonts w:eastAsia="Times New Roman"/>
          <w:color w:val="000000"/>
          <w:sz w:val="20"/>
          <w:szCs w:val="20"/>
        </w:rPr>
        <w:t>s. Conversely, operating cash flows are generally at their lowest levels during the fourth and first fiscal quarters when the Company’s investment in working capital, principally inventories and accounts receivable, is generally greatest.</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Operating Activ</w:t>
      </w:r>
      <w:r>
        <w:rPr>
          <w:rFonts w:eastAsia="Times New Roman"/>
          <w:b/>
          <w:bCs/>
          <w:i/>
          <w:iCs/>
          <w:color w:val="000000"/>
          <w:sz w:val="20"/>
          <w:szCs w:val="20"/>
        </w:rPr>
        <w:t>ities.</w:t>
      </w:r>
      <w:r>
        <w:rPr>
          <w:rFonts w:eastAsia="Times New Roman"/>
          <w:i/>
          <w:iCs/>
          <w:color w:val="000000"/>
          <w:sz w:val="20"/>
          <w:szCs w:val="20"/>
        </w:rPr>
        <w:t xml:space="preserve"> </w:t>
      </w:r>
      <w:r>
        <w:rPr>
          <w:rFonts w:eastAsia="Times New Roman"/>
          <w:color w:val="000000"/>
          <w:sz w:val="20"/>
          <w:szCs w:val="20"/>
        </w:rPr>
        <w:t xml:space="preserve">Year-to-year variations in our cash flows from operating activities can be significantly affected by changes in operating working capital especially during periods with significant changes in energy commodity prices. Cash flow provided by operating </w:t>
      </w:r>
      <w:r>
        <w:rPr>
          <w:rFonts w:eastAsia="Times New Roman"/>
          <w:color w:val="000000"/>
          <w:sz w:val="20"/>
          <w:szCs w:val="20"/>
        </w:rPr>
        <w:t>activities was $646 million in the 2021 six-month period compared to $562 million in the 2020 six-month period. Cash flow from operating activities before changes in operating working capital was $1,082 million in the 2021 six-month period compared to $803</w:t>
      </w:r>
      <w:r>
        <w:rPr>
          <w:rFonts w:eastAsia="Times New Roman"/>
          <w:color w:val="000000"/>
          <w:sz w:val="20"/>
          <w:szCs w:val="20"/>
        </w:rPr>
        <w:t xml:space="preserve"> million in the 2020 six-month period</w:t>
      </w:r>
      <w:r>
        <w:rPr>
          <w:rFonts w:eastAsia="Times New Roman"/>
          <w:color w:val="000000"/>
          <w:sz w:val="20"/>
          <w:szCs w:val="20"/>
          <w:shd w:val="clear" w:color="auto" w:fill="FFFFFF"/>
        </w:rPr>
        <w:t xml:space="preserve">. The higher cash flow from operating activities before changes in working capital reflects, in large part, higher cash flow before changes in operating working capital from UGI International and Midstream &amp; Marketing. </w:t>
      </w:r>
      <w:r>
        <w:rPr>
          <w:rFonts w:eastAsia="Times New Roman"/>
          <w:color w:val="000000"/>
          <w:sz w:val="20"/>
          <w:szCs w:val="20"/>
          <w:shd w:val="clear" w:color="auto" w:fill="FFFFFF"/>
        </w:rPr>
        <w:t xml:space="preserve">Cash used to fund changes in </w:t>
      </w:r>
      <w:r>
        <w:rPr>
          <w:rFonts w:eastAsia="Times New Roman"/>
          <w:color w:val="000000"/>
          <w:sz w:val="20"/>
          <w:szCs w:val="20"/>
        </w:rPr>
        <w:t>operating working capital totaled $436 million in the 2021 six-month period compared to $241 million in the 2020 six-month period. Changes in operating working capital during the 2021 six-month period reflects, among other thin</w:t>
      </w:r>
      <w:r>
        <w:rPr>
          <w:rFonts w:eastAsia="Times New Roman"/>
          <w:color w:val="000000"/>
          <w:sz w:val="20"/>
          <w:szCs w:val="20"/>
        </w:rPr>
        <w:t xml:space="preserve">gs, an increase in cash required to fund changes in accounts receivable and </w:t>
      </w:r>
    </w:p>
    <w:p w:rsidR="00000000" w:rsidRDefault="003F1733">
      <w:pPr>
        <w:jc w:val="center"/>
        <w:divId w:val="276912062"/>
        <w:rPr>
          <w:rFonts w:eastAsia="Times New Roman"/>
        </w:rPr>
      </w:pPr>
      <w:r>
        <w:rPr>
          <w:rFonts w:eastAsia="Times New Roman"/>
          <w:color w:val="000000"/>
          <w:sz w:val="20"/>
          <w:szCs w:val="20"/>
        </w:rPr>
        <w:t>49</w:t>
      </w:r>
    </w:p>
    <w:p w:rsidR="00000000" w:rsidRDefault="003F1733">
      <w:pPr>
        <w:rPr>
          <w:rFonts w:eastAsia="Times New Roman"/>
        </w:rPr>
      </w:pPr>
      <w:r>
        <w:rPr>
          <w:rFonts w:eastAsia="Times New Roman"/>
        </w:rPr>
        <w:pict>
          <v:rect id="_x0000_i1075" style="width:0;height:1.5pt" o:hralign="center" o:hrstd="t" o:hr="t" fillcolor="#a0a0a0" stroked="f"/>
        </w:pict>
      </w:r>
    </w:p>
    <w:p w:rsidR="00000000" w:rsidRDefault="003F1733">
      <w:pPr>
        <w:divId w:val="957563228"/>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999336714"/>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inventories due to rising commo</w:t>
      </w:r>
      <w:r>
        <w:rPr>
          <w:rFonts w:eastAsia="Times New Roman"/>
          <w:color w:val="000000"/>
          <w:sz w:val="20"/>
          <w:szCs w:val="20"/>
        </w:rPr>
        <w:t>dity prices during the 2021 six-month period, as well as increases in cash required to fund changes in income taxes receivable, other current assets and other current liabilities. These changes were partially offset by cash generated from changes in accoun</w:t>
      </w:r>
      <w:r>
        <w:rPr>
          <w:rFonts w:eastAsia="Times New Roman"/>
          <w:color w:val="000000"/>
          <w:sz w:val="20"/>
          <w:szCs w:val="20"/>
        </w:rPr>
        <w:t>ts payable and cash received for commodity derivative instrument collateral deposits in the 2021 six-month period as compared to cash collateral paid in the 2020 six-month period.</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Investing Activities.</w:t>
      </w:r>
      <w:r>
        <w:rPr>
          <w:rFonts w:eastAsia="Times New Roman"/>
          <w:i/>
          <w:iCs/>
          <w:color w:val="000000"/>
          <w:sz w:val="20"/>
          <w:szCs w:val="20"/>
        </w:rPr>
        <w:t xml:space="preserve"> </w:t>
      </w:r>
      <w:r>
        <w:rPr>
          <w:rFonts w:eastAsia="Times New Roman"/>
          <w:color w:val="000000"/>
          <w:sz w:val="20"/>
          <w:szCs w:val="20"/>
        </w:rPr>
        <w:t>Cash flow used by investing activities was $357 mill</w:t>
      </w:r>
      <w:r>
        <w:rPr>
          <w:rFonts w:eastAsia="Times New Roman"/>
          <w:color w:val="000000"/>
          <w:sz w:val="20"/>
          <w:szCs w:val="20"/>
        </w:rPr>
        <w:t>ion in the 2021 three-month period compared to $327 million in the 2020 six-month period. Investing activity cash flow is principally affected by cash expenditures for property, plant and equipment; cash paid for acquisitions of businesses and assets; inve</w:t>
      </w:r>
      <w:r>
        <w:rPr>
          <w:rFonts w:eastAsia="Times New Roman"/>
          <w:color w:val="000000"/>
          <w:sz w:val="20"/>
          <w:szCs w:val="20"/>
        </w:rPr>
        <w:t>stments in investees; and proceeds from sales of assets and businesses. Cash expenditures for property, plant and equipment were $304 million in the 2021 six-month period compared with $342 million in the 2020 six-month period. Cash used for acquisitions o</w:t>
      </w:r>
      <w:r>
        <w:rPr>
          <w:rFonts w:eastAsia="Times New Roman"/>
          <w:color w:val="000000"/>
          <w:sz w:val="20"/>
          <w:szCs w:val="20"/>
        </w:rPr>
        <w:t>f businesses and assets in the 2021 six-month period reflects UGI International’s acquisition of an LPG retail business in Europe. Cash used for investments in equity method investees in the 2021 six-month period includes contributions to Pine Run of $56 m</w:t>
      </w:r>
      <w:r>
        <w:rPr>
          <w:rFonts w:eastAsia="Times New Roman"/>
          <w:color w:val="000000"/>
          <w:sz w:val="20"/>
          <w:szCs w:val="20"/>
        </w:rPr>
        <w:t>illion to fund the acquisition of Pine Run Midstream, LLC.</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Financing Activities.</w:t>
      </w:r>
      <w:r>
        <w:rPr>
          <w:rFonts w:eastAsia="Times New Roman"/>
          <w:color w:val="000000"/>
          <w:sz w:val="20"/>
          <w:szCs w:val="20"/>
        </w:rPr>
        <w:t xml:space="preserve"> Cash flow used to fund financing activities was $174 million in the 2021 six-month period compared with $348 million in the 2020 six-month period. Changes in cash flow from </w:t>
      </w:r>
      <w:r>
        <w:rPr>
          <w:rFonts w:eastAsia="Times New Roman"/>
          <w:color w:val="000000"/>
          <w:sz w:val="20"/>
          <w:szCs w:val="20"/>
        </w:rPr>
        <w:t>financing activities are primarily due to issuances and repayments of long-term debt; net short-term borrowings/repayments; dividends on UGI Common Stock; and issuances and repurchases of UGI Common Stock. The change in cash flows used to fund financing ac</w:t>
      </w:r>
      <w:r>
        <w:rPr>
          <w:rFonts w:eastAsia="Times New Roman"/>
          <w:color w:val="000000"/>
          <w:sz w:val="20"/>
          <w:szCs w:val="20"/>
        </w:rPr>
        <w:t>tivities is primarily attributable to $7 million of net repayments on revolving facility agreements and the Receivables Facility in the 2021 six-month period as compared to $143 million in the 2020 six-month period. Cash used to fund changes in financing a</w:t>
      </w:r>
      <w:r>
        <w:rPr>
          <w:rFonts w:eastAsia="Times New Roman"/>
          <w:color w:val="000000"/>
          <w:sz w:val="20"/>
          <w:szCs w:val="20"/>
        </w:rPr>
        <w:t>ctivities in the 2020 six-month period includes $38 million of cash paid to repurchase UGI Common Stock.</w:t>
      </w:r>
    </w:p>
    <w:p w:rsidR="00000000" w:rsidRDefault="003F1733">
      <w:pPr>
        <w:jc w:val="both"/>
        <w:rPr>
          <w:rFonts w:eastAsia="Times New Roman"/>
        </w:rPr>
      </w:pPr>
    </w:p>
    <w:p w:rsidR="00000000" w:rsidRDefault="003F1733">
      <w:pPr>
        <w:jc w:val="both"/>
        <w:rPr>
          <w:rFonts w:eastAsia="Times New Roman"/>
        </w:rPr>
      </w:pPr>
      <w:r>
        <w:rPr>
          <w:rFonts w:eastAsia="Times New Roman"/>
          <w:b/>
          <w:bCs/>
          <w:color w:val="000000"/>
          <w:sz w:val="20"/>
          <w:szCs w:val="20"/>
        </w:rPr>
        <w:t>UTILITY REGULATORY MATTERS</w:t>
      </w:r>
    </w:p>
    <w:p w:rsidR="00000000" w:rsidRDefault="003F1733">
      <w:pPr>
        <w:jc w:val="both"/>
        <w:rPr>
          <w:rFonts w:eastAsia="Times New Roman"/>
        </w:rPr>
      </w:pPr>
    </w:p>
    <w:p w:rsidR="00000000" w:rsidRDefault="003F1733">
      <w:pPr>
        <w:jc w:val="both"/>
        <w:rPr>
          <w:rFonts w:eastAsia="Times New Roman"/>
        </w:rPr>
      </w:pPr>
      <w:r>
        <w:rPr>
          <w:rFonts w:eastAsia="Times New Roman"/>
          <w:b/>
          <w:bCs/>
          <w:i/>
          <w:iCs/>
          <w:color w:val="000000"/>
          <w:sz w:val="20"/>
          <w:szCs w:val="20"/>
        </w:rPr>
        <w:t>Base Rate Filings.</w:t>
      </w:r>
      <w:r>
        <w:rPr>
          <w:rFonts w:eastAsia="Times New Roman"/>
          <w:color w:val="000000"/>
          <w:sz w:val="20"/>
          <w:szCs w:val="20"/>
        </w:rPr>
        <w:t> On February 8, 2021, Electric Utility filed a rate request with the PAPUC to increase its annual base</w:t>
      </w:r>
      <w:r>
        <w:rPr>
          <w:rFonts w:eastAsia="Times New Roman"/>
          <w:color w:val="000000"/>
          <w:sz w:val="20"/>
          <w:szCs w:val="20"/>
        </w:rPr>
        <w:t xml:space="preserve"> distribution revenues by $9 million. The increased revenues would fund ongoing system improvements and operations necessary to maintain safe and reliable electric service. Electric Utility requested that the new electric rates become effective April 9, 20</w:t>
      </w:r>
      <w:r>
        <w:rPr>
          <w:rFonts w:eastAsia="Times New Roman"/>
          <w:color w:val="000000"/>
          <w:sz w:val="20"/>
          <w:szCs w:val="20"/>
        </w:rPr>
        <w:t>21. The PAPUC entered an Order on March 11, 2021, suspending the effective date for the rate increase to allow for investigation and public hearings. Unless a settlement is reached sooner, the review process is expected to last up to nine months from the d</w:t>
      </w:r>
      <w:r>
        <w:rPr>
          <w:rFonts w:eastAsia="Times New Roman"/>
          <w:color w:val="000000"/>
          <w:sz w:val="20"/>
          <w:szCs w:val="20"/>
        </w:rPr>
        <w:t>ate of filing. The Company cannot predict the timing or the ultimate outcome of the rate case review process.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On January 28, 2020, Gas Utility filed a request with the PAPUC to increase its annual base distribution operating revenues by $75 million annua</w:t>
      </w:r>
      <w:r>
        <w:rPr>
          <w:rFonts w:eastAsia="Times New Roman"/>
          <w:color w:val="000000"/>
          <w:sz w:val="20"/>
          <w:szCs w:val="20"/>
        </w:rPr>
        <w:t>lly. On October 8, 2020, the PAPUC issued a final Order approving a settlement that permits Gas Utility to increase its annual base distribution rates by $20 million, through a phased approach, with $10 million beginning January 1, 2021 and an additional $</w:t>
      </w:r>
      <w:r>
        <w:rPr>
          <w:rFonts w:eastAsia="Times New Roman"/>
          <w:color w:val="000000"/>
          <w:sz w:val="20"/>
          <w:szCs w:val="20"/>
        </w:rPr>
        <w:t>10 million beginning July 1, 2021. Additionally, Gas Utility was authorized to implement a DSIC once Gas Utility total property, plant and equipment less accumulated depreciation reached $2,875 million. This threshold was achieved in December 2020, and Gas</w:t>
      </w:r>
      <w:r>
        <w:rPr>
          <w:rFonts w:eastAsia="Times New Roman"/>
          <w:color w:val="000000"/>
          <w:sz w:val="20"/>
          <w:szCs w:val="20"/>
        </w:rPr>
        <w:t xml:space="preserve"> Utility implemented a DSIC effective on April 1, 2021. The PAPUC’s final Order also includes enhanced COVID-19 customer assistance measures, including the establishment of an Emergency Relief Program for a defined set of payment troubled customers (“ERP”)</w:t>
      </w:r>
      <w:r>
        <w:rPr>
          <w:rFonts w:eastAsia="Times New Roman"/>
          <w:color w:val="000000"/>
          <w:sz w:val="20"/>
          <w:szCs w:val="20"/>
        </w:rPr>
        <w:t>. Additionally, the PAPUC’s final Order permits Gas Utility to establish a regulatory asset for certain incremental expenses attributable to the ongoing COVID-19 pandemic, most notably expenses related to the ERP and uncollectible accounts expense, through</w:t>
      </w:r>
      <w:r>
        <w:rPr>
          <w:rFonts w:eastAsia="Times New Roman"/>
          <w:color w:val="000000"/>
          <w:sz w:val="20"/>
          <w:szCs w:val="20"/>
        </w:rPr>
        <w:t xml:space="preserve"> the effective date of rates in the next Gas Utility base rate case, to be recovered and amortized over a 10-year period. In accordance with the terms of the PAPUC’s final Order, Gas Utility is not permitted to file a rate case prior to January 1, 2022.</w:t>
      </w:r>
    </w:p>
    <w:p w:rsidR="00000000" w:rsidRDefault="003F1733">
      <w:pPr>
        <w:divId w:val="462773301"/>
        <w:rPr>
          <w:rFonts w:eastAsia="Times New Roman"/>
        </w:rPr>
      </w:pPr>
    </w:p>
    <w:p w:rsidR="00000000" w:rsidRDefault="003F1733">
      <w:pPr>
        <w:jc w:val="both"/>
        <w:rPr>
          <w:rFonts w:eastAsia="Times New Roman"/>
        </w:rPr>
      </w:pPr>
    </w:p>
    <w:p w:rsidR="00000000" w:rsidRDefault="003F1733">
      <w:pPr>
        <w:jc w:val="both"/>
        <w:rPr>
          <w:rFonts w:eastAsia="Times New Roman"/>
        </w:rPr>
      </w:pPr>
    </w:p>
    <w:p w:rsidR="00000000" w:rsidRDefault="003F1733">
      <w:pPr>
        <w:jc w:val="both"/>
        <w:rPr>
          <w:rFonts w:eastAsia="Times New Roman"/>
        </w:rPr>
      </w:pPr>
    </w:p>
    <w:p w:rsidR="00000000" w:rsidRDefault="003F1733">
      <w:pPr>
        <w:jc w:val="both"/>
        <w:rPr>
          <w:rFonts w:eastAsia="Times New Roman"/>
        </w:rPr>
      </w:pPr>
    </w:p>
    <w:p w:rsidR="00000000" w:rsidRDefault="003F1733">
      <w:pPr>
        <w:jc w:val="both"/>
        <w:rPr>
          <w:rFonts w:eastAsia="Times New Roman"/>
        </w:rPr>
      </w:pPr>
    </w:p>
    <w:p w:rsidR="00000000" w:rsidRDefault="003F1733">
      <w:pPr>
        <w:jc w:val="center"/>
        <w:divId w:val="2107186610"/>
        <w:rPr>
          <w:rFonts w:eastAsia="Times New Roman"/>
        </w:rPr>
      </w:pPr>
      <w:r>
        <w:rPr>
          <w:rFonts w:eastAsia="Times New Roman"/>
          <w:color w:val="000000"/>
          <w:sz w:val="20"/>
          <w:szCs w:val="20"/>
        </w:rPr>
        <w:t>50</w:t>
      </w:r>
    </w:p>
    <w:p w:rsidR="00000000" w:rsidRDefault="003F1733">
      <w:pPr>
        <w:rPr>
          <w:rFonts w:eastAsia="Times New Roman"/>
        </w:rPr>
      </w:pPr>
      <w:r>
        <w:rPr>
          <w:rFonts w:eastAsia="Times New Roman"/>
        </w:rPr>
        <w:pict>
          <v:rect id="_x0000_i1076" style="width:0;height:1.5pt" o:hralign="center" o:hrstd="t" o:hr="t" fillcolor="#a0a0a0" stroked="f"/>
        </w:pict>
      </w:r>
    </w:p>
    <w:p w:rsidR="00000000" w:rsidRDefault="003F1733">
      <w:pPr>
        <w:divId w:val="1508131061"/>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221216499"/>
        <w:rPr>
          <w:rFonts w:eastAsia="Times New Roman"/>
        </w:rPr>
      </w:pPr>
      <w:r>
        <w:rPr>
          <w:rFonts w:eastAsia="Times New Roman"/>
          <w:b/>
          <w:bCs/>
          <w:color w:val="000000"/>
          <w:sz w:val="20"/>
          <w:szCs w:val="20"/>
        </w:rPr>
        <w:t>UGI CORPORATION AND SUBSIDIARIES</w:t>
      </w:r>
    </w:p>
    <w:p w:rsidR="00000000" w:rsidRDefault="003F1733">
      <w:pPr>
        <w:divId w:val="1342396022"/>
        <w:rPr>
          <w:rFonts w:eastAsia="Times New Roman"/>
        </w:rPr>
      </w:pPr>
      <w:r>
        <w:rPr>
          <w:rFonts w:eastAsia="Times New Roman"/>
          <w:b/>
          <w:bCs/>
          <w:color w:val="000000"/>
          <w:sz w:val="20"/>
          <w:szCs w:val="20"/>
        </w:rPr>
        <w:t>ITEM </w:t>
      </w:r>
      <w:r>
        <w:rPr>
          <w:rFonts w:eastAsia="Times New Roman"/>
          <w:b/>
          <w:bCs/>
          <w:color w:val="000000"/>
          <w:sz w:val="20"/>
          <w:szCs w:val="20"/>
        </w:rPr>
        <w:t>3. QUANTITATIVE AND QUALITATIVE DISCLOSURES ABOUT MARKET RISK</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Our primary market risk exposures are (1) commodity price risk; (2) interest rate risk; and (3) foreign currency exchange rate risk. Although we use derivative financial and commodity instrume</w:t>
      </w:r>
      <w:r>
        <w:rPr>
          <w:rFonts w:eastAsia="Times New Roman"/>
          <w:color w:val="000000"/>
          <w:sz w:val="20"/>
          <w:szCs w:val="20"/>
        </w:rPr>
        <w:t>nts to reduce market price risk associated with forecasted transactions, we do not use derivative financial and commodity instruments for speculative or trading purposes.</w:t>
      </w:r>
    </w:p>
    <w:p w:rsidR="00000000" w:rsidRDefault="003F1733">
      <w:pPr>
        <w:divId w:val="123548191"/>
        <w:rPr>
          <w:rFonts w:eastAsia="Times New Roman"/>
        </w:rPr>
      </w:pPr>
    </w:p>
    <w:p w:rsidR="00000000" w:rsidRDefault="003F1733">
      <w:pPr>
        <w:jc w:val="both"/>
        <w:divId w:val="1498233621"/>
        <w:rPr>
          <w:rFonts w:eastAsia="Times New Roman"/>
        </w:rPr>
      </w:pPr>
      <w:r>
        <w:rPr>
          <w:rFonts w:eastAsia="Times New Roman"/>
          <w:b/>
          <w:bCs/>
          <w:color w:val="000000"/>
          <w:sz w:val="20"/>
          <w:szCs w:val="20"/>
        </w:rPr>
        <w:t>Commodity Price Risk</w:t>
      </w:r>
    </w:p>
    <w:p w:rsidR="00000000" w:rsidRDefault="003F1733">
      <w:pPr>
        <w:jc w:val="both"/>
        <w:rPr>
          <w:rFonts w:eastAsia="Times New Roman"/>
        </w:rPr>
      </w:pPr>
      <w:r>
        <w:rPr>
          <w:rFonts w:eastAsia="Times New Roman"/>
          <w:color w:val="000000"/>
          <w:sz w:val="20"/>
          <w:szCs w:val="20"/>
        </w:rPr>
        <w:t>The risk associated with fluctuations in the prices the Partne</w:t>
      </w:r>
      <w:r>
        <w:rPr>
          <w:rFonts w:eastAsia="Times New Roman"/>
          <w:color w:val="000000"/>
          <w:sz w:val="20"/>
          <w:szCs w:val="20"/>
        </w:rPr>
        <w:t>rship and our UGI International operations pay for LPG is principally a result of market forces reflecting changes in supply and demand for LPG and other energy commodities. Their profitability is sensitive to changes in LPG supply costs. Increases in supp</w:t>
      </w:r>
      <w:r>
        <w:rPr>
          <w:rFonts w:eastAsia="Times New Roman"/>
          <w:color w:val="000000"/>
          <w:sz w:val="20"/>
          <w:szCs w:val="20"/>
        </w:rPr>
        <w:t>ly costs are generally passed on to customers. The Partnership and UGI International may not, however, always be able to pass through product cost increases fully or on a timely basis, particularly when product costs rise rapidly. In order to reduce the vo</w:t>
      </w:r>
      <w:r>
        <w:rPr>
          <w:rFonts w:eastAsia="Times New Roman"/>
          <w:color w:val="000000"/>
          <w:sz w:val="20"/>
          <w:szCs w:val="20"/>
        </w:rPr>
        <w:t>latility of LPG market price risk, the Partnership uses contracts for the forward purchase or sale of propane, propane fixed-price supply agreements and over-the-counter derivative commodity instruments including price swap contracts. Our UGI International</w:t>
      </w:r>
      <w:r>
        <w:rPr>
          <w:rFonts w:eastAsia="Times New Roman"/>
          <w:color w:val="000000"/>
          <w:sz w:val="20"/>
          <w:szCs w:val="20"/>
        </w:rPr>
        <w:t xml:space="preserve"> operations use over-the-counter derivative commodity instruments and may from time to time enter into other derivative contracts, similar to those used by the Partnership, to reduce market risk associated with a portion of their LPG purchases. Over-the-co</w:t>
      </w:r>
      <w:r>
        <w:rPr>
          <w:rFonts w:eastAsia="Times New Roman"/>
          <w:color w:val="000000"/>
          <w:sz w:val="20"/>
          <w:szCs w:val="20"/>
        </w:rPr>
        <w:t xml:space="preserve">unter derivative commodity instruments used to economically hedge forecasted purchases of LPG are generally settled at expiration of the contract.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 xml:space="preserve">Gas Utility's tariffs contain clauses that permit recovery of all prudently incurred costs of natural gas </w:t>
      </w:r>
      <w:r>
        <w:rPr>
          <w:rFonts w:eastAsia="Times New Roman"/>
          <w:color w:val="000000"/>
          <w:sz w:val="20"/>
          <w:szCs w:val="20"/>
        </w:rPr>
        <w:t>it sells to its retail core-market customers, including the cost of financial instruments used to hedge purchased gas costs. The recovery clauses provide for periodic adjustments for the difference between the total amounts actually billed to customers thr</w:t>
      </w:r>
      <w:r>
        <w:rPr>
          <w:rFonts w:eastAsia="Times New Roman"/>
          <w:color w:val="000000"/>
          <w:sz w:val="20"/>
          <w:szCs w:val="20"/>
        </w:rPr>
        <w:t xml:space="preserve">ough PGC rates and the recoverable costs incurred. Because of this ratemaking mechanism, there is limited commodity price risk associated with our Gas Utility operations. Gas Utility uses derivative financial instruments, including natural gas futures and </w:t>
      </w:r>
      <w:r>
        <w:rPr>
          <w:rFonts w:eastAsia="Times New Roman"/>
          <w:color w:val="000000"/>
          <w:sz w:val="20"/>
          <w:szCs w:val="20"/>
        </w:rPr>
        <w:t>option contracts traded on the NYMEX, to reduce volatility in the cost of gas it purchases for its retail core-market customers. The cost of these derivative financial instruments, net of any associated gains or losses, is included in Gas Utility's PGC rec</w:t>
      </w:r>
      <w:r>
        <w:rPr>
          <w:rFonts w:eastAsia="Times New Roman"/>
          <w:color w:val="000000"/>
          <w:sz w:val="20"/>
          <w:szCs w:val="20"/>
        </w:rPr>
        <w:t xml:space="preserve">overy mechanism. </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In order to manage market price risk relating to substantially all of Midstream &amp; Marketing’s fixed-price sale contracts for physical natural gas and electricity, Midstream &amp; Marketing enters into NYMEX, ICE and over-the-counter natural</w:t>
      </w:r>
      <w:r>
        <w:rPr>
          <w:rFonts w:eastAsia="Times New Roman"/>
          <w:color w:val="000000"/>
          <w:sz w:val="20"/>
          <w:szCs w:val="20"/>
        </w:rPr>
        <w:t xml:space="preserve"> gas and electricity futures and option contracts, and natural gas basis swap contracts or enters into fixed-price supply arrangements. Midstream &amp; Marketing also uses NYMEX and over-the-counter electricity futures contracts to economically hedge a portion</w:t>
      </w:r>
      <w:r>
        <w:rPr>
          <w:rFonts w:eastAsia="Times New Roman"/>
          <w:color w:val="000000"/>
          <w:sz w:val="20"/>
          <w:szCs w:val="20"/>
        </w:rPr>
        <w:t xml:space="preserve"> of its anticipated sales of electricity from its electricity generation facilities. Although Midstream &amp; Marketing’s fixed-price supply arrangements mitigate most risks associated with its fixed-price sales contracts, should any of the suppliers under the</w:t>
      </w:r>
      <w:r>
        <w:rPr>
          <w:rFonts w:eastAsia="Times New Roman"/>
          <w:color w:val="000000"/>
          <w:sz w:val="20"/>
          <w:szCs w:val="20"/>
        </w:rPr>
        <w:t>se arrangements fail to perform, increases, if any, in the cost of replacement natural gas or electricity would adversely impact Midstream &amp; Marketing’s results. In order to reduce this risk of supplier nonperformance, Midstream &amp; Marketing has diversified</w:t>
      </w:r>
      <w:r>
        <w:rPr>
          <w:rFonts w:eastAsia="Times New Roman"/>
          <w:color w:val="000000"/>
          <w:sz w:val="20"/>
          <w:szCs w:val="20"/>
        </w:rPr>
        <w:t xml:space="preserve"> its purchases across a number of suppliers. UGI International’s natural gas and electricity marketing businesses also use natural gas and electricity futures and forward contracts to economically hedge market risk associated with fixed-price sales and pur</w:t>
      </w:r>
      <w:r>
        <w:rPr>
          <w:rFonts w:eastAsia="Times New Roman"/>
          <w:color w:val="000000"/>
          <w:sz w:val="20"/>
          <w:szCs w:val="20"/>
        </w:rPr>
        <w:t>chase contracts.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Midstream &amp; Marketing has entered into fixed-price sales agreements for a portion of the electricity expected to be generated by its electric generation assets. In the event that these generation assets would not be able to produce all o</w:t>
      </w:r>
      <w:r>
        <w:rPr>
          <w:rFonts w:eastAsia="Times New Roman"/>
          <w:color w:val="000000"/>
          <w:sz w:val="20"/>
          <w:szCs w:val="20"/>
        </w:rPr>
        <w:t xml:space="preserve">f the electricity needed to supply electricity under these agreements, Midstream &amp; Marketing would be required to purchase electricity on the spot market or under contract with other electricity suppliers. Accordingly, increases in the cost of replacement </w:t>
      </w:r>
      <w:r>
        <w:rPr>
          <w:rFonts w:eastAsia="Times New Roman"/>
          <w:color w:val="000000"/>
          <w:sz w:val="20"/>
          <w:szCs w:val="20"/>
        </w:rPr>
        <w:t>power could negatively impact Midstream &amp; Marketing’s results.</w:t>
      </w:r>
    </w:p>
    <w:p w:rsidR="00000000" w:rsidRDefault="003F1733">
      <w:pPr>
        <w:jc w:val="both"/>
        <w:rPr>
          <w:rFonts w:eastAsia="Times New Roman"/>
        </w:rPr>
      </w:pPr>
    </w:p>
    <w:p w:rsidR="00000000" w:rsidRDefault="003F1733">
      <w:pPr>
        <w:jc w:val="both"/>
        <w:divId w:val="973945448"/>
        <w:rPr>
          <w:rFonts w:eastAsia="Times New Roman"/>
        </w:rPr>
      </w:pPr>
      <w:r>
        <w:rPr>
          <w:rFonts w:eastAsia="Times New Roman"/>
          <w:b/>
          <w:bCs/>
          <w:color w:val="000000"/>
          <w:sz w:val="20"/>
          <w:szCs w:val="20"/>
        </w:rPr>
        <w:t>Interest Rate Risk</w:t>
      </w:r>
    </w:p>
    <w:p w:rsidR="00000000" w:rsidRDefault="003F1733">
      <w:pPr>
        <w:jc w:val="both"/>
        <w:rPr>
          <w:rFonts w:eastAsia="Times New Roman"/>
        </w:rPr>
      </w:pPr>
      <w:r>
        <w:rPr>
          <w:rFonts w:eastAsia="Times New Roman"/>
          <w:color w:val="000000"/>
          <w:sz w:val="20"/>
          <w:szCs w:val="20"/>
        </w:rPr>
        <w:t>We have both fixed-rate and variable-rate debt. Changes in interest rates impact the cash flows of variable-rate debt but generally do not impact their fair value. Converse</w:t>
      </w:r>
      <w:r>
        <w:rPr>
          <w:rFonts w:eastAsia="Times New Roman"/>
          <w:color w:val="000000"/>
          <w:sz w:val="20"/>
          <w:szCs w:val="20"/>
        </w:rPr>
        <w:t>ly, changes in interest rates impact the fair value of fixed-rate debt but do not impact their cash flows.</w:t>
      </w:r>
    </w:p>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Our variable-rate debt at March 31, 2021, includes revolving credit facility borrowings and variable-rate term loans at UGI International, UGI Util</w:t>
      </w:r>
      <w:r>
        <w:rPr>
          <w:rFonts w:eastAsia="Times New Roman"/>
          <w:color w:val="000000"/>
          <w:sz w:val="20"/>
          <w:szCs w:val="20"/>
        </w:rPr>
        <w:t>ities, Energy Services and UGI Corporation. These debt agreements have interest rates that are generally indexed to short-term market interest rates. We have entered into pay-fixed, receive-variable interest rate swap agreements on all or a significant por</w:t>
      </w:r>
      <w:r>
        <w:rPr>
          <w:rFonts w:eastAsia="Times New Roman"/>
          <w:color w:val="000000"/>
          <w:sz w:val="20"/>
          <w:szCs w:val="20"/>
        </w:rPr>
        <w:t xml:space="preserve">tion of the term loans’ principal balances and all or a significant portion of the term loans’ tenor. We have designated these interest rate swaps as cash flow hedges. At March 31, 2021, combined borrowings outstanding under variable-rate debt agreements, </w:t>
      </w:r>
      <w:r>
        <w:rPr>
          <w:rFonts w:eastAsia="Times New Roman"/>
          <w:color w:val="000000"/>
          <w:sz w:val="20"/>
          <w:szCs w:val="20"/>
        </w:rPr>
        <w:t xml:space="preserve">excluding the previously mentioned effectively fixed-rate debt, totaled $655 million. </w:t>
      </w:r>
    </w:p>
    <w:p w:rsidR="00000000" w:rsidRDefault="003F1733">
      <w:pPr>
        <w:jc w:val="both"/>
        <w:rPr>
          <w:rFonts w:eastAsia="Times New Roman"/>
        </w:rPr>
      </w:pPr>
    </w:p>
    <w:p w:rsidR="00000000" w:rsidRDefault="003F1733">
      <w:pPr>
        <w:jc w:val="center"/>
        <w:divId w:val="813647625"/>
        <w:rPr>
          <w:rFonts w:eastAsia="Times New Roman"/>
        </w:rPr>
      </w:pPr>
      <w:r>
        <w:rPr>
          <w:rFonts w:eastAsia="Times New Roman"/>
          <w:color w:val="000000"/>
          <w:sz w:val="20"/>
          <w:szCs w:val="20"/>
        </w:rPr>
        <w:t>51</w:t>
      </w:r>
    </w:p>
    <w:p w:rsidR="00000000" w:rsidRDefault="003F1733">
      <w:pPr>
        <w:rPr>
          <w:rFonts w:eastAsia="Times New Roman"/>
        </w:rPr>
      </w:pPr>
      <w:r>
        <w:rPr>
          <w:rFonts w:eastAsia="Times New Roman"/>
        </w:rPr>
        <w:pict>
          <v:rect id="_x0000_i1077" style="width:0;height:1.5pt" o:hralign="center" o:hrstd="t" o:hr="t" fillcolor="#a0a0a0" stroked="f"/>
        </w:pict>
      </w:r>
    </w:p>
    <w:p w:rsidR="00000000" w:rsidRDefault="003F1733">
      <w:pPr>
        <w:divId w:val="2054645884"/>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46825461"/>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r>
        <w:rPr>
          <w:rFonts w:eastAsia="Times New Roman"/>
          <w:color w:val="000000"/>
          <w:sz w:val="20"/>
          <w:szCs w:val="20"/>
        </w:rPr>
        <w:t>Long-term debt asso</w:t>
      </w:r>
      <w:r>
        <w:rPr>
          <w:rFonts w:eastAsia="Times New Roman"/>
          <w:color w:val="000000"/>
          <w:sz w:val="20"/>
          <w:szCs w:val="20"/>
        </w:rPr>
        <w:t>ciated with our domestic businesses is typically issued at fixed rates of interest based upon market rates for debt with similar terms and credit ratings. As these long-term debt issues mature, we may refinance such debt with new debt having interest rates</w:t>
      </w:r>
      <w:r>
        <w:rPr>
          <w:rFonts w:eastAsia="Times New Roman"/>
          <w:color w:val="000000"/>
          <w:sz w:val="20"/>
          <w:szCs w:val="20"/>
        </w:rPr>
        <w:t xml:space="preserve"> reflecting then-current market conditions. In order to reduce interest rate risk associated with near- to medium-term forecasted issuances of fixed rate debt, from time to time we enter into IRPAs.</w:t>
      </w:r>
    </w:p>
    <w:p w:rsidR="00000000" w:rsidRDefault="003F1733">
      <w:pPr>
        <w:jc w:val="both"/>
        <w:divId w:val="909270384"/>
        <w:rPr>
          <w:rFonts w:eastAsia="Times New Roman"/>
        </w:rPr>
      </w:pPr>
      <w:r>
        <w:rPr>
          <w:rFonts w:eastAsia="Times New Roman"/>
          <w:b/>
          <w:bCs/>
          <w:color w:val="000000"/>
          <w:sz w:val="20"/>
          <w:szCs w:val="20"/>
        </w:rPr>
        <w:t>Foreign Currency Exchange Rate Risk</w:t>
      </w:r>
    </w:p>
    <w:p w:rsidR="00000000" w:rsidRDefault="003F1733">
      <w:pPr>
        <w:jc w:val="both"/>
        <w:divId w:val="1129082115"/>
        <w:rPr>
          <w:rFonts w:eastAsia="Times New Roman"/>
        </w:rPr>
      </w:pPr>
      <w:r>
        <w:rPr>
          <w:rFonts w:eastAsia="Times New Roman"/>
          <w:color w:val="000000"/>
          <w:sz w:val="20"/>
          <w:szCs w:val="20"/>
        </w:rPr>
        <w:t xml:space="preserve">Our primary currency </w:t>
      </w:r>
      <w:r>
        <w:rPr>
          <w:rFonts w:eastAsia="Times New Roman"/>
          <w:color w:val="000000"/>
          <w:sz w:val="20"/>
          <w:szCs w:val="20"/>
        </w:rPr>
        <w:t>exchange rate risk is associated with the U.S. dollar versus the euro and, to a lesser extent, the U.S. dollar versus the British pound sterling. The U.S. dollar value of our foreign currency denominated assets and liabilities will fluctuate with changes i</w:t>
      </w:r>
      <w:r>
        <w:rPr>
          <w:rFonts w:eastAsia="Times New Roman"/>
          <w:color w:val="000000"/>
          <w:sz w:val="20"/>
          <w:szCs w:val="20"/>
        </w:rPr>
        <w:t>n the associated foreign currency exchange rates. From time to time, we use derivative instruments to hedge portions of our net investments in foreign subsidiaries. Gains or losses on these net investment hedges remain in AOCI until such foreign operations</w:t>
      </w:r>
      <w:r>
        <w:rPr>
          <w:rFonts w:eastAsia="Times New Roman"/>
          <w:color w:val="000000"/>
          <w:sz w:val="20"/>
          <w:szCs w:val="20"/>
        </w:rPr>
        <w:t xml:space="preserve"> are sold or liquidated. With respect to our net investments in our UGI International operations, a 10% decline in the value of the associated foreign currencies versus the U.S. dollar would reduce their aggregate net book value at March 31, 2021, by appro</w:t>
      </w:r>
      <w:r>
        <w:rPr>
          <w:rFonts w:eastAsia="Times New Roman"/>
          <w:color w:val="000000"/>
          <w:sz w:val="20"/>
          <w:szCs w:val="20"/>
        </w:rPr>
        <w:t>ximately $130 million, which amount would be reflected in other comprehensive income. We have designated certain euro-denominated borrowings as net investment hedges.</w:t>
      </w:r>
    </w:p>
    <w:p w:rsidR="00000000" w:rsidRDefault="003F1733">
      <w:pPr>
        <w:jc w:val="both"/>
        <w:divId w:val="617637825"/>
        <w:rPr>
          <w:rFonts w:eastAsia="Times New Roman"/>
        </w:rPr>
      </w:pPr>
      <w:r>
        <w:rPr>
          <w:rFonts w:eastAsia="Times New Roman"/>
          <w:color w:val="000000"/>
          <w:sz w:val="20"/>
          <w:szCs w:val="20"/>
        </w:rPr>
        <w:t>In order to reduce the volatility in net income associated with our foreign operations, p</w:t>
      </w:r>
      <w:r>
        <w:rPr>
          <w:rFonts w:eastAsia="Times New Roman"/>
          <w:color w:val="000000"/>
          <w:sz w:val="20"/>
          <w:szCs w:val="20"/>
        </w:rPr>
        <w:t>rincipally as a result of changes in the U.S. dollar exchange rate between the euro and British pound sterling, we enter into forward foreign currency exchange contracts. We layer in these foreign currency exchange contracts over a multi-year period to eve</w:t>
      </w:r>
      <w:r>
        <w:rPr>
          <w:rFonts w:eastAsia="Times New Roman"/>
          <w:color w:val="000000"/>
          <w:sz w:val="20"/>
          <w:szCs w:val="20"/>
        </w:rPr>
        <w:t>ntually equal approximately 90% of anticipated UGI International foreign currency earnings before income taxes.</w:t>
      </w:r>
    </w:p>
    <w:p w:rsidR="00000000" w:rsidRDefault="003F1733">
      <w:pPr>
        <w:jc w:val="both"/>
        <w:divId w:val="67196047"/>
        <w:rPr>
          <w:rFonts w:eastAsia="Times New Roman"/>
        </w:rPr>
      </w:pPr>
      <w:r>
        <w:rPr>
          <w:rFonts w:eastAsia="Times New Roman"/>
          <w:b/>
          <w:bCs/>
          <w:color w:val="000000"/>
          <w:sz w:val="20"/>
          <w:szCs w:val="20"/>
        </w:rPr>
        <w:t>Derivative Instrument Credit Risk</w:t>
      </w:r>
    </w:p>
    <w:p w:rsidR="00000000" w:rsidRDefault="003F1733">
      <w:pPr>
        <w:jc w:val="both"/>
        <w:divId w:val="518005661"/>
        <w:rPr>
          <w:rFonts w:eastAsia="Times New Roman"/>
        </w:rPr>
      </w:pPr>
      <w:r>
        <w:rPr>
          <w:rFonts w:eastAsia="Times New Roman"/>
          <w:color w:val="000000"/>
          <w:sz w:val="20"/>
          <w:szCs w:val="20"/>
        </w:rPr>
        <w:t>We are exposed to risk of loss in the event of nonperformance by our derivative instrument counterparties. Our</w:t>
      </w:r>
      <w:r>
        <w:rPr>
          <w:rFonts w:eastAsia="Times New Roman"/>
          <w:color w:val="000000"/>
          <w:sz w:val="20"/>
          <w:szCs w:val="20"/>
        </w:rPr>
        <w:t xml:space="preserve"> derivative instrument counterparties principally comprise large energy companies and major U.S. and international financial institutions. We maintain credit policies with regard to our counterparties that we believe reduce overall credit risk. These polic</w:t>
      </w:r>
      <w:r>
        <w:rPr>
          <w:rFonts w:eastAsia="Times New Roman"/>
          <w:color w:val="000000"/>
          <w:sz w:val="20"/>
          <w:szCs w:val="20"/>
        </w:rPr>
        <w:t>ies include evaluating and monitoring our counterparties’ financial condition, including their credit ratings, and entering into agreements with counterparties that govern credit limits or entering into netting agreements that allow for offsetting counterp</w:t>
      </w:r>
      <w:r>
        <w:rPr>
          <w:rFonts w:eastAsia="Times New Roman"/>
          <w:color w:val="000000"/>
          <w:sz w:val="20"/>
          <w:szCs w:val="20"/>
        </w:rPr>
        <w:t xml:space="preserve">arty receivable and payable balances for certain financial transactions, as deemed appropriate. </w:t>
      </w:r>
    </w:p>
    <w:p w:rsidR="00000000" w:rsidRDefault="003F1733">
      <w:pPr>
        <w:jc w:val="both"/>
        <w:divId w:val="1050573694"/>
        <w:rPr>
          <w:rFonts w:eastAsia="Times New Roman"/>
        </w:rPr>
      </w:pPr>
      <w:r>
        <w:rPr>
          <w:rFonts w:eastAsia="Times New Roman"/>
          <w:color w:val="000000"/>
          <w:sz w:val="20"/>
          <w:szCs w:val="20"/>
        </w:rPr>
        <w:t>Certain of these derivative instrument agreements call for the posting of collateral by the counterparty or by the Company in the forms of letters of credit, parental guarantees or cash. At March 31, 2021, we had received cash collateral from derivative in</w:t>
      </w:r>
      <w:r>
        <w:rPr>
          <w:rFonts w:eastAsia="Times New Roman"/>
          <w:color w:val="000000"/>
          <w:sz w:val="20"/>
          <w:szCs w:val="20"/>
        </w:rPr>
        <w:t>strument counterparties totaling $37 million. Additionally, our commodity exchange-traded futures contracts generally require cash deposits in margin accounts. At March 31, 2021, restricted cash in brokerage accounts totaled $28 million. Although we have c</w:t>
      </w:r>
      <w:r>
        <w:rPr>
          <w:rFonts w:eastAsia="Times New Roman"/>
          <w:color w:val="000000"/>
          <w:sz w:val="20"/>
          <w:szCs w:val="20"/>
        </w:rPr>
        <w:t>oncentrations of credit risk associated with derivative instruments, the maximum amount of loss, based upon the gross fair values of the derivative instruments, we would incur if these counterparties failed to perform according to the terms of their contra</w:t>
      </w:r>
      <w:r>
        <w:rPr>
          <w:rFonts w:eastAsia="Times New Roman"/>
          <w:color w:val="000000"/>
          <w:sz w:val="20"/>
          <w:szCs w:val="20"/>
        </w:rPr>
        <w:t>cts was not material at March 31, 2021. Certain of the Partnership’s derivative contracts have credit-risk-related contingent features that may require the posting of additional collateral in the event of a downgrade of the Partnership’s debt rating. At Ma</w:t>
      </w:r>
      <w:r>
        <w:rPr>
          <w:rFonts w:eastAsia="Times New Roman"/>
          <w:color w:val="000000"/>
          <w:sz w:val="20"/>
          <w:szCs w:val="20"/>
        </w:rPr>
        <w:t>rch 31, 2021, if the credit-risk-related contingent features were triggered, the amount of collateral required to be posted would not be material.</w:t>
      </w:r>
    </w:p>
    <w:p w:rsidR="00000000" w:rsidRDefault="003F1733">
      <w:pPr>
        <w:jc w:val="both"/>
        <w:divId w:val="931862024"/>
        <w:rPr>
          <w:rFonts w:eastAsia="Times New Roman"/>
        </w:rPr>
      </w:pPr>
      <w:r>
        <w:rPr>
          <w:rFonts w:eastAsia="Times New Roman"/>
          <w:color w:val="000000"/>
          <w:sz w:val="20"/>
          <w:szCs w:val="20"/>
        </w:rPr>
        <w:t>The following table summarizes the fair values of unsettled market risk sensitive derivative instrument asset</w:t>
      </w:r>
      <w:r>
        <w:rPr>
          <w:rFonts w:eastAsia="Times New Roman"/>
          <w:color w:val="000000"/>
          <w:sz w:val="20"/>
          <w:szCs w:val="20"/>
        </w:rPr>
        <w:t>s (liabilities) held at March 31, 2021 and changes in their fair values due to market risks. Certain of UGI Utilities’ commodity derivative instruments are excluded from the table below because any associated net gains or losses are refundable to or recove</w:t>
      </w:r>
      <w:r>
        <w:rPr>
          <w:rFonts w:eastAsia="Times New Roman"/>
          <w:color w:val="000000"/>
          <w:sz w:val="20"/>
          <w:szCs w:val="20"/>
        </w:rPr>
        <w:t>rable from customers in accordance with UGI Utilities ratemaking.</w:t>
      </w:r>
    </w:p>
    <w:tbl>
      <w:tblPr>
        <w:tblW w:w="4985" w:type="pct"/>
        <w:tblCellMar>
          <w:top w:w="15" w:type="dxa"/>
          <w:left w:w="15" w:type="dxa"/>
          <w:bottom w:w="15" w:type="dxa"/>
          <w:right w:w="15" w:type="dxa"/>
        </w:tblCellMar>
        <w:tblLook w:val="04A0" w:firstRow="1" w:lastRow="0" w:firstColumn="1" w:lastColumn="0" w:noHBand="0" w:noVBand="1"/>
      </w:tblPr>
      <w:tblGrid>
        <w:gridCol w:w="38"/>
        <w:gridCol w:w="6082"/>
        <w:gridCol w:w="37"/>
        <w:gridCol w:w="36"/>
        <w:gridCol w:w="36"/>
        <w:gridCol w:w="36"/>
        <w:gridCol w:w="121"/>
        <w:gridCol w:w="796"/>
        <w:gridCol w:w="37"/>
        <w:gridCol w:w="36"/>
        <w:gridCol w:w="36"/>
        <w:gridCol w:w="36"/>
        <w:gridCol w:w="121"/>
        <w:gridCol w:w="796"/>
        <w:gridCol w:w="37"/>
      </w:tblGrid>
      <w:tr w:rsidR="00000000">
        <w:trPr>
          <w:divId w:val="2144153126"/>
        </w:trPr>
        <w:tc>
          <w:tcPr>
            <w:tcW w:w="50" w:type="pct"/>
            <w:vAlign w:val="center"/>
            <w:hideMark/>
          </w:tcPr>
          <w:p w:rsidR="00000000" w:rsidRDefault="003F1733">
            <w:pPr>
              <w:jc w:val="both"/>
              <w:rPr>
                <w:rFonts w:eastAsia="Times New Roman"/>
              </w:rPr>
            </w:pPr>
          </w:p>
        </w:tc>
        <w:tc>
          <w:tcPr>
            <w:tcW w:w="369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3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2144153126"/>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Asset (Liability)</w:t>
            </w:r>
          </w:p>
        </w:tc>
      </w:tr>
      <w:tr w:rsidR="00000000">
        <w:trPr>
          <w:divId w:val="2144153126"/>
        </w:trPr>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color w:val="000000"/>
                <w:sz w:val="20"/>
                <w:szCs w:val="20"/>
              </w:rPr>
              <w:t>Change in</w:t>
            </w:r>
            <w:r>
              <w:rPr>
                <w:rFonts w:eastAsia="Times New Roman"/>
                <w:color w:val="000000"/>
                <w:sz w:val="20"/>
                <w:szCs w:val="20"/>
              </w:rPr>
              <w:br/>
              <w:t>Fair Value</w:t>
            </w:r>
          </w:p>
        </w:tc>
      </w:tr>
      <w:tr w:rsidR="00000000">
        <w:trPr>
          <w:divId w:val="214415312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b/>
                <w:bCs/>
                <w:color w:val="000000"/>
                <w:sz w:val="20"/>
                <w:szCs w:val="20"/>
              </w:rPr>
              <w:t>March 31, 2021</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 </w:t>
            </w:r>
          </w:p>
        </w:tc>
      </w:tr>
      <w:tr w:rsidR="00000000">
        <w:trPr>
          <w:divId w:val="2144153126"/>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Commodity price risk (1)</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(129)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44153126"/>
        </w:trPr>
        <w:tc>
          <w:tcPr>
            <w:tcW w:w="0" w:type="auto"/>
            <w:gridSpan w:val="3"/>
            <w:shd w:val="clear" w:color="auto" w:fill="CCEE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Interest rate risk (2)</w:t>
            </w:r>
          </w:p>
        </w:tc>
        <w:tc>
          <w:tcPr>
            <w:tcW w:w="0" w:type="auto"/>
            <w:gridSpan w:val="3"/>
            <w:shd w:val="clear" w:color="auto" w:fill="CCEE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3F1733">
            <w:pPr>
              <w:jc w:val="right"/>
              <w:rPr>
                <w:rFonts w:eastAsia="Times New Roman"/>
              </w:rPr>
            </w:pPr>
          </w:p>
        </w:tc>
      </w:tr>
      <w:tr w:rsidR="00000000">
        <w:trPr>
          <w:divId w:val="2144153126"/>
        </w:trPr>
        <w:tc>
          <w:tcPr>
            <w:tcW w:w="0" w:type="auto"/>
            <w:gridSpan w:val="3"/>
            <w:shd w:val="clear" w:color="auto" w:fill="FFFFFF"/>
            <w:tcMar>
              <w:top w:w="30" w:type="dxa"/>
              <w:left w:w="155" w:type="dxa"/>
              <w:bottom w:w="30" w:type="dxa"/>
              <w:right w:w="20" w:type="dxa"/>
            </w:tcMar>
            <w:vAlign w:val="bottom"/>
            <w:hideMark/>
          </w:tcPr>
          <w:p w:rsidR="00000000" w:rsidRDefault="003F1733">
            <w:pPr>
              <w:rPr>
                <w:rFonts w:eastAsia="Times New Roman"/>
              </w:rPr>
            </w:pPr>
            <w:r>
              <w:rPr>
                <w:rFonts w:eastAsia="Times New Roman"/>
                <w:color w:val="000000"/>
                <w:sz w:val="20"/>
                <w:szCs w:val="20"/>
              </w:rPr>
              <w:t>Foreign currency exchange rate risk (3)</w:t>
            </w:r>
          </w:p>
        </w:tc>
        <w:tc>
          <w:tcPr>
            <w:tcW w:w="0" w:type="auto"/>
            <w:gridSpan w:val="3"/>
            <w:shd w:val="clear" w:color="auto" w:fill="FFFFFF"/>
            <w:tcMar>
              <w:top w:w="0" w:type="dxa"/>
              <w:left w:w="20" w:type="dxa"/>
              <w:bottom w:w="0" w:type="dxa"/>
              <w:right w:w="20" w:type="dxa"/>
            </w:tcMar>
            <w:vAlign w:val="center"/>
            <w:hideMark/>
          </w:tcPr>
          <w:p w:rsidR="00000000" w:rsidRDefault="003F173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F173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F1733">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F1733">
            <w:pPr>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3F1733">
            <w:pPr>
              <w:jc w:val="right"/>
              <w:rPr>
                <w:rFonts w:eastAsia="Times New Roman"/>
              </w:rPr>
            </w:pPr>
          </w:p>
        </w:tc>
      </w:tr>
    </w:tbl>
    <w:p w:rsidR="00000000" w:rsidRDefault="003F1733">
      <w:pPr>
        <w:jc w:val="both"/>
        <w:rPr>
          <w:rFonts w:eastAsia="Times New Roman"/>
        </w:rPr>
      </w:pPr>
    </w:p>
    <w:p w:rsidR="00000000" w:rsidRDefault="003F1733">
      <w:pPr>
        <w:jc w:val="both"/>
        <w:rPr>
          <w:rFonts w:eastAsia="Times New Roman"/>
        </w:rPr>
      </w:pPr>
      <w:r>
        <w:rPr>
          <w:rFonts w:eastAsia="Times New Roman"/>
          <w:color w:val="000000"/>
          <w:sz w:val="20"/>
          <w:szCs w:val="20"/>
        </w:rPr>
        <w:t>(1) Change in fair value represents a 10% adverse change in the market prices of certain commodities</w:t>
      </w:r>
    </w:p>
    <w:p w:rsidR="00000000" w:rsidRDefault="003F1733">
      <w:pPr>
        <w:jc w:val="both"/>
        <w:rPr>
          <w:rFonts w:eastAsia="Times New Roman"/>
        </w:rPr>
      </w:pPr>
      <w:r>
        <w:rPr>
          <w:rFonts w:eastAsia="Times New Roman"/>
          <w:color w:val="000000"/>
          <w:sz w:val="20"/>
          <w:szCs w:val="20"/>
        </w:rPr>
        <w:t>(2) Change in fair value represents a 50 basis point adverse change in prevailing market interest rates</w:t>
      </w:r>
    </w:p>
    <w:p w:rsidR="00000000" w:rsidRDefault="003F1733">
      <w:pPr>
        <w:jc w:val="both"/>
        <w:rPr>
          <w:rFonts w:eastAsia="Times New Roman"/>
        </w:rPr>
      </w:pPr>
      <w:r>
        <w:rPr>
          <w:rFonts w:eastAsia="Times New Roman"/>
          <w:color w:val="000000"/>
          <w:sz w:val="20"/>
          <w:szCs w:val="20"/>
        </w:rPr>
        <w:t xml:space="preserve">(3) Change in fair value represents a 10% adverse change in the value of the Euro and the British pound sterling versus the U.S. dollar. </w:t>
      </w:r>
    </w:p>
    <w:p w:rsidR="00000000" w:rsidRDefault="003F1733">
      <w:pPr>
        <w:jc w:val="both"/>
        <w:rPr>
          <w:rFonts w:eastAsia="Times New Roman"/>
        </w:rPr>
      </w:pPr>
    </w:p>
    <w:p w:rsidR="00000000" w:rsidRDefault="003F1733">
      <w:pPr>
        <w:jc w:val="center"/>
        <w:divId w:val="227347373"/>
        <w:rPr>
          <w:rFonts w:eastAsia="Times New Roman"/>
        </w:rPr>
      </w:pPr>
      <w:r>
        <w:rPr>
          <w:rFonts w:eastAsia="Times New Roman"/>
          <w:color w:val="000000"/>
          <w:sz w:val="20"/>
          <w:szCs w:val="20"/>
        </w:rPr>
        <w:t>52</w:t>
      </w:r>
    </w:p>
    <w:p w:rsidR="00000000" w:rsidRDefault="003F1733">
      <w:pPr>
        <w:rPr>
          <w:rFonts w:eastAsia="Times New Roman"/>
        </w:rPr>
      </w:pPr>
      <w:r>
        <w:rPr>
          <w:rFonts w:eastAsia="Times New Roman"/>
        </w:rPr>
        <w:pict>
          <v:rect id="_x0000_i1078" style="width:0;height:1.5pt" o:hralign="center" o:hrstd="t" o:hr="t" fillcolor="#a0a0a0" stroked="f"/>
        </w:pict>
      </w:r>
    </w:p>
    <w:p w:rsidR="00000000" w:rsidRDefault="003F1733">
      <w:pPr>
        <w:divId w:val="1705591743"/>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273442365"/>
        <w:rPr>
          <w:rFonts w:eastAsia="Times New Roman"/>
        </w:rPr>
      </w:pPr>
      <w:r>
        <w:rPr>
          <w:rFonts w:eastAsia="Times New Roman"/>
          <w:b/>
          <w:bCs/>
          <w:color w:val="000000"/>
          <w:sz w:val="20"/>
          <w:szCs w:val="20"/>
        </w:rPr>
        <w:t>UGI CORPORATION AND SUBSIDIARIES</w:t>
      </w:r>
    </w:p>
    <w:p w:rsidR="00000000" w:rsidRDefault="003F1733">
      <w:pPr>
        <w:jc w:val="both"/>
        <w:rPr>
          <w:rFonts w:eastAsia="Times New Roman"/>
        </w:rPr>
      </w:pPr>
    </w:p>
    <w:p w:rsidR="00000000" w:rsidRDefault="003F1733">
      <w:pPr>
        <w:divId w:val="1483696672"/>
        <w:rPr>
          <w:rFonts w:eastAsia="Times New Roman"/>
        </w:rPr>
      </w:pPr>
      <w:r>
        <w:rPr>
          <w:rFonts w:eastAsia="Times New Roman"/>
          <w:b/>
          <w:bCs/>
          <w:color w:val="000000"/>
          <w:sz w:val="20"/>
          <w:szCs w:val="20"/>
        </w:rPr>
        <w:t>ITEM 4. CONTROLS AND PROCEDURES</w:t>
      </w:r>
    </w:p>
    <w:p w:rsidR="00000000" w:rsidRDefault="003F1733">
      <w:pPr>
        <w:divId w:val="1727215800"/>
        <w:rPr>
          <w:rFonts w:eastAsia="Times New Roman"/>
        </w:rPr>
      </w:pPr>
    </w:p>
    <w:p w:rsidR="00000000" w:rsidRDefault="003F1733">
      <w:pPr>
        <w:ind w:hanging="540"/>
        <w:divId w:val="144317524"/>
        <w:rPr>
          <w:rFonts w:eastAsia="Times New Roman"/>
        </w:rPr>
      </w:pPr>
      <w:r>
        <w:rPr>
          <w:rFonts w:eastAsia="Times New Roman"/>
          <w:color w:val="000000"/>
          <w:sz w:val="20"/>
          <w:szCs w:val="20"/>
        </w:rPr>
        <w:t>(a)</w:t>
      </w:r>
      <w:r>
        <w:rPr>
          <w:rFonts w:eastAsia="Times New Roman"/>
          <w:color w:val="000000"/>
          <w:sz w:val="20"/>
          <w:szCs w:val="20"/>
        </w:rPr>
        <w:t>Evaluation of Disclosure Controls and Procedures</w:t>
      </w:r>
    </w:p>
    <w:p w:rsidR="00000000" w:rsidRDefault="003F1733">
      <w:pPr>
        <w:jc w:val="both"/>
        <w:divId w:val="1092429078"/>
        <w:rPr>
          <w:rFonts w:eastAsia="Times New Roman"/>
        </w:rPr>
      </w:pPr>
      <w:r>
        <w:rPr>
          <w:rFonts w:eastAsia="Times New Roman"/>
          <w:color w:val="000000"/>
          <w:sz w:val="20"/>
          <w:szCs w:val="20"/>
        </w:rPr>
        <w:t>The Company's disclosure controls and procedures are designed to provide reasonable assurance that the information required to be disclosed by the Company in reports filed or submitted under the Securities E</w:t>
      </w:r>
      <w:r>
        <w:rPr>
          <w:rFonts w:eastAsia="Times New Roman"/>
          <w:color w:val="000000"/>
          <w:sz w:val="20"/>
          <w:szCs w:val="20"/>
        </w:rPr>
        <w:t>xchange Act of 1934, as amended, is (i) recorded, processed, summarized, and reported within the time periods specified in the SEC’s rules and forms, and (ii) accumulated and communicated to our management, including the Chief Executive Officer and Chief F</w:t>
      </w:r>
      <w:r>
        <w:rPr>
          <w:rFonts w:eastAsia="Times New Roman"/>
          <w:color w:val="000000"/>
          <w:sz w:val="20"/>
          <w:szCs w:val="20"/>
        </w:rPr>
        <w:t>inancial Officer, as appropriate to allow timely decisions regarding required disclosure. The Company's management, with the participation of the Company’s Chief Executive Officer and Chief Financial Officer, evaluated the effectiveness of the Company's di</w:t>
      </w:r>
      <w:r>
        <w:rPr>
          <w:rFonts w:eastAsia="Times New Roman"/>
          <w:color w:val="000000"/>
          <w:sz w:val="20"/>
          <w:szCs w:val="20"/>
        </w:rPr>
        <w:t>sclosure controls and procedures as of the end of the period covered by this report. Based on that evaluation, the Chief Executive Officer and Chief Financial Officer concluded that the Company's disclosure controls and procedures, as of the end of the per</w:t>
      </w:r>
      <w:r>
        <w:rPr>
          <w:rFonts w:eastAsia="Times New Roman"/>
          <w:color w:val="000000"/>
          <w:sz w:val="20"/>
          <w:szCs w:val="20"/>
        </w:rPr>
        <w:t>iod covered by this Report, were effective at the reasonable assurance level.</w:t>
      </w:r>
    </w:p>
    <w:p w:rsidR="00000000" w:rsidRDefault="003F1733">
      <w:pPr>
        <w:jc w:val="both"/>
        <w:divId w:val="1213536686"/>
        <w:rPr>
          <w:rFonts w:eastAsia="Times New Roman"/>
        </w:rPr>
      </w:pPr>
    </w:p>
    <w:p w:rsidR="00000000" w:rsidRDefault="003F1733">
      <w:pPr>
        <w:ind w:hanging="540"/>
        <w:divId w:val="1068920770"/>
        <w:rPr>
          <w:rFonts w:eastAsia="Times New Roman"/>
        </w:rPr>
      </w:pPr>
      <w:r>
        <w:rPr>
          <w:rFonts w:eastAsia="Times New Roman"/>
          <w:color w:val="000000"/>
          <w:sz w:val="20"/>
          <w:szCs w:val="20"/>
        </w:rPr>
        <w:t>(b)Change in Internal Control over Financial Reporting</w:t>
      </w:r>
    </w:p>
    <w:p w:rsidR="00000000" w:rsidRDefault="003F1733">
      <w:pPr>
        <w:jc w:val="both"/>
        <w:divId w:val="543907244"/>
        <w:rPr>
          <w:rFonts w:eastAsia="Times New Roman"/>
        </w:rPr>
      </w:pPr>
      <w:r>
        <w:rPr>
          <w:rFonts w:eastAsia="Times New Roman"/>
          <w:color w:val="000000"/>
          <w:sz w:val="20"/>
          <w:szCs w:val="20"/>
        </w:rPr>
        <w:t>No change in the Company’s internal control over financial reporting occurred during the Company’s most recent fiscal qua</w:t>
      </w:r>
      <w:r>
        <w:rPr>
          <w:rFonts w:eastAsia="Times New Roman"/>
          <w:color w:val="000000"/>
          <w:sz w:val="20"/>
          <w:szCs w:val="20"/>
        </w:rPr>
        <w:t>rter that has materially affected, or is reasonably likely to materially affect, the Company’s internal control over financial reporting.</w:t>
      </w:r>
    </w:p>
    <w:p w:rsidR="00000000" w:rsidRDefault="003F1733">
      <w:pPr>
        <w:jc w:val="both"/>
        <w:divId w:val="989595664"/>
        <w:rPr>
          <w:rFonts w:eastAsia="Times New Roman"/>
        </w:rPr>
      </w:pPr>
    </w:p>
    <w:p w:rsidR="00000000" w:rsidRDefault="003F1733">
      <w:pPr>
        <w:divId w:val="1447702277"/>
        <w:rPr>
          <w:rFonts w:eastAsia="Times New Roman"/>
        </w:rPr>
      </w:pPr>
      <w:r>
        <w:rPr>
          <w:rFonts w:eastAsia="Times New Roman"/>
          <w:color w:val="000000"/>
          <w:sz w:val="16"/>
          <w:szCs w:val="16"/>
        </w:rPr>
        <w:t> </w:t>
      </w:r>
    </w:p>
    <w:p w:rsidR="00000000" w:rsidRDefault="003F1733">
      <w:pPr>
        <w:jc w:val="center"/>
        <w:divId w:val="1687053556"/>
        <w:rPr>
          <w:rFonts w:eastAsia="Times New Roman"/>
        </w:rPr>
      </w:pPr>
      <w:r>
        <w:rPr>
          <w:rFonts w:eastAsia="Times New Roman"/>
          <w:color w:val="000000"/>
          <w:sz w:val="20"/>
          <w:szCs w:val="20"/>
        </w:rPr>
        <w:t>53</w:t>
      </w:r>
    </w:p>
    <w:p w:rsidR="00000000" w:rsidRDefault="003F1733">
      <w:pPr>
        <w:rPr>
          <w:rFonts w:eastAsia="Times New Roman"/>
        </w:rPr>
      </w:pPr>
      <w:r>
        <w:rPr>
          <w:rFonts w:eastAsia="Times New Roman"/>
        </w:rPr>
        <w:pict>
          <v:rect id="_x0000_i1079" style="width:0;height:1.5pt" o:hralign="center" o:hrstd="t" o:hr="t" fillcolor="#a0a0a0" stroked="f"/>
        </w:pict>
      </w:r>
    </w:p>
    <w:p w:rsidR="00000000" w:rsidRDefault="003F1733">
      <w:pPr>
        <w:divId w:val="391389003"/>
        <w:rPr>
          <w:rFonts w:eastAsia="Times New Roman"/>
        </w:rPr>
      </w:pPr>
      <w:hyperlink w:anchor="id9c6bfb9fb8b448daec852530d7d2c30_7" w:history="1">
        <w:r>
          <w:rPr>
            <w:rStyle w:val="a3"/>
            <w:rFonts w:eastAsia="Times New Roman"/>
            <w:sz w:val="20"/>
            <w:szCs w:val="20"/>
          </w:rPr>
          <w:t>Table of Content</w:t>
        </w:r>
        <w:r>
          <w:rPr>
            <w:rStyle w:val="a3"/>
            <w:rFonts w:eastAsia="Times New Roman"/>
            <w:sz w:val="20"/>
            <w:szCs w:val="20"/>
          </w:rPr>
          <w:t>s</w:t>
        </w:r>
      </w:hyperlink>
    </w:p>
    <w:p w:rsidR="00000000" w:rsidRDefault="003F1733">
      <w:pPr>
        <w:jc w:val="center"/>
        <w:divId w:val="2135126458"/>
        <w:rPr>
          <w:rFonts w:eastAsia="Times New Roman"/>
        </w:rPr>
      </w:pPr>
      <w:r>
        <w:rPr>
          <w:rFonts w:eastAsia="Times New Roman"/>
          <w:b/>
          <w:bCs/>
          <w:color w:val="000000"/>
          <w:sz w:val="20"/>
          <w:szCs w:val="20"/>
        </w:rPr>
        <w:t>UGI CORPORATION AND SUBSIDIARIES</w:t>
      </w:r>
    </w:p>
    <w:p w:rsidR="00000000" w:rsidRDefault="003F1733">
      <w:pPr>
        <w:jc w:val="center"/>
        <w:rPr>
          <w:rFonts w:eastAsia="Times New Roman"/>
        </w:rPr>
      </w:pPr>
      <w:r>
        <w:rPr>
          <w:rFonts w:eastAsia="Times New Roman"/>
          <w:b/>
          <w:bCs/>
          <w:color w:val="000000"/>
          <w:sz w:val="20"/>
          <w:szCs w:val="20"/>
        </w:rPr>
        <w:t>PART II OTHER INFORMATION</w:t>
      </w:r>
    </w:p>
    <w:p w:rsidR="00000000" w:rsidRDefault="003F1733">
      <w:pPr>
        <w:jc w:val="center"/>
        <w:rPr>
          <w:rFonts w:eastAsia="Times New Roman"/>
        </w:rPr>
      </w:pPr>
    </w:p>
    <w:p w:rsidR="00000000" w:rsidRDefault="003F1733">
      <w:pPr>
        <w:divId w:val="109517151"/>
        <w:rPr>
          <w:rFonts w:eastAsia="Times New Roman"/>
        </w:rPr>
      </w:pPr>
      <w:r>
        <w:rPr>
          <w:rFonts w:eastAsia="Times New Roman"/>
          <w:b/>
          <w:bCs/>
          <w:color w:val="000000"/>
          <w:sz w:val="20"/>
          <w:szCs w:val="20"/>
        </w:rPr>
        <w:t>ITEM 1A. RISK FACTORS</w:t>
      </w:r>
    </w:p>
    <w:p w:rsidR="00000000" w:rsidRDefault="003F1733">
      <w:pPr>
        <w:jc w:val="both"/>
        <w:rPr>
          <w:rFonts w:eastAsia="Times New Roman"/>
        </w:rPr>
      </w:pPr>
      <w:r>
        <w:rPr>
          <w:rFonts w:eastAsia="Times New Roman"/>
          <w:color w:val="000000"/>
          <w:sz w:val="20"/>
          <w:szCs w:val="20"/>
        </w:rPr>
        <w:t xml:space="preserve">In addition to the information presented in this report, you should carefully consider the factors discussed in Part I, “Item 1A. Risk Factors” in our 2020 Annual Report, </w:t>
      </w:r>
      <w:r>
        <w:rPr>
          <w:rFonts w:eastAsia="Times New Roman"/>
          <w:color w:val="000000"/>
          <w:sz w:val="20"/>
          <w:szCs w:val="20"/>
        </w:rPr>
        <w:t>which could materially affect our business, financial condition or future results. The risks described in our 2020 Annual Report are not the only risks facing the Company. Other unknown or unpredictable factors could also have material adverse effects on f</w:t>
      </w:r>
      <w:r>
        <w:rPr>
          <w:rFonts w:eastAsia="Times New Roman"/>
          <w:color w:val="000000"/>
          <w:sz w:val="20"/>
          <w:szCs w:val="20"/>
        </w:rPr>
        <w:t>uture results.</w:t>
      </w:r>
    </w:p>
    <w:p w:rsidR="00000000" w:rsidRDefault="003F1733">
      <w:pPr>
        <w:jc w:val="both"/>
        <w:rPr>
          <w:rFonts w:eastAsia="Times New Roman"/>
        </w:rPr>
      </w:pPr>
    </w:p>
    <w:p w:rsidR="00000000" w:rsidRDefault="003F1733">
      <w:pPr>
        <w:divId w:val="1457483253"/>
        <w:rPr>
          <w:rFonts w:eastAsia="Times New Roman"/>
        </w:rPr>
      </w:pPr>
      <w:r>
        <w:rPr>
          <w:rFonts w:eastAsia="Times New Roman"/>
          <w:b/>
          <w:bCs/>
          <w:color w:val="000000"/>
          <w:sz w:val="20"/>
          <w:szCs w:val="20"/>
        </w:rPr>
        <w:t>ITEM 6. EXHIBITS</w:t>
      </w:r>
    </w:p>
    <w:p w:rsidR="00000000" w:rsidRDefault="003F1733">
      <w:pPr>
        <w:jc w:val="both"/>
        <w:divId w:val="166601822"/>
        <w:rPr>
          <w:rFonts w:eastAsia="Times New Roman"/>
        </w:rPr>
      </w:pPr>
      <w:r>
        <w:rPr>
          <w:rFonts w:eastAsia="Times New Roman"/>
          <w:color w:val="000000"/>
          <w:sz w:val="20"/>
          <w:szCs w:val="20"/>
        </w:rPr>
        <w:t>The exhibits filed as part of this report are as follows (exhibits incorporated by reference are set forth with the name of the registrant, the type of report and last date of the period for which it was filed, and the exhibit number in such filing):</w:t>
      </w:r>
    </w:p>
    <w:p w:rsidR="00000000" w:rsidRDefault="003F1733">
      <w:pPr>
        <w:jc w:val="center"/>
        <w:divId w:val="876309036"/>
        <w:rPr>
          <w:rFonts w:eastAsia="Times New Roman"/>
        </w:rPr>
      </w:pPr>
      <w:r>
        <w:rPr>
          <w:rFonts w:eastAsia="Times New Roman"/>
          <w:b/>
          <w:bCs/>
          <w:color w:val="000000"/>
          <w:sz w:val="20"/>
          <w:szCs w:val="20"/>
        </w:rPr>
        <w:t>Incor</w:t>
      </w:r>
      <w:r>
        <w:rPr>
          <w:rFonts w:eastAsia="Times New Roman"/>
          <w:b/>
          <w:bCs/>
          <w:color w:val="000000"/>
          <w:sz w:val="20"/>
          <w:szCs w:val="20"/>
        </w:rPr>
        <w:t>poration by Reference</w:t>
      </w:r>
    </w:p>
    <w:tbl>
      <w:tblPr>
        <w:tblW w:w="4978" w:type="pct"/>
        <w:jc w:val="center"/>
        <w:tblCellMar>
          <w:top w:w="15" w:type="dxa"/>
          <w:left w:w="15" w:type="dxa"/>
          <w:bottom w:w="15" w:type="dxa"/>
          <w:right w:w="15" w:type="dxa"/>
        </w:tblCellMar>
        <w:tblLook w:val="04A0" w:firstRow="1" w:lastRow="0" w:firstColumn="1" w:lastColumn="0" w:noHBand="0" w:noVBand="1"/>
      </w:tblPr>
      <w:tblGrid>
        <w:gridCol w:w="89"/>
        <w:gridCol w:w="683"/>
        <w:gridCol w:w="36"/>
        <w:gridCol w:w="36"/>
        <w:gridCol w:w="36"/>
        <w:gridCol w:w="36"/>
        <w:gridCol w:w="38"/>
        <w:gridCol w:w="4742"/>
        <w:gridCol w:w="36"/>
        <w:gridCol w:w="36"/>
        <w:gridCol w:w="36"/>
        <w:gridCol w:w="36"/>
        <w:gridCol w:w="80"/>
        <w:gridCol w:w="673"/>
        <w:gridCol w:w="36"/>
        <w:gridCol w:w="36"/>
        <w:gridCol w:w="36"/>
        <w:gridCol w:w="36"/>
        <w:gridCol w:w="37"/>
        <w:gridCol w:w="775"/>
        <w:gridCol w:w="36"/>
        <w:gridCol w:w="36"/>
        <w:gridCol w:w="36"/>
        <w:gridCol w:w="36"/>
        <w:gridCol w:w="80"/>
        <w:gridCol w:w="460"/>
        <w:gridCol w:w="36"/>
      </w:tblGrid>
      <w:tr w:rsidR="00000000">
        <w:trPr>
          <w:divId w:val="290212763"/>
          <w:jc w:val="center"/>
        </w:trPr>
        <w:tc>
          <w:tcPr>
            <w:tcW w:w="50" w:type="pct"/>
            <w:vAlign w:val="center"/>
            <w:hideMark/>
          </w:tcPr>
          <w:p w:rsidR="00000000" w:rsidRDefault="003F1733">
            <w:pPr>
              <w:jc w:val="center"/>
              <w:rPr>
                <w:rFonts w:eastAsia="Times New Roman"/>
              </w:rPr>
            </w:pPr>
          </w:p>
        </w:tc>
        <w:tc>
          <w:tcPr>
            <w:tcW w:w="38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2918"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2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561"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29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vAlign w:val="bottom"/>
            <w:hideMark/>
          </w:tcPr>
          <w:p w:rsidR="00000000" w:rsidRDefault="003F1733">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hideMark/>
          </w:tcPr>
          <w:p w:rsidR="00000000" w:rsidRDefault="003F1733">
            <w:pPr>
              <w:jc w:val="center"/>
              <w:rPr>
                <w:rFonts w:eastAsia="Times New Roman"/>
              </w:rPr>
            </w:pPr>
            <w:r>
              <w:rPr>
                <w:rFonts w:eastAsia="Times New Roman"/>
                <w:b/>
                <w:bCs/>
                <w:color w:val="000000"/>
                <w:sz w:val="16"/>
                <w:szCs w:val="16"/>
              </w:rPr>
              <w:t>Exhibit</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hideMark/>
          </w:tcPr>
          <w:p w:rsidR="00000000" w:rsidRDefault="003F1733">
            <w:pPr>
              <w:jc w:val="center"/>
              <w:rPr>
                <w:rFonts w:eastAsia="Times New Roman"/>
              </w:rPr>
            </w:pPr>
            <w:r>
              <w:rPr>
                <w:rFonts w:eastAsia="Times New Roman"/>
                <w:b/>
                <w:bCs/>
                <w:color w:val="000000"/>
                <w:sz w:val="16"/>
                <w:szCs w:val="16"/>
              </w:rPr>
              <w:t>Registrant</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hideMark/>
          </w:tcPr>
          <w:p w:rsidR="00000000" w:rsidRDefault="003F1733">
            <w:pPr>
              <w:jc w:val="center"/>
              <w:rPr>
                <w:rFonts w:eastAsia="Times New Roman"/>
              </w:rPr>
            </w:pPr>
            <w:r>
              <w:rPr>
                <w:rFonts w:eastAsia="Times New Roman"/>
                <w:b/>
                <w:bCs/>
                <w:color w:val="000000"/>
                <w:sz w:val="16"/>
                <w:szCs w:val="16"/>
              </w:rPr>
              <w:t>Filing</w:t>
            </w:r>
          </w:p>
        </w:tc>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30" w:type="dxa"/>
              <w:left w:w="20" w:type="dxa"/>
              <w:bottom w:w="30" w:type="dxa"/>
              <w:right w:w="20" w:type="dxa"/>
            </w:tcMar>
            <w:hideMark/>
          </w:tcPr>
          <w:p w:rsidR="00000000" w:rsidRDefault="003F1733">
            <w:pPr>
              <w:jc w:val="center"/>
              <w:rPr>
                <w:rFonts w:eastAsia="Times New Roman"/>
              </w:rPr>
            </w:pPr>
            <w:r>
              <w:rPr>
                <w:rFonts w:eastAsia="Times New Roman"/>
                <w:b/>
                <w:bCs/>
                <w:color w:val="000000"/>
                <w:sz w:val="16"/>
                <w:szCs w:val="16"/>
              </w:rPr>
              <w:t>Exhibit</w:t>
            </w: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1260288427"/>
              <w:rPr>
                <w:rFonts w:eastAsia="Times New Roman"/>
              </w:rPr>
            </w:pPr>
            <w:hyperlink r:id="rId4" w:history="1">
              <w:r>
                <w:rPr>
                  <w:rStyle w:val="a3"/>
                  <w:rFonts w:eastAsia="Times New Roman"/>
                  <w:sz w:val="20"/>
                  <w:szCs w:val="20"/>
                </w:rPr>
                <w:t>Form of UGI Corporation 2013 Omnibus Incentive Compensation Plan, Nonqualified Stock Option Grant Letter for all US Employees.</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785196499"/>
              <w:rPr>
                <w:rFonts w:eastAsia="Times New Roman"/>
              </w:rPr>
            </w:pPr>
            <w:hyperlink r:id="rId5" w:history="1">
              <w:r>
                <w:rPr>
                  <w:rStyle w:val="a3"/>
                  <w:rFonts w:eastAsia="Times New Roman"/>
                  <w:sz w:val="20"/>
                  <w:szCs w:val="20"/>
                </w:rPr>
                <w:t>Form of UGI Corporation 2013 Omnibus Incentive Compensation Plan Performance Unit Grant Letter for all US Employees.</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580988439"/>
              <w:rPr>
                <w:rFonts w:eastAsia="Times New Roman"/>
              </w:rPr>
            </w:pPr>
            <w:hyperlink r:id="rId6" w:history="1">
              <w:r>
                <w:rPr>
                  <w:rStyle w:val="a3"/>
                  <w:rFonts w:eastAsia="Times New Roman"/>
                  <w:sz w:val="20"/>
                  <w:szCs w:val="20"/>
                </w:rPr>
                <w:t>Form of UGI Corporation 2013 Omnibus Incentive Compensation Plan Stock Unit Grant Letter for all US Employees.</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1301770078"/>
              <w:rPr>
                <w:rFonts w:eastAsia="Times New Roman"/>
              </w:rPr>
            </w:pPr>
            <w:hyperlink r:id="rId7" w:history="1">
              <w:r>
                <w:rPr>
                  <w:rStyle w:val="a3"/>
                  <w:rFonts w:eastAsia="Times New Roman"/>
                  <w:sz w:val="20"/>
                  <w:szCs w:val="20"/>
                </w:rPr>
                <w:t>Form of UGI Corporation 2013 Omnibus Incentive Compensation Plan, Nonqualified Stock Option Grant Letter for Non-Employee Directors.</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191312249"/>
              <w:rPr>
                <w:rFonts w:eastAsia="Times New Roman"/>
              </w:rPr>
            </w:pPr>
            <w:hyperlink r:id="rId8" w:history="1">
              <w:r>
                <w:rPr>
                  <w:rStyle w:val="a3"/>
                  <w:rFonts w:eastAsia="Times New Roman"/>
                  <w:sz w:val="20"/>
                  <w:szCs w:val="20"/>
                </w:rPr>
                <w:t>Form of UGI Corporation 2013 Omnibus Incentive Compensation Plan Stock Unit Grant Letter for Non-Employee Directors.</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2124379723"/>
              <w:rPr>
                <w:rFonts w:eastAsia="Times New Roman"/>
              </w:rPr>
            </w:pPr>
            <w:hyperlink r:id="rId9" w:history="1">
              <w:r>
                <w:rPr>
                  <w:rStyle w:val="a3"/>
                  <w:rFonts w:eastAsia="Times New Roman"/>
                  <w:sz w:val="20"/>
                  <w:szCs w:val="20"/>
                </w:rPr>
                <w:t>Certification by the Chief Executive Officer relating to the Registrant’s Report on Form 10-Q for the quarter ended March 31, 2021,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954826671"/>
              <w:rPr>
                <w:rFonts w:eastAsia="Times New Roman"/>
              </w:rPr>
            </w:pPr>
            <w:hyperlink r:id="rId10" w:history="1">
              <w:r>
                <w:rPr>
                  <w:rStyle w:val="a3"/>
                  <w:rFonts w:eastAsia="Times New Roman"/>
                  <w:sz w:val="20"/>
                  <w:szCs w:val="20"/>
                </w:rPr>
                <w:t>Certification by the Chief Financial Officer relating to the Registrant’</w:t>
              </w:r>
              <w:r>
                <w:rPr>
                  <w:rStyle w:val="a3"/>
                  <w:rFonts w:eastAsia="Times New Roman"/>
                  <w:sz w:val="20"/>
                  <w:szCs w:val="20"/>
                </w:rPr>
                <w:t>s Report on Form 10-Q for the quarter ended March 31, 2021,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2099017885"/>
              <w:rPr>
                <w:rFonts w:eastAsia="Times New Roman"/>
              </w:rPr>
            </w:pPr>
            <w:hyperlink r:id="rId11" w:history="1">
              <w:r>
                <w:rPr>
                  <w:rStyle w:val="a3"/>
                  <w:rFonts w:eastAsia="Times New Roman"/>
                  <w:sz w:val="20"/>
                  <w:szCs w:val="20"/>
                </w:rPr>
                <w:t>Certification by the Chief Executive Officer and the Chief Financial Officer relating to the Registrant’s Report on Form 10-Q for the quarter ended March 31, 2021,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Taxonomy Extension Schema</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Taxonomy Extension Calculation Linkbase</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Taxonomy Extension Definition Linkbase</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Taxonomy Extension Labels Linkbase</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6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Taxonomy Extension Presentation Linkbase</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jc w:val="center"/>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290212763"/>
          <w:trHeight w:val="300"/>
          <w:jc w:val="center"/>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bl>
    <w:p w:rsidR="00000000" w:rsidRDefault="003F1733">
      <w:pPr>
        <w:ind w:hanging="270"/>
        <w:jc w:val="both"/>
        <w:rPr>
          <w:rFonts w:eastAsia="Times New Roman"/>
        </w:rPr>
      </w:pPr>
    </w:p>
    <w:p w:rsidR="00000000" w:rsidRDefault="003F1733">
      <w:pPr>
        <w:jc w:val="center"/>
        <w:divId w:val="342127909"/>
        <w:rPr>
          <w:rFonts w:eastAsia="Times New Roman"/>
        </w:rPr>
      </w:pPr>
      <w:r>
        <w:rPr>
          <w:rFonts w:eastAsia="Times New Roman"/>
          <w:color w:val="000000"/>
          <w:sz w:val="20"/>
          <w:szCs w:val="20"/>
        </w:rPr>
        <w:t>54</w:t>
      </w:r>
    </w:p>
    <w:p w:rsidR="00000000" w:rsidRDefault="003F1733">
      <w:pPr>
        <w:rPr>
          <w:rFonts w:eastAsia="Times New Roman"/>
        </w:rPr>
      </w:pPr>
      <w:r>
        <w:rPr>
          <w:rFonts w:eastAsia="Times New Roman"/>
        </w:rPr>
        <w:pict>
          <v:rect id="_x0000_i1080" style="width:0;height:1.5pt" o:hralign="center" o:hrstd="t" o:hr="t" fillcolor="#a0a0a0" stroked="f"/>
        </w:pict>
      </w:r>
    </w:p>
    <w:p w:rsidR="00000000" w:rsidRDefault="003F1733">
      <w:pPr>
        <w:divId w:val="1325743240"/>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1055272400"/>
        <w:rPr>
          <w:rFonts w:eastAsia="Times New Roman"/>
        </w:rPr>
      </w:pPr>
      <w:r>
        <w:rPr>
          <w:rFonts w:eastAsia="Times New Roman"/>
          <w:b/>
          <w:bCs/>
          <w:color w:val="000000"/>
          <w:sz w:val="20"/>
          <w:szCs w:val="20"/>
        </w:rPr>
        <w:t>UGI CORPORATION AND SUBSIDIARIES</w:t>
      </w:r>
    </w:p>
    <w:p w:rsidR="00000000" w:rsidRDefault="003F1733">
      <w:pPr>
        <w:jc w:val="center"/>
        <w:rPr>
          <w:rFonts w:eastAsia="Times New Roman"/>
        </w:rPr>
      </w:pPr>
      <w:r>
        <w:rPr>
          <w:rFonts w:eastAsia="Times New Roman"/>
          <w:b/>
          <w:bCs/>
          <w:color w:val="000000"/>
          <w:sz w:val="20"/>
          <w:szCs w:val="20"/>
        </w:rPr>
        <w:t>EXHIBIT INDEX</w:t>
      </w:r>
    </w:p>
    <w:p w:rsidR="00000000" w:rsidRDefault="003F1733">
      <w:pPr>
        <w:divId w:val="558831937"/>
        <w:rPr>
          <w:rFonts w:eastAsia="Times New Roman"/>
        </w:rPr>
      </w:pP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78"/>
        <w:gridCol w:w="705"/>
        <w:gridCol w:w="36"/>
        <w:gridCol w:w="36"/>
        <w:gridCol w:w="36"/>
        <w:gridCol w:w="36"/>
        <w:gridCol w:w="46"/>
        <w:gridCol w:w="7272"/>
        <w:gridCol w:w="36"/>
      </w:tblGrid>
      <w:tr w:rsidR="00000000">
        <w:trPr>
          <w:divId w:val="554393861"/>
        </w:trPr>
        <w:tc>
          <w:tcPr>
            <w:tcW w:w="50" w:type="pct"/>
            <w:vAlign w:val="center"/>
            <w:hideMark/>
          </w:tcPr>
          <w:p w:rsidR="00000000" w:rsidRDefault="003F1733">
            <w:pPr>
              <w:rPr>
                <w:rFonts w:eastAsia="Times New Roman"/>
              </w:rPr>
            </w:pPr>
          </w:p>
        </w:tc>
        <w:tc>
          <w:tcPr>
            <w:tcW w:w="45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2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4402"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1353070095"/>
              <w:rPr>
                <w:rFonts w:eastAsia="Times New Roman"/>
              </w:rPr>
            </w:pPr>
            <w:hyperlink r:id="rId12" w:history="1">
              <w:r>
                <w:rPr>
                  <w:rStyle w:val="a3"/>
                  <w:rFonts w:eastAsia="Times New Roman"/>
                  <w:sz w:val="20"/>
                  <w:szCs w:val="20"/>
                </w:rPr>
                <w:t>Form of UGI Corporation 2013 Omnibus Incentive Compensation Plan, Nonqualified Stock Option Grant Letter for all US Employees.</w:t>
              </w:r>
            </w:hyperlink>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1867055842"/>
              <w:rPr>
                <w:rFonts w:eastAsia="Times New Roman"/>
              </w:rPr>
            </w:pPr>
            <w:hyperlink r:id="rId13" w:history="1">
              <w:r>
                <w:rPr>
                  <w:rStyle w:val="a3"/>
                  <w:rFonts w:eastAsia="Times New Roman"/>
                  <w:sz w:val="20"/>
                  <w:szCs w:val="20"/>
                </w:rPr>
                <w:t>Form of UGI Corporation 2013 Omnibus Incentive Compensation Plan Performance Unit Grant Letter for all US Employees.</w:t>
              </w:r>
            </w:hyperlink>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682585882"/>
              <w:rPr>
                <w:rFonts w:eastAsia="Times New Roman"/>
              </w:rPr>
            </w:pPr>
            <w:hyperlink r:id="rId14" w:history="1">
              <w:r>
                <w:rPr>
                  <w:rStyle w:val="a3"/>
                  <w:rFonts w:eastAsia="Times New Roman"/>
                  <w:sz w:val="20"/>
                  <w:szCs w:val="20"/>
                </w:rPr>
                <w:t>Form of UGI Corporation 2013 Omnibus Incentive Compensation Plan Stock</w:t>
              </w:r>
              <w:r>
                <w:rPr>
                  <w:rStyle w:val="a3"/>
                  <w:rFonts w:eastAsia="Times New Roman"/>
                  <w:sz w:val="20"/>
                  <w:szCs w:val="20"/>
                </w:rPr>
                <w:t xml:space="preserve"> Unit Grant Letter for all US Employees.</w:t>
              </w:r>
            </w:hyperlink>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1528904147"/>
              <w:rPr>
                <w:rFonts w:eastAsia="Times New Roman"/>
              </w:rPr>
            </w:pPr>
            <w:hyperlink r:id="rId15" w:history="1">
              <w:r>
                <w:rPr>
                  <w:rStyle w:val="a3"/>
                  <w:rFonts w:eastAsia="Times New Roman"/>
                  <w:sz w:val="20"/>
                  <w:szCs w:val="20"/>
                </w:rPr>
                <w:t>Form of UGI Corporation 2013 Omnibus Incentive Compensation Plan, Nonqualified Stock Option Grant Letter for Non-Employee Directors.</w:t>
              </w:r>
            </w:hyperlink>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1730805962"/>
              <w:rPr>
                <w:rFonts w:eastAsia="Times New Roman"/>
              </w:rPr>
            </w:pPr>
            <w:hyperlink r:id="rId16" w:history="1">
              <w:r>
                <w:rPr>
                  <w:rStyle w:val="a3"/>
                  <w:rFonts w:eastAsia="Times New Roman"/>
                  <w:sz w:val="20"/>
                  <w:szCs w:val="20"/>
                </w:rPr>
                <w:t>Form of UGI Corporation 2013 Omnibus Incentive Compensation Plan Stock Unit Grant Letter for Non-Employee Directors.</w:t>
              </w:r>
            </w:hyperlink>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1149787234"/>
              <w:rPr>
                <w:rFonts w:eastAsia="Times New Roman"/>
              </w:rPr>
            </w:pPr>
            <w:hyperlink r:id="rId17" w:history="1">
              <w:r>
                <w:rPr>
                  <w:rStyle w:val="a3"/>
                  <w:rFonts w:eastAsia="Times New Roman"/>
                  <w:sz w:val="20"/>
                  <w:szCs w:val="20"/>
                </w:rPr>
                <w:t>Certification by the Chief Executive Officer relating to the Registrant’s Report on Form 10-Q for the quarter ended March 31, 2021, pursuant to Section 302 of the Sarbanes-Oxley Act of 2002.</w:t>
              </w:r>
            </w:hyperlink>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785733371"/>
              <w:rPr>
                <w:rFonts w:eastAsia="Times New Roman"/>
              </w:rPr>
            </w:pPr>
            <w:hyperlink r:id="rId18" w:history="1">
              <w:r>
                <w:rPr>
                  <w:rStyle w:val="a3"/>
                  <w:rFonts w:eastAsia="Times New Roman"/>
                  <w:sz w:val="20"/>
                  <w:szCs w:val="20"/>
                </w:rPr>
                <w:t>Certification by the Chief Certification by the Chief Financial Officer relating to the Registrant’s Report on Form 10-Q for the quarter ended March 31, 2021, pursuant to Section 302 of the Sarbanes-Oxley Act of 2002.</w:t>
              </w:r>
            </w:hyperlink>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divId w:val="1894147240"/>
              <w:rPr>
                <w:rFonts w:eastAsia="Times New Roman"/>
              </w:rPr>
            </w:pPr>
            <w:hyperlink r:id="rId19" w:history="1">
              <w:r>
                <w:rPr>
                  <w:rStyle w:val="a3"/>
                  <w:rFonts w:eastAsia="Times New Roman"/>
                  <w:sz w:val="20"/>
                  <w:szCs w:val="20"/>
                </w:rPr>
                <w:t>Certification by the Chief Executive Officer and the Chief Financial Officer relating to the Registrant’s Report on Form 10-Q for the quarter ended March 31, 2021, pursuant to Section 906 of the Sarbanes-Oxley Act o</w:t>
              </w:r>
              <w:r>
                <w:rPr>
                  <w:rStyle w:val="a3"/>
                  <w:rFonts w:eastAsia="Times New Roman"/>
                  <w:sz w:val="20"/>
                  <w:szCs w:val="20"/>
                </w:rPr>
                <w:t>f 2002.</w:t>
              </w:r>
            </w:hyperlink>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Taxonomy Extension Schema</w:t>
            </w:r>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Taxonomy Extension Calculation Linkbase</w:t>
            </w:r>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Taxonomy Extension Definition Linkbase</w:t>
            </w:r>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Taxonomy Extension Labels Linkbase</w:t>
            </w:r>
          </w:p>
        </w:tc>
      </w:tr>
      <w:tr w:rsidR="00000000">
        <w:trPr>
          <w:divId w:val="554393861"/>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XBRL Taxonomy Extension Presentation Linkbase</w:t>
            </w:r>
          </w:p>
        </w:tc>
      </w:tr>
      <w:tr w:rsidR="00000000">
        <w:trPr>
          <w:divId w:val="554393861"/>
        </w:trPr>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3F1733">
      <w:pPr>
        <w:divId w:val="350643800"/>
        <w:rPr>
          <w:rFonts w:eastAsia="Times New Roman"/>
        </w:rPr>
      </w:pPr>
    </w:p>
    <w:p w:rsidR="00000000" w:rsidRDefault="003F1733">
      <w:pPr>
        <w:divId w:val="1999382135"/>
        <w:rPr>
          <w:rFonts w:eastAsia="Times New Roman"/>
        </w:rPr>
      </w:pPr>
    </w:p>
    <w:p w:rsidR="00000000" w:rsidRDefault="003F1733">
      <w:pPr>
        <w:jc w:val="center"/>
        <w:divId w:val="1039205409"/>
        <w:rPr>
          <w:rFonts w:eastAsia="Times New Roman"/>
        </w:rPr>
      </w:pPr>
      <w:r>
        <w:rPr>
          <w:rFonts w:eastAsia="Times New Roman"/>
          <w:color w:val="000000"/>
          <w:sz w:val="20"/>
          <w:szCs w:val="20"/>
        </w:rPr>
        <w:t>55</w:t>
      </w:r>
    </w:p>
    <w:p w:rsidR="00000000" w:rsidRDefault="003F1733">
      <w:pPr>
        <w:rPr>
          <w:rFonts w:eastAsia="Times New Roman"/>
        </w:rPr>
      </w:pPr>
      <w:r>
        <w:rPr>
          <w:rFonts w:eastAsia="Times New Roman"/>
        </w:rPr>
        <w:pict>
          <v:rect id="_x0000_i1081" style="width:0;height:1.5pt" o:hralign="center" o:hrstd="t" o:hr="t" fillcolor="#a0a0a0" stroked="f"/>
        </w:pict>
      </w:r>
    </w:p>
    <w:p w:rsidR="00000000" w:rsidRDefault="003F1733">
      <w:pPr>
        <w:divId w:val="1366710279"/>
        <w:rPr>
          <w:rFonts w:eastAsia="Times New Roman"/>
        </w:rPr>
      </w:pPr>
      <w:hyperlink w:anchor="id9c6bfb9fb8b448daec852530d7d2c30_7" w:history="1">
        <w:r>
          <w:rPr>
            <w:rStyle w:val="a3"/>
            <w:rFonts w:eastAsia="Times New Roman"/>
            <w:sz w:val="20"/>
            <w:szCs w:val="20"/>
          </w:rPr>
          <w:t>Table of Contents</w:t>
        </w:r>
      </w:hyperlink>
    </w:p>
    <w:p w:rsidR="00000000" w:rsidRDefault="003F1733">
      <w:pPr>
        <w:jc w:val="center"/>
        <w:divId w:val="861014801"/>
        <w:rPr>
          <w:rFonts w:eastAsia="Times New Roman"/>
        </w:rPr>
      </w:pPr>
      <w:r>
        <w:rPr>
          <w:rFonts w:eastAsia="Times New Roman"/>
          <w:b/>
          <w:bCs/>
          <w:color w:val="000000"/>
          <w:sz w:val="20"/>
          <w:szCs w:val="20"/>
        </w:rPr>
        <w:t>UGI CORPORATION AND SUBSIDIARIES</w:t>
      </w:r>
    </w:p>
    <w:p w:rsidR="00000000" w:rsidRDefault="003F1733">
      <w:pPr>
        <w:jc w:val="center"/>
        <w:rPr>
          <w:rFonts w:eastAsia="Times New Roman"/>
        </w:rPr>
      </w:pPr>
      <w:r>
        <w:rPr>
          <w:rFonts w:eastAsia="Times New Roman"/>
          <w:b/>
          <w:bCs/>
          <w:color w:val="000000"/>
          <w:sz w:val="20"/>
          <w:szCs w:val="20"/>
        </w:rPr>
        <w:t>SIGNATURES</w:t>
      </w:r>
    </w:p>
    <w:p w:rsidR="00000000" w:rsidRDefault="003F1733">
      <w:pPr>
        <w:jc w:val="both"/>
        <w:divId w:val="436413401"/>
        <w:rPr>
          <w:rFonts w:eastAsia="Times New Roman"/>
        </w:rPr>
      </w:pPr>
      <w:r>
        <w:rPr>
          <w:rFonts w:eastAsia="Times New Roman"/>
          <w:color w:val="000000"/>
          <w:sz w:val="20"/>
          <w:szCs w:val="20"/>
        </w:rPr>
        <w:t xml:space="preserve">Pursuant to the requirements of the Securities Exchange Act of 1934, the registrant has duly caused </w:t>
      </w:r>
      <w:r>
        <w:rPr>
          <w:rFonts w:eastAsia="Times New Roman"/>
          <w:color w:val="000000"/>
          <w:sz w:val="20"/>
          <w:szCs w:val="20"/>
        </w:rPr>
        <w:t>this report to be signed on its behalf by the undersigned thereunto duly authorized.</w:t>
      </w:r>
    </w:p>
    <w:p w:rsidR="00000000" w:rsidRDefault="003F1733">
      <w:pPr>
        <w:divId w:val="1260525206"/>
        <w:rPr>
          <w:rFonts w:eastAsia="Times New Roman"/>
        </w:rPr>
      </w:pP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88"/>
        <w:gridCol w:w="378"/>
        <w:gridCol w:w="36"/>
        <w:gridCol w:w="60"/>
        <w:gridCol w:w="3881"/>
        <w:gridCol w:w="36"/>
        <w:gridCol w:w="81"/>
        <w:gridCol w:w="240"/>
        <w:gridCol w:w="37"/>
        <w:gridCol w:w="37"/>
        <w:gridCol w:w="3370"/>
        <w:gridCol w:w="37"/>
      </w:tblGrid>
      <w:tr w:rsidR="00000000">
        <w:trPr>
          <w:divId w:val="1358963912"/>
        </w:trPr>
        <w:tc>
          <w:tcPr>
            <w:tcW w:w="50" w:type="pct"/>
            <w:vAlign w:val="center"/>
            <w:hideMark/>
          </w:tcPr>
          <w:p w:rsidR="00000000" w:rsidRDefault="003F1733">
            <w:pPr>
              <w:rPr>
                <w:rFonts w:eastAsia="Times New Roman"/>
              </w:rPr>
            </w:pPr>
          </w:p>
        </w:tc>
        <w:tc>
          <w:tcPr>
            <w:tcW w:w="21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2357"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150"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c>
          <w:tcPr>
            <w:tcW w:w="50" w:type="pct"/>
            <w:vAlign w:val="center"/>
            <w:hideMark/>
          </w:tcPr>
          <w:p w:rsidR="00000000" w:rsidRDefault="003F1733">
            <w:pPr>
              <w:rPr>
                <w:rFonts w:eastAsia="Times New Roman"/>
                <w:sz w:val="20"/>
                <w:szCs w:val="20"/>
              </w:rPr>
            </w:pPr>
          </w:p>
        </w:tc>
        <w:tc>
          <w:tcPr>
            <w:tcW w:w="2056" w:type="pct"/>
            <w:vAlign w:val="center"/>
            <w:hideMark/>
          </w:tcPr>
          <w:p w:rsidR="00000000" w:rsidRDefault="003F1733">
            <w:pPr>
              <w:rPr>
                <w:rFonts w:eastAsia="Times New Roman"/>
                <w:sz w:val="20"/>
                <w:szCs w:val="20"/>
              </w:rPr>
            </w:pPr>
          </w:p>
        </w:tc>
        <w:tc>
          <w:tcPr>
            <w:tcW w:w="5" w:type="pct"/>
            <w:vAlign w:val="center"/>
            <w:hideMark/>
          </w:tcPr>
          <w:p w:rsidR="00000000" w:rsidRDefault="003F1733">
            <w:pPr>
              <w:rPr>
                <w:rFonts w:eastAsia="Times New Roman"/>
                <w:sz w:val="20"/>
                <w:szCs w:val="20"/>
              </w:rPr>
            </w:pPr>
          </w:p>
        </w:tc>
      </w:tr>
      <w:tr w:rsidR="00000000">
        <w:trPr>
          <w:divId w:val="1358963912"/>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u w:val="single"/>
              </w:rPr>
              <w:t>UGI Corporation</w:t>
            </w:r>
          </w:p>
        </w:tc>
      </w:tr>
      <w:tr w:rsidR="00000000">
        <w:trPr>
          <w:divId w:val="1358963912"/>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(Registrant)</w:t>
            </w:r>
          </w:p>
        </w:tc>
      </w:tr>
      <w:tr w:rsidR="00000000">
        <w:trPr>
          <w:divId w:val="1358963912"/>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58963912"/>
        </w:trPr>
        <w:tc>
          <w:tcPr>
            <w:tcW w:w="0" w:type="auto"/>
            <w:gridSpan w:val="3"/>
            <w:tcMar>
              <w:top w:w="30" w:type="dxa"/>
              <w:left w:w="20" w:type="dxa"/>
              <w:bottom w:w="30" w:type="dxa"/>
              <w:right w:w="20" w:type="dxa"/>
            </w:tcMar>
            <w:vAlign w:val="center"/>
            <w:hideMark/>
          </w:tcPr>
          <w:p w:rsidR="00000000" w:rsidRDefault="003F1733">
            <w:pPr>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center"/>
            <w:hideMark/>
          </w:tcPr>
          <w:p w:rsidR="00000000" w:rsidRDefault="003F1733">
            <w:pPr>
              <w:rPr>
                <w:rFonts w:eastAsia="Times New Roman"/>
              </w:rPr>
            </w:pPr>
            <w:r>
              <w:rPr>
                <w:rFonts w:eastAsia="Times New Roman"/>
                <w:color w:val="000000"/>
                <w:sz w:val="20"/>
                <w:szCs w:val="20"/>
              </w:rPr>
              <w:t>May 6, 2021</w:t>
            </w: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/s/ Ted J. Jastrzebski</w:t>
            </w:r>
          </w:p>
        </w:tc>
      </w:tr>
      <w:tr w:rsidR="00000000">
        <w:trPr>
          <w:divId w:val="1358963912"/>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Ted J. Jastrzebski</w:t>
            </w:r>
          </w:p>
        </w:tc>
      </w:tr>
      <w:tr w:rsidR="00000000">
        <w:trPr>
          <w:divId w:val="1358963912"/>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Chief Financial Officer</w:t>
            </w:r>
          </w:p>
        </w:tc>
      </w:tr>
      <w:tr w:rsidR="00000000">
        <w:trPr>
          <w:divId w:val="1358963912"/>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58963912"/>
          <w:trHeight w:val="60"/>
        </w:trPr>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F1733">
            <w:pPr>
              <w:rPr>
                <w:rFonts w:eastAsia="Times New Roman"/>
                <w:sz w:val="20"/>
                <w:szCs w:val="20"/>
              </w:rPr>
            </w:pPr>
          </w:p>
        </w:tc>
      </w:tr>
      <w:tr w:rsidR="00000000">
        <w:trPr>
          <w:divId w:val="1358963912"/>
        </w:trPr>
        <w:tc>
          <w:tcPr>
            <w:tcW w:w="0" w:type="auto"/>
            <w:gridSpan w:val="3"/>
            <w:tcMar>
              <w:top w:w="30" w:type="dxa"/>
              <w:left w:w="20" w:type="dxa"/>
              <w:bottom w:w="30" w:type="dxa"/>
              <w:right w:w="20" w:type="dxa"/>
            </w:tcMar>
            <w:vAlign w:val="center"/>
            <w:hideMark/>
          </w:tcPr>
          <w:p w:rsidR="00000000" w:rsidRDefault="003F1733">
            <w:pPr>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center"/>
            <w:hideMark/>
          </w:tcPr>
          <w:p w:rsidR="00000000" w:rsidRDefault="003F1733">
            <w:pPr>
              <w:rPr>
                <w:rFonts w:eastAsia="Times New Roman"/>
              </w:rPr>
            </w:pPr>
            <w:r>
              <w:rPr>
                <w:rFonts w:eastAsia="Times New Roman"/>
                <w:color w:val="000000"/>
                <w:sz w:val="20"/>
                <w:szCs w:val="20"/>
              </w:rPr>
              <w:t>May 6, 2021</w:t>
            </w: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/s/ Laurie A. Bergman</w:t>
            </w:r>
          </w:p>
        </w:tc>
      </w:tr>
      <w:tr w:rsidR="00000000">
        <w:trPr>
          <w:divId w:val="1358963912"/>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Laurie A. Bergman</w:t>
            </w:r>
          </w:p>
        </w:tc>
      </w:tr>
      <w:tr w:rsidR="00000000">
        <w:trPr>
          <w:divId w:val="1358963912"/>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Vice President, Chief Accounting Officer</w:t>
            </w:r>
          </w:p>
        </w:tc>
      </w:tr>
      <w:tr w:rsidR="00000000">
        <w:trPr>
          <w:divId w:val="1358963912"/>
        </w:trPr>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vAlign w:val="bottom"/>
            <w:hideMark/>
          </w:tcPr>
          <w:p w:rsidR="00000000" w:rsidRDefault="003F173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F1733">
            <w:pPr>
              <w:rPr>
                <w:rFonts w:eastAsia="Times New Roman"/>
              </w:rPr>
            </w:pPr>
          </w:p>
        </w:tc>
        <w:tc>
          <w:tcPr>
            <w:tcW w:w="0" w:type="auto"/>
            <w:gridSpan w:val="3"/>
            <w:tcMar>
              <w:top w:w="30" w:type="dxa"/>
              <w:left w:w="20" w:type="dxa"/>
              <w:bottom w:w="30" w:type="dxa"/>
              <w:right w:w="20" w:type="dxa"/>
            </w:tcMar>
            <w:hideMark/>
          </w:tcPr>
          <w:p w:rsidR="00000000" w:rsidRDefault="003F1733">
            <w:pPr>
              <w:rPr>
                <w:rFonts w:eastAsia="Times New Roman"/>
              </w:rPr>
            </w:pPr>
            <w:r>
              <w:rPr>
                <w:rFonts w:eastAsia="Times New Roman"/>
                <w:color w:val="000000"/>
                <w:sz w:val="20"/>
                <w:szCs w:val="20"/>
              </w:rPr>
              <w:t>and Corporate Controller</w:t>
            </w:r>
          </w:p>
        </w:tc>
      </w:tr>
    </w:tbl>
    <w:p w:rsidR="003F1733" w:rsidRDefault="003F1733">
      <w:pPr>
        <w:jc w:val="center"/>
        <w:divId w:val="234974571"/>
        <w:rPr>
          <w:rFonts w:eastAsia="Times New Roman"/>
        </w:rPr>
      </w:pPr>
      <w:r>
        <w:rPr>
          <w:rFonts w:eastAsia="Times New Roman"/>
          <w:color w:val="000000"/>
          <w:sz w:val="20"/>
          <w:szCs w:val="20"/>
        </w:rPr>
        <w:t>56</w:t>
      </w:r>
    </w:p>
    <w:sectPr w:rsidR="003F173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F1733"/>
    <w:rsid w:val="003F1733"/>
  </w:rsids>
  <m:mathPr>
    <m:mathFont m:val="Cambria Math"/>
    <m:brkBin m:val="before"/>
    <m:brkBinSub m:val="--"/>
    <m:smallFrac m:val="0"/>
    <m:dispDef/>
    <m:lMargin m:val="0"/>
    <m:rMargin m:val="0"/>
    <m:defJc m:val="centerGroup"/>
    <m:wrapIndent m:val="1440"/>
    <m:intLim m:val="subSup"/>
    <m:naryLim m:val="undOvr"/>
  </m:mathPr>
  <w:attachedSchema w:val="http://xbrl.sec.gov/dei/2020-01-31"/>
  <w:attachedSchema w:val="http://www.xbrl.org/2003/iso4217"/>
  <w:attachedSchema w:val="http://www.xbrl.org/2003/linkbase"/>
  <w:attachedSchema w:val="http://www.xbrl.org/2013/inlineXBRL"/>
  <w:attachedSchema w:val="http://www.ugicorp.com/20210331"/>
  <w:attachedSchema w:val="http://www.w3.org/1999/xlink"/>
  <w:attachedSchema w:val="http://www.xbrl.org/inlineXBRL/transformation/2015-02-26"/>
  <w:attachedSchema w:val="http://fasb.org/us-gaap/2020-01-31"/>
  <w:attachedSchema w:val="http://xbrl.sec.gov/stpr/2018-01-31"/>
  <w:attachedSchema w:val="http://fasb.org/srt/2020-01-31"/>
  <w:attachedSchema w:val="http://www.xbrl.org/2003/instance"/>
  <w:attachedSchema w:val="http://www.sec.gov/inlineXBRL/transformation/2015-08-31"/>
  <w:attachedSchema w:val="http://www.xbrl.org/2009/utr"/>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453">
      <w:marLeft w:val="0"/>
      <w:marRight w:val="0"/>
      <w:marTop w:val="0"/>
      <w:marBottom w:val="0"/>
      <w:divBdr>
        <w:top w:val="none" w:sz="0" w:space="0" w:color="auto"/>
        <w:left w:val="none" w:sz="0" w:space="0" w:color="auto"/>
        <w:bottom w:val="none" w:sz="0" w:space="0" w:color="auto"/>
        <w:right w:val="none" w:sz="0" w:space="0" w:color="auto"/>
      </w:divBdr>
      <w:divsChild>
        <w:div w:id="478422742">
          <w:marLeft w:val="0"/>
          <w:marRight w:val="0"/>
          <w:marTop w:val="0"/>
          <w:marBottom w:val="0"/>
          <w:divBdr>
            <w:top w:val="none" w:sz="0" w:space="0" w:color="auto"/>
            <w:left w:val="none" w:sz="0" w:space="0" w:color="auto"/>
            <w:bottom w:val="none" w:sz="0" w:space="0" w:color="auto"/>
            <w:right w:val="none" w:sz="0" w:space="0" w:color="auto"/>
          </w:divBdr>
        </w:div>
        <w:div w:id="2146119019">
          <w:marLeft w:val="0"/>
          <w:marRight w:val="0"/>
          <w:marTop w:val="180"/>
          <w:marBottom w:val="0"/>
          <w:divBdr>
            <w:top w:val="none" w:sz="0" w:space="0" w:color="auto"/>
            <w:left w:val="none" w:sz="0" w:space="0" w:color="auto"/>
            <w:bottom w:val="none" w:sz="0" w:space="0" w:color="auto"/>
            <w:right w:val="none" w:sz="0" w:space="0" w:color="auto"/>
          </w:divBdr>
        </w:div>
      </w:divsChild>
    </w:div>
    <w:div w:id="34962762">
      <w:marLeft w:val="0"/>
      <w:marRight w:val="0"/>
      <w:marTop w:val="0"/>
      <w:marBottom w:val="0"/>
      <w:divBdr>
        <w:top w:val="none" w:sz="0" w:space="0" w:color="auto"/>
        <w:left w:val="none" w:sz="0" w:space="0" w:color="auto"/>
        <w:bottom w:val="none" w:sz="0" w:space="0" w:color="auto"/>
        <w:right w:val="none" w:sz="0" w:space="0" w:color="auto"/>
      </w:divBdr>
      <w:divsChild>
        <w:div w:id="375617141">
          <w:marLeft w:val="0"/>
          <w:marRight w:val="0"/>
          <w:marTop w:val="0"/>
          <w:marBottom w:val="0"/>
          <w:divBdr>
            <w:top w:val="none" w:sz="0" w:space="0" w:color="auto"/>
            <w:left w:val="none" w:sz="0" w:space="0" w:color="auto"/>
            <w:bottom w:val="none" w:sz="0" w:space="0" w:color="auto"/>
            <w:right w:val="none" w:sz="0" w:space="0" w:color="auto"/>
          </w:divBdr>
        </w:div>
      </w:divsChild>
    </w:div>
    <w:div w:id="41948501">
      <w:marLeft w:val="0"/>
      <w:marRight w:val="0"/>
      <w:marTop w:val="0"/>
      <w:marBottom w:val="0"/>
      <w:divBdr>
        <w:top w:val="none" w:sz="0" w:space="0" w:color="auto"/>
        <w:left w:val="none" w:sz="0" w:space="0" w:color="auto"/>
        <w:bottom w:val="none" w:sz="0" w:space="0" w:color="auto"/>
        <w:right w:val="none" w:sz="0" w:space="0" w:color="auto"/>
      </w:divBdr>
      <w:divsChild>
        <w:div w:id="1408067872">
          <w:marLeft w:val="0"/>
          <w:marRight w:val="0"/>
          <w:marTop w:val="0"/>
          <w:marBottom w:val="0"/>
          <w:divBdr>
            <w:top w:val="none" w:sz="0" w:space="0" w:color="auto"/>
            <w:left w:val="none" w:sz="0" w:space="0" w:color="auto"/>
            <w:bottom w:val="none" w:sz="0" w:space="0" w:color="auto"/>
            <w:right w:val="none" w:sz="0" w:space="0" w:color="auto"/>
          </w:divBdr>
        </w:div>
        <w:div w:id="570965213">
          <w:marLeft w:val="0"/>
          <w:marRight w:val="0"/>
          <w:marTop w:val="180"/>
          <w:marBottom w:val="0"/>
          <w:divBdr>
            <w:top w:val="none" w:sz="0" w:space="0" w:color="auto"/>
            <w:left w:val="none" w:sz="0" w:space="0" w:color="auto"/>
            <w:bottom w:val="none" w:sz="0" w:space="0" w:color="auto"/>
            <w:right w:val="none" w:sz="0" w:space="0" w:color="auto"/>
          </w:divBdr>
        </w:div>
      </w:divsChild>
    </w:div>
    <w:div w:id="42482073">
      <w:marLeft w:val="0"/>
      <w:marRight w:val="0"/>
      <w:marTop w:val="0"/>
      <w:marBottom w:val="0"/>
      <w:divBdr>
        <w:top w:val="none" w:sz="0" w:space="0" w:color="auto"/>
        <w:left w:val="none" w:sz="0" w:space="0" w:color="auto"/>
        <w:bottom w:val="none" w:sz="0" w:space="0" w:color="auto"/>
        <w:right w:val="none" w:sz="0" w:space="0" w:color="auto"/>
      </w:divBdr>
      <w:divsChild>
        <w:div w:id="135728973">
          <w:marLeft w:val="0"/>
          <w:marRight w:val="0"/>
          <w:marTop w:val="0"/>
          <w:marBottom w:val="0"/>
          <w:divBdr>
            <w:top w:val="none" w:sz="0" w:space="0" w:color="auto"/>
            <w:left w:val="none" w:sz="0" w:space="0" w:color="auto"/>
            <w:bottom w:val="none" w:sz="0" w:space="0" w:color="auto"/>
            <w:right w:val="none" w:sz="0" w:space="0" w:color="auto"/>
          </w:divBdr>
        </w:div>
      </w:divsChild>
    </w:div>
    <w:div w:id="43718524">
      <w:marLeft w:val="0"/>
      <w:marRight w:val="0"/>
      <w:marTop w:val="0"/>
      <w:marBottom w:val="200"/>
      <w:divBdr>
        <w:top w:val="none" w:sz="0" w:space="0" w:color="auto"/>
        <w:left w:val="none" w:sz="0" w:space="0" w:color="auto"/>
        <w:bottom w:val="none" w:sz="0" w:space="0" w:color="auto"/>
        <w:right w:val="none" w:sz="0" w:space="0" w:color="auto"/>
      </w:divBdr>
    </w:div>
    <w:div w:id="51584070">
      <w:marLeft w:val="0"/>
      <w:marRight w:val="0"/>
      <w:marTop w:val="0"/>
      <w:marBottom w:val="0"/>
      <w:divBdr>
        <w:top w:val="none" w:sz="0" w:space="0" w:color="auto"/>
        <w:left w:val="none" w:sz="0" w:space="0" w:color="auto"/>
        <w:bottom w:val="none" w:sz="0" w:space="0" w:color="auto"/>
        <w:right w:val="none" w:sz="0" w:space="0" w:color="auto"/>
      </w:divBdr>
      <w:divsChild>
        <w:div w:id="539783976">
          <w:marLeft w:val="0"/>
          <w:marRight w:val="0"/>
          <w:marTop w:val="0"/>
          <w:marBottom w:val="0"/>
          <w:divBdr>
            <w:top w:val="none" w:sz="0" w:space="0" w:color="auto"/>
            <w:left w:val="none" w:sz="0" w:space="0" w:color="auto"/>
            <w:bottom w:val="none" w:sz="0" w:space="0" w:color="auto"/>
            <w:right w:val="none" w:sz="0" w:space="0" w:color="auto"/>
          </w:divBdr>
        </w:div>
      </w:divsChild>
    </w:div>
    <w:div w:id="59985050">
      <w:marLeft w:val="0"/>
      <w:marRight w:val="0"/>
      <w:marTop w:val="100"/>
      <w:marBottom w:val="100"/>
      <w:divBdr>
        <w:top w:val="none" w:sz="0" w:space="0" w:color="auto"/>
        <w:left w:val="none" w:sz="0" w:space="0" w:color="auto"/>
        <w:bottom w:val="none" w:sz="0" w:space="0" w:color="auto"/>
        <w:right w:val="none" w:sz="0" w:space="0" w:color="auto"/>
      </w:divBdr>
    </w:div>
    <w:div w:id="61215727">
      <w:marLeft w:val="0"/>
      <w:marRight w:val="0"/>
      <w:marTop w:val="0"/>
      <w:marBottom w:val="200"/>
      <w:divBdr>
        <w:top w:val="none" w:sz="0" w:space="0" w:color="auto"/>
        <w:left w:val="none" w:sz="0" w:space="0" w:color="auto"/>
        <w:bottom w:val="none" w:sz="0" w:space="0" w:color="auto"/>
        <w:right w:val="none" w:sz="0" w:space="0" w:color="auto"/>
      </w:divBdr>
    </w:div>
    <w:div w:id="62995838">
      <w:marLeft w:val="0"/>
      <w:marRight w:val="0"/>
      <w:marTop w:val="0"/>
      <w:marBottom w:val="200"/>
      <w:divBdr>
        <w:top w:val="none" w:sz="0" w:space="0" w:color="auto"/>
        <w:left w:val="none" w:sz="0" w:space="0" w:color="auto"/>
        <w:bottom w:val="none" w:sz="0" w:space="0" w:color="auto"/>
        <w:right w:val="none" w:sz="0" w:space="0" w:color="auto"/>
      </w:divBdr>
    </w:div>
    <w:div w:id="67196047">
      <w:marLeft w:val="0"/>
      <w:marRight w:val="0"/>
      <w:marTop w:val="200"/>
      <w:marBottom w:val="0"/>
      <w:divBdr>
        <w:top w:val="none" w:sz="0" w:space="0" w:color="auto"/>
        <w:left w:val="none" w:sz="0" w:space="0" w:color="auto"/>
        <w:bottom w:val="none" w:sz="0" w:space="0" w:color="auto"/>
        <w:right w:val="none" w:sz="0" w:space="0" w:color="auto"/>
      </w:divBdr>
    </w:div>
    <w:div w:id="80302022">
      <w:marLeft w:val="0"/>
      <w:marRight w:val="0"/>
      <w:marTop w:val="0"/>
      <w:marBottom w:val="0"/>
      <w:divBdr>
        <w:top w:val="none" w:sz="0" w:space="0" w:color="auto"/>
        <w:left w:val="none" w:sz="0" w:space="0" w:color="auto"/>
        <w:bottom w:val="none" w:sz="0" w:space="0" w:color="auto"/>
        <w:right w:val="none" w:sz="0" w:space="0" w:color="auto"/>
      </w:divBdr>
    </w:div>
    <w:div w:id="81879803">
      <w:marLeft w:val="0"/>
      <w:marRight w:val="0"/>
      <w:marTop w:val="0"/>
      <w:marBottom w:val="160"/>
      <w:divBdr>
        <w:top w:val="none" w:sz="0" w:space="0" w:color="auto"/>
        <w:left w:val="none" w:sz="0" w:space="0" w:color="auto"/>
        <w:bottom w:val="none" w:sz="0" w:space="0" w:color="auto"/>
        <w:right w:val="none" w:sz="0" w:space="0" w:color="auto"/>
      </w:divBdr>
    </w:div>
    <w:div w:id="84569791">
      <w:marLeft w:val="0"/>
      <w:marRight w:val="0"/>
      <w:marTop w:val="0"/>
      <w:marBottom w:val="0"/>
      <w:divBdr>
        <w:top w:val="none" w:sz="0" w:space="0" w:color="auto"/>
        <w:left w:val="none" w:sz="0" w:space="0" w:color="auto"/>
        <w:bottom w:val="none" w:sz="0" w:space="0" w:color="auto"/>
        <w:right w:val="none" w:sz="0" w:space="0" w:color="auto"/>
      </w:divBdr>
      <w:divsChild>
        <w:div w:id="1308051364">
          <w:marLeft w:val="0"/>
          <w:marRight w:val="0"/>
          <w:marTop w:val="0"/>
          <w:marBottom w:val="0"/>
          <w:divBdr>
            <w:top w:val="none" w:sz="0" w:space="0" w:color="auto"/>
            <w:left w:val="none" w:sz="0" w:space="0" w:color="auto"/>
            <w:bottom w:val="none" w:sz="0" w:space="0" w:color="auto"/>
            <w:right w:val="none" w:sz="0" w:space="0" w:color="auto"/>
          </w:divBdr>
        </w:div>
      </w:divsChild>
    </w:div>
    <w:div w:id="87041532">
      <w:marLeft w:val="0"/>
      <w:marRight w:val="0"/>
      <w:marTop w:val="0"/>
      <w:marBottom w:val="200"/>
      <w:divBdr>
        <w:top w:val="none" w:sz="0" w:space="0" w:color="auto"/>
        <w:left w:val="none" w:sz="0" w:space="0" w:color="auto"/>
        <w:bottom w:val="none" w:sz="0" w:space="0" w:color="auto"/>
        <w:right w:val="none" w:sz="0" w:space="0" w:color="auto"/>
      </w:divBdr>
    </w:div>
    <w:div w:id="95911687">
      <w:marLeft w:val="0"/>
      <w:marRight w:val="0"/>
      <w:marTop w:val="0"/>
      <w:marBottom w:val="200"/>
      <w:divBdr>
        <w:top w:val="none" w:sz="0" w:space="0" w:color="auto"/>
        <w:left w:val="none" w:sz="0" w:space="0" w:color="auto"/>
        <w:bottom w:val="none" w:sz="0" w:space="0" w:color="auto"/>
        <w:right w:val="none" w:sz="0" w:space="0" w:color="auto"/>
      </w:divBdr>
    </w:div>
    <w:div w:id="100494147">
      <w:marLeft w:val="0"/>
      <w:marRight w:val="0"/>
      <w:marTop w:val="100"/>
      <w:marBottom w:val="100"/>
      <w:divBdr>
        <w:top w:val="none" w:sz="0" w:space="0" w:color="auto"/>
        <w:left w:val="none" w:sz="0" w:space="0" w:color="auto"/>
        <w:bottom w:val="none" w:sz="0" w:space="0" w:color="auto"/>
        <w:right w:val="none" w:sz="0" w:space="0" w:color="auto"/>
      </w:divBdr>
    </w:div>
    <w:div w:id="109517151">
      <w:marLeft w:val="0"/>
      <w:marRight w:val="0"/>
      <w:marTop w:val="0"/>
      <w:marBottom w:val="0"/>
      <w:divBdr>
        <w:top w:val="none" w:sz="0" w:space="0" w:color="auto"/>
        <w:left w:val="none" w:sz="0" w:space="0" w:color="auto"/>
        <w:bottom w:val="none" w:sz="0" w:space="0" w:color="auto"/>
        <w:right w:val="none" w:sz="0" w:space="0" w:color="auto"/>
      </w:divBdr>
    </w:div>
    <w:div w:id="113797115">
      <w:marLeft w:val="0"/>
      <w:marRight w:val="0"/>
      <w:marTop w:val="0"/>
      <w:marBottom w:val="200"/>
      <w:divBdr>
        <w:top w:val="none" w:sz="0" w:space="0" w:color="auto"/>
        <w:left w:val="none" w:sz="0" w:space="0" w:color="auto"/>
        <w:bottom w:val="none" w:sz="0" w:space="0" w:color="auto"/>
        <w:right w:val="none" w:sz="0" w:space="0" w:color="auto"/>
      </w:divBdr>
    </w:div>
    <w:div w:id="115026607">
      <w:marLeft w:val="0"/>
      <w:marRight w:val="0"/>
      <w:marTop w:val="0"/>
      <w:marBottom w:val="200"/>
      <w:divBdr>
        <w:top w:val="none" w:sz="0" w:space="0" w:color="auto"/>
        <w:left w:val="none" w:sz="0" w:space="0" w:color="auto"/>
        <w:bottom w:val="none" w:sz="0" w:space="0" w:color="auto"/>
        <w:right w:val="none" w:sz="0" w:space="0" w:color="auto"/>
      </w:divBdr>
    </w:div>
    <w:div w:id="117140004">
      <w:marLeft w:val="0"/>
      <w:marRight w:val="0"/>
      <w:marTop w:val="100"/>
      <w:marBottom w:val="100"/>
      <w:divBdr>
        <w:top w:val="none" w:sz="0" w:space="0" w:color="auto"/>
        <w:left w:val="none" w:sz="0" w:space="0" w:color="auto"/>
        <w:bottom w:val="none" w:sz="0" w:space="0" w:color="auto"/>
        <w:right w:val="none" w:sz="0" w:space="0" w:color="auto"/>
      </w:divBdr>
    </w:div>
    <w:div w:id="119805549">
      <w:marLeft w:val="0"/>
      <w:marRight w:val="0"/>
      <w:marTop w:val="0"/>
      <w:marBottom w:val="0"/>
      <w:divBdr>
        <w:top w:val="none" w:sz="0" w:space="0" w:color="auto"/>
        <w:left w:val="none" w:sz="0" w:space="0" w:color="auto"/>
        <w:bottom w:val="none" w:sz="0" w:space="0" w:color="auto"/>
        <w:right w:val="none" w:sz="0" w:space="0" w:color="auto"/>
      </w:divBdr>
    </w:div>
    <w:div w:id="120652853">
      <w:marLeft w:val="0"/>
      <w:marRight w:val="0"/>
      <w:marTop w:val="0"/>
      <w:marBottom w:val="0"/>
      <w:divBdr>
        <w:top w:val="none" w:sz="0" w:space="0" w:color="auto"/>
        <w:left w:val="none" w:sz="0" w:space="0" w:color="auto"/>
        <w:bottom w:val="none" w:sz="0" w:space="0" w:color="auto"/>
        <w:right w:val="none" w:sz="0" w:space="0" w:color="auto"/>
      </w:divBdr>
      <w:divsChild>
        <w:div w:id="35932539">
          <w:marLeft w:val="0"/>
          <w:marRight w:val="0"/>
          <w:marTop w:val="0"/>
          <w:marBottom w:val="0"/>
          <w:divBdr>
            <w:top w:val="none" w:sz="0" w:space="0" w:color="auto"/>
            <w:left w:val="none" w:sz="0" w:space="0" w:color="auto"/>
            <w:bottom w:val="none" w:sz="0" w:space="0" w:color="auto"/>
            <w:right w:val="none" w:sz="0" w:space="0" w:color="auto"/>
          </w:divBdr>
        </w:div>
      </w:divsChild>
    </w:div>
    <w:div w:id="122356495">
      <w:marLeft w:val="0"/>
      <w:marRight w:val="0"/>
      <w:marTop w:val="120"/>
      <w:marBottom w:val="0"/>
      <w:divBdr>
        <w:top w:val="none" w:sz="0" w:space="0" w:color="auto"/>
        <w:left w:val="none" w:sz="0" w:space="0" w:color="auto"/>
        <w:bottom w:val="none" w:sz="0" w:space="0" w:color="auto"/>
        <w:right w:val="none" w:sz="0" w:space="0" w:color="auto"/>
      </w:divBdr>
    </w:div>
    <w:div w:id="123548191">
      <w:marLeft w:val="0"/>
      <w:marRight w:val="0"/>
      <w:marTop w:val="0"/>
      <w:marBottom w:val="0"/>
      <w:divBdr>
        <w:top w:val="none" w:sz="0" w:space="0" w:color="auto"/>
        <w:left w:val="none" w:sz="0" w:space="0" w:color="auto"/>
        <w:bottom w:val="none" w:sz="0" w:space="0" w:color="auto"/>
        <w:right w:val="none" w:sz="0" w:space="0" w:color="auto"/>
      </w:divBdr>
    </w:div>
    <w:div w:id="127821295">
      <w:marLeft w:val="0"/>
      <w:marRight w:val="0"/>
      <w:marTop w:val="0"/>
      <w:marBottom w:val="200"/>
      <w:divBdr>
        <w:top w:val="none" w:sz="0" w:space="0" w:color="auto"/>
        <w:left w:val="none" w:sz="0" w:space="0" w:color="auto"/>
        <w:bottom w:val="none" w:sz="0" w:space="0" w:color="auto"/>
        <w:right w:val="none" w:sz="0" w:space="0" w:color="auto"/>
      </w:divBdr>
    </w:div>
    <w:div w:id="134688317">
      <w:marLeft w:val="0"/>
      <w:marRight w:val="0"/>
      <w:marTop w:val="0"/>
      <w:marBottom w:val="200"/>
      <w:divBdr>
        <w:top w:val="none" w:sz="0" w:space="0" w:color="auto"/>
        <w:left w:val="none" w:sz="0" w:space="0" w:color="auto"/>
        <w:bottom w:val="none" w:sz="0" w:space="0" w:color="auto"/>
        <w:right w:val="none" w:sz="0" w:space="0" w:color="auto"/>
      </w:divBdr>
    </w:div>
    <w:div w:id="144317524">
      <w:marLeft w:val="0"/>
      <w:marRight w:val="0"/>
      <w:marTop w:val="0"/>
      <w:marBottom w:val="0"/>
      <w:divBdr>
        <w:top w:val="none" w:sz="0" w:space="0" w:color="auto"/>
        <w:left w:val="none" w:sz="0" w:space="0" w:color="auto"/>
        <w:bottom w:val="none" w:sz="0" w:space="0" w:color="auto"/>
        <w:right w:val="none" w:sz="0" w:space="0" w:color="auto"/>
      </w:divBdr>
    </w:div>
    <w:div w:id="146825461">
      <w:marLeft w:val="0"/>
      <w:marRight w:val="0"/>
      <w:marTop w:val="0"/>
      <w:marBottom w:val="0"/>
      <w:divBdr>
        <w:top w:val="none" w:sz="0" w:space="0" w:color="auto"/>
        <w:left w:val="none" w:sz="0" w:space="0" w:color="auto"/>
        <w:bottom w:val="none" w:sz="0" w:space="0" w:color="auto"/>
        <w:right w:val="none" w:sz="0" w:space="0" w:color="auto"/>
      </w:divBdr>
      <w:divsChild>
        <w:div w:id="2054645884">
          <w:marLeft w:val="0"/>
          <w:marRight w:val="0"/>
          <w:marTop w:val="0"/>
          <w:marBottom w:val="0"/>
          <w:divBdr>
            <w:top w:val="none" w:sz="0" w:space="0" w:color="auto"/>
            <w:left w:val="none" w:sz="0" w:space="0" w:color="auto"/>
            <w:bottom w:val="none" w:sz="0" w:space="0" w:color="auto"/>
            <w:right w:val="none" w:sz="0" w:space="0" w:color="auto"/>
          </w:divBdr>
        </w:div>
      </w:divsChild>
    </w:div>
    <w:div w:id="150682624">
      <w:marLeft w:val="0"/>
      <w:marRight w:val="0"/>
      <w:marTop w:val="0"/>
      <w:marBottom w:val="200"/>
      <w:divBdr>
        <w:top w:val="none" w:sz="0" w:space="0" w:color="auto"/>
        <w:left w:val="none" w:sz="0" w:space="0" w:color="auto"/>
        <w:bottom w:val="none" w:sz="0" w:space="0" w:color="auto"/>
        <w:right w:val="none" w:sz="0" w:space="0" w:color="auto"/>
      </w:divBdr>
    </w:div>
    <w:div w:id="155922670">
      <w:marLeft w:val="0"/>
      <w:marRight w:val="0"/>
      <w:marTop w:val="0"/>
      <w:marBottom w:val="0"/>
      <w:divBdr>
        <w:top w:val="none" w:sz="0" w:space="0" w:color="auto"/>
        <w:left w:val="none" w:sz="0" w:space="0" w:color="auto"/>
        <w:bottom w:val="none" w:sz="0" w:space="0" w:color="auto"/>
        <w:right w:val="none" w:sz="0" w:space="0" w:color="auto"/>
      </w:divBdr>
    </w:div>
    <w:div w:id="166597128">
      <w:marLeft w:val="0"/>
      <w:marRight w:val="0"/>
      <w:marTop w:val="0"/>
      <w:marBottom w:val="200"/>
      <w:divBdr>
        <w:top w:val="none" w:sz="0" w:space="0" w:color="auto"/>
        <w:left w:val="none" w:sz="0" w:space="0" w:color="auto"/>
        <w:bottom w:val="none" w:sz="0" w:space="0" w:color="auto"/>
        <w:right w:val="none" w:sz="0" w:space="0" w:color="auto"/>
      </w:divBdr>
    </w:div>
    <w:div w:id="166601822">
      <w:marLeft w:val="0"/>
      <w:marRight w:val="0"/>
      <w:marTop w:val="100"/>
      <w:marBottom w:val="0"/>
      <w:divBdr>
        <w:top w:val="none" w:sz="0" w:space="0" w:color="auto"/>
        <w:left w:val="none" w:sz="0" w:space="0" w:color="auto"/>
        <w:bottom w:val="none" w:sz="0" w:space="0" w:color="auto"/>
        <w:right w:val="none" w:sz="0" w:space="0" w:color="auto"/>
      </w:divBdr>
    </w:div>
    <w:div w:id="171847812">
      <w:marLeft w:val="0"/>
      <w:marRight w:val="0"/>
      <w:marTop w:val="0"/>
      <w:marBottom w:val="200"/>
      <w:divBdr>
        <w:top w:val="none" w:sz="0" w:space="0" w:color="auto"/>
        <w:left w:val="none" w:sz="0" w:space="0" w:color="auto"/>
        <w:bottom w:val="none" w:sz="0" w:space="0" w:color="auto"/>
        <w:right w:val="none" w:sz="0" w:space="0" w:color="auto"/>
      </w:divBdr>
    </w:div>
    <w:div w:id="174004904">
      <w:marLeft w:val="0"/>
      <w:marRight w:val="0"/>
      <w:marTop w:val="0"/>
      <w:marBottom w:val="0"/>
      <w:divBdr>
        <w:top w:val="none" w:sz="0" w:space="0" w:color="auto"/>
        <w:left w:val="none" w:sz="0" w:space="0" w:color="auto"/>
        <w:bottom w:val="none" w:sz="0" w:space="0" w:color="auto"/>
        <w:right w:val="none" w:sz="0" w:space="0" w:color="auto"/>
      </w:divBdr>
      <w:divsChild>
        <w:div w:id="1077283057">
          <w:marLeft w:val="0"/>
          <w:marRight w:val="0"/>
          <w:marTop w:val="0"/>
          <w:marBottom w:val="0"/>
          <w:divBdr>
            <w:top w:val="none" w:sz="0" w:space="0" w:color="auto"/>
            <w:left w:val="none" w:sz="0" w:space="0" w:color="auto"/>
            <w:bottom w:val="none" w:sz="0" w:space="0" w:color="auto"/>
            <w:right w:val="none" w:sz="0" w:space="0" w:color="auto"/>
          </w:divBdr>
        </w:div>
      </w:divsChild>
    </w:div>
    <w:div w:id="180165084">
      <w:marLeft w:val="0"/>
      <w:marRight w:val="0"/>
      <w:marTop w:val="0"/>
      <w:marBottom w:val="200"/>
      <w:divBdr>
        <w:top w:val="none" w:sz="0" w:space="0" w:color="auto"/>
        <w:left w:val="none" w:sz="0" w:space="0" w:color="auto"/>
        <w:bottom w:val="none" w:sz="0" w:space="0" w:color="auto"/>
        <w:right w:val="none" w:sz="0" w:space="0" w:color="auto"/>
      </w:divBdr>
    </w:div>
    <w:div w:id="181207618">
      <w:marLeft w:val="0"/>
      <w:marRight w:val="0"/>
      <w:marTop w:val="0"/>
      <w:marBottom w:val="240"/>
      <w:divBdr>
        <w:top w:val="none" w:sz="0" w:space="0" w:color="auto"/>
        <w:left w:val="none" w:sz="0" w:space="0" w:color="auto"/>
        <w:bottom w:val="none" w:sz="0" w:space="0" w:color="auto"/>
        <w:right w:val="none" w:sz="0" w:space="0" w:color="auto"/>
      </w:divBdr>
    </w:div>
    <w:div w:id="181555126">
      <w:marLeft w:val="0"/>
      <w:marRight w:val="0"/>
      <w:marTop w:val="0"/>
      <w:marBottom w:val="200"/>
      <w:divBdr>
        <w:top w:val="none" w:sz="0" w:space="0" w:color="auto"/>
        <w:left w:val="none" w:sz="0" w:space="0" w:color="auto"/>
        <w:bottom w:val="none" w:sz="0" w:space="0" w:color="auto"/>
        <w:right w:val="none" w:sz="0" w:space="0" w:color="auto"/>
      </w:divBdr>
    </w:div>
    <w:div w:id="182207687">
      <w:marLeft w:val="0"/>
      <w:marRight w:val="0"/>
      <w:marTop w:val="0"/>
      <w:marBottom w:val="200"/>
      <w:divBdr>
        <w:top w:val="none" w:sz="0" w:space="0" w:color="auto"/>
        <w:left w:val="none" w:sz="0" w:space="0" w:color="auto"/>
        <w:bottom w:val="none" w:sz="0" w:space="0" w:color="auto"/>
        <w:right w:val="none" w:sz="0" w:space="0" w:color="auto"/>
      </w:divBdr>
    </w:div>
    <w:div w:id="193464383">
      <w:marLeft w:val="0"/>
      <w:marRight w:val="0"/>
      <w:marTop w:val="0"/>
      <w:marBottom w:val="0"/>
      <w:divBdr>
        <w:top w:val="none" w:sz="0" w:space="0" w:color="auto"/>
        <w:left w:val="none" w:sz="0" w:space="0" w:color="auto"/>
        <w:bottom w:val="none" w:sz="0" w:space="0" w:color="auto"/>
        <w:right w:val="none" w:sz="0" w:space="0" w:color="auto"/>
      </w:divBdr>
      <w:divsChild>
        <w:div w:id="668875100">
          <w:marLeft w:val="0"/>
          <w:marRight w:val="0"/>
          <w:marTop w:val="0"/>
          <w:marBottom w:val="0"/>
          <w:divBdr>
            <w:top w:val="none" w:sz="0" w:space="0" w:color="auto"/>
            <w:left w:val="none" w:sz="0" w:space="0" w:color="auto"/>
            <w:bottom w:val="none" w:sz="0" w:space="0" w:color="auto"/>
            <w:right w:val="none" w:sz="0" w:space="0" w:color="auto"/>
          </w:divBdr>
        </w:div>
        <w:div w:id="429157123">
          <w:marLeft w:val="0"/>
          <w:marRight w:val="0"/>
          <w:marTop w:val="0"/>
          <w:marBottom w:val="0"/>
          <w:divBdr>
            <w:top w:val="none" w:sz="0" w:space="0" w:color="auto"/>
            <w:left w:val="none" w:sz="0" w:space="0" w:color="auto"/>
            <w:bottom w:val="none" w:sz="0" w:space="0" w:color="auto"/>
            <w:right w:val="none" w:sz="0" w:space="0" w:color="auto"/>
          </w:divBdr>
        </w:div>
      </w:divsChild>
    </w:div>
    <w:div w:id="193924263">
      <w:marLeft w:val="0"/>
      <w:marRight w:val="0"/>
      <w:marTop w:val="0"/>
      <w:marBottom w:val="200"/>
      <w:divBdr>
        <w:top w:val="none" w:sz="0" w:space="0" w:color="auto"/>
        <w:left w:val="none" w:sz="0" w:space="0" w:color="auto"/>
        <w:bottom w:val="none" w:sz="0" w:space="0" w:color="auto"/>
        <w:right w:val="none" w:sz="0" w:space="0" w:color="auto"/>
      </w:divBdr>
    </w:div>
    <w:div w:id="202249246">
      <w:marLeft w:val="0"/>
      <w:marRight w:val="0"/>
      <w:marTop w:val="0"/>
      <w:marBottom w:val="0"/>
      <w:divBdr>
        <w:top w:val="none" w:sz="0" w:space="0" w:color="auto"/>
        <w:left w:val="none" w:sz="0" w:space="0" w:color="auto"/>
        <w:bottom w:val="none" w:sz="0" w:space="0" w:color="auto"/>
        <w:right w:val="none" w:sz="0" w:space="0" w:color="auto"/>
      </w:divBdr>
      <w:divsChild>
        <w:div w:id="1863351091">
          <w:marLeft w:val="0"/>
          <w:marRight w:val="0"/>
          <w:marTop w:val="0"/>
          <w:marBottom w:val="0"/>
          <w:divBdr>
            <w:top w:val="none" w:sz="0" w:space="0" w:color="auto"/>
            <w:left w:val="none" w:sz="0" w:space="0" w:color="auto"/>
            <w:bottom w:val="none" w:sz="0" w:space="0" w:color="auto"/>
            <w:right w:val="none" w:sz="0" w:space="0" w:color="auto"/>
          </w:divBdr>
        </w:div>
      </w:divsChild>
    </w:div>
    <w:div w:id="205410563">
      <w:marLeft w:val="0"/>
      <w:marRight w:val="0"/>
      <w:marTop w:val="0"/>
      <w:marBottom w:val="200"/>
      <w:divBdr>
        <w:top w:val="none" w:sz="0" w:space="0" w:color="auto"/>
        <w:left w:val="none" w:sz="0" w:space="0" w:color="auto"/>
        <w:bottom w:val="none" w:sz="0" w:space="0" w:color="auto"/>
        <w:right w:val="none" w:sz="0" w:space="0" w:color="auto"/>
      </w:divBdr>
    </w:div>
    <w:div w:id="213473094">
      <w:marLeft w:val="0"/>
      <w:marRight w:val="0"/>
      <w:marTop w:val="0"/>
      <w:marBottom w:val="200"/>
      <w:divBdr>
        <w:top w:val="none" w:sz="0" w:space="0" w:color="auto"/>
        <w:left w:val="none" w:sz="0" w:space="0" w:color="auto"/>
        <w:bottom w:val="none" w:sz="0" w:space="0" w:color="auto"/>
        <w:right w:val="none" w:sz="0" w:space="0" w:color="auto"/>
      </w:divBdr>
    </w:div>
    <w:div w:id="214506619">
      <w:marLeft w:val="0"/>
      <w:marRight w:val="0"/>
      <w:marTop w:val="0"/>
      <w:marBottom w:val="200"/>
      <w:divBdr>
        <w:top w:val="none" w:sz="0" w:space="0" w:color="auto"/>
        <w:left w:val="none" w:sz="0" w:space="0" w:color="auto"/>
        <w:bottom w:val="none" w:sz="0" w:space="0" w:color="auto"/>
        <w:right w:val="none" w:sz="0" w:space="0" w:color="auto"/>
      </w:divBdr>
    </w:div>
    <w:div w:id="217329584">
      <w:marLeft w:val="0"/>
      <w:marRight w:val="0"/>
      <w:marTop w:val="0"/>
      <w:marBottom w:val="0"/>
      <w:divBdr>
        <w:top w:val="none" w:sz="0" w:space="0" w:color="auto"/>
        <w:left w:val="none" w:sz="0" w:space="0" w:color="auto"/>
        <w:bottom w:val="none" w:sz="0" w:space="0" w:color="auto"/>
        <w:right w:val="none" w:sz="0" w:space="0" w:color="auto"/>
      </w:divBdr>
      <w:divsChild>
        <w:div w:id="50808710">
          <w:marLeft w:val="0"/>
          <w:marRight w:val="0"/>
          <w:marTop w:val="0"/>
          <w:marBottom w:val="0"/>
          <w:divBdr>
            <w:top w:val="none" w:sz="0" w:space="0" w:color="auto"/>
            <w:left w:val="none" w:sz="0" w:space="0" w:color="auto"/>
            <w:bottom w:val="none" w:sz="0" w:space="0" w:color="auto"/>
            <w:right w:val="none" w:sz="0" w:space="0" w:color="auto"/>
          </w:divBdr>
        </w:div>
      </w:divsChild>
    </w:div>
    <w:div w:id="221216499">
      <w:marLeft w:val="0"/>
      <w:marRight w:val="0"/>
      <w:marTop w:val="0"/>
      <w:marBottom w:val="0"/>
      <w:divBdr>
        <w:top w:val="none" w:sz="0" w:space="0" w:color="auto"/>
        <w:left w:val="none" w:sz="0" w:space="0" w:color="auto"/>
        <w:bottom w:val="none" w:sz="0" w:space="0" w:color="auto"/>
        <w:right w:val="none" w:sz="0" w:space="0" w:color="auto"/>
      </w:divBdr>
      <w:divsChild>
        <w:div w:id="1508131061">
          <w:marLeft w:val="0"/>
          <w:marRight w:val="0"/>
          <w:marTop w:val="0"/>
          <w:marBottom w:val="0"/>
          <w:divBdr>
            <w:top w:val="none" w:sz="0" w:space="0" w:color="auto"/>
            <w:left w:val="none" w:sz="0" w:space="0" w:color="auto"/>
            <w:bottom w:val="none" w:sz="0" w:space="0" w:color="auto"/>
            <w:right w:val="none" w:sz="0" w:space="0" w:color="auto"/>
          </w:divBdr>
        </w:div>
      </w:divsChild>
    </w:div>
    <w:div w:id="221795463">
      <w:marLeft w:val="0"/>
      <w:marRight w:val="0"/>
      <w:marTop w:val="0"/>
      <w:marBottom w:val="200"/>
      <w:divBdr>
        <w:top w:val="none" w:sz="0" w:space="0" w:color="auto"/>
        <w:left w:val="none" w:sz="0" w:space="0" w:color="auto"/>
        <w:bottom w:val="none" w:sz="0" w:space="0" w:color="auto"/>
        <w:right w:val="none" w:sz="0" w:space="0" w:color="auto"/>
      </w:divBdr>
    </w:div>
    <w:div w:id="230383729">
      <w:marLeft w:val="0"/>
      <w:marRight w:val="0"/>
      <w:marTop w:val="100"/>
      <w:marBottom w:val="100"/>
      <w:divBdr>
        <w:top w:val="none" w:sz="0" w:space="0" w:color="auto"/>
        <w:left w:val="none" w:sz="0" w:space="0" w:color="auto"/>
        <w:bottom w:val="none" w:sz="0" w:space="0" w:color="auto"/>
        <w:right w:val="none" w:sz="0" w:space="0" w:color="auto"/>
      </w:divBdr>
    </w:div>
    <w:div w:id="236742587">
      <w:marLeft w:val="0"/>
      <w:marRight w:val="0"/>
      <w:marTop w:val="0"/>
      <w:marBottom w:val="160"/>
      <w:divBdr>
        <w:top w:val="none" w:sz="0" w:space="0" w:color="auto"/>
        <w:left w:val="none" w:sz="0" w:space="0" w:color="auto"/>
        <w:bottom w:val="none" w:sz="0" w:space="0" w:color="auto"/>
        <w:right w:val="none" w:sz="0" w:space="0" w:color="auto"/>
      </w:divBdr>
    </w:div>
    <w:div w:id="273442365">
      <w:marLeft w:val="0"/>
      <w:marRight w:val="0"/>
      <w:marTop w:val="0"/>
      <w:marBottom w:val="0"/>
      <w:divBdr>
        <w:top w:val="none" w:sz="0" w:space="0" w:color="auto"/>
        <w:left w:val="none" w:sz="0" w:space="0" w:color="auto"/>
        <w:bottom w:val="none" w:sz="0" w:space="0" w:color="auto"/>
        <w:right w:val="none" w:sz="0" w:space="0" w:color="auto"/>
      </w:divBdr>
      <w:divsChild>
        <w:div w:id="1705591743">
          <w:marLeft w:val="0"/>
          <w:marRight w:val="0"/>
          <w:marTop w:val="0"/>
          <w:marBottom w:val="0"/>
          <w:divBdr>
            <w:top w:val="none" w:sz="0" w:space="0" w:color="auto"/>
            <w:left w:val="none" w:sz="0" w:space="0" w:color="auto"/>
            <w:bottom w:val="none" w:sz="0" w:space="0" w:color="auto"/>
            <w:right w:val="none" w:sz="0" w:space="0" w:color="auto"/>
          </w:divBdr>
        </w:div>
      </w:divsChild>
    </w:div>
    <w:div w:id="277226341">
      <w:marLeft w:val="0"/>
      <w:marRight w:val="0"/>
      <w:marTop w:val="100"/>
      <w:marBottom w:val="100"/>
      <w:divBdr>
        <w:top w:val="none" w:sz="0" w:space="0" w:color="auto"/>
        <w:left w:val="none" w:sz="0" w:space="0" w:color="auto"/>
        <w:bottom w:val="none" w:sz="0" w:space="0" w:color="auto"/>
        <w:right w:val="none" w:sz="0" w:space="0" w:color="auto"/>
      </w:divBdr>
    </w:div>
    <w:div w:id="288630337">
      <w:marLeft w:val="0"/>
      <w:marRight w:val="0"/>
      <w:marTop w:val="0"/>
      <w:marBottom w:val="200"/>
      <w:divBdr>
        <w:top w:val="none" w:sz="0" w:space="0" w:color="auto"/>
        <w:left w:val="none" w:sz="0" w:space="0" w:color="auto"/>
        <w:bottom w:val="none" w:sz="0" w:space="0" w:color="auto"/>
        <w:right w:val="none" w:sz="0" w:space="0" w:color="auto"/>
      </w:divBdr>
    </w:div>
    <w:div w:id="290212763">
      <w:marLeft w:val="0"/>
      <w:marRight w:val="0"/>
      <w:marTop w:val="460"/>
      <w:marBottom w:val="100"/>
      <w:divBdr>
        <w:top w:val="none" w:sz="0" w:space="0" w:color="auto"/>
        <w:left w:val="none" w:sz="0" w:space="0" w:color="auto"/>
        <w:bottom w:val="none" w:sz="0" w:space="0" w:color="auto"/>
        <w:right w:val="none" w:sz="0" w:space="0" w:color="auto"/>
      </w:divBdr>
      <w:divsChild>
        <w:div w:id="1260288427">
          <w:marLeft w:val="0"/>
          <w:marRight w:val="0"/>
          <w:marTop w:val="0"/>
          <w:marBottom w:val="0"/>
          <w:divBdr>
            <w:top w:val="none" w:sz="0" w:space="0" w:color="auto"/>
            <w:left w:val="none" w:sz="0" w:space="0" w:color="auto"/>
            <w:bottom w:val="none" w:sz="0" w:space="0" w:color="auto"/>
            <w:right w:val="none" w:sz="0" w:space="0" w:color="auto"/>
          </w:divBdr>
        </w:div>
        <w:div w:id="785196499">
          <w:marLeft w:val="0"/>
          <w:marRight w:val="0"/>
          <w:marTop w:val="0"/>
          <w:marBottom w:val="0"/>
          <w:divBdr>
            <w:top w:val="none" w:sz="0" w:space="0" w:color="auto"/>
            <w:left w:val="none" w:sz="0" w:space="0" w:color="auto"/>
            <w:bottom w:val="none" w:sz="0" w:space="0" w:color="auto"/>
            <w:right w:val="none" w:sz="0" w:space="0" w:color="auto"/>
          </w:divBdr>
        </w:div>
        <w:div w:id="580988439">
          <w:marLeft w:val="0"/>
          <w:marRight w:val="0"/>
          <w:marTop w:val="0"/>
          <w:marBottom w:val="0"/>
          <w:divBdr>
            <w:top w:val="none" w:sz="0" w:space="0" w:color="auto"/>
            <w:left w:val="none" w:sz="0" w:space="0" w:color="auto"/>
            <w:bottom w:val="none" w:sz="0" w:space="0" w:color="auto"/>
            <w:right w:val="none" w:sz="0" w:space="0" w:color="auto"/>
          </w:divBdr>
        </w:div>
        <w:div w:id="1301770078">
          <w:marLeft w:val="0"/>
          <w:marRight w:val="0"/>
          <w:marTop w:val="0"/>
          <w:marBottom w:val="0"/>
          <w:divBdr>
            <w:top w:val="none" w:sz="0" w:space="0" w:color="auto"/>
            <w:left w:val="none" w:sz="0" w:space="0" w:color="auto"/>
            <w:bottom w:val="none" w:sz="0" w:space="0" w:color="auto"/>
            <w:right w:val="none" w:sz="0" w:space="0" w:color="auto"/>
          </w:divBdr>
        </w:div>
        <w:div w:id="191312249">
          <w:marLeft w:val="0"/>
          <w:marRight w:val="0"/>
          <w:marTop w:val="0"/>
          <w:marBottom w:val="0"/>
          <w:divBdr>
            <w:top w:val="none" w:sz="0" w:space="0" w:color="auto"/>
            <w:left w:val="none" w:sz="0" w:space="0" w:color="auto"/>
            <w:bottom w:val="none" w:sz="0" w:space="0" w:color="auto"/>
            <w:right w:val="none" w:sz="0" w:space="0" w:color="auto"/>
          </w:divBdr>
        </w:div>
        <w:div w:id="2124379723">
          <w:marLeft w:val="0"/>
          <w:marRight w:val="0"/>
          <w:marTop w:val="0"/>
          <w:marBottom w:val="0"/>
          <w:divBdr>
            <w:top w:val="none" w:sz="0" w:space="0" w:color="auto"/>
            <w:left w:val="none" w:sz="0" w:space="0" w:color="auto"/>
            <w:bottom w:val="none" w:sz="0" w:space="0" w:color="auto"/>
            <w:right w:val="none" w:sz="0" w:space="0" w:color="auto"/>
          </w:divBdr>
        </w:div>
        <w:div w:id="954826671">
          <w:marLeft w:val="0"/>
          <w:marRight w:val="0"/>
          <w:marTop w:val="0"/>
          <w:marBottom w:val="0"/>
          <w:divBdr>
            <w:top w:val="none" w:sz="0" w:space="0" w:color="auto"/>
            <w:left w:val="none" w:sz="0" w:space="0" w:color="auto"/>
            <w:bottom w:val="none" w:sz="0" w:space="0" w:color="auto"/>
            <w:right w:val="none" w:sz="0" w:space="0" w:color="auto"/>
          </w:divBdr>
        </w:div>
        <w:div w:id="2099017885">
          <w:marLeft w:val="0"/>
          <w:marRight w:val="0"/>
          <w:marTop w:val="0"/>
          <w:marBottom w:val="0"/>
          <w:divBdr>
            <w:top w:val="none" w:sz="0" w:space="0" w:color="auto"/>
            <w:left w:val="none" w:sz="0" w:space="0" w:color="auto"/>
            <w:bottom w:val="none" w:sz="0" w:space="0" w:color="auto"/>
            <w:right w:val="none" w:sz="0" w:space="0" w:color="auto"/>
          </w:divBdr>
        </w:div>
      </w:divsChild>
    </w:div>
    <w:div w:id="300697175">
      <w:marLeft w:val="0"/>
      <w:marRight w:val="0"/>
      <w:marTop w:val="100"/>
      <w:marBottom w:val="0"/>
      <w:divBdr>
        <w:top w:val="none" w:sz="0" w:space="0" w:color="auto"/>
        <w:left w:val="none" w:sz="0" w:space="0" w:color="auto"/>
        <w:bottom w:val="none" w:sz="0" w:space="0" w:color="auto"/>
        <w:right w:val="none" w:sz="0" w:space="0" w:color="auto"/>
      </w:divBdr>
    </w:div>
    <w:div w:id="306130084">
      <w:marLeft w:val="0"/>
      <w:marRight w:val="0"/>
      <w:marTop w:val="0"/>
      <w:marBottom w:val="0"/>
      <w:divBdr>
        <w:top w:val="none" w:sz="0" w:space="0" w:color="auto"/>
        <w:left w:val="none" w:sz="0" w:space="0" w:color="auto"/>
        <w:bottom w:val="none" w:sz="0" w:space="0" w:color="auto"/>
        <w:right w:val="none" w:sz="0" w:space="0" w:color="auto"/>
      </w:divBdr>
      <w:divsChild>
        <w:div w:id="1957712010">
          <w:marLeft w:val="0"/>
          <w:marRight w:val="0"/>
          <w:marTop w:val="0"/>
          <w:marBottom w:val="0"/>
          <w:divBdr>
            <w:top w:val="none" w:sz="0" w:space="0" w:color="auto"/>
            <w:left w:val="none" w:sz="0" w:space="0" w:color="auto"/>
            <w:bottom w:val="none" w:sz="0" w:space="0" w:color="auto"/>
            <w:right w:val="none" w:sz="0" w:space="0" w:color="auto"/>
          </w:divBdr>
        </w:div>
        <w:div w:id="1658803914">
          <w:marLeft w:val="0"/>
          <w:marRight w:val="0"/>
          <w:marTop w:val="180"/>
          <w:marBottom w:val="0"/>
          <w:divBdr>
            <w:top w:val="none" w:sz="0" w:space="0" w:color="auto"/>
            <w:left w:val="none" w:sz="0" w:space="0" w:color="auto"/>
            <w:bottom w:val="none" w:sz="0" w:space="0" w:color="auto"/>
            <w:right w:val="none" w:sz="0" w:space="0" w:color="auto"/>
          </w:divBdr>
        </w:div>
      </w:divsChild>
    </w:div>
    <w:div w:id="308169897">
      <w:marLeft w:val="0"/>
      <w:marRight w:val="0"/>
      <w:marTop w:val="0"/>
      <w:marBottom w:val="200"/>
      <w:divBdr>
        <w:top w:val="none" w:sz="0" w:space="0" w:color="auto"/>
        <w:left w:val="none" w:sz="0" w:space="0" w:color="auto"/>
        <w:bottom w:val="none" w:sz="0" w:space="0" w:color="auto"/>
        <w:right w:val="none" w:sz="0" w:space="0" w:color="auto"/>
      </w:divBdr>
    </w:div>
    <w:div w:id="314604594">
      <w:marLeft w:val="0"/>
      <w:marRight w:val="0"/>
      <w:marTop w:val="160"/>
      <w:marBottom w:val="100"/>
      <w:divBdr>
        <w:top w:val="none" w:sz="0" w:space="0" w:color="auto"/>
        <w:left w:val="none" w:sz="0" w:space="0" w:color="auto"/>
        <w:bottom w:val="none" w:sz="0" w:space="0" w:color="auto"/>
        <w:right w:val="none" w:sz="0" w:space="0" w:color="auto"/>
      </w:divBdr>
    </w:div>
    <w:div w:id="322853424">
      <w:marLeft w:val="0"/>
      <w:marRight w:val="0"/>
      <w:marTop w:val="200"/>
      <w:marBottom w:val="0"/>
      <w:divBdr>
        <w:top w:val="none" w:sz="0" w:space="0" w:color="auto"/>
        <w:left w:val="none" w:sz="0" w:space="0" w:color="auto"/>
        <w:bottom w:val="none" w:sz="0" w:space="0" w:color="auto"/>
        <w:right w:val="none" w:sz="0" w:space="0" w:color="auto"/>
      </w:divBdr>
    </w:div>
    <w:div w:id="329992667">
      <w:marLeft w:val="0"/>
      <w:marRight w:val="0"/>
      <w:marTop w:val="0"/>
      <w:marBottom w:val="0"/>
      <w:divBdr>
        <w:top w:val="none" w:sz="0" w:space="0" w:color="auto"/>
        <w:left w:val="none" w:sz="0" w:space="0" w:color="auto"/>
        <w:bottom w:val="none" w:sz="0" w:space="0" w:color="auto"/>
        <w:right w:val="none" w:sz="0" w:space="0" w:color="auto"/>
      </w:divBdr>
      <w:divsChild>
        <w:div w:id="687103814">
          <w:marLeft w:val="0"/>
          <w:marRight w:val="0"/>
          <w:marTop w:val="0"/>
          <w:marBottom w:val="0"/>
          <w:divBdr>
            <w:top w:val="none" w:sz="0" w:space="0" w:color="auto"/>
            <w:left w:val="none" w:sz="0" w:space="0" w:color="auto"/>
            <w:bottom w:val="none" w:sz="0" w:space="0" w:color="auto"/>
            <w:right w:val="none" w:sz="0" w:space="0" w:color="auto"/>
          </w:divBdr>
        </w:div>
      </w:divsChild>
    </w:div>
    <w:div w:id="335497088">
      <w:marLeft w:val="0"/>
      <w:marRight w:val="0"/>
      <w:marTop w:val="0"/>
      <w:marBottom w:val="0"/>
      <w:divBdr>
        <w:top w:val="none" w:sz="0" w:space="0" w:color="auto"/>
        <w:left w:val="none" w:sz="0" w:space="0" w:color="auto"/>
        <w:bottom w:val="none" w:sz="0" w:space="0" w:color="auto"/>
        <w:right w:val="none" w:sz="0" w:space="0" w:color="auto"/>
      </w:divBdr>
    </w:div>
    <w:div w:id="339355997">
      <w:marLeft w:val="0"/>
      <w:marRight w:val="0"/>
      <w:marTop w:val="0"/>
      <w:marBottom w:val="0"/>
      <w:divBdr>
        <w:top w:val="none" w:sz="0" w:space="0" w:color="auto"/>
        <w:left w:val="none" w:sz="0" w:space="0" w:color="auto"/>
        <w:bottom w:val="none" w:sz="0" w:space="0" w:color="auto"/>
        <w:right w:val="none" w:sz="0" w:space="0" w:color="auto"/>
      </w:divBdr>
      <w:divsChild>
        <w:div w:id="1708606863">
          <w:marLeft w:val="0"/>
          <w:marRight w:val="0"/>
          <w:marTop w:val="0"/>
          <w:marBottom w:val="0"/>
          <w:divBdr>
            <w:top w:val="none" w:sz="0" w:space="0" w:color="auto"/>
            <w:left w:val="none" w:sz="0" w:space="0" w:color="auto"/>
            <w:bottom w:val="none" w:sz="0" w:space="0" w:color="auto"/>
            <w:right w:val="none" w:sz="0" w:space="0" w:color="auto"/>
          </w:divBdr>
        </w:div>
      </w:divsChild>
    </w:div>
    <w:div w:id="347678578">
      <w:marLeft w:val="0"/>
      <w:marRight w:val="0"/>
      <w:marTop w:val="0"/>
      <w:marBottom w:val="0"/>
      <w:divBdr>
        <w:top w:val="none" w:sz="0" w:space="0" w:color="auto"/>
        <w:left w:val="none" w:sz="0" w:space="0" w:color="auto"/>
        <w:bottom w:val="none" w:sz="0" w:space="0" w:color="auto"/>
        <w:right w:val="none" w:sz="0" w:space="0" w:color="auto"/>
      </w:divBdr>
    </w:div>
    <w:div w:id="349987476">
      <w:marLeft w:val="0"/>
      <w:marRight w:val="0"/>
      <w:marTop w:val="100"/>
      <w:marBottom w:val="0"/>
      <w:divBdr>
        <w:top w:val="none" w:sz="0" w:space="0" w:color="auto"/>
        <w:left w:val="none" w:sz="0" w:space="0" w:color="auto"/>
        <w:bottom w:val="none" w:sz="0" w:space="0" w:color="auto"/>
        <w:right w:val="none" w:sz="0" w:space="0" w:color="auto"/>
      </w:divBdr>
    </w:div>
    <w:div w:id="350643800">
      <w:marLeft w:val="0"/>
      <w:marRight w:val="0"/>
      <w:marTop w:val="0"/>
      <w:marBottom w:val="0"/>
      <w:divBdr>
        <w:top w:val="none" w:sz="0" w:space="0" w:color="auto"/>
        <w:left w:val="none" w:sz="0" w:space="0" w:color="auto"/>
        <w:bottom w:val="none" w:sz="0" w:space="0" w:color="auto"/>
        <w:right w:val="none" w:sz="0" w:space="0" w:color="auto"/>
      </w:divBdr>
    </w:div>
    <w:div w:id="359012226">
      <w:marLeft w:val="0"/>
      <w:marRight w:val="0"/>
      <w:marTop w:val="180"/>
      <w:marBottom w:val="0"/>
      <w:divBdr>
        <w:top w:val="none" w:sz="0" w:space="0" w:color="auto"/>
        <w:left w:val="none" w:sz="0" w:space="0" w:color="auto"/>
        <w:bottom w:val="none" w:sz="0" w:space="0" w:color="auto"/>
        <w:right w:val="none" w:sz="0" w:space="0" w:color="auto"/>
      </w:divBdr>
    </w:div>
    <w:div w:id="359205313">
      <w:marLeft w:val="0"/>
      <w:marRight w:val="0"/>
      <w:marTop w:val="0"/>
      <w:marBottom w:val="0"/>
      <w:divBdr>
        <w:top w:val="none" w:sz="0" w:space="0" w:color="auto"/>
        <w:left w:val="none" w:sz="0" w:space="0" w:color="auto"/>
        <w:bottom w:val="none" w:sz="0" w:space="0" w:color="auto"/>
        <w:right w:val="none" w:sz="0" w:space="0" w:color="auto"/>
      </w:divBdr>
    </w:div>
    <w:div w:id="367070004">
      <w:marLeft w:val="0"/>
      <w:marRight w:val="0"/>
      <w:marTop w:val="0"/>
      <w:marBottom w:val="120"/>
      <w:divBdr>
        <w:top w:val="none" w:sz="0" w:space="0" w:color="auto"/>
        <w:left w:val="none" w:sz="0" w:space="0" w:color="auto"/>
        <w:bottom w:val="none" w:sz="0" w:space="0" w:color="auto"/>
        <w:right w:val="none" w:sz="0" w:space="0" w:color="auto"/>
      </w:divBdr>
    </w:div>
    <w:div w:id="367070460">
      <w:marLeft w:val="0"/>
      <w:marRight w:val="0"/>
      <w:marTop w:val="0"/>
      <w:marBottom w:val="0"/>
      <w:divBdr>
        <w:top w:val="none" w:sz="0" w:space="0" w:color="auto"/>
        <w:left w:val="none" w:sz="0" w:space="0" w:color="auto"/>
        <w:bottom w:val="none" w:sz="0" w:space="0" w:color="auto"/>
        <w:right w:val="none" w:sz="0" w:space="0" w:color="auto"/>
      </w:divBdr>
      <w:divsChild>
        <w:div w:id="822087412">
          <w:marLeft w:val="0"/>
          <w:marRight w:val="0"/>
          <w:marTop w:val="0"/>
          <w:marBottom w:val="0"/>
          <w:divBdr>
            <w:top w:val="none" w:sz="0" w:space="0" w:color="auto"/>
            <w:left w:val="none" w:sz="0" w:space="0" w:color="auto"/>
            <w:bottom w:val="none" w:sz="0" w:space="0" w:color="auto"/>
            <w:right w:val="none" w:sz="0" w:space="0" w:color="auto"/>
          </w:divBdr>
        </w:div>
        <w:div w:id="813639990">
          <w:marLeft w:val="0"/>
          <w:marRight w:val="0"/>
          <w:marTop w:val="180"/>
          <w:marBottom w:val="0"/>
          <w:divBdr>
            <w:top w:val="none" w:sz="0" w:space="0" w:color="auto"/>
            <w:left w:val="none" w:sz="0" w:space="0" w:color="auto"/>
            <w:bottom w:val="none" w:sz="0" w:space="0" w:color="auto"/>
            <w:right w:val="none" w:sz="0" w:space="0" w:color="auto"/>
          </w:divBdr>
        </w:div>
      </w:divsChild>
    </w:div>
    <w:div w:id="372853655">
      <w:marLeft w:val="0"/>
      <w:marRight w:val="0"/>
      <w:marTop w:val="0"/>
      <w:marBottom w:val="200"/>
      <w:divBdr>
        <w:top w:val="none" w:sz="0" w:space="0" w:color="auto"/>
        <w:left w:val="none" w:sz="0" w:space="0" w:color="auto"/>
        <w:bottom w:val="none" w:sz="0" w:space="0" w:color="auto"/>
        <w:right w:val="none" w:sz="0" w:space="0" w:color="auto"/>
      </w:divBdr>
    </w:div>
    <w:div w:id="373391082">
      <w:marLeft w:val="0"/>
      <w:marRight w:val="0"/>
      <w:marTop w:val="0"/>
      <w:marBottom w:val="200"/>
      <w:divBdr>
        <w:top w:val="none" w:sz="0" w:space="0" w:color="auto"/>
        <w:left w:val="none" w:sz="0" w:space="0" w:color="auto"/>
        <w:bottom w:val="none" w:sz="0" w:space="0" w:color="auto"/>
        <w:right w:val="none" w:sz="0" w:space="0" w:color="auto"/>
      </w:divBdr>
    </w:div>
    <w:div w:id="376785538">
      <w:marLeft w:val="0"/>
      <w:marRight w:val="0"/>
      <w:marTop w:val="0"/>
      <w:marBottom w:val="0"/>
      <w:divBdr>
        <w:top w:val="none" w:sz="0" w:space="0" w:color="auto"/>
        <w:left w:val="none" w:sz="0" w:space="0" w:color="auto"/>
        <w:bottom w:val="none" w:sz="0" w:space="0" w:color="auto"/>
        <w:right w:val="none" w:sz="0" w:space="0" w:color="auto"/>
      </w:divBdr>
      <w:divsChild>
        <w:div w:id="545071040">
          <w:marLeft w:val="0"/>
          <w:marRight w:val="0"/>
          <w:marTop w:val="0"/>
          <w:marBottom w:val="0"/>
          <w:divBdr>
            <w:top w:val="none" w:sz="0" w:space="0" w:color="auto"/>
            <w:left w:val="none" w:sz="0" w:space="0" w:color="auto"/>
            <w:bottom w:val="none" w:sz="0" w:space="0" w:color="auto"/>
            <w:right w:val="none" w:sz="0" w:space="0" w:color="auto"/>
          </w:divBdr>
        </w:div>
      </w:divsChild>
    </w:div>
    <w:div w:id="377894402">
      <w:marLeft w:val="0"/>
      <w:marRight w:val="0"/>
      <w:marTop w:val="0"/>
      <w:marBottom w:val="0"/>
      <w:divBdr>
        <w:top w:val="none" w:sz="0" w:space="0" w:color="auto"/>
        <w:left w:val="none" w:sz="0" w:space="0" w:color="auto"/>
        <w:bottom w:val="none" w:sz="0" w:space="0" w:color="auto"/>
        <w:right w:val="none" w:sz="0" w:space="0" w:color="auto"/>
      </w:divBdr>
    </w:div>
    <w:div w:id="392697046">
      <w:marLeft w:val="0"/>
      <w:marRight w:val="0"/>
      <w:marTop w:val="0"/>
      <w:marBottom w:val="0"/>
      <w:divBdr>
        <w:top w:val="none" w:sz="0" w:space="0" w:color="auto"/>
        <w:left w:val="none" w:sz="0" w:space="0" w:color="auto"/>
        <w:bottom w:val="none" w:sz="0" w:space="0" w:color="auto"/>
        <w:right w:val="none" w:sz="0" w:space="0" w:color="auto"/>
      </w:divBdr>
      <w:divsChild>
        <w:div w:id="158467857">
          <w:marLeft w:val="0"/>
          <w:marRight w:val="0"/>
          <w:marTop w:val="0"/>
          <w:marBottom w:val="0"/>
          <w:divBdr>
            <w:top w:val="none" w:sz="0" w:space="0" w:color="auto"/>
            <w:left w:val="none" w:sz="0" w:space="0" w:color="auto"/>
            <w:bottom w:val="none" w:sz="0" w:space="0" w:color="auto"/>
            <w:right w:val="none" w:sz="0" w:space="0" w:color="auto"/>
          </w:divBdr>
        </w:div>
      </w:divsChild>
    </w:div>
    <w:div w:id="398291458">
      <w:marLeft w:val="0"/>
      <w:marRight w:val="0"/>
      <w:marTop w:val="0"/>
      <w:marBottom w:val="200"/>
      <w:divBdr>
        <w:top w:val="none" w:sz="0" w:space="0" w:color="auto"/>
        <w:left w:val="none" w:sz="0" w:space="0" w:color="auto"/>
        <w:bottom w:val="none" w:sz="0" w:space="0" w:color="auto"/>
        <w:right w:val="none" w:sz="0" w:space="0" w:color="auto"/>
      </w:divBdr>
    </w:div>
    <w:div w:id="399183020">
      <w:marLeft w:val="0"/>
      <w:marRight w:val="0"/>
      <w:marTop w:val="0"/>
      <w:marBottom w:val="0"/>
      <w:divBdr>
        <w:top w:val="none" w:sz="0" w:space="0" w:color="auto"/>
        <w:left w:val="none" w:sz="0" w:space="0" w:color="auto"/>
        <w:bottom w:val="none" w:sz="0" w:space="0" w:color="auto"/>
        <w:right w:val="none" w:sz="0" w:space="0" w:color="auto"/>
      </w:divBdr>
    </w:div>
    <w:div w:id="412775537">
      <w:marLeft w:val="0"/>
      <w:marRight w:val="0"/>
      <w:marTop w:val="0"/>
      <w:marBottom w:val="200"/>
      <w:divBdr>
        <w:top w:val="none" w:sz="0" w:space="0" w:color="auto"/>
        <w:left w:val="none" w:sz="0" w:space="0" w:color="auto"/>
        <w:bottom w:val="none" w:sz="0" w:space="0" w:color="auto"/>
        <w:right w:val="none" w:sz="0" w:space="0" w:color="auto"/>
      </w:divBdr>
    </w:div>
    <w:div w:id="416249869">
      <w:marLeft w:val="0"/>
      <w:marRight w:val="0"/>
      <w:marTop w:val="100"/>
      <w:marBottom w:val="100"/>
      <w:divBdr>
        <w:top w:val="none" w:sz="0" w:space="0" w:color="auto"/>
        <w:left w:val="none" w:sz="0" w:space="0" w:color="auto"/>
        <w:bottom w:val="none" w:sz="0" w:space="0" w:color="auto"/>
        <w:right w:val="none" w:sz="0" w:space="0" w:color="auto"/>
      </w:divBdr>
    </w:div>
    <w:div w:id="416831404">
      <w:marLeft w:val="0"/>
      <w:marRight w:val="0"/>
      <w:marTop w:val="80"/>
      <w:marBottom w:val="0"/>
      <w:divBdr>
        <w:top w:val="none" w:sz="0" w:space="0" w:color="auto"/>
        <w:left w:val="none" w:sz="0" w:space="0" w:color="auto"/>
        <w:bottom w:val="none" w:sz="0" w:space="0" w:color="auto"/>
        <w:right w:val="none" w:sz="0" w:space="0" w:color="auto"/>
      </w:divBdr>
    </w:div>
    <w:div w:id="421415324">
      <w:marLeft w:val="0"/>
      <w:marRight w:val="0"/>
      <w:marTop w:val="0"/>
      <w:marBottom w:val="200"/>
      <w:divBdr>
        <w:top w:val="none" w:sz="0" w:space="0" w:color="auto"/>
        <w:left w:val="none" w:sz="0" w:space="0" w:color="auto"/>
        <w:bottom w:val="none" w:sz="0" w:space="0" w:color="auto"/>
        <w:right w:val="none" w:sz="0" w:space="0" w:color="auto"/>
      </w:divBdr>
    </w:div>
    <w:div w:id="435100200">
      <w:marLeft w:val="0"/>
      <w:marRight w:val="0"/>
      <w:marTop w:val="0"/>
      <w:marBottom w:val="200"/>
      <w:divBdr>
        <w:top w:val="none" w:sz="0" w:space="0" w:color="auto"/>
        <w:left w:val="none" w:sz="0" w:space="0" w:color="auto"/>
        <w:bottom w:val="none" w:sz="0" w:space="0" w:color="auto"/>
        <w:right w:val="none" w:sz="0" w:space="0" w:color="auto"/>
      </w:divBdr>
    </w:div>
    <w:div w:id="436413401">
      <w:marLeft w:val="0"/>
      <w:marRight w:val="0"/>
      <w:marTop w:val="280"/>
      <w:marBottom w:val="0"/>
      <w:divBdr>
        <w:top w:val="none" w:sz="0" w:space="0" w:color="auto"/>
        <w:left w:val="none" w:sz="0" w:space="0" w:color="auto"/>
        <w:bottom w:val="none" w:sz="0" w:space="0" w:color="auto"/>
        <w:right w:val="none" w:sz="0" w:space="0" w:color="auto"/>
      </w:divBdr>
    </w:div>
    <w:div w:id="457988713">
      <w:marLeft w:val="0"/>
      <w:marRight w:val="0"/>
      <w:marTop w:val="0"/>
      <w:marBottom w:val="160"/>
      <w:divBdr>
        <w:top w:val="none" w:sz="0" w:space="0" w:color="auto"/>
        <w:left w:val="none" w:sz="0" w:space="0" w:color="auto"/>
        <w:bottom w:val="none" w:sz="0" w:space="0" w:color="auto"/>
        <w:right w:val="none" w:sz="0" w:space="0" w:color="auto"/>
      </w:divBdr>
    </w:div>
    <w:div w:id="459811625">
      <w:marLeft w:val="0"/>
      <w:marRight w:val="0"/>
      <w:marTop w:val="0"/>
      <w:marBottom w:val="120"/>
      <w:divBdr>
        <w:top w:val="none" w:sz="0" w:space="0" w:color="auto"/>
        <w:left w:val="none" w:sz="0" w:space="0" w:color="auto"/>
        <w:bottom w:val="none" w:sz="0" w:space="0" w:color="auto"/>
        <w:right w:val="none" w:sz="0" w:space="0" w:color="auto"/>
      </w:divBdr>
    </w:div>
    <w:div w:id="462773301">
      <w:marLeft w:val="0"/>
      <w:marRight w:val="0"/>
      <w:marTop w:val="0"/>
      <w:marBottom w:val="0"/>
      <w:divBdr>
        <w:top w:val="none" w:sz="0" w:space="0" w:color="auto"/>
        <w:left w:val="none" w:sz="0" w:space="0" w:color="auto"/>
        <w:bottom w:val="none" w:sz="0" w:space="0" w:color="auto"/>
        <w:right w:val="none" w:sz="0" w:space="0" w:color="auto"/>
      </w:divBdr>
    </w:div>
    <w:div w:id="474489985">
      <w:marLeft w:val="0"/>
      <w:marRight w:val="0"/>
      <w:marTop w:val="0"/>
      <w:marBottom w:val="200"/>
      <w:divBdr>
        <w:top w:val="none" w:sz="0" w:space="0" w:color="auto"/>
        <w:left w:val="none" w:sz="0" w:space="0" w:color="auto"/>
        <w:bottom w:val="none" w:sz="0" w:space="0" w:color="auto"/>
        <w:right w:val="none" w:sz="0" w:space="0" w:color="auto"/>
      </w:divBdr>
    </w:div>
    <w:div w:id="481698935">
      <w:marLeft w:val="0"/>
      <w:marRight w:val="0"/>
      <w:marTop w:val="0"/>
      <w:marBottom w:val="0"/>
      <w:divBdr>
        <w:top w:val="none" w:sz="0" w:space="0" w:color="auto"/>
        <w:left w:val="none" w:sz="0" w:space="0" w:color="auto"/>
        <w:bottom w:val="none" w:sz="0" w:space="0" w:color="auto"/>
        <w:right w:val="none" w:sz="0" w:space="0" w:color="auto"/>
      </w:divBdr>
      <w:divsChild>
        <w:div w:id="1650357447">
          <w:marLeft w:val="0"/>
          <w:marRight w:val="0"/>
          <w:marTop w:val="0"/>
          <w:marBottom w:val="0"/>
          <w:divBdr>
            <w:top w:val="none" w:sz="0" w:space="0" w:color="auto"/>
            <w:left w:val="none" w:sz="0" w:space="0" w:color="auto"/>
            <w:bottom w:val="none" w:sz="0" w:space="0" w:color="auto"/>
            <w:right w:val="none" w:sz="0" w:space="0" w:color="auto"/>
          </w:divBdr>
        </w:div>
      </w:divsChild>
    </w:div>
    <w:div w:id="481896498">
      <w:marLeft w:val="0"/>
      <w:marRight w:val="0"/>
      <w:marTop w:val="100"/>
      <w:marBottom w:val="100"/>
      <w:divBdr>
        <w:top w:val="none" w:sz="0" w:space="0" w:color="auto"/>
        <w:left w:val="none" w:sz="0" w:space="0" w:color="auto"/>
        <w:bottom w:val="none" w:sz="0" w:space="0" w:color="auto"/>
        <w:right w:val="none" w:sz="0" w:space="0" w:color="auto"/>
      </w:divBdr>
      <w:divsChild>
        <w:div w:id="1905793477">
          <w:marLeft w:val="0"/>
          <w:marRight w:val="0"/>
          <w:marTop w:val="0"/>
          <w:marBottom w:val="44"/>
          <w:divBdr>
            <w:top w:val="none" w:sz="0" w:space="0" w:color="auto"/>
            <w:left w:val="none" w:sz="0" w:space="0" w:color="auto"/>
            <w:bottom w:val="none" w:sz="0" w:space="0" w:color="auto"/>
            <w:right w:val="none" w:sz="0" w:space="0" w:color="auto"/>
          </w:divBdr>
        </w:div>
        <w:div w:id="676268144">
          <w:marLeft w:val="0"/>
          <w:marRight w:val="0"/>
          <w:marTop w:val="0"/>
          <w:marBottom w:val="44"/>
          <w:divBdr>
            <w:top w:val="none" w:sz="0" w:space="0" w:color="auto"/>
            <w:left w:val="none" w:sz="0" w:space="0" w:color="auto"/>
            <w:bottom w:val="none" w:sz="0" w:space="0" w:color="auto"/>
            <w:right w:val="none" w:sz="0" w:space="0" w:color="auto"/>
          </w:divBdr>
        </w:div>
        <w:div w:id="1217934817">
          <w:marLeft w:val="0"/>
          <w:marRight w:val="0"/>
          <w:marTop w:val="0"/>
          <w:marBottom w:val="44"/>
          <w:divBdr>
            <w:top w:val="none" w:sz="0" w:space="0" w:color="auto"/>
            <w:left w:val="none" w:sz="0" w:space="0" w:color="auto"/>
            <w:bottom w:val="none" w:sz="0" w:space="0" w:color="auto"/>
            <w:right w:val="none" w:sz="0" w:space="0" w:color="auto"/>
          </w:divBdr>
        </w:div>
        <w:div w:id="542448360">
          <w:marLeft w:val="0"/>
          <w:marRight w:val="0"/>
          <w:marTop w:val="0"/>
          <w:marBottom w:val="44"/>
          <w:divBdr>
            <w:top w:val="none" w:sz="0" w:space="0" w:color="auto"/>
            <w:left w:val="none" w:sz="0" w:space="0" w:color="auto"/>
            <w:bottom w:val="none" w:sz="0" w:space="0" w:color="auto"/>
            <w:right w:val="none" w:sz="0" w:space="0" w:color="auto"/>
          </w:divBdr>
        </w:div>
        <w:div w:id="1279753597">
          <w:marLeft w:val="0"/>
          <w:marRight w:val="0"/>
          <w:marTop w:val="0"/>
          <w:marBottom w:val="44"/>
          <w:divBdr>
            <w:top w:val="none" w:sz="0" w:space="0" w:color="auto"/>
            <w:left w:val="none" w:sz="0" w:space="0" w:color="auto"/>
            <w:bottom w:val="none" w:sz="0" w:space="0" w:color="auto"/>
            <w:right w:val="none" w:sz="0" w:space="0" w:color="auto"/>
          </w:divBdr>
        </w:div>
        <w:div w:id="1220509175">
          <w:marLeft w:val="0"/>
          <w:marRight w:val="0"/>
          <w:marTop w:val="0"/>
          <w:marBottom w:val="44"/>
          <w:divBdr>
            <w:top w:val="none" w:sz="0" w:space="0" w:color="auto"/>
            <w:left w:val="none" w:sz="0" w:space="0" w:color="auto"/>
            <w:bottom w:val="none" w:sz="0" w:space="0" w:color="auto"/>
            <w:right w:val="none" w:sz="0" w:space="0" w:color="auto"/>
          </w:divBdr>
        </w:div>
      </w:divsChild>
    </w:div>
    <w:div w:id="501088540">
      <w:marLeft w:val="0"/>
      <w:marRight w:val="0"/>
      <w:marTop w:val="0"/>
      <w:marBottom w:val="200"/>
      <w:divBdr>
        <w:top w:val="none" w:sz="0" w:space="0" w:color="auto"/>
        <w:left w:val="none" w:sz="0" w:space="0" w:color="auto"/>
        <w:bottom w:val="none" w:sz="0" w:space="0" w:color="auto"/>
        <w:right w:val="none" w:sz="0" w:space="0" w:color="auto"/>
      </w:divBdr>
    </w:div>
    <w:div w:id="504324746">
      <w:marLeft w:val="0"/>
      <w:marRight w:val="0"/>
      <w:marTop w:val="0"/>
      <w:marBottom w:val="0"/>
      <w:divBdr>
        <w:top w:val="none" w:sz="0" w:space="0" w:color="auto"/>
        <w:left w:val="none" w:sz="0" w:space="0" w:color="auto"/>
        <w:bottom w:val="none" w:sz="0" w:space="0" w:color="auto"/>
        <w:right w:val="none" w:sz="0" w:space="0" w:color="auto"/>
      </w:divBdr>
      <w:divsChild>
        <w:div w:id="2032030616">
          <w:marLeft w:val="0"/>
          <w:marRight w:val="0"/>
          <w:marTop w:val="0"/>
          <w:marBottom w:val="0"/>
          <w:divBdr>
            <w:top w:val="none" w:sz="0" w:space="0" w:color="auto"/>
            <w:left w:val="none" w:sz="0" w:space="0" w:color="auto"/>
            <w:bottom w:val="none" w:sz="0" w:space="0" w:color="auto"/>
            <w:right w:val="none" w:sz="0" w:space="0" w:color="auto"/>
          </w:divBdr>
        </w:div>
      </w:divsChild>
    </w:div>
    <w:div w:id="511846443">
      <w:marLeft w:val="0"/>
      <w:marRight w:val="0"/>
      <w:marTop w:val="0"/>
      <w:marBottom w:val="0"/>
      <w:divBdr>
        <w:top w:val="none" w:sz="0" w:space="0" w:color="auto"/>
        <w:left w:val="none" w:sz="0" w:space="0" w:color="auto"/>
        <w:bottom w:val="none" w:sz="0" w:space="0" w:color="auto"/>
        <w:right w:val="none" w:sz="0" w:space="0" w:color="auto"/>
      </w:divBdr>
    </w:div>
    <w:div w:id="518005661">
      <w:marLeft w:val="0"/>
      <w:marRight w:val="0"/>
      <w:marTop w:val="200"/>
      <w:marBottom w:val="0"/>
      <w:divBdr>
        <w:top w:val="none" w:sz="0" w:space="0" w:color="auto"/>
        <w:left w:val="none" w:sz="0" w:space="0" w:color="auto"/>
        <w:bottom w:val="none" w:sz="0" w:space="0" w:color="auto"/>
        <w:right w:val="none" w:sz="0" w:space="0" w:color="auto"/>
      </w:divBdr>
    </w:div>
    <w:div w:id="521818318">
      <w:marLeft w:val="0"/>
      <w:marRight w:val="0"/>
      <w:marTop w:val="100"/>
      <w:marBottom w:val="0"/>
      <w:divBdr>
        <w:top w:val="none" w:sz="0" w:space="0" w:color="auto"/>
        <w:left w:val="none" w:sz="0" w:space="0" w:color="auto"/>
        <w:bottom w:val="none" w:sz="0" w:space="0" w:color="auto"/>
        <w:right w:val="none" w:sz="0" w:space="0" w:color="auto"/>
      </w:divBdr>
    </w:div>
    <w:div w:id="529421018">
      <w:marLeft w:val="0"/>
      <w:marRight w:val="0"/>
      <w:marTop w:val="0"/>
      <w:marBottom w:val="0"/>
      <w:divBdr>
        <w:top w:val="none" w:sz="0" w:space="0" w:color="auto"/>
        <w:left w:val="none" w:sz="0" w:space="0" w:color="auto"/>
        <w:bottom w:val="none" w:sz="0" w:space="0" w:color="auto"/>
        <w:right w:val="none" w:sz="0" w:space="0" w:color="auto"/>
      </w:divBdr>
    </w:div>
    <w:div w:id="536820799">
      <w:marLeft w:val="0"/>
      <w:marRight w:val="0"/>
      <w:marTop w:val="0"/>
      <w:marBottom w:val="200"/>
      <w:divBdr>
        <w:top w:val="none" w:sz="0" w:space="0" w:color="auto"/>
        <w:left w:val="none" w:sz="0" w:space="0" w:color="auto"/>
        <w:bottom w:val="none" w:sz="0" w:space="0" w:color="auto"/>
        <w:right w:val="none" w:sz="0" w:space="0" w:color="auto"/>
      </w:divBdr>
    </w:div>
    <w:div w:id="543907244">
      <w:marLeft w:val="0"/>
      <w:marRight w:val="0"/>
      <w:marTop w:val="100"/>
      <w:marBottom w:val="0"/>
      <w:divBdr>
        <w:top w:val="none" w:sz="0" w:space="0" w:color="auto"/>
        <w:left w:val="none" w:sz="0" w:space="0" w:color="auto"/>
        <w:bottom w:val="none" w:sz="0" w:space="0" w:color="auto"/>
        <w:right w:val="none" w:sz="0" w:space="0" w:color="auto"/>
      </w:divBdr>
    </w:div>
    <w:div w:id="544220615">
      <w:marLeft w:val="0"/>
      <w:marRight w:val="0"/>
      <w:marTop w:val="0"/>
      <w:marBottom w:val="0"/>
      <w:divBdr>
        <w:top w:val="none" w:sz="0" w:space="0" w:color="auto"/>
        <w:left w:val="none" w:sz="0" w:space="0" w:color="auto"/>
        <w:bottom w:val="none" w:sz="0" w:space="0" w:color="auto"/>
        <w:right w:val="none" w:sz="0" w:space="0" w:color="auto"/>
      </w:divBdr>
      <w:divsChild>
        <w:div w:id="1289438647">
          <w:marLeft w:val="0"/>
          <w:marRight w:val="0"/>
          <w:marTop w:val="0"/>
          <w:marBottom w:val="0"/>
          <w:divBdr>
            <w:top w:val="none" w:sz="0" w:space="0" w:color="auto"/>
            <w:left w:val="none" w:sz="0" w:space="0" w:color="auto"/>
            <w:bottom w:val="none" w:sz="0" w:space="0" w:color="auto"/>
            <w:right w:val="none" w:sz="0" w:space="0" w:color="auto"/>
          </w:divBdr>
        </w:div>
      </w:divsChild>
    </w:div>
    <w:div w:id="553782883">
      <w:marLeft w:val="0"/>
      <w:marRight w:val="0"/>
      <w:marTop w:val="0"/>
      <w:marBottom w:val="0"/>
      <w:divBdr>
        <w:top w:val="none" w:sz="0" w:space="0" w:color="auto"/>
        <w:left w:val="none" w:sz="0" w:space="0" w:color="auto"/>
        <w:bottom w:val="none" w:sz="0" w:space="0" w:color="auto"/>
        <w:right w:val="none" w:sz="0" w:space="0" w:color="auto"/>
      </w:divBdr>
      <w:divsChild>
        <w:div w:id="1988122437">
          <w:marLeft w:val="0"/>
          <w:marRight w:val="0"/>
          <w:marTop w:val="0"/>
          <w:marBottom w:val="0"/>
          <w:divBdr>
            <w:top w:val="none" w:sz="0" w:space="0" w:color="auto"/>
            <w:left w:val="none" w:sz="0" w:space="0" w:color="auto"/>
            <w:bottom w:val="none" w:sz="0" w:space="0" w:color="auto"/>
            <w:right w:val="none" w:sz="0" w:space="0" w:color="auto"/>
          </w:divBdr>
        </w:div>
      </w:divsChild>
    </w:div>
    <w:div w:id="554393861">
      <w:marLeft w:val="0"/>
      <w:marRight w:val="0"/>
      <w:marTop w:val="100"/>
      <w:marBottom w:val="100"/>
      <w:divBdr>
        <w:top w:val="none" w:sz="0" w:space="0" w:color="auto"/>
        <w:left w:val="none" w:sz="0" w:space="0" w:color="auto"/>
        <w:bottom w:val="none" w:sz="0" w:space="0" w:color="auto"/>
        <w:right w:val="none" w:sz="0" w:space="0" w:color="auto"/>
      </w:divBdr>
      <w:divsChild>
        <w:div w:id="1353070095">
          <w:marLeft w:val="0"/>
          <w:marRight w:val="0"/>
          <w:marTop w:val="0"/>
          <w:marBottom w:val="0"/>
          <w:divBdr>
            <w:top w:val="none" w:sz="0" w:space="0" w:color="auto"/>
            <w:left w:val="none" w:sz="0" w:space="0" w:color="auto"/>
            <w:bottom w:val="none" w:sz="0" w:space="0" w:color="auto"/>
            <w:right w:val="none" w:sz="0" w:space="0" w:color="auto"/>
          </w:divBdr>
        </w:div>
        <w:div w:id="1867055842">
          <w:marLeft w:val="0"/>
          <w:marRight w:val="0"/>
          <w:marTop w:val="0"/>
          <w:marBottom w:val="0"/>
          <w:divBdr>
            <w:top w:val="none" w:sz="0" w:space="0" w:color="auto"/>
            <w:left w:val="none" w:sz="0" w:space="0" w:color="auto"/>
            <w:bottom w:val="none" w:sz="0" w:space="0" w:color="auto"/>
            <w:right w:val="none" w:sz="0" w:space="0" w:color="auto"/>
          </w:divBdr>
        </w:div>
        <w:div w:id="682585882">
          <w:marLeft w:val="0"/>
          <w:marRight w:val="0"/>
          <w:marTop w:val="0"/>
          <w:marBottom w:val="0"/>
          <w:divBdr>
            <w:top w:val="none" w:sz="0" w:space="0" w:color="auto"/>
            <w:left w:val="none" w:sz="0" w:space="0" w:color="auto"/>
            <w:bottom w:val="none" w:sz="0" w:space="0" w:color="auto"/>
            <w:right w:val="none" w:sz="0" w:space="0" w:color="auto"/>
          </w:divBdr>
        </w:div>
        <w:div w:id="1528904147">
          <w:marLeft w:val="0"/>
          <w:marRight w:val="0"/>
          <w:marTop w:val="0"/>
          <w:marBottom w:val="0"/>
          <w:divBdr>
            <w:top w:val="none" w:sz="0" w:space="0" w:color="auto"/>
            <w:left w:val="none" w:sz="0" w:space="0" w:color="auto"/>
            <w:bottom w:val="none" w:sz="0" w:space="0" w:color="auto"/>
            <w:right w:val="none" w:sz="0" w:space="0" w:color="auto"/>
          </w:divBdr>
        </w:div>
        <w:div w:id="1730805962">
          <w:marLeft w:val="0"/>
          <w:marRight w:val="0"/>
          <w:marTop w:val="0"/>
          <w:marBottom w:val="0"/>
          <w:divBdr>
            <w:top w:val="none" w:sz="0" w:space="0" w:color="auto"/>
            <w:left w:val="none" w:sz="0" w:space="0" w:color="auto"/>
            <w:bottom w:val="none" w:sz="0" w:space="0" w:color="auto"/>
            <w:right w:val="none" w:sz="0" w:space="0" w:color="auto"/>
          </w:divBdr>
        </w:div>
        <w:div w:id="1149787234">
          <w:marLeft w:val="0"/>
          <w:marRight w:val="0"/>
          <w:marTop w:val="0"/>
          <w:marBottom w:val="0"/>
          <w:divBdr>
            <w:top w:val="none" w:sz="0" w:space="0" w:color="auto"/>
            <w:left w:val="none" w:sz="0" w:space="0" w:color="auto"/>
            <w:bottom w:val="none" w:sz="0" w:space="0" w:color="auto"/>
            <w:right w:val="none" w:sz="0" w:space="0" w:color="auto"/>
          </w:divBdr>
        </w:div>
        <w:div w:id="785733371">
          <w:marLeft w:val="0"/>
          <w:marRight w:val="0"/>
          <w:marTop w:val="0"/>
          <w:marBottom w:val="0"/>
          <w:divBdr>
            <w:top w:val="none" w:sz="0" w:space="0" w:color="auto"/>
            <w:left w:val="none" w:sz="0" w:space="0" w:color="auto"/>
            <w:bottom w:val="none" w:sz="0" w:space="0" w:color="auto"/>
            <w:right w:val="none" w:sz="0" w:space="0" w:color="auto"/>
          </w:divBdr>
        </w:div>
        <w:div w:id="1894147240">
          <w:marLeft w:val="0"/>
          <w:marRight w:val="0"/>
          <w:marTop w:val="0"/>
          <w:marBottom w:val="0"/>
          <w:divBdr>
            <w:top w:val="none" w:sz="0" w:space="0" w:color="auto"/>
            <w:left w:val="none" w:sz="0" w:space="0" w:color="auto"/>
            <w:bottom w:val="none" w:sz="0" w:space="0" w:color="auto"/>
            <w:right w:val="none" w:sz="0" w:space="0" w:color="auto"/>
          </w:divBdr>
        </w:div>
      </w:divsChild>
    </w:div>
    <w:div w:id="558831937">
      <w:marLeft w:val="0"/>
      <w:marRight w:val="0"/>
      <w:marTop w:val="0"/>
      <w:marBottom w:val="0"/>
      <w:divBdr>
        <w:top w:val="none" w:sz="0" w:space="0" w:color="auto"/>
        <w:left w:val="none" w:sz="0" w:space="0" w:color="auto"/>
        <w:bottom w:val="none" w:sz="0" w:space="0" w:color="auto"/>
        <w:right w:val="none" w:sz="0" w:space="0" w:color="auto"/>
      </w:divBdr>
    </w:div>
    <w:div w:id="560677045">
      <w:marLeft w:val="0"/>
      <w:marRight w:val="0"/>
      <w:marTop w:val="0"/>
      <w:marBottom w:val="200"/>
      <w:divBdr>
        <w:top w:val="none" w:sz="0" w:space="0" w:color="auto"/>
        <w:left w:val="none" w:sz="0" w:space="0" w:color="auto"/>
        <w:bottom w:val="none" w:sz="0" w:space="0" w:color="auto"/>
        <w:right w:val="none" w:sz="0" w:space="0" w:color="auto"/>
      </w:divBdr>
    </w:div>
    <w:div w:id="564100723">
      <w:marLeft w:val="0"/>
      <w:marRight w:val="0"/>
      <w:marTop w:val="0"/>
      <w:marBottom w:val="0"/>
      <w:divBdr>
        <w:top w:val="none" w:sz="0" w:space="0" w:color="auto"/>
        <w:left w:val="none" w:sz="0" w:space="0" w:color="auto"/>
        <w:bottom w:val="none" w:sz="0" w:space="0" w:color="auto"/>
        <w:right w:val="none" w:sz="0" w:space="0" w:color="auto"/>
      </w:divBdr>
      <w:divsChild>
        <w:div w:id="448090173">
          <w:marLeft w:val="0"/>
          <w:marRight w:val="0"/>
          <w:marTop w:val="0"/>
          <w:marBottom w:val="0"/>
          <w:divBdr>
            <w:top w:val="none" w:sz="0" w:space="0" w:color="auto"/>
            <w:left w:val="none" w:sz="0" w:space="0" w:color="auto"/>
            <w:bottom w:val="none" w:sz="0" w:space="0" w:color="auto"/>
            <w:right w:val="none" w:sz="0" w:space="0" w:color="auto"/>
          </w:divBdr>
        </w:div>
        <w:div w:id="1205482834">
          <w:marLeft w:val="0"/>
          <w:marRight w:val="0"/>
          <w:marTop w:val="0"/>
          <w:marBottom w:val="0"/>
          <w:divBdr>
            <w:top w:val="none" w:sz="0" w:space="0" w:color="auto"/>
            <w:left w:val="none" w:sz="0" w:space="0" w:color="auto"/>
            <w:bottom w:val="none" w:sz="0" w:space="0" w:color="auto"/>
            <w:right w:val="none" w:sz="0" w:space="0" w:color="auto"/>
          </w:divBdr>
        </w:div>
      </w:divsChild>
    </w:div>
    <w:div w:id="571047611">
      <w:marLeft w:val="0"/>
      <w:marRight w:val="0"/>
      <w:marTop w:val="0"/>
      <w:marBottom w:val="200"/>
      <w:divBdr>
        <w:top w:val="none" w:sz="0" w:space="0" w:color="auto"/>
        <w:left w:val="none" w:sz="0" w:space="0" w:color="auto"/>
        <w:bottom w:val="none" w:sz="0" w:space="0" w:color="auto"/>
        <w:right w:val="none" w:sz="0" w:space="0" w:color="auto"/>
      </w:divBdr>
    </w:div>
    <w:div w:id="577642115">
      <w:marLeft w:val="0"/>
      <w:marRight w:val="0"/>
      <w:marTop w:val="0"/>
      <w:marBottom w:val="200"/>
      <w:divBdr>
        <w:top w:val="none" w:sz="0" w:space="0" w:color="auto"/>
        <w:left w:val="none" w:sz="0" w:space="0" w:color="auto"/>
        <w:bottom w:val="none" w:sz="0" w:space="0" w:color="auto"/>
        <w:right w:val="none" w:sz="0" w:space="0" w:color="auto"/>
      </w:divBdr>
    </w:div>
    <w:div w:id="584151567">
      <w:marLeft w:val="0"/>
      <w:marRight w:val="0"/>
      <w:marTop w:val="0"/>
      <w:marBottom w:val="200"/>
      <w:divBdr>
        <w:top w:val="none" w:sz="0" w:space="0" w:color="auto"/>
        <w:left w:val="none" w:sz="0" w:space="0" w:color="auto"/>
        <w:bottom w:val="none" w:sz="0" w:space="0" w:color="auto"/>
        <w:right w:val="none" w:sz="0" w:space="0" w:color="auto"/>
      </w:divBdr>
    </w:div>
    <w:div w:id="584456177">
      <w:marLeft w:val="0"/>
      <w:marRight w:val="0"/>
      <w:marTop w:val="0"/>
      <w:marBottom w:val="0"/>
      <w:divBdr>
        <w:top w:val="none" w:sz="0" w:space="0" w:color="auto"/>
        <w:left w:val="none" w:sz="0" w:space="0" w:color="auto"/>
        <w:bottom w:val="none" w:sz="0" w:space="0" w:color="auto"/>
        <w:right w:val="none" w:sz="0" w:space="0" w:color="auto"/>
      </w:divBdr>
      <w:divsChild>
        <w:div w:id="262418776">
          <w:marLeft w:val="0"/>
          <w:marRight w:val="0"/>
          <w:marTop w:val="0"/>
          <w:marBottom w:val="0"/>
          <w:divBdr>
            <w:top w:val="none" w:sz="0" w:space="0" w:color="auto"/>
            <w:left w:val="none" w:sz="0" w:space="0" w:color="auto"/>
            <w:bottom w:val="none" w:sz="0" w:space="0" w:color="auto"/>
            <w:right w:val="none" w:sz="0" w:space="0" w:color="auto"/>
          </w:divBdr>
        </w:div>
      </w:divsChild>
    </w:div>
    <w:div w:id="589848134">
      <w:marLeft w:val="0"/>
      <w:marRight w:val="0"/>
      <w:marTop w:val="0"/>
      <w:marBottom w:val="60"/>
      <w:divBdr>
        <w:top w:val="none" w:sz="0" w:space="0" w:color="auto"/>
        <w:left w:val="none" w:sz="0" w:space="0" w:color="auto"/>
        <w:bottom w:val="none" w:sz="0" w:space="0" w:color="auto"/>
        <w:right w:val="none" w:sz="0" w:space="0" w:color="auto"/>
      </w:divBdr>
    </w:div>
    <w:div w:id="604458655">
      <w:marLeft w:val="0"/>
      <w:marRight w:val="0"/>
      <w:marTop w:val="0"/>
      <w:marBottom w:val="200"/>
      <w:divBdr>
        <w:top w:val="none" w:sz="0" w:space="0" w:color="auto"/>
        <w:left w:val="none" w:sz="0" w:space="0" w:color="auto"/>
        <w:bottom w:val="none" w:sz="0" w:space="0" w:color="auto"/>
        <w:right w:val="none" w:sz="0" w:space="0" w:color="auto"/>
      </w:divBdr>
    </w:div>
    <w:div w:id="604536332">
      <w:marLeft w:val="0"/>
      <w:marRight w:val="0"/>
      <w:marTop w:val="0"/>
      <w:marBottom w:val="160"/>
      <w:divBdr>
        <w:top w:val="none" w:sz="0" w:space="0" w:color="auto"/>
        <w:left w:val="none" w:sz="0" w:space="0" w:color="auto"/>
        <w:bottom w:val="none" w:sz="0" w:space="0" w:color="auto"/>
        <w:right w:val="none" w:sz="0" w:space="0" w:color="auto"/>
      </w:divBdr>
    </w:div>
    <w:div w:id="607782098">
      <w:marLeft w:val="0"/>
      <w:marRight w:val="0"/>
      <w:marTop w:val="0"/>
      <w:marBottom w:val="0"/>
      <w:divBdr>
        <w:top w:val="none" w:sz="0" w:space="0" w:color="auto"/>
        <w:left w:val="none" w:sz="0" w:space="0" w:color="auto"/>
        <w:bottom w:val="none" w:sz="0" w:space="0" w:color="auto"/>
        <w:right w:val="none" w:sz="0" w:space="0" w:color="auto"/>
      </w:divBdr>
      <w:divsChild>
        <w:div w:id="395669669">
          <w:marLeft w:val="0"/>
          <w:marRight w:val="0"/>
          <w:marTop w:val="0"/>
          <w:marBottom w:val="0"/>
          <w:divBdr>
            <w:top w:val="none" w:sz="0" w:space="0" w:color="auto"/>
            <w:left w:val="none" w:sz="0" w:space="0" w:color="auto"/>
            <w:bottom w:val="none" w:sz="0" w:space="0" w:color="auto"/>
            <w:right w:val="none" w:sz="0" w:space="0" w:color="auto"/>
          </w:divBdr>
        </w:div>
      </w:divsChild>
    </w:div>
    <w:div w:id="614561264">
      <w:marLeft w:val="0"/>
      <w:marRight w:val="0"/>
      <w:marTop w:val="0"/>
      <w:marBottom w:val="0"/>
      <w:divBdr>
        <w:top w:val="none" w:sz="0" w:space="0" w:color="auto"/>
        <w:left w:val="none" w:sz="0" w:space="0" w:color="auto"/>
        <w:bottom w:val="none" w:sz="0" w:space="0" w:color="auto"/>
        <w:right w:val="none" w:sz="0" w:space="0" w:color="auto"/>
      </w:divBdr>
      <w:divsChild>
        <w:div w:id="1007252813">
          <w:marLeft w:val="0"/>
          <w:marRight w:val="0"/>
          <w:marTop w:val="0"/>
          <w:marBottom w:val="0"/>
          <w:divBdr>
            <w:top w:val="none" w:sz="0" w:space="0" w:color="auto"/>
            <w:left w:val="none" w:sz="0" w:space="0" w:color="auto"/>
            <w:bottom w:val="none" w:sz="0" w:space="0" w:color="auto"/>
            <w:right w:val="none" w:sz="0" w:space="0" w:color="auto"/>
          </w:divBdr>
        </w:div>
      </w:divsChild>
    </w:div>
    <w:div w:id="617637825">
      <w:marLeft w:val="0"/>
      <w:marRight w:val="0"/>
      <w:marTop w:val="200"/>
      <w:marBottom w:val="0"/>
      <w:divBdr>
        <w:top w:val="none" w:sz="0" w:space="0" w:color="auto"/>
        <w:left w:val="none" w:sz="0" w:space="0" w:color="auto"/>
        <w:bottom w:val="none" w:sz="0" w:space="0" w:color="auto"/>
        <w:right w:val="none" w:sz="0" w:space="0" w:color="auto"/>
      </w:divBdr>
    </w:div>
    <w:div w:id="639503531">
      <w:marLeft w:val="0"/>
      <w:marRight w:val="0"/>
      <w:marTop w:val="0"/>
      <w:marBottom w:val="200"/>
      <w:divBdr>
        <w:top w:val="none" w:sz="0" w:space="0" w:color="auto"/>
        <w:left w:val="none" w:sz="0" w:space="0" w:color="auto"/>
        <w:bottom w:val="none" w:sz="0" w:space="0" w:color="auto"/>
        <w:right w:val="none" w:sz="0" w:space="0" w:color="auto"/>
      </w:divBdr>
    </w:div>
    <w:div w:id="668288126">
      <w:marLeft w:val="0"/>
      <w:marRight w:val="0"/>
      <w:marTop w:val="0"/>
      <w:marBottom w:val="0"/>
      <w:divBdr>
        <w:top w:val="none" w:sz="0" w:space="0" w:color="auto"/>
        <w:left w:val="none" w:sz="0" w:space="0" w:color="auto"/>
        <w:bottom w:val="none" w:sz="0" w:space="0" w:color="auto"/>
        <w:right w:val="none" w:sz="0" w:space="0" w:color="auto"/>
      </w:divBdr>
      <w:divsChild>
        <w:div w:id="45641400">
          <w:marLeft w:val="0"/>
          <w:marRight w:val="0"/>
          <w:marTop w:val="0"/>
          <w:marBottom w:val="0"/>
          <w:divBdr>
            <w:top w:val="none" w:sz="0" w:space="0" w:color="auto"/>
            <w:left w:val="none" w:sz="0" w:space="0" w:color="auto"/>
            <w:bottom w:val="none" w:sz="0" w:space="0" w:color="auto"/>
            <w:right w:val="none" w:sz="0" w:space="0" w:color="auto"/>
          </w:divBdr>
        </w:div>
      </w:divsChild>
    </w:div>
    <w:div w:id="669676447">
      <w:marLeft w:val="0"/>
      <w:marRight w:val="0"/>
      <w:marTop w:val="0"/>
      <w:marBottom w:val="0"/>
      <w:divBdr>
        <w:top w:val="none" w:sz="0" w:space="0" w:color="auto"/>
        <w:left w:val="none" w:sz="0" w:space="0" w:color="auto"/>
        <w:bottom w:val="none" w:sz="0" w:space="0" w:color="auto"/>
        <w:right w:val="none" w:sz="0" w:space="0" w:color="auto"/>
      </w:divBdr>
      <w:divsChild>
        <w:div w:id="1693459607">
          <w:marLeft w:val="0"/>
          <w:marRight w:val="0"/>
          <w:marTop w:val="0"/>
          <w:marBottom w:val="0"/>
          <w:divBdr>
            <w:top w:val="none" w:sz="0" w:space="0" w:color="auto"/>
            <w:left w:val="none" w:sz="0" w:space="0" w:color="auto"/>
            <w:bottom w:val="none" w:sz="0" w:space="0" w:color="auto"/>
            <w:right w:val="none" w:sz="0" w:space="0" w:color="auto"/>
          </w:divBdr>
        </w:div>
        <w:div w:id="1082994619">
          <w:marLeft w:val="0"/>
          <w:marRight w:val="0"/>
          <w:marTop w:val="180"/>
          <w:marBottom w:val="0"/>
          <w:divBdr>
            <w:top w:val="none" w:sz="0" w:space="0" w:color="auto"/>
            <w:left w:val="none" w:sz="0" w:space="0" w:color="auto"/>
            <w:bottom w:val="none" w:sz="0" w:space="0" w:color="auto"/>
            <w:right w:val="none" w:sz="0" w:space="0" w:color="auto"/>
          </w:divBdr>
        </w:div>
      </w:divsChild>
    </w:div>
    <w:div w:id="673457585">
      <w:marLeft w:val="0"/>
      <w:marRight w:val="0"/>
      <w:marTop w:val="100"/>
      <w:marBottom w:val="160"/>
      <w:divBdr>
        <w:top w:val="none" w:sz="0" w:space="0" w:color="auto"/>
        <w:left w:val="none" w:sz="0" w:space="0" w:color="auto"/>
        <w:bottom w:val="none" w:sz="0" w:space="0" w:color="auto"/>
        <w:right w:val="none" w:sz="0" w:space="0" w:color="auto"/>
      </w:divBdr>
    </w:div>
    <w:div w:id="674576896">
      <w:marLeft w:val="0"/>
      <w:marRight w:val="0"/>
      <w:marTop w:val="100"/>
      <w:marBottom w:val="100"/>
      <w:divBdr>
        <w:top w:val="none" w:sz="0" w:space="0" w:color="auto"/>
        <w:left w:val="none" w:sz="0" w:space="0" w:color="auto"/>
        <w:bottom w:val="none" w:sz="0" w:space="0" w:color="auto"/>
        <w:right w:val="none" w:sz="0" w:space="0" w:color="auto"/>
      </w:divBdr>
    </w:div>
    <w:div w:id="676545835">
      <w:marLeft w:val="0"/>
      <w:marRight w:val="0"/>
      <w:marTop w:val="100"/>
      <w:marBottom w:val="100"/>
      <w:divBdr>
        <w:top w:val="none" w:sz="0" w:space="0" w:color="auto"/>
        <w:left w:val="none" w:sz="0" w:space="0" w:color="auto"/>
        <w:bottom w:val="none" w:sz="0" w:space="0" w:color="auto"/>
        <w:right w:val="none" w:sz="0" w:space="0" w:color="auto"/>
      </w:divBdr>
    </w:div>
    <w:div w:id="679236829">
      <w:marLeft w:val="0"/>
      <w:marRight w:val="0"/>
      <w:marTop w:val="0"/>
      <w:marBottom w:val="0"/>
      <w:divBdr>
        <w:top w:val="none" w:sz="0" w:space="0" w:color="auto"/>
        <w:left w:val="none" w:sz="0" w:space="0" w:color="auto"/>
        <w:bottom w:val="none" w:sz="0" w:space="0" w:color="auto"/>
        <w:right w:val="none" w:sz="0" w:space="0" w:color="auto"/>
      </w:divBdr>
      <w:divsChild>
        <w:div w:id="717240031">
          <w:marLeft w:val="0"/>
          <w:marRight w:val="0"/>
          <w:marTop w:val="0"/>
          <w:marBottom w:val="0"/>
          <w:divBdr>
            <w:top w:val="none" w:sz="0" w:space="0" w:color="auto"/>
            <w:left w:val="none" w:sz="0" w:space="0" w:color="auto"/>
            <w:bottom w:val="none" w:sz="0" w:space="0" w:color="auto"/>
            <w:right w:val="none" w:sz="0" w:space="0" w:color="auto"/>
          </w:divBdr>
        </w:div>
      </w:divsChild>
    </w:div>
    <w:div w:id="679700288">
      <w:marLeft w:val="0"/>
      <w:marRight w:val="0"/>
      <w:marTop w:val="100"/>
      <w:marBottom w:val="100"/>
      <w:divBdr>
        <w:top w:val="none" w:sz="0" w:space="0" w:color="auto"/>
        <w:left w:val="none" w:sz="0" w:space="0" w:color="auto"/>
        <w:bottom w:val="none" w:sz="0" w:space="0" w:color="auto"/>
        <w:right w:val="none" w:sz="0" w:space="0" w:color="auto"/>
      </w:divBdr>
    </w:div>
    <w:div w:id="681249109">
      <w:marLeft w:val="0"/>
      <w:marRight w:val="0"/>
      <w:marTop w:val="180"/>
      <w:marBottom w:val="0"/>
      <w:divBdr>
        <w:top w:val="none" w:sz="0" w:space="0" w:color="auto"/>
        <w:left w:val="none" w:sz="0" w:space="0" w:color="auto"/>
        <w:bottom w:val="none" w:sz="0" w:space="0" w:color="auto"/>
        <w:right w:val="none" w:sz="0" w:space="0" w:color="auto"/>
      </w:divBdr>
    </w:div>
    <w:div w:id="686560831">
      <w:marLeft w:val="0"/>
      <w:marRight w:val="0"/>
      <w:marTop w:val="0"/>
      <w:marBottom w:val="0"/>
      <w:divBdr>
        <w:top w:val="none" w:sz="0" w:space="0" w:color="auto"/>
        <w:left w:val="none" w:sz="0" w:space="0" w:color="auto"/>
        <w:bottom w:val="none" w:sz="0" w:space="0" w:color="auto"/>
        <w:right w:val="none" w:sz="0" w:space="0" w:color="auto"/>
      </w:divBdr>
    </w:div>
    <w:div w:id="687291059">
      <w:marLeft w:val="0"/>
      <w:marRight w:val="0"/>
      <w:marTop w:val="100"/>
      <w:marBottom w:val="160"/>
      <w:divBdr>
        <w:top w:val="none" w:sz="0" w:space="0" w:color="auto"/>
        <w:left w:val="none" w:sz="0" w:space="0" w:color="auto"/>
        <w:bottom w:val="none" w:sz="0" w:space="0" w:color="auto"/>
        <w:right w:val="none" w:sz="0" w:space="0" w:color="auto"/>
      </w:divBdr>
    </w:div>
    <w:div w:id="699279653">
      <w:marLeft w:val="0"/>
      <w:marRight w:val="0"/>
      <w:marTop w:val="100"/>
      <w:marBottom w:val="100"/>
      <w:divBdr>
        <w:top w:val="none" w:sz="0" w:space="0" w:color="auto"/>
        <w:left w:val="none" w:sz="0" w:space="0" w:color="auto"/>
        <w:bottom w:val="none" w:sz="0" w:space="0" w:color="auto"/>
        <w:right w:val="none" w:sz="0" w:space="0" w:color="auto"/>
      </w:divBdr>
    </w:div>
    <w:div w:id="706181866">
      <w:marLeft w:val="0"/>
      <w:marRight w:val="0"/>
      <w:marTop w:val="0"/>
      <w:marBottom w:val="200"/>
      <w:divBdr>
        <w:top w:val="none" w:sz="0" w:space="0" w:color="auto"/>
        <w:left w:val="none" w:sz="0" w:space="0" w:color="auto"/>
        <w:bottom w:val="none" w:sz="0" w:space="0" w:color="auto"/>
        <w:right w:val="none" w:sz="0" w:space="0" w:color="auto"/>
      </w:divBdr>
    </w:div>
    <w:div w:id="716859439">
      <w:marLeft w:val="0"/>
      <w:marRight w:val="0"/>
      <w:marTop w:val="0"/>
      <w:marBottom w:val="200"/>
      <w:divBdr>
        <w:top w:val="none" w:sz="0" w:space="0" w:color="auto"/>
        <w:left w:val="none" w:sz="0" w:space="0" w:color="auto"/>
        <w:bottom w:val="none" w:sz="0" w:space="0" w:color="auto"/>
        <w:right w:val="none" w:sz="0" w:space="0" w:color="auto"/>
      </w:divBdr>
    </w:div>
    <w:div w:id="750470332">
      <w:marLeft w:val="0"/>
      <w:marRight w:val="0"/>
      <w:marTop w:val="0"/>
      <w:marBottom w:val="0"/>
      <w:divBdr>
        <w:top w:val="none" w:sz="0" w:space="0" w:color="auto"/>
        <w:left w:val="none" w:sz="0" w:space="0" w:color="auto"/>
        <w:bottom w:val="none" w:sz="0" w:space="0" w:color="auto"/>
        <w:right w:val="none" w:sz="0" w:space="0" w:color="auto"/>
      </w:divBdr>
      <w:divsChild>
        <w:div w:id="117769704">
          <w:marLeft w:val="0"/>
          <w:marRight w:val="0"/>
          <w:marTop w:val="0"/>
          <w:marBottom w:val="0"/>
          <w:divBdr>
            <w:top w:val="none" w:sz="0" w:space="0" w:color="auto"/>
            <w:left w:val="none" w:sz="0" w:space="0" w:color="auto"/>
            <w:bottom w:val="none" w:sz="0" w:space="0" w:color="auto"/>
            <w:right w:val="none" w:sz="0" w:space="0" w:color="auto"/>
          </w:divBdr>
        </w:div>
      </w:divsChild>
    </w:div>
    <w:div w:id="753093073">
      <w:marLeft w:val="0"/>
      <w:marRight w:val="0"/>
      <w:marTop w:val="0"/>
      <w:marBottom w:val="200"/>
      <w:divBdr>
        <w:top w:val="none" w:sz="0" w:space="0" w:color="auto"/>
        <w:left w:val="none" w:sz="0" w:space="0" w:color="auto"/>
        <w:bottom w:val="none" w:sz="0" w:space="0" w:color="auto"/>
        <w:right w:val="none" w:sz="0" w:space="0" w:color="auto"/>
      </w:divBdr>
    </w:div>
    <w:div w:id="754086680">
      <w:marLeft w:val="0"/>
      <w:marRight w:val="0"/>
      <w:marTop w:val="0"/>
      <w:marBottom w:val="160"/>
      <w:divBdr>
        <w:top w:val="none" w:sz="0" w:space="0" w:color="auto"/>
        <w:left w:val="none" w:sz="0" w:space="0" w:color="auto"/>
        <w:bottom w:val="none" w:sz="0" w:space="0" w:color="auto"/>
        <w:right w:val="none" w:sz="0" w:space="0" w:color="auto"/>
      </w:divBdr>
    </w:div>
    <w:div w:id="762530866">
      <w:marLeft w:val="0"/>
      <w:marRight w:val="0"/>
      <w:marTop w:val="0"/>
      <w:marBottom w:val="0"/>
      <w:divBdr>
        <w:top w:val="none" w:sz="0" w:space="0" w:color="auto"/>
        <w:left w:val="none" w:sz="0" w:space="0" w:color="auto"/>
        <w:bottom w:val="none" w:sz="0" w:space="0" w:color="auto"/>
        <w:right w:val="none" w:sz="0" w:space="0" w:color="auto"/>
      </w:divBdr>
      <w:divsChild>
        <w:div w:id="276912062">
          <w:marLeft w:val="0"/>
          <w:marRight w:val="0"/>
          <w:marTop w:val="0"/>
          <w:marBottom w:val="0"/>
          <w:divBdr>
            <w:top w:val="none" w:sz="0" w:space="0" w:color="auto"/>
            <w:left w:val="none" w:sz="0" w:space="0" w:color="auto"/>
            <w:bottom w:val="none" w:sz="0" w:space="0" w:color="auto"/>
            <w:right w:val="none" w:sz="0" w:space="0" w:color="auto"/>
          </w:divBdr>
        </w:div>
      </w:divsChild>
    </w:div>
    <w:div w:id="764036089">
      <w:marLeft w:val="0"/>
      <w:marRight w:val="0"/>
      <w:marTop w:val="100"/>
      <w:marBottom w:val="0"/>
      <w:divBdr>
        <w:top w:val="none" w:sz="0" w:space="0" w:color="auto"/>
        <w:left w:val="none" w:sz="0" w:space="0" w:color="auto"/>
        <w:bottom w:val="none" w:sz="0" w:space="0" w:color="auto"/>
        <w:right w:val="none" w:sz="0" w:space="0" w:color="auto"/>
      </w:divBdr>
    </w:div>
    <w:div w:id="771122256">
      <w:marLeft w:val="0"/>
      <w:marRight w:val="0"/>
      <w:marTop w:val="0"/>
      <w:marBottom w:val="0"/>
      <w:divBdr>
        <w:top w:val="none" w:sz="0" w:space="0" w:color="auto"/>
        <w:left w:val="none" w:sz="0" w:space="0" w:color="auto"/>
        <w:bottom w:val="none" w:sz="0" w:space="0" w:color="auto"/>
        <w:right w:val="none" w:sz="0" w:space="0" w:color="auto"/>
      </w:divBdr>
      <w:divsChild>
        <w:div w:id="1082213202">
          <w:marLeft w:val="0"/>
          <w:marRight w:val="0"/>
          <w:marTop w:val="0"/>
          <w:marBottom w:val="0"/>
          <w:divBdr>
            <w:top w:val="none" w:sz="0" w:space="0" w:color="auto"/>
            <w:left w:val="none" w:sz="0" w:space="0" w:color="auto"/>
            <w:bottom w:val="none" w:sz="0" w:space="0" w:color="auto"/>
            <w:right w:val="none" w:sz="0" w:space="0" w:color="auto"/>
          </w:divBdr>
        </w:div>
      </w:divsChild>
    </w:div>
    <w:div w:id="778064634">
      <w:marLeft w:val="0"/>
      <w:marRight w:val="0"/>
      <w:marTop w:val="0"/>
      <w:marBottom w:val="200"/>
      <w:divBdr>
        <w:top w:val="none" w:sz="0" w:space="0" w:color="auto"/>
        <w:left w:val="none" w:sz="0" w:space="0" w:color="auto"/>
        <w:bottom w:val="none" w:sz="0" w:space="0" w:color="auto"/>
        <w:right w:val="none" w:sz="0" w:space="0" w:color="auto"/>
      </w:divBdr>
    </w:div>
    <w:div w:id="778065999">
      <w:marLeft w:val="0"/>
      <w:marRight w:val="0"/>
      <w:marTop w:val="0"/>
      <w:marBottom w:val="200"/>
      <w:divBdr>
        <w:top w:val="none" w:sz="0" w:space="0" w:color="auto"/>
        <w:left w:val="none" w:sz="0" w:space="0" w:color="auto"/>
        <w:bottom w:val="none" w:sz="0" w:space="0" w:color="auto"/>
        <w:right w:val="none" w:sz="0" w:space="0" w:color="auto"/>
      </w:divBdr>
    </w:div>
    <w:div w:id="780029332">
      <w:marLeft w:val="0"/>
      <w:marRight w:val="0"/>
      <w:marTop w:val="0"/>
      <w:marBottom w:val="0"/>
      <w:divBdr>
        <w:top w:val="none" w:sz="0" w:space="0" w:color="auto"/>
        <w:left w:val="none" w:sz="0" w:space="0" w:color="auto"/>
        <w:bottom w:val="none" w:sz="0" w:space="0" w:color="auto"/>
        <w:right w:val="none" w:sz="0" w:space="0" w:color="auto"/>
      </w:divBdr>
    </w:div>
    <w:div w:id="790168122">
      <w:marLeft w:val="0"/>
      <w:marRight w:val="0"/>
      <w:marTop w:val="0"/>
      <w:marBottom w:val="200"/>
      <w:divBdr>
        <w:top w:val="none" w:sz="0" w:space="0" w:color="auto"/>
        <w:left w:val="none" w:sz="0" w:space="0" w:color="auto"/>
        <w:bottom w:val="none" w:sz="0" w:space="0" w:color="auto"/>
        <w:right w:val="none" w:sz="0" w:space="0" w:color="auto"/>
      </w:divBdr>
    </w:div>
    <w:div w:id="794956099">
      <w:marLeft w:val="0"/>
      <w:marRight w:val="0"/>
      <w:marTop w:val="0"/>
      <w:marBottom w:val="200"/>
      <w:divBdr>
        <w:top w:val="none" w:sz="0" w:space="0" w:color="auto"/>
        <w:left w:val="none" w:sz="0" w:space="0" w:color="auto"/>
        <w:bottom w:val="none" w:sz="0" w:space="0" w:color="auto"/>
        <w:right w:val="none" w:sz="0" w:space="0" w:color="auto"/>
      </w:divBdr>
    </w:div>
    <w:div w:id="797409065">
      <w:marLeft w:val="0"/>
      <w:marRight w:val="0"/>
      <w:marTop w:val="0"/>
      <w:marBottom w:val="200"/>
      <w:divBdr>
        <w:top w:val="none" w:sz="0" w:space="0" w:color="auto"/>
        <w:left w:val="none" w:sz="0" w:space="0" w:color="auto"/>
        <w:bottom w:val="none" w:sz="0" w:space="0" w:color="auto"/>
        <w:right w:val="none" w:sz="0" w:space="0" w:color="auto"/>
      </w:divBdr>
    </w:div>
    <w:div w:id="798692914">
      <w:marLeft w:val="0"/>
      <w:marRight w:val="0"/>
      <w:marTop w:val="0"/>
      <w:marBottom w:val="0"/>
      <w:divBdr>
        <w:top w:val="none" w:sz="0" w:space="0" w:color="auto"/>
        <w:left w:val="none" w:sz="0" w:space="0" w:color="auto"/>
        <w:bottom w:val="none" w:sz="0" w:space="0" w:color="auto"/>
        <w:right w:val="none" w:sz="0" w:space="0" w:color="auto"/>
      </w:divBdr>
    </w:div>
    <w:div w:id="800654346">
      <w:marLeft w:val="0"/>
      <w:marRight w:val="0"/>
      <w:marTop w:val="0"/>
      <w:marBottom w:val="0"/>
      <w:divBdr>
        <w:top w:val="none" w:sz="0" w:space="0" w:color="auto"/>
        <w:left w:val="none" w:sz="0" w:space="0" w:color="auto"/>
        <w:bottom w:val="none" w:sz="0" w:space="0" w:color="auto"/>
        <w:right w:val="none" w:sz="0" w:space="0" w:color="auto"/>
      </w:divBdr>
      <w:divsChild>
        <w:div w:id="4328840">
          <w:marLeft w:val="0"/>
          <w:marRight w:val="0"/>
          <w:marTop w:val="0"/>
          <w:marBottom w:val="0"/>
          <w:divBdr>
            <w:top w:val="none" w:sz="0" w:space="0" w:color="auto"/>
            <w:left w:val="none" w:sz="0" w:space="0" w:color="auto"/>
            <w:bottom w:val="none" w:sz="0" w:space="0" w:color="auto"/>
            <w:right w:val="none" w:sz="0" w:space="0" w:color="auto"/>
          </w:divBdr>
        </w:div>
      </w:divsChild>
    </w:div>
    <w:div w:id="801505728">
      <w:marLeft w:val="0"/>
      <w:marRight w:val="0"/>
      <w:marTop w:val="0"/>
      <w:marBottom w:val="200"/>
      <w:divBdr>
        <w:top w:val="none" w:sz="0" w:space="0" w:color="auto"/>
        <w:left w:val="none" w:sz="0" w:space="0" w:color="auto"/>
        <w:bottom w:val="none" w:sz="0" w:space="0" w:color="auto"/>
        <w:right w:val="none" w:sz="0" w:space="0" w:color="auto"/>
      </w:divBdr>
    </w:div>
    <w:div w:id="810826817">
      <w:marLeft w:val="0"/>
      <w:marRight w:val="0"/>
      <w:marTop w:val="0"/>
      <w:marBottom w:val="0"/>
      <w:divBdr>
        <w:top w:val="none" w:sz="0" w:space="0" w:color="auto"/>
        <w:left w:val="none" w:sz="0" w:space="0" w:color="auto"/>
        <w:bottom w:val="none" w:sz="0" w:space="0" w:color="auto"/>
        <w:right w:val="none" w:sz="0" w:space="0" w:color="auto"/>
      </w:divBdr>
      <w:divsChild>
        <w:div w:id="1698189606">
          <w:marLeft w:val="0"/>
          <w:marRight w:val="0"/>
          <w:marTop w:val="0"/>
          <w:marBottom w:val="0"/>
          <w:divBdr>
            <w:top w:val="none" w:sz="0" w:space="0" w:color="auto"/>
            <w:left w:val="none" w:sz="0" w:space="0" w:color="auto"/>
            <w:bottom w:val="none" w:sz="0" w:space="0" w:color="auto"/>
            <w:right w:val="none" w:sz="0" w:space="0" w:color="auto"/>
          </w:divBdr>
        </w:div>
      </w:divsChild>
    </w:div>
    <w:div w:id="811600655">
      <w:marLeft w:val="0"/>
      <w:marRight w:val="0"/>
      <w:marTop w:val="0"/>
      <w:marBottom w:val="0"/>
      <w:divBdr>
        <w:top w:val="none" w:sz="0" w:space="0" w:color="auto"/>
        <w:left w:val="none" w:sz="0" w:space="0" w:color="auto"/>
        <w:bottom w:val="none" w:sz="0" w:space="0" w:color="auto"/>
        <w:right w:val="none" w:sz="0" w:space="0" w:color="auto"/>
      </w:divBdr>
      <w:divsChild>
        <w:div w:id="1667247825">
          <w:marLeft w:val="0"/>
          <w:marRight w:val="0"/>
          <w:marTop w:val="0"/>
          <w:marBottom w:val="0"/>
          <w:divBdr>
            <w:top w:val="none" w:sz="0" w:space="0" w:color="auto"/>
            <w:left w:val="none" w:sz="0" w:space="0" w:color="auto"/>
            <w:bottom w:val="none" w:sz="0" w:space="0" w:color="auto"/>
            <w:right w:val="none" w:sz="0" w:space="0" w:color="auto"/>
          </w:divBdr>
        </w:div>
      </w:divsChild>
    </w:div>
    <w:div w:id="855197596">
      <w:marLeft w:val="0"/>
      <w:marRight w:val="0"/>
      <w:marTop w:val="0"/>
      <w:marBottom w:val="200"/>
      <w:divBdr>
        <w:top w:val="none" w:sz="0" w:space="0" w:color="auto"/>
        <w:left w:val="none" w:sz="0" w:space="0" w:color="auto"/>
        <w:bottom w:val="none" w:sz="0" w:space="0" w:color="auto"/>
        <w:right w:val="none" w:sz="0" w:space="0" w:color="auto"/>
      </w:divBdr>
    </w:div>
    <w:div w:id="861014801">
      <w:marLeft w:val="0"/>
      <w:marRight w:val="0"/>
      <w:marTop w:val="0"/>
      <w:marBottom w:val="0"/>
      <w:divBdr>
        <w:top w:val="none" w:sz="0" w:space="0" w:color="auto"/>
        <w:left w:val="none" w:sz="0" w:space="0" w:color="auto"/>
        <w:bottom w:val="none" w:sz="0" w:space="0" w:color="auto"/>
        <w:right w:val="none" w:sz="0" w:space="0" w:color="auto"/>
      </w:divBdr>
      <w:divsChild>
        <w:div w:id="1366710279">
          <w:marLeft w:val="0"/>
          <w:marRight w:val="0"/>
          <w:marTop w:val="0"/>
          <w:marBottom w:val="0"/>
          <w:divBdr>
            <w:top w:val="none" w:sz="0" w:space="0" w:color="auto"/>
            <w:left w:val="none" w:sz="0" w:space="0" w:color="auto"/>
            <w:bottom w:val="none" w:sz="0" w:space="0" w:color="auto"/>
            <w:right w:val="none" w:sz="0" w:space="0" w:color="auto"/>
          </w:divBdr>
        </w:div>
      </w:divsChild>
    </w:div>
    <w:div w:id="862279979">
      <w:marLeft w:val="0"/>
      <w:marRight w:val="0"/>
      <w:marTop w:val="0"/>
      <w:marBottom w:val="0"/>
      <w:divBdr>
        <w:top w:val="none" w:sz="0" w:space="0" w:color="auto"/>
        <w:left w:val="none" w:sz="0" w:space="0" w:color="auto"/>
        <w:bottom w:val="none" w:sz="0" w:space="0" w:color="auto"/>
        <w:right w:val="none" w:sz="0" w:space="0" w:color="auto"/>
      </w:divBdr>
      <w:divsChild>
        <w:div w:id="885681227">
          <w:marLeft w:val="0"/>
          <w:marRight w:val="0"/>
          <w:marTop w:val="0"/>
          <w:marBottom w:val="0"/>
          <w:divBdr>
            <w:top w:val="none" w:sz="0" w:space="0" w:color="auto"/>
            <w:left w:val="none" w:sz="0" w:space="0" w:color="auto"/>
            <w:bottom w:val="none" w:sz="0" w:space="0" w:color="auto"/>
            <w:right w:val="none" w:sz="0" w:space="0" w:color="auto"/>
          </w:divBdr>
        </w:div>
      </w:divsChild>
    </w:div>
    <w:div w:id="867715143">
      <w:marLeft w:val="0"/>
      <w:marRight w:val="0"/>
      <w:marTop w:val="0"/>
      <w:marBottom w:val="0"/>
      <w:divBdr>
        <w:top w:val="none" w:sz="0" w:space="0" w:color="auto"/>
        <w:left w:val="none" w:sz="0" w:space="0" w:color="auto"/>
        <w:bottom w:val="none" w:sz="0" w:space="0" w:color="auto"/>
        <w:right w:val="none" w:sz="0" w:space="0" w:color="auto"/>
      </w:divBdr>
      <w:divsChild>
        <w:div w:id="2113435995">
          <w:marLeft w:val="0"/>
          <w:marRight w:val="0"/>
          <w:marTop w:val="0"/>
          <w:marBottom w:val="0"/>
          <w:divBdr>
            <w:top w:val="none" w:sz="0" w:space="0" w:color="auto"/>
            <w:left w:val="none" w:sz="0" w:space="0" w:color="auto"/>
            <w:bottom w:val="none" w:sz="0" w:space="0" w:color="auto"/>
            <w:right w:val="none" w:sz="0" w:space="0" w:color="auto"/>
          </w:divBdr>
        </w:div>
        <w:div w:id="962270558">
          <w:marLeft w:val="0"/>
          <w:marRight w:val="0"/>
          <w:marTop w:val="180"/>
          <w:marBottom w:val="0"/>
          <w:divBdr>
            <w:top w:val="none" w:sz="0" w:space="0" w:color="auto"/>
            <w:left w:val="none" w:sz="0" w:space="0" w:color="auto"/>
            <w:bottom w:val="none" w:sz="0" w:space="0" w:color="auto"/>
            <w:right w:val="none" w:sz="0" w:space="0" w:color="auto"/>
          </w:divBdr>
        </w:div>
      </w:divsChild>
    </w:div>
    <w:div w:id="870459833">
      <w:marLeft w:val="0"/>
      <w:marRight w:val="0"/>
      <w:marTop w:val="0"/>
      <w:marBottom w:val="0"/>
      <w:divBdr>
        <w:top w:val="none" w:sz="0" w:space="0" w:color="auto"/>
        <w:left w:val="none" w:sz="0" w:space="0" w:color="auto"/>
        <w:bottom w:val="none" w:sz="0" w:space="0" w:color="auto"/>
        <w:right w:val="none" w:sz="0" w:space="0" w:color="auto"/>
      </w:divBdr>
    </w:div>
    <w:div w:id="872578184">
      <w:marLeft w:val="0"/>
      <w:marRight w:val="0"/>
      <w:marTop w:val="0"/>
      <w:marBottom w:val="200"/>
      <w:divBdr>
        <w:top w:val="none" w:sz="0" w:space="0" w:color="auto"/>
        <w:left w:val="none" w:sz="0" w:space="0" w:color="auto"/>
        <w:bottom w:val="none" w:sz="0" w:space="0" w:color="auto"/>
        <w:right w:val="none" w:sz="0" w:space="0" w:color="auto"/>
      </w:divBdr>
    </w:div>
    <w:div w:id="874854177">
      <w:marLeft w:val="0"/>
      <w:marRight w:val="0"/>
      <w:marTop w:val="0"/>
      <w:marBottom w:val="0"/>
      <w:divBdr>
        <w:top w:val="none" w:sz="0" w:space="0" w:color="auto"/>
        <w:left w:val="none" w:sz="0" w:space="0" w:color="auto"/>
        <w:bottom w:val="none" w:sz="0" w:space="0" w:color="auto"/>
        <w:right w:val="none" w:sz="0" w:space="0" w:color="auto"/>
      </w:divBdr>
    </w:div>
    <w:div w:id="876309036">
      <w:marLeft w:val="0"/>
      <w:marRight w:val="0"/>
      <w:marTop w:val="360"/>
      <w:marBottom w:val="0"/>
      <w:divBdr>
        <w:top w:val="none" w:sz="0" w:space="0" w:color="auto"/>
        <w:left w:val="none" w:sz="0" w:space="0" w:color="auto"/>
        <w:bottom w:val="none" w:sz="0" w:space="0" w:color="auto"/>
        <w:right w:val="none" w:sz="0" w:space="0" w:color="auto"/>
      </w:divBdr>
    </w:div>
    <w:div w:id="879363048">
      <w:marLeft w:val="0"/>
      <w:marRight w:val="0"/>
      <w:marTop w:val="0"/>
      <w:marBottom w:val="0"/>
      <w:divBdr>
        <w:top w:val="none" w:sz="0" w:space="0" w:color="auto"/>
        <w:left w:val="none" w:sz="0" w:space="0" w:color="auto"/>
        <w:bottom w:val="none" w:sz="0" w:space="0" w:color="auto"/>
        <w:right w:val="none" w:sz="0" w:space="0" w:color="auto"/>
      </w:divBdr>
      <w:divsChild>
        <w:div w:id="1879123132">
          <w:marLeft w:val="0"/>
          <w:marRight w:val="0"/>
          <w:marTop w:val="0"/>
          <w:marBottom w:val="0"/>
          <w:divBdr>
            <w:top w:val="none" w:sz="0" w:space="0" w:color="auto"/>
            <w:left w:val="none" w:sz="0" w:space="0" w:color="auto"/>
            <w:bottom w:val="none" w:sz="0" w:space="0" w:color="auto"/>
            <w:right w:val="none" w:sz="0" w:space="0" w:color="auto"/>
          </w:divBdr>
        </w:div>
        <w:div w:id="1106076340">
          <w:marLeft w:val="0"/>
          <w:marRight w:val="0"/>
          <w:marTop w:val="180"/>
          <w:marBottom w:val="0"/>
          <w:divBdr>
            <w:top w:val="none" w:sz="0" w:space="0" w:color="auto"/>
            <w:left w:val="none" w:sz="0" w:space="0" w:color="auto"/>
            <w:bottom w:val="none" w:sz="0" w:space="0" w:color="auto"/>
            <w:right w:val="none" w:sz="0" w:space="0" w:color="auto"/>
          </w:divBdr>
        </w:div>
      </w:divsChild>
    </w:div>
    <w:div w:id="884173063">
      <w:marLeft w:val="0"/>
      <w:marRight w:val="0"/>
      <w:marTop w:val="0"/>
      <w:marBottom w:val="200"/>
      <w:divBdr>
        <w:top w:val="none" w:sz="0" w:space="0" w:color="auto"/>
        <w:left w:val="none" w:sz="0" w:space="0" w:color="auto"/>
        <w:bottom w:val="none" w:sz="0" w:space="0" w:color="auto"/>
        <w:right w:val="none" w:sz="0" w:space="0" w:color="auto"/>
      </w:divBdr>
    </w:div>
    <w:div w:id="893348800">
      <w:marLeft w:val="0"/>
      <w:marRight w:val="0"/>
      <w:marTop w:val="100"/>
      <w:marBottom w:val="100"/>
      <w:divBdr>
        <w:top w:val="none" w:sz="0" w:space="0" w:color="auto"/>
        <w:left w:val="none" w:sz="0" w:space="0" w:color="auto"/>
        <w:bottom w:val="none" w:sz="0" w:space="0" w:color="auto"/>
        <w:right w:val="none" w:sz="0" w:space="0" w:color="auto"/>
      </w:divBdr>
    </w:div>
    <w:div w:id="903838349">
      <w:marLeft w:val="0"/>
      <w:marRight w:val="0"/>
      <w:marTop w:val="100"/>
      <w:marBottom w:val="100"/>
      <w:divBdr>
        <w:top w:val="none" w:sz="0" w:space="0" w:color="auto"/>
        <w:left w:val="none" w:sz="0" w:space="0" w:color="auto"/>
        <w:bottom w:val="none" w:sz="0" w:space="0" w:color="auto"/>
        <w:right w:val="none" w:sz="0" w:space="0" w:color="auto"/>
      </w:divBdr>
    </w:div>
    <w:div w:id="906645952">
      <w:marLeft w:val="0"/>
      <w:marRight w:val="0"/>
      <w:marTop w:val="0"/>
      <w:marBottom w:val="200"/>
      <w:divBdr>
        <w:top w:val="none" w:sz="0" w:space="0" w:color="auto"/>
        <w:left w:val="none" w:sz="0" w:space="0" w:color="auto"/>
        <w:bottom w:val="none" w:sz="0" w:space="0" w:color="auto"/>
        <w:right w:val="none" w:sz="0" w:space="0" w:color="auto"/>
      </w:divBdr>
    </w:div>
    <w:div w:id="909270384">
      <w:marLeft w:val="0"/>
      <w:marRight w:val="0"/>
      <w:marTop w:val="200"/>
      <w:marBottom w:val="0"/>
      <w:divBdr>
        <w:top w:val="none" w:sz="0" w:space="0" w:color="auto"/>
        <w:left w:val="none" w:sz="0" w:space="0" w:color="auto"/>
        <w:bottom w:val="none" w:sz="0" w:space="0" w:color="auto"/>
        <w:right w:val="none" w:sz="0" w:space="0" w:color="auto"/>
      </w:divBdr>
    </w:div>
    <w:div w:id="923879578">
      <w:marLeft w:val="0"/>
      <w:marRight w:val="0"/>
      <w:marTop w:val="0"/>
      <w:marBottom w:val="200"/>
      <w:divBdr>
        <w:top w:val="none" w:sz="0" w:space="0" w:color="auto"/>
        <w:left w:val="none" w:sz="0" w:space="0" w:color="auto"/>
        <w:bottom w:val="none" w:sz="0" w:space="0" w:color="auto"/>
        <w:right w:val="none" w:sz="0" w:space="0" w:color="auto"/>
      </w:divBdr>
    </w:div>
    <w:div w:id="923997127">
      <w:marLeft w:val="0"/>
      <w:marRight w:val="0"/>
      <w:marTop w:val="0"/>
      <w:marBottom w:val="200"/>
      <w:divBdr>
        <w:top w:val="none" w:sz="0" w:space="0" w:color="auto"/>
        <w:left w:val="none" w:sz="0" w:space="0" w:color="auto"/>
        <w:bottom w:val="none" w:sz="0" w:space="0" w:color="auto"/>
        <w:right w:val="none" w:sz="0" w:space="0" w:color="auto"/>
      </w:divBdr>
    </w:div>
    <w:div w:id="931862024">
      <w:marLeft w:val="0"/>
      <w:marRight w:val="0"/>
      <w:marTop w:val="200"/>
      <w:marBottom w:val="0"/>
      <w:divBdr>
        <w:top w:val="none" w:sz="0" w:space="0" w:color="auto"/>
        <w:left w:val="none" w:sz="0" w:space="0" w:color="auto"/>
        <w:bottom w:val="none" w:sz="0" w:space="0" w:color="auto"/>
        <w:right w:val="none" w:sz="0" w:space="0" w:color="auto"/>
      </w:divBdr>
    </w:div>
    <w:div w:id="932127027">
      <w:marLeft w:val="0"/>
      <w:marRight w:val="0"/>
      <w:marTop w:val="100"/>
      <w:marBottom w:val="100"/>
      <w:divBdr>
        <w:top w:val="none" w:sz="0" w:space="0" w:color="auto"/>
        <w:left w:val="none" w:sz="0" w:space="0" w:color="auto"/>
        <w:bottom w:val="none" w:sz="0" w:space="0" w:color="auto"/>
        <w:right w:val="none" w:sz="0" w:space="0" w:color="auto"/>
      </w:divBdr>
      <w:divsChild>
        <w:div w:id="1857377563">
          <w:marLeft w:val="0"/>
          <w:marRight w:val="0"/>
          <w:marTop w:val="0"/>
          <w:marBottom w:val="0"/>
          <w:divBdr>
            <w:top w:val="none" w:sz="0" w:space="0" w:color="auto"/>
            <w:left w:val="none" w:sz="0" w:space="0" w:color="auto"/>
            <w:bottom w:val="none" w:sz="0" w:space="0" w:color="auto"/>
            <w:right w:val="none" w:sz="0" w:space="0" w:color="auto"/>
          </w:divBdr>
        </w:div>
        <w:div w:id="2115510338">
          <w:marLeft w:val="0"/>
          <w:marRight w:val="0"/>
          <w:marTop w:val="0"/>
          <w:marBottom w:val="0"/>
          <w:divBdr>
            <w:top w:val="none" w:sz="0" w:space="0" w:color="auto"/>
            <w:left w:val="none" w:sz="0" w:space="0" w:color="auto"/>
            <w:bottom w:val="none" w:sz="0" w:space="0" w:color="auto"/>
            <w:right w:val="none" w:sz="0" w:space="0" w:color="auto"/>
          </w:divBdr>
        </w:div>
        <w:div w:id="114835028">
          <w:marLeft w:val="0"/>
          <w:marRight w:val="0"/>
          <w:marTop w:val="0"/>
          <w:marBottom w:val="0"/>
          <w:divBdr>
            <w:top w:val="none" w:sz="0" w:space="0" w:color="auto"/>
            <w:left w:val="none" w:sz="0" w:space="0" w:color="auto"/>
            <w:bottom w:val="none" w:sz="0" w:space="0" w:color="auto"/>
            <w:right w:val="none" w:sz="0" w:space="0" w:color="auto"/>
          </w:divBdr>
        </w:div>
        <w:div w:id="1076167641">
          <w:marLeft w:val="0"/>
          <w:marRight w:val="0"/>
          <w:marTop w:val="0"/>
          <w:marBottom w:val="0"/>
          <w:divBdr>
            <w:top w:val="none" w:sz="0" w:space="0" w:color="auto"/>
            <w:left w:val="none" w:sz="0" w:space="0" w:color="auto"/>
            <w:bottom w:val="none" w:sz="0" w:space="0" w:color="auto"/>
            <w:right w:val="none" w:sz="0" w:space="0" w:color="auto"/>
          </w:divBdr>
        </w:div>
        <w:div w:id="764032874">
          <w:marLeft w:val="0"/>
          <w:marRight w:val="0"/>
          <w:marTop w:val="0"/>
          <w:marBottom w:val="0"/>
          <w:divBdr>
            <w:top w:val="none" w:sz="0" w:space="0" w:color="auto"/>
            <w:left w:val="none" w:sz="0" w:space="0" w:color="auto"/>
            <w:bottom w:val="none" w:sz="0" w:space="0" w:color="auto"/>
            <w:right w:val="none" w:sz="0" w:space="0" w:color="auto"/>
          </w:divBdr>
        </w:div>
        <w:div w:id="1854299037">
          <w:marLeft w:val="0"/>
          <w:marRight w:val="0"/>
          <w:marTop w:val="0"/>
          <w:marBottom w:val="0"/>
          <w:divBdr>
            <w:top w:val="none" w:sz="0" w:space="0" w:color="auto"/>
            <w:left w:val="none" w:sz="0" w:space="0" w:color="auto"/>
            <w:bottom w:val="none" w:sz="0" w:space="0" w:color="auto"/>
            <w:right w:val="none" w:sz="0" w:space="0" w:color="auto"/>
          </w:divBdr>
        </w:div>
        <w:div w:id="1158499634">
          <w:marLeft w:val="0"/>
          <w:marRight w:val="0"/>
          <w:marTop w:val="0"/>
          <w:marBottom w:val="0"/>
          <w:divBdr>
            <w:top w:val="none" w:sz="0" w:space="0" w:color="auto"/>
            <w:left w:val="none" w:sz="0" w:space="0" w:color="auto"/>
            <w:bottom w:val="none" w:sz="0" w:space="0" w:color="auto"/>
            <w:right w:val="none" w:sz="0" w:space="0" w:color="auto"/>
          </w:divBdr>
        </w:div>
        <w:div w:id="281305164">
          <w:marLeft w:val="0"/>
          <w:marRight w:val="0"/>
          <w:marTop w:val="0"/>
          <w:marBottom w:val="0"/>
          <w:divBdr>
            <w:top w:val="none" w:sz="0" w:space="0" w:color="auto"/>
            <w:left w:val="none" w:sz="0" w:space="0" w:color="auto"/>
            <w:bottom w:val="none" w:sz="0" w:space="0" w:color="auto"/>
            <w:right w:val="none" w:sz="0" w:space="0" w:color="auto"/>
          </w:divBdr>
        </w:div>
        <w:div w:id="2048479495">
          <w:marLeft w:val="0"/>
          <w:marRight w:val="0"/>
          <w:marTop w:val="0"/>
          <w:marBottom w:val="0"/>
          <w:divBdr>
            <w:top w:val="none" w:sz="0" w:space="0" w:color="auto"/>
            <w:left w:val="none" w:sz="0" w:space="0" w:color="auto"/>
            <w:bottom w:val="none" w:sz="0" w:space="0" w:color="auto"/>
            <w:right w:val="none" w:sz="0" w:space="0" w:color="auto"/>
          </w:divBdr>
        </w:div>
        <w:div w:id="385299463">
          <w:marLeft w:val="0"/>
          <w:marRight w:val="0"/>
          <w:marTop w:val="0"/>
          <w:marBottom w:val="0"/>
          <w:divBdr>
            <w:top w:val="none" w:sz="0" w:space="0" w:color="auto"/>
            <w:left w:val="none" w:sz="0" w:space="0" w:color="auto"/>
            <w:bottom w:val="none" w:sz="0" w:space="0" w:color="auto"/>
            <w:right w:val="none" w:sz="0" w:space="0" w:color="auto"/>
          </w:divBdr>
        </w:div>
        <w:div w:id="122315922">
          <w:marLeft w:val="0"/>
          <w:marRight w:val="0"/>
          <w:marTop w:val="0"/>
          <w:marBottom w:val="0"/>
          <w:divBdr>
            <w:top w:val="none" w:sz="0" w:space="0" w:color="auto"/>
            <w:left w:val="none" w:sz="0" w:space="0" w:color="auto"/>
            <w:bottom w:val="none" w:sz="0" w:space="0" w:color="auto"/>
            <w:right w:val="none" w:sz="0" w:space="0" w:color="auto"/>
          </w:divBdr>
        </w:div>
        <w:div w:id="1746758365">
          <w:marLeft w:val="0"/>
          <w:marRight w:val="0"/>
          <w:marTop w:val="0"/>
          <w:marBottom w:val="0"/>
          <w:divBdr>
            <w:top w:val="none" w:sz="0" w:space="0" w:color="auto"/>
            <w:left w:val="none" w:sz="0" w:space="0" w:color="auto"/>
            <w:bottom w:val="none" w:sz="0" w:space="0" w:color="auto"/>
            <w:right w:val="none" w:sz="0" w:space="0" w:color="auto"/>
          </w:divBdr>
        </w:div>
        <w:div w:id="1069228901">
          <w:marLeft w:val="0"/>
          <w:marRight w:val="0"/>
          <w:marTop w:val="0"/>
          <w:marBottom w:val="0"/>
          <w:divBdr>
            <w:top w:val="none" w:sz="0" w:space="0" w:color="auto"/>
            <w:left w:val="none" w:sz="0" w:space="0" w:color="auto"/>
            <w:bottom w:val="none" w:sz="0" w:space="0" w:color="auto"/>
            <w:right w:val="none" w:sz="0" w:space="0" w:color="auto"/>
          </w:divBdr>
        </w:div>
        <w:div w:id="1768885819">
          <w:marLeft w:val="0"/>
          <w:marRight w:val="0"/>
          <w:marTop w:val="0"/>
          <w:marBottom w:val="0"/>
          <w:divBdr>
            <w:top w:val="none" w:sz="0" w:space="0" w:color="auto"/>
            <w:left w:val="none" w:sz="0" w:space="0" w:color="auto"/>
            <w:bottom w:val="none" w:sz="0" w:space="0" w:color="auto"/>
            <w:right w:val="none" w:sz="0" w:space="0" w:color="auto"/>
          </w:divBdr>
        </w:div>
        <w:div w:id="2142534372">
          <w:marLeft w:val="0"/>
          <w:marRight w:val="0"/>
          <w:marTop w:val="0"/>
          <w:marBottom w:val="0"/>
          <w:divBdr>
            <w:top w:val="none" w:sz="0" w:space="0" w:color="auto"/>
            <w:left w:val="none" w:sz="0" w:space="0" w:color="auto"/>
            <w:bottom w:val="none" w:sz="0" w:space="0" w:color="auto"/>
            <w:right w:val="none" w:sz="0" w:space="0" w:color="auto"/>
          </w:divBdr>
        </w:div>
        <w:div w:id="877278601">
          <w:marLeft w:val="0"/>
          <w:marRight w:val="0"/>
          <w:marTop w:val="0"/>
          <w:marBottom w:val="0"/>
          <w:divBdr>
            <w:top w:val="none" w:sz="0" w:space="0" w:color="auto"/>
            <w:left w:val="none" w:sz="0" w:space="0" w:color="auto"/>
            <w:bottom w:val="none" w:sz="0" w:space="0" w:color="auto"/>
            <w:right w:val="none" w:sz="0" w:space="0" w:color="auto"/>
          </w:divBdr>
        </w:div>
      </w:divsChild>
    </w:div>
    <w:div w:id="932593737">
      <w:marLeft w:val="0"/>
      <w:marRight w:val="0"/>
      <w:marTop w:val="0"/>
      <w:marBottom w:val="0"/>
      <w:divBdr>
        <w:top w:val="none" w:sz="0" w:space="0" w:color="auto"/>
        <w:left w:val="none" w:sz="0" w:space="0" w:color="auto"/>
        <w:bottom w:val="none" w:sz="0" w:space="0" w:color="auto"/>
        <w:right w:val="none" w:sz="0" w:space="0" w:color="auto"/>
      </w:divBdr>
      <w:divsChild>
        <w:div w:id="1853914149">
          <w:marLeft w:val="0"/>
          <w:marRight w:val="0"/>
          <w:marTop w:val="0"/>
          <w:marBottom w:val="0"/>
          <w:divBdr>
            <w:top w:val="none" w:sz="0" w:space="0" w:color="auto"/>
            <w:left w:val="none" w:sz="0" w:space="0" w:color="auto"/>
            <w:bottom w:val="none" w:sz="0" w:space="0" w:color="auto"/>
            <w:right w:val="none" w:sz="0" w:space="0" w:color="auto"/>
          </w:divBdr>
        </w:div>
      </w:divsChild>
    </w:div>
    <w:div w:id="940838273">
      <w:marLeft w:val="0"/>
      <w:marRight w:val="0"/>
      <w:marTop w:val="0"/>
      <w:marBottom w:val="0"/>
      <w:divBdr>
        <w:top w:val="none" w:sz="0" w:space="0" w:color="auto"/>
        <w:left w:val="none" w:sz="0" w:space="0" w:color="auto"/>
        <w:bottom w:val="none" w:sz="0" w:space="0" w:color="auto"/>
        <w:right w:val="none" w:sz="0" w:space="0" w:color="auto"/>
      </w:divBdr>
    </w:div>
    <w:div w:id="949775423">
      <w:marLeft w:val="0"/>
      <w:marRight w:val="0"/>
      <w:marTop w:val="0"/>
      <w:marBottom w:val="0"/>
      <w:divBdr>
        <w:top w:val="none" w:sz="0" w:space="0" w:color="auto"/>
        <w:left w:val="none" w:sz="0" w:space="0" w:color="auto"/>
        <w:bottom w:val="none" w:sz="0" w:space="0" w:color="auto"/>
        <w:right w:val="none" w:sz="0" w:space="0" w:color="auto"/>
      </w:divBdr>
    </w:div>
    <w:div w:id="962267994">
      <w:marLeft w:val="0"/>
      <w:marRight w:val="0"/>
      <w:marTop w:val="100"/>
      <w:marBottom w:val="0"/>
      <w:divBdr>
        <w:top w:val="none" w:sz="0" w:space="0" w:color="auto"/>
        <w:left w:val="none" w:sz="0" w:space="0" w:color="auto"/>
        <w:bottom w:val="none" w:sz="0" w:space="0" w:color="auto"/>
        <w:right w:val="none" w:sz="0" w:space="0" w:color="auto"/>
      </w:divBdr>
    </w:div>
    <w:div w:id="971448436">
      <w:marLeft w:val="0"/>
      <w:marRight w:val="0"/>
      <w:marTop w:val="0"/>
      <w:marBottom w:val="0"/>
      <w:divBdr>
        <w:top w:val="none" w:sz="0" w:space="0" w:color="auto"/>
        <w:left w:val="none" w:sz="0" w:space="0" w:color="auto"/>
        <w:bottom w:val="none" w:sz="0" w:space="0" w:color="auto"/>
        <w:right w:val="none" w:sz="0" w:space="0" w:color="auto"/>
      </w:divBdr>
      <w:divsChild>
        <w:div w:id="1258251234">
          <w:marLeft w:val="0"/>
          <w:marRight w:val="0"/>
          <w:marTop w:val="0"/>
          <w:marBottom w:val="0"/>
          <w:divBdr>
            <w:top w:val="none" w:sz="0" w:space="0" w:color="auto"/>
            <w:left w:val="none" w:sz="0" w:space="0" w:color="auto"/>
            <w:bottom w:val="none" w:sz="0" w:space="0" w:color="auto"/>
            <w:right w:val="none" w:sz="0" w:space="0" w:color="auto"/>
          </w:divBdr>
        </w:div>
        <w:div w:id="2009746902">
          <w:marLeft w:val="0"/>
          <w:marRight w:val="0"/>
          <w:marTop w:val="180"/>
          <w:marBottom w:val="0"/>
          <w:divBdr>
            <w:top w:val="none" w:sz="0" w:space="0" w:color="auto"/>
            <w:left w:val="none" w:sz="0" w:space="0" w:color="auto"/>
            <w:bottom w:val="none" w:sz="0" w:space="0" w:color="auto"/>
            <w:right w:val="none" w:sz="0" w:space="0" w:color="auto"/>
          </w:divBdr>
        </w:div>
      </w:divsChild>
    </w:div>
    <w:div w:id="973759225">
      <w:marLeft w:val="0"/>
      <w:marRight w:val="0"/>
      <w:marTop w:val="0"/>
      <w:marBottom w:val="0"/>
      <w:divBdr>
        <w:top w:val="none" w:sz="0" w:space="0" w:color="auto"/>
        <w:left w:val="none" w:sz="0" w:space="0" w:color="auto"/>
        <w:bottom w:val="none" w:sz="0" w:space="0" w:color="auto"/>
        <w:right w:val="none" w:sz="0" w:space="0" w:color="auto"/>
      </w:divBdr>
      <w:divsChild>
        <w:div w:id="1716731634">
          <w:marLeft w:val="0"/>
          <w:marRight w:val="0"/>
          <w:marTop w:val="0"/>
          <w:marBottom w:val="0"/>
          <w:divBdr>
            <w:top w:val="none" w:sz="0" w:space="0" w:color="auto"/>
            <w:left w:val="none" w:sz="0" w:space="0" w:color="auto"/>
            <w:bottom w:val="none" w:sz="0" w:space="0" w:color="auto"/>
            <w:right w:val="none" w:sz="0" w:space="0" w:color="auto"/>
          </w:divBdr>
        </w:div>
        <w:div w:id="1832135688">
          <w:marLeft w:val="0"/>
          <w:marRight w:val="0"/>
          <w:marTop w:val="180"/>
          <w:marBottom w:val="0"/>
          <w:divBdr>
            <w:top w:val="none" w:sz="0" w:space="0" w:color="auto"/>
            <w:left w:val="none" w:sz="0" w:space="0" w:color="auto"/>
            <w:bottom w:val="none" w:sz="0" w:space="0" w:color="auto"/>
            <w:right w:val="none" w:sz="0" w:space="0" w:color="auto"/>
          </w:divBdr>
        </w:div>
      </w:divsChild>
    </w:div>
    <w:div w:id="973945448">
      <w:marLeft w:val="0"/>
      <w:marRight w:val="0"/>
      <w:marTop w:val="0"/>
      <w:marBottom w:val="200"/>
      <w:divBdr>
        <w:top w:val="none" w:sz="0" w:space="0" w:color="auto"/>
        <w:left w:val="none" w:sz="0" w:space="0" w:color="auto"/>
        <w:bottom w:val="none" w:sz="0" w:space="0" w:color="auto"/>
        <w:right w:val="none" w:sz="0" w:space="0" w:color="auto"/>
      </w:divBdr>
    </w:div>
    <w:div w:id="977153185">
      <w:marLeft w:val="0"/>
      <w:marRight w:val="0"/>
      <w:marTop w:val="0"/>
      <w:marBottom w:val="200"/>
      <w:divBdr>
        <w:top w:val="none" w:sz="0" w:space="0" w:color="auto"/>
        <w:left w:val="none" w:sz="0" w:space="0" w:color="auto"/>
        <w:bottom w:val="none" w:sz="0" w:space="0" w:color="auto"/>
        <w:right w:val="none" w:sz="0" w:space="0" w:color="auto"/>
      </w:divBdr>
    </w:div>
    <w:div w:id="986132538">
      <w:marLeft w:val="0"/>
      <w:marRight w:val="0"/>
      <w:marTop w:val="60"/>
      <w:marBottom w:val="0"/>
      <w:divBdr>
        <w:top w:val="none" w:sz="0" w:space="0" w:color="auto"/>
        <w:left w:val="none" w:sz="0" w:space="0" w:color="auto"/>
        <w:bottom w:val="none" w:sz="0" w:space="0" w:color="auto"/>
        <w:right w:val="none" w:sz="0" w:space="0" w:color="auto"/>
      </w:divBdr>
    </w:div>
    <w:div w:id="989595664">
      <w:marLeft w:val="0"/>
      <w:marRight w:val="0"/>
      <w:marTop w:val="100"/>
      <w:marBottom w:val="0"/>
      <w:divBdr>
        <w:top w:val="none" w:sz="0" w:space="0" w:color="auto"/>
        <w:left w:val="none" w:sz="0" w:space="0" w:color="auto"/>
        <w:bottom w:val="none" w:sz="0" w:space="0" w:color="auto"/>
        <w:right w:val="none" w:sz="0" w:space="0" w:color="auto"/>
      </w:divBdr>
    </w:div>
    <w:div w:id="990596994">
      <w:marLeft w:val="0"/>
      <w:marRight w:val="0"/>
      <w:marTop w:val="0"/>
      <w:marBottom w:val="0"/>
      <w:divBdr>
        <w:top w:val="none" w:sz="0" w:space="0" w:color="auto"/>
        <w:left w:val="none" w:sz="0" w:space="0" w:color="auto"/>
        <w:bottom w:val="none" w:sz="0" w:space="0" w:color="auto"/>
        <w:right w:val="none" w:sz="0" w:space="0" w:color="auto"/>
      </w:divBdr>
    </w:div>
    <w:div w:id="993492010">
      <w:marLeft w:val="0"/>
      <w:marRight w:val="0"/>
      <w:marTop w:val="0"/>
      <w:marBottom w:val="0"/>
      <w:divBdr>
        <w:top w:val="none" w:sz="0" w:space="0" w:color="auto"/>
        <w:left w:val="none" w:sz="0" w:space="0" w:color="auto"/>
        <w:bottom w:val="none" w:sz="0" w:space="0" w:color="auto"/>
        <w:right w:val="none" w:sz="0" w:space="0" w:color="auto"/>
      </w:divBdr>
    </w:div>
    <w:div w:id="995256523">
      <w:marLeft w:val="0"/>
      <w:marRight w:val="0"/>
      <w:marTop w:val="0"/>
      <w:marBottom w:val="60"/>
      <w:divBdr>
        <w:top w:val="none" w:sz="0" w:space="0" w:color="auto"/>
        <w:left w:val="none" w:sz="0" w:space="0" w:color="auto"/>
        <w:bottom w:val="none" w:sz="0" w:space="0" w:color="auto"/>
        <w:right w:val="none" w:sz="0" w:space="0" w:color="auto"/>
      </w:divBdr>
    </w:div>
    <w:div w:id="995958483">
      <w:marLeft w:val="0"/>
      <w:marRight w:val="0"/>
      <w:marTop w:val="0"/>
      <w:marBottom w:val="200"/>
      <w:divBdr>
        <w:top w:val="none" w:sz="0" w:space="0" w:color="auto"/>
        <w:left w:val="none" w:sz="0" w:space="0" w:color="auto"/>
        <w:bottom w:val="none" w:sz="0" w:space="0" w:color="auto"/>
        <w:right w:val="none" w:sz="0" w:space="0" w:color="auto"/>
      </w:divBdr>
    </w:div>
    <w:div w:id="997613867">
      <w:marLeft w:val="0"/>
      <w:marRight w:val="0"/>
      <w:marTop w:val="0"/>
      <w:marBottom w:val="0"/>
      <w:divBdr>
        <w:top w:val="none" w:sz="0" w:space="0" w:color="auto"/>
        <w:left w:val="none" w:sz="0" w:space="0" w:color="auto"/>
        <w:bottom w:val="none" w:sz="0" w:space="0" w:color="auto"/>
        <w:right w:val="none" w:sz="0" w:space="0" w:color="auto"/>
      </w:divBdr>
      <w:divsChild>
        <w:div w:id="342127909">
          <w:marLeft w:val="0"/>
          <w:marRight w:val="0"/>
          <w:marTop w:val="0"/>
          <w:marBottom w:val="0"/>
          <w:divBdr>
            <w:top w:val="none" w:sz="0" w:space="0" w:color="auto"/>
            <w:left w:val="none" w:sz="0" w:space="0" w:color="auto"/>
            <w:bottom w:val="none" w:sz="0" w:space="0" w:color="auto"/>
            <w:right w:val="none" w:sz="0" w:space="0" w:color="auto"/>
          </w:divBdr>
        </w:div>
      </w:divsChild>
    </w:div>
    <w:div w:id="1000426657">
      <w:marLeft w:val="0"/>
      <w:marRight w:val="0"/>
      <w:marTop w:val="100"/>
      <w:marBottom w:val="100"/>
      <w:divBdr>
        <w:top w:val="none" w:sz="0" w:space="0" w:color="auto"/>
        <w:left w:val="none" w:sz="0" w:space="0" w:color="auto"/>
        <w:bottom w:val="none" w:sz="0" w:space="0" w:color="auto"/>
        <w:right w:val="none" w:sz="0" w:space="0" w:color="auto"/>
      </w:divBdr>
    </w:div>
    <w:div w:id="1000696099">
      <w:marLeft w:val="0"/>
      <w:marRight w:val="0"/>
      <w:marTop w:val="0"/>
      <w:marBottom w:val="120"/>
      <w:divBdr>
        <w:top w:val="none" w:sz="0" w:space="0" w:color="auto"/>
        <w:left w:val="none" w:sz="0" w:space="0" w:color="auto"/>
        <w:bottom w:val="none" w:sz="0" w:space="0" w:color="auto"/>
        <w:right w:val="none" w:sz="0" w:space="0" w:color="auto"/>
      </w:divBdr>
    </w:div>
    <w:div w:id="1003896340">
      <w:marLeft w:val="0"/>
      <w:marRight w:val="0"/>
      <w:marTop w:val="0"/>
      <w:marBottom w:val="200"/>
      <w:divBdr>
        <w:top w:val="none" w:sz="0" w:space="0" w:color="auto"/>
        <w:left w:val="none" w:sz="0" w:space="0" w:color="auto"/>
        <w:bottom w:val="none" w:sz="0" w:space="0" w:color="auto"/>
        <w:right w:val="none" w:sz="0" w:space="0" w:color="auto"/>
      </w:divBdr>
    </w:div>
    <w:div w:id="1005859836">
      <w:marLeft w:val="0"/>
      <w:marRight w:val="0"/>
      <w:marTop w:val="0"/>
      <w:marBottom w:val="0"/>
      <w:divBdr>
        <w:top w:val="none" w:sz="0" w:space="0" w:color="auto"/>
        <w:left w:val="none" w:sz="0" w:space="0" w:color="auto"/>
        <w:bottom w:val="none" w:sz="0" w:space="0" w:color="auto"/>
        <w:right w:val="none" w:sz="0" w:space="0" w:color="auto"/>
      </w:divBdr>
    </w:div>
    <w:div w:id="1017468944">
      <w:marLeft w:val="0"/>
      <w:marRight w:val="0"/>
      <w:marTop w:val="120"/>
      <w:marBottom w:val="0"/>
      <w:divBdr>
        <w:top w:val="none" w:sz="0" w:space="0" w:color="auto"/>
        <w:left w:val="none" w:sz="0" w:space="0" w:color="auto"/>
        <w:bottom w:val="none" w:sz="0" w:space="0" w:color="auto"/>
        <w:right w:val="none" w:sz="0" w:space="0" w:color="auto"/>
      </w:divBdr>
    </w:div>
    <w:div w:id="1038821394">
      <w:marLeft w:val="0"/>
      <w:marRight w:val="0"/>
      <w:marTop w:val="0"/>
      <w:marBottom w:val="200"/>
      <w:divBdr>
        <w:top w:val="none" w:sz="0" w:space="0" w:color="auto"/>
        <w:left w:val="none" w:sz="0" w:space="0" w:color="auto"/>
        <w:bottom w:val="none" w:sz="0" w:space="0" w:color="auto"/>
        <w:right w:val="none" w:sz="0" w:space="0" w:color="auto"/>
      </w:divBdr>
    </w:div>
    <w:div w:id="1039822610">
      <w:marLeft w:val="0"/>
      <w:marRight w:val="0"/>
      <w:marTop w:val="0"/>
      <w:marBottom w:val="0"/>
      <w:divBdr>
        <w:top w:val="none" w:sz="0" w:space="0" w:color="auto"/>
        <w:left w:val="none" w:sz="0" w:space="0" w:color="auto"/>
        <w:bottom w:val="none" w:sz="0" w:space="0" w:color="auto"/>
        <w:right w:val="none" w:sz="0" w:space="0" w:color="auto"/>
      </w:divBdr>
      <w:divsChild>
        <w:div w:id="1450589100">
          <w:marLeft w:val="0"/>
          <w:marRight w:val="0"/>
          <w:marTop w:val="0"/>
          <w:marBottom w:val="0"/>
          <w:divBdr>
            <w:top w:val="none" w:sz="0" w:space="0" w:color="auto"/>
            <w:left w:val="none" w:sz="0" w:space="0" w:color="auto"/>
            <w:bottom w:val="none" w:sz="0" w:space="0" w:color="auto"/>
            <w:right w:val="none" w:sz="0" w:space="0" w:color="auto"/>
          </w:divBdr>
        </w:div>
      </w:divsChild>
    </w:div>
    <w:div w:id="1040591799">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
      </w:divsChild>
    </w:div>
    <w:div w:id="1050573694">
      <w:marLeft w:val="0"/>
      <w:marRight w:val="0"/>
      <w:marTop w:val="200"/>
      <w:marBottom w:val="0"/>
      <w:divBdr>
        <w:top w:val="none" w:sz="0" w:space="0" w:color="auto"/>
        <w:left w:val="none" w:sz="0" w:space="0" w:color="auto"/>
        <w:bottom w:val="none" w:sz="0" w:space="0" w:color="auto"/>
        <w:right w:val="none" w:sz="0" w:space="0" w:color="auto"/>
      </w:divBdr>
    </w:div>
    <w:div w:id="1051731916">
      <w:marLeft w:val="0"/>
      <w:marRight w:val="0"/>
      <w:marTop w:val="0"/>
      <w:marBottom w:val="0"/>
      <w:divBdr>
        <w:top w:val="none" w:sz="0" w:space="0" w:color="auto"/>
        <w:left w:val="none" w:sz="0" w:space="0" w:color="auto"/>
        <w:bottom w:val="none" w:sz="0" w:space="0" w:color="auto"/>
        <w:right w:val="none" w:sz="0" w:space="0" w:color="auto"/>
      </w:divBdr>
      <w:divsChild>
        <w:div w:id="1497988370">
          <w:marLeft w:val="0"/>
          <w:marRight w:val="0"/>
          <w:marTop w:val="0"/>
          <w:marBottom w:val="0"/>
          <w:divBdr>
            <w:top w:val="none" w:sz="0" w:space="0" w:color="auto"/>
            <w:left w:val="none" w:sz="0" w:space="0" w:color="auto"/>
            <w:bottom w:val="none" w:sz="0" w:space="0" w:color="auto"/>
            <w:right w:val="none" w:sz="0" w:space="0" w:color="auto"/>
          </w:divBdr>
        </w:div>
      </w:divsChild>
    </w:div>
    <w:div w:id="1053122265">
      <w:marLeft w:val="0"/>
      <w:marRight w:val="0"/>
      <w:marTop w:val="0"/>
      <w:marBottom w:val="0"/>
      <w:divBdr>
        <w:top w:val="none" w:sz="0" w:space="0" w:color="auto"/>
        <w:left w:val="none" w:sz="0" w:space="0" w:color="auto"/>
        <w:bottom w:val="none" w:sz="0" w:space="0" w:color="auto"/>
        <w:right w:val="none" w:sz="0" w:space="0" w:color="auto"/>
      </w:divBdr>
      <w:divsChild>
        <w:div w:id="1661304562">
          <w:marLeft w:val="0"/>
          <w:marRight w:val="0"/>
          <w:marTop w:val="0"/>
          <w:marBottom w:val="0"/>
          <w:divBdr>
            <w:top w:val="none" w:sz="0" w:space="0" w:color="auto"/>
            <w:left w:val="none" w:sz="0" w:space="0" w:color="auto"/>
            <w:bottom w:val="none" w:sz="0" w:space="0" w:color="auto"/>
            <w:right w:val="none" w:sz="0" w:space="0" w:color="auto"/>
          </w:divBdr>
        </w:div>
      </w:divsChild>
    </w:div>
    <w:div w:id="1054430966">
      <w:marLeft w:val="0"/>
      <w:marRight w:val="0"/>
      <w:marTop w:val="0"/>
      <w:marBottom w:val="200"/>
      <w:divBdr>
        <w:top w:val="none" w:sz="0" w:space="0" w:color="auto"/>
        <w:left w:val="none" w:sz="0" w:space="0" w:color="auto"/>
        <w:bottom w:val="none" w:sz="0" w:space="0" w:color="auto"/>
        <w:right w:val="none" w:sz="0" w:space="0" w:color="auto"/>
      </w:divBdr>
    </w:div>
    <w:div w:id="1055272400">
      <w:marLeft w:val="0"/>
      <w:marRight w:val="0"/>
      <w:marTop w:val="0"/>
      <w:marBottom w:val="0"/>
      <w:divBdr>
        <w:top w:val="none" w:sz="0" w:space="0" w:color="auto"/>
        <w:left w:val="none" w:sz="0" w:space="0" w:color="auto"/>
        <w:bottom w:val="none" w:sz="0" w:space="0" w:color="auto"/>
        <w:right w:val="none" w:sz="0" w:space="0" w:color="auto"/>
      </w:divBdr>
      <w:divsChild>
        <w:div w:id="1325743240">
          <w:marLeft w:val="0"/>
          <w:marRight w:val="0"/>
          <w:marTop w:val="0"/>
          <w:marBottom w:val="0"/>
          <w:divBdr>
            <w:top w:val="none" w:sz="0" w:space="0" w:color="auto"/>
            <w:left w:val="none" w:sz="0" w:space="0" w:color="auto"/>
            <w:bottom w:val="none" w:sz="0" w:space="0" w:color="auto"/>
            <w:right w:val="none" w:sz="0" w:space="0" w:color="auto"/>
          </w:divBdr>
        </w:div>
      </w:divsChild>
    </w:div>
    <w:div w:id="1059548753">
      <w:marLeft w:val="0"/>
      <w:marRight w:val="0"/>
      <w:marTop w:val="0"/>
      <w:marBottom w:val="200"/>
      <w:divBdr>
        <w:top w:val="none" w:sz="0" w:space="0" w:color="auto"/>
        <w:left w:val="none" w:sz="0" w:space="0" w:color="auto"/>
        <w:bottom w:val="none" w:sz="0" w:space="0" w:color="auto"/>
        <w:right w:val="none" w:sz="0" w:space="0" w:color="auto"/>
      </w:divBdr>
    </w:div>
    <w:div w:id="1067654996">
      <w:marLeft w:val="0"/>
      <w:marRight w:val="0"/>
      <w:marTop w:val="0"/>
      <w:marBottom w:val="0"/>
      <w:divBdr>
        <w:top w:val="none" w:sz="0" w:space="0" w:color="auto"/>
        <w:left w:val="none" w:sz="0" w:space="0" w:color="auto"/>
        <w:bottom w:val="none" w:sz="0" w:space="0" w:color="auto"/>
        <w:right w:val="none" w:sz="0" w:space="0" w:color="auto"/>
      </w:divBdr>
      <w:divsChild>
        <w:div w:id="529688291">
          <w:marLeft w:val="0"/>
          <w:marRight w:val="0"/>
          <w:marTop w:val="0"/>
          <w:marBottom w:val="0"/>
          <w:divBdr>
            <w:top w:val="none" w:sz="0" w:space="0" w:color="auto"/>
            <w:left w:val="none" w:sz="0" w:space="0" w:color="auto"/>
            <w:bottom w:val="none" w:sz="0" w:space="0" w:color="auto"/>
            <w:right w:val="none" w:sz="0" w:space="0" w:color="auto"/>
          </w:divBdr>
        </w:div>
      </w:divsChild>
    </w:div>
    <w:div w:id="1068920770">
      <w:marLeft w:val="0"/>
      <w:marRight w:val="0"/>
      <w:marTop w:val="0"/>
      <w:marBottom w:val="0"/>
      <w:divBdr>
        <w:top w:val="none" w:sz="0" w:space="0" w:color="auto"/>
        <w:left w:val="none" w:sz="0" w:space="0" w:color="auto"/>
        <w:bottom w:val="none" w:sz="0" w:space="0" w:color="auto"/>
        <w:right w:val="none" w:sz="0" w:space="0" w:color="auto"/>
      </w:divBdr>
    </w:div>
    <w:div w:id="1083256001">
      <w:marLeft w:val="0"/>
      <w:marRight w:val="0"/>
      <w:marTop w:val="0"/>
      <w:marBottom w:val="0"/>
      <w:divBdr>
        <w:top w:val="none" w:sz="0" w:space="0" w:color="auto"/>
        <w:left w:val="none" w:sz="0" w:space="0" w:color="auto"/>
        <w:bottom w:val="none" w:sz="0" w:space="0" w:color="auto"/>
        <w:right w:val="none" w:sz="0" w:space="0" w:color="auto"/>
      </w:divBdr>
    </w:div>
    <w:div w:id="1085372590">
      <w:marLeft w:val="0"/>
      <w:marRight w:val="0"/>
      <w:marTop w:val="0"/>
      <w:marBottom w:val="0"/>
      <w:divBdr>
        <w:top w:val="none" w:sz="0" w:space="0" w:color="auto"/>
        <w:left w:val="none" w:sz="0" w:space="0" w:color="auto"/>
        <w:bottom w:val="none" w:sz="0" w:space="0" w:color="auto"/>
        <w:right w:val="none" w:sz="0" w:space="0" w:color="auto"/>
      </w:divBdr>
      <w:divsChild>
        <w:div w:id="110441440">
          <w:marLeft w:val="0"/>
          <w:marRight w:val="0"/>
          <w:marTop w:val="0"/>
          <w:marBottom w:val="0"/>
          <w:divBdr>
            <w:top w:val="none" w:sz="0" w:space="0" w:color="auto"/>
            <w:left w:val="none" w:sz="0" w:space="0" w:color="auto"/>
            <w:bottom w:val="none" w:sz="0" w:space="0" w:color="auto"/>
            <w:right w:val="none" w:sz="0" w:space="0" w:color="auto"/>
          </w:divBdr>
        </w:div>
      </w:divsChild>
    </w:div>
    <w:div w:id="1092429078">
      <w:marLeft w:val="0"/>
      <w:marRight w:val="0"/>
      <w:marTop w:val="100"/>
      <w:marBottom w:val="0"/>
      <w:divBdr>
        <w:top w:val="none" w:sz="0" w:space="0" w:color="auto"/>
        <w:left w:val="none" w:sz="0" w:space="0" w:color="auto"/>
        <w:bottom w:val="none" w:sz="0" w:space="0" w:color="auto"/>
        <w:right w:val="none" w:sz="0" w:space="0" w:color="auto"/>
      </w:divBdr>
    </w:div>
    <w:div w:id="1101217629">
      <w:marLeft w:val="0"/>
      <w:marRight w:val="0"/>
      <w:marTop w:val="0"/>
      <w:marBottom w:val="0"/>
      <w:divBdr>
        <w:top w:val="none" w:sz="0" w:space="0" w:color="auto"/>
        <w:left w:val="none" w:sz="0" w:space="0" w:color="auto"/>
        <w:bottom w:val="none" w:sz="0" w:space="0" w:color="auto"/>
        <w:right w:val="none" w:sz="0" w:space="0" w:color="auto"/>
      </w:divBdr>
      <w:divsChild>
        <w:div w:id="110786643">
          <w:marLeft w:val="0"/>
          <w:marRight w:val="0"/>
          <w:marTop w:val="0"/>
          <w:marBottom w:val="0"/>
          <w:divBdr>
            <w:top w:val="none" w:sz="0" w:space="0" w:color="auto"/>
            <w:left w:val="none" w:sz="0" w:space="0" w:color="auto"/>
            <w:bottom w:val="none" w:sz="0" w:space="0" w:color="auto"/>
            <w:right w:val="none" w:sz="0" w:space="0" w:color="auto"/>
          </w:divBdr>
        </w:div>
      </w:divsChild>
    </w:div>
    <w:div w:id="1113596770">
      <w:marLeft w:val="0"/>
      <w:marRight w:val="0"/>
      <w:marTop w:val="0"/>
      <w:marBottom w:val="200"/>
      <w:divBdr>
        <w:top w:val="none" w:sz="0" w:space="0" w:color="auto"/>
        <w:left w:val="none" w:sz="0" w:space="0" w:color="auto"/>
        <w:bottom w:val="none" w:sz="0" w:space="0" w:color="auto"/>
        <w:right w:val="none" w:sz="0" w:space="0" w:color="auto"/>
      </w:divBdr>
    </w:div>
    <w:div w:id="1114515091">
      <w:marLeft w:val="0"/>
      <w:marRight w:val="0"/>
      <w:marTop w:val="0"/>
      <w:marBottom w:val="0"/>
      <w:divBdr>
        <w:top w:val="none" w:sz="0" w:space="0" w:color="auto"/>
        <w:left w:val="none" w:sz="0" w:space="0" w:color="auto"/>
        <w:bottom w:val="none" w:sz="0" w:space="0" w:color="auto"/>
        <w:right w:val="none" w:sz="0" w:space="0" w:color="auto"/>
      </w:divBdr>
    </w:div>
    <w:div w:id="1118374149">
      <w:marLeft w:val="0"/>
      <w:marRight w:val="0"/>
      <w:marTop w:val="0"/>
      <w:marBottom w:val="0"/>
      <w:divBdr>
        <w:top w:val="none" w:sz="0" w:space="0" w:color="auto"/>
        <w:left w:val="none" w:sz="0" w:space="0" w:color="auto"/>
        <w:bottom w:val="none" w:sz="0" w:space="0" w:color="auto"/>
        <w:right w:val="none" w:sz="0" w:space="0" w:color="auto"/>
      </w:divBdr>
      <w:divsChild>
        <w:div w:id="18969576">
          <w:marLeft w:val="0"/>
          <w:marRight w:val="0"/>
          <w:marTop w:val="0"/>
          <w:marBottom w:val="0"/>
          <w:divBdr>
            <w:top w:val="none" w:sz="0" w:space="0" w:color="auto"/>
            <w:left w:val="none" w:sz="0" w:space="0" w:color="auto"/>
            <w:bottom w:val="none" w:sz="0" w:space="0" w:color="auto"/>
            <w:right w:val="none" w:sz="0" w:space="0" w:color="auto"/>
          </w:divBdr>
        </w:div>
      </w:divsChild>
    </w:div>
    <w:div w:id="1129082115">
      <w:marLeft w:val="0"/>
      <w:marRight w:val="0"/>
      <w:marTop w:val="200"/>
      <w:marBottom w:val="0"/>
      <w:divBdr>
        <w:top w:val="none" w:sz="0" w:space="0" w:color="auto"/>
        <w:left w:val="none" w:sz="0" w:space="0" w:color="auto"/>
        <w:bottom w:val="none" w:sz="0" w:space="0" w:color="auto"/>
        <w:right w:val="none" w:sz="0" w:space="0" w:color="auto"/>
      </w:divBdr>
    </w:div>
    <w:div w:id="1135836483">
      <w:marLeft w:val="0"/>
      <w:marRight w:val="0"/>
      <w:marTop w:val="0"/>
      <w:marBottom w:val="200"/>
      <w:divBdr>
        <w:top w:val="none" w:sz="0" w:space="0" w:color="auto"/>
        <w:left w:val="none" w:sz="0" w:space="0" w:color="auto"/>
        <w:bottom w:val="none" w:sz="0" w:space="0" w:color="auto"/>
        <w:right w:val="none" w:sz="0" w:space="0" w:color="auto"/>
      </w:divBdr>
    </w:div>
    <w:div w:id="1137992187">
      <w:marLeft w:val="0"/>
      <w:marRight w:val="0"/>
      <w:marTop w:val="0"/>
      <w:marBottom w:val="0"/>
      <w:divBdr>
        <w:top w:val="none" w:sz="0" w:space="0" w:color="auto"/>
        <w:left w:val="none" w:sz="0" w:space="0" w:color="auto"/>
        <w:bottom w:val="none" w:sz="0" w:space="0" w:color="auto"/>
        <w:right w:val="none" w:sz="0" w:space="0" w:color="auto"/>
      </w:divBdr>
      <w:divsChild>
        <w:div w:id="1714958374">
          <w:marLeft w:val="0"/>
          <w:marRight w:val="0"/>
          <w:marTop w:val="0"/>
          <w:marBottom w:val="0"/>
          <w:divBdr>
            <w:top w:val="none" w:sz="0" w:space="0" w:color="auto"/>
            <w:left w:val="none" w:sz="0" w:space="0" w:color="auto"/>
            <w:bottom w:val="none" w:sz="0" w:space="0" w:color="auto"/>
            <w:right w:val="none" w:sz="0" w:space="0" w:color="auto"/>
          </w:divBdr>
        </w:div>
      </w:divsChild>
    </w:div>
    <w:div w:id="1140196006">
      <w:marLeft w:val="0"/>
      <w:marRight w:val="0"/>
      <w:marTop w:val="0"/>
      <w:marBottom w:val="200"/>
      <w:divBdr>
        <w:top w:val="none" w:sz="0" w:space="0" w:color="auto"/>
        <w:left w:val="none" w:sz="0" w:space="0" w:color="auto"/>
        <w:bottom w:val="none" w:sz="0" w:space="0" w:color="auto"/>
        <w:right w:val="none" w:sz="0" w:space="0" w:color="auto"/>
      </w:divBdr>
    </w:div>
    <w:div w:id="1141843735">
      <w:marLeft w:val="0"/>
      <w:marRight w:val="0"/>
      <w:marTop w:val="0"/>
      <w:marBottom w:val="0"/>
      <w:divBdr>
        <w:top w:val="none" w:sz="0" w:space="0" w:color="auto"/>
        <w:left w:val="none" w:sz="0" w:space="0" w:color="auto"/>
        <w:bottom w:val="none" w:sz="0" w:space="0" w:color="auto"/>
        <w:right w:val="none" w:sz="0" w:space="0" w:color="auto"/>
      </w:divBdr>
      <w:divsChild>
        <w:div w:id="480587694">
          <w:marLeft w:val="0"/>
          <w:marRight w:val="0"/>
          <w:marTop w:val="0"/>
          <w:marBottom w:val="0"/>
          <w:divBdr>
            <w:top w:val="none" w:sz="0" w:space="0" w:color="auto"/>
            <w:left w:val="none" w:sz="0" w:space="0" w:color="auto"/>
            <w:bottom w:val="none" w:sz="0" w:space="0" w:color="auto"/>
            <w:right w:val="none" w:sz="0" w:space="0" w:color="auto"/>
          </w:divBdr>
        </w:div>
      </w:divsChild>
    </w:div>
    <w:div w:id="1156412465">
      <w:marLeft w:val="0"/>
      <w:marRight w:val="0"/>
      <w:marTop w:val="0"/>
      <w:marBottom w:val="0"/>
      <w:divBdr>
        <w:top w:val="none" w:sz="0" w:space="0" w:color="auto"/>
        <w:left w:val="none" w:sz="0" w:space="0" w:color="auto"/>
        <w:bottom w:val="none" w:sz="0" w:space="0" w:color="auto"/>
        <w:right w:val="none" w:sz="0" w:space="0" w:color="auto"/>
      </w:divBdr>
      <w:divsChild>
        <w:div w:id="266238866">
          <w:marLeft w:val="0"/>
          <w:marRight w:val="0"/>
          <w:marTop w:val="0"/>
          <w:marBottom w:val="0"/>
          <w:divBdr>
            <w:top w:val="none" w:sz="0" w:space="0" w:color="auto"/>
            <w:left w:val="none" w:sz="0" w:space="0" w:color="auto"/>
            <w:bottom w:val="none" w:sz="0" w:space="0" w:color="auto"/>
            <w:right w:val="none" w:sz="0" w:space="0" w:color="auto"/>
          </w:divBdr>
        </w:div>
      </w:divsChild>
    </w:div>
    <w:div w:id="1158230162">
      <w:marLeft w:val="0"/>
      <w:marRight w:val="0"/>
      <w:marTop w:val="200"/>
      <w:marBottom w:val="0"/>
      <w:divBdr>
        <w:top w:val="none" w:sz="0" w:space="0" w:color="auto"/>
        <w:left w:val="none" w:sz="0" w:space="0" w:color="auto"/>
        <w:bottom w:val="none" w:sz="0" w:space="0" w:color="auto"/>
        <w:right w:val="none" w:sz="0" w:space="0" w:color="auto"/>
      </w:divBdr>
    </w:div>
    <w:div w:id="1160735867">
      <w:marLeft w:val="0"/>
      <w:marRight w:val="0"/>
      <w:marTop w:val="0"/>
      <w:marBottom w:val="0"/>
      <w:divBdr>
        <w:top w:val="none" w:sz="0" w:space="0" w:color="auto"/>
        <w:left w:val="none" w:sz="0" w:space="0" w:color="auto"/>
        <w:bottom w:val="none" w:sz="0" w:space="0" w:color="auto"/>
        <w:right w:val="none" w:sz="0" w:space="0" w:color="auto"/>
      </w:divBdr>
      <w:divsChild>
        <w:div w:id="67769554">
          <w:marLeft w:val="0"/>
          <w:marRight w:val="0"/>
          <w:marTop w:val="0"/>
          <w:marBottom w:val="0"/>
          <w:divBdr>
            <w:top w:val="none" w:sz="0" w:space="0" w:color="auto"/>
            <w:left w:val="none" w:sz="0" w:space="0" w:color="auto"/>
            <w:bottom w:val="none" w:sz="0" w:space="0" w:color="auto"/>
            <w:right w:val="none" w:sz="0" w:space="0" w:color="auto"/>
          </w:divBdr>
        </w:div>
      </w:divsChild>
    </w:div>
    <w:div w:id="1166701365">
      <w:marLeft w:val="0"/>
      <w:marRight w:val="0"/>
      <w:marTop w:val="0"/>
      <w:marBottom w:val="200"/>
      <w:divBdr>
        <w:top w:val="none" w:sz="0" w:space="0" w:color="auto"/>
        <w:left w:val="none" w:sz="0" w:space="0" w:color="auto"/>
        <w:bottom w:val="none" w:sz="0" w:space="0" w:color="auto"/>
        <w:right w:val="none" w:sz="0" w:space="0" w:color="auto"/>
      </w:divBdr>
    </w:div>
    <w:div w:id="1170605873">
      <w:marLeft w:val="0"/>
      <w:marRight w:val="0"/>
      <w:marTop w:val="0"/>
      <w:marBottom w:val="0"/>
      <w:divBdr>
        <w:top w:val="none" w:sz="0" w:space="0" w:color="auto"/>
        <w:left w:val="none" w:sz="0" w:space="0" w:color="auto"/>
        <w:bottom w:val="none" w:sz="0" w:space="0" w:color="auto"/>
        <w:right w:val="none" w:sz="0" w:space="0" w:color="auto"/>
      </w:divBdr>
    </w:div>
    <w:div w:id="1179151235">
      <w:marLeft w:val="0"/>
      <w:marRight w:val="0"/>
      <w:marTop w:val="0"/>
      <w:marBottom w:val="200"/>
      <w:divBdr>
        <w:top w:val="none" w:sz="0" w:space="0" w:color="auto"/>
        <w:left w:val="none" w:sz="0" w:space="0" w:color="auto"/>
        <w:bottom w:val="none" w:sz="0" w:space="0" w:color="auto"/>
        <w:right w:val="none" w:sz="0" w:space="0" w:color="auto"/>
      </w:divBdr>
    </w:div>
    <w:div w:id="1180196297">
      <w:marLeft w:val="0"/>
      <w:marRight w:val="0"/>
      <w:marTop w:val="100"/>
      <w:marBottom w:val="0"/>
      <w:divBdr>
        <w:top w:val="none" w:sz="0" w:space="0" w:color="auto"/>
        <w:left w:val="none" w:sz="0" w:space="0" w:color="auto"/>
        <w:bottom w:val="none" w:sz="0" w:space="0" w:color="auto"/>
        <w:right w:val="none" w:sz="0" w:space="0" w:color="auto"/>
      </w:divBdr>
    </w:div>
    <w:div w:id="1193420773">
      <w:marLeft w:val="0"/>
      <w:marRight w:val="0"/>
      <w:marTop w:val="0"/>
      <w:marBottom w:val="0"/>
      <w:divBdr>
        <w:top w:val="none" w:sz="0" w:space="0" w:color="auto"/>
        <w:left w:val="none" w:sz="0" w:space="0" w:color="auto"/>
        <w:bottom w:val="none" w:sz="0" w:space="0" w:color="auto"/>
        <w:right w:val="none" w:sz="0" w:space="0" w:color="auto"/>
      </w:divBdr>
      <w:divsChild>
        <w:div w:id="256014036">
          <w:marLeft w:val="0"/>
          <w:marRight w:val="0"/>
          <w:marTop w:val="0"/>
          <w:marBottom w:val="0"/>
          <w:divBdr>
            <w:top w:val="none" w:sz="0" w:space="0" w:color="auto"/>
            <w:left w:val="none" w:sz="0" w:space="0" w:color="auto"/>
            <w:bottom w:val="none" w:sz="0" w:space="0" w:color="auto"/>
            <w:right w:val="none" w:sz="0" w:space="0" w:color="auto"/>
          </w:divBdr>
        </w:div>
      </w:divsChild>
    </w:div>
    <w:div w:id="1195731667">
      <w:marLeft w:val="0"/>
      <w:marRight w:val="0"/>
      <w:marTop w:val="0"/>
      <w:marBottom w:val="0"/>
      <w:divBdr>
        <w:top w:val="none" w:sz="0" w:space="0" w:color="auto"/>
        <w:left w:val="none" w:sz="0" w:space="0" w:color="auto"/>
        <w:bottom w:val="none" w:sz="0" w:space="0" w:color="auto"/>
        <w:right w:val="none" w:sz="0" w:space="0" w:color="auto"/>
      </w:divBdr>
      <w:divsChild>
        <w:div w:id="1118068307">
          <w:marLeft w:val="0"/>
          <w:marRight w:val="0"/>
          <w:marTop w:val="0"/>
          <w:marBottom w:val="0"/>
          <w:divBdr>
            <w:top w:val="none" w:sz="0" w:space="0" w:color="auto"/>
            <w:left w:val="none" w:sz="0" w:space="0" w:color="auto"/>
            <w:bottom w:val="none" w:sz="0" w:space="0" w:color="auto"/>
            <w:right w:val="none" w:sz="0" w:space="0" w:color="auto"/>
          </w:divBdr>
        </w:div>
        <w:div w:id="791628113">
          <w:marLeft w:val="0"/>
          <w:marRight w:val="0"/>
          <w:marTop w:val="180"/>
          <w:marBottom w:val="0"/>
          <w:divBdr>
            <w:top w:val="none" w:sz="0" w:space="0" w:color="auto"/>
            <w:left w:val="none" w:sz="0" w:space="0" w:color="auto"/>
            <w:bottom w:val="none" w:sz="0" w:space="0" w:color="auto"/>
            <w:right w:val="none" w:sz="0" w:space="0" w:color="auto"/>
          </w:divBdr>
        </w:div>
      </w:divsChild>
    </w:div>
    <w:div w:id="1200239671">
      <w:marLeft w:val="0"/>
      <w:marRight w:val="0"/>
      <w:marTop w:val="0"/>
      <w:marBottom w:val="0"/>
      <w:divBdr>
        <w:top w:val="none" w:sz="0" w:space="0" w:color="auto"/>
        <w:left w:val="none" w:sz="0" w:space="0" w:color="auto"/>
        <w:bottom w:val="none" w:sz="0" w:space="0" w:color="auto"/>
        <w:right w:val="none" w:sz="0" w:space="0" w:color="auto"/>
      </w:divBdr>
      <w:divsChild>
        <w:div w:id="868566076">
          <w:marLeft w:val="0"/>
          <w:marRight w:val="0"/>
          <w:marTop w:val="0"/>
          <w:marBottom w:val="0"/>
          <w:divBdr>
            <w:top w:val="none" w:sz="0" w:space="0" w:color="auto"/>
            <w:left w:val="none" w:sz="0" w:space="0" w:color="auto"/>
            <w:bottom w:val="none" w:sz="0" w:space="0" w:color="auto"/>
            <w:right w:val="none" w:sz="0" w:space="0" w:color="auto"/>
          </w:divBdr>
        </w:div>
      </w:divsChild>
    </w:div>
    <w:div w:id="1200313602">
      <w:marLeft w:val="0"/>
      <w:marRight w:val="0"/>
      <w:marTop w:val="100"/>
      <w:marBottom w:val="100"/>
      <w:divBdr>
        <w:top w:val="none" w:sz="0" w:space="0" w:color="auto"/>
        <w:left w:val="none" w:sz="0" w:space="0" w:color="auto"/>
        <w:bottom w:val="none" w:sz="0" w:space="0" w:color="auto"/>
        <w:right w:val="none" w:sz="0" w:space="0" w:color="auto"/>
      </w:divBdr>
    </w:div>
    <w:div w:id="1201279393">
      <w:marLeft w:val="0"/>
      <w:marRight w:val="0"/>
      <w:marTop w:val="0"/>
      <w:marBottom w:val="0"/>
      <w:divBdr>
        <w:top w:val="none" w:sz="0" w:space="0" w:color="auto"/>
        <w:left w:val="none" w:sz="0" w:space="0" w:color="auto"/>
        <w:bottom w:val="none" w:sz="0" w:space="0" w:color="auto"/>
        <w:right w:val="none" w:sz="0" w:space="0" w:color="auto"/>
      </w:divBdr>
      <w:divsChild>
        <w:div w:id="235747958">
          <w:marLeft w:val="0"/>
          <w:marRight w:val="0"/>
          <w:marTop w:val="0"/>
          <w:marBottom w:val="0"/>
          <w:divBdr>
            <w:top w:val="none" w:sz="0" w:space="0" w:color="auto"/>
            <w:left w:val="none" w:sz="0" w:space="0" w:color="auto"/>
            <w:bottom w:val="none" w:sz="0" w:space="0" w:color="auto"/>
            <w:right w:val="none" w:sz="0" w:space="0" w:color="auto"/>
          </w:divBdr>
        </w:div>
      </w:divsChild>
    </w:div>
    <w:div w:id="1208253199">
      <w:marLeft w:val="0"/>
      <w:marRight w:val="0"/>
      <w:marTop w:val="0"/>
      <w:marBottom w:val="0"/>
      <w:divBdr>
        <w:top w:val="none" w:sz="0" w:space="0" w:color="auto"/>
        <w:left w:val="none" w:sz="0" w:space="0" w:color="auto"/>
        <w:bottom w:val="none" w:sz="0" w:space="0" w:color="auto"/>
        <w:right w:val="none" w:sz="0" w:space="0" w:color="auto"/>
      </w:divBdr>
    </w:div>
    <w:div w:id="1213536686">
      <w:marLeft w:val="0"/>
      <w:marRight w:val="0"/>
      <w:marTop w:val="100"/>
      <w:marBottom w:val="0"/>
      <w:divBdr>
        <w:top w:val="none" w:sz="0" w:space="0" w:color="auto"/>
        <w:left w:val="none" w:sz="0" w:space="0" w:color="auto"/>
        <w:bottom w:val="none" w:sz="0" w:space="0" w:color="auto"/>
        <w:right w:val="none" w:sz="0" w:space="0" w:color="auto"/>
      </w:divBdr>
    </w:div>
    <w:div w:id="1213543149">
      <w:marLeft w:val="0"/>
      <w:marRight w:val="0"/>
      <w:marTop w:val="0"/>
      <w:marBottom w:val="200"/>
      <w:divBdr>
        <w:top w:val="none" w:sz="0" w:space="0" w:color="auto"/>
        <w:left w:val="none" w:sz="0" w:space="0" w:color="auto"/>
        <w:bottom w:val="none" w:sz="0" w:space="0" w:color="auto"/>
        <w:right w:val="none" w:sz="0" w:space="0" w:color="auto"/>
      </w:divBdr>
    </w:div>
    <w:div w:id="1222405424">
      <w:marLeft w:val="0"/>
      <w:marRight w:val="0"/>
      <w:marTop w:val="0"/>
      <w:marBottom w:val="200"/>
      <w:divBdr>
        <w:top w:val="none" w:sz="0" w:space="0" w:color="auto"/>
        <w:left w:val="none" w:sz="0" w:space="0" w:color="auto"/>
        <w:bottom w:val="none" w:sz="0" w:space="0" w:color="auto"/>
        <w:right w:val="none" w:sz="0" w:space="0" w:color="auto"/>
      </w:divBdr>
    </w:div>
    <w:div w:id="1224024135">
      <w:marLeft w:val="0"/>
      <w:marRight w:val="0"/>
      <w:marTop w:val="0"/>
      <w:marBottom w:val="0"/>
      <w:divBdr>
        <w:top w:val="none" w:sz="0" w:space="0" w:color="auto"/>
        <w:left w:val="none" w:sz="0" w:space="0" w:color="auto"/>
        <w:bottom w:val="none" w:sz="0" w:space="0" w:color="auto"/>
        <w:right w:val="none" w:sz="0" w:space="0" w:color="auto"/>
      </w:divBdr>
      <w:divsChild>
        <w:div w:id="845512311">
          <w:marLeft w:val="0"/>
          <w:marRight w:val="0"/>
          <w:marTop w:val="0"/>
          <w:marBottom w:val="0"/>
          <w:divBdr>
            <w:top w:val="none" w:sz="0" w:space="0" w:color="auto"/>
            <w:left w:val="none" w:sz="0" w:space="0" w:color="auto"/>
            <w:bottom w:val="none" w:sz="0" w:space="0" w:color="auto"/>
            <w:right w:val="none" w:sz="0" w:space="0" w:color="auto"/>
          </w:divBdr>
        </w:div>
        <w:div w:id="1539928514">
          <w:marLeft w:val="0"/>
          <w:marRight w:val="0"/>
          <w:marTop w:val="180"/>
          <w:marBottom w:val="0"/>
          <w:divBdr>
            <w:top w:val="none" w:sz="0" w:space="0" w:color="auto"/>
            <w:left w:val="none" w:sz="0" w:space="0" w:color="auto"/>
            <w:bottom w:val="none" w:sz="0" w:space="0" w:color="auto"/>
            <w:right w:val="none" w:sz="0" w:space="0" w:color="auto"/>
          </w:divBdr>
        </w:div>
      </w:divsChild>
    </w:div>
    <w:div w:id="1238201370">
      <w:marLeft w:val="0"/>
      <w:marRight w:val="0"/>
      <w:marTop w:val="0"/>
      <w:marBottom w:val="200"/>
      <w:divBdr>
        <w:top w:val="none" w:sz="0" w:space="0" w:color="auto"/>
        <w:left w:val="none" w:sz="0" w:space="0" w:color="auto"/>
        <w:bottom w:val="none" w:sz="0" w:space="0" w:color="auto"/>
        <w:right w:val="none" w:sz="0" w:space="0" w:color="auto"/>
      </w:divBdr>
    </w:div>
    <w:div w:id="1238786414">
      <w:marLeft w:val="0"/>
      <w:marRight w:val="0"/>
      <w:marTop w:val="100"/>
      <w:marBottom w:val="0"/>
      <w:divBdr>
        <w:top w:val="none" w:sz="0" w:space="0" w:color="auto"/>
        <w:left w:val="none" w:sz="0" w:space="0" w:color="auto"/>
        <w:bottom w:val="none" w:sz="0" w:space="0" w:color="auto"/>
        <w:right w:val="none" w:sz="0" w:space="0" w:color="auto"/>
      </w:divBdr>
    </w:div>
    <w:div w:id="1242451313">
      <w:marLeft w:val="0"/>
      <w:marRight w:val="0"/>
      <w:marTop w:val="0"/>
      <w:marBottom w:val="160"/>
      <w:divBdr>
        <w:top w:val="none" w:sz="0" w:space="0" w:color="auto"/>
        <w:left w:val="none" w:sz="0" w:space="0" w:color="auto"/>
        <w:bottom w:val="none" w:sz="0" w:space="0" w:color="auto"/>
        <w:right w:val="none" w:sz="0" w:space="0" w:color="auto"/>
      </w:divBdr>
    </w:div>
    <w:div w:id="1245534555">
      <w:marLeft w:val="0"/>
      <w:marRight w:val="0"/>
      <w:marTop w:val="0"/>
      <w:marBottom w:val="200"/>
      <w:divBdr>
        <w:top w:val="none" w:sz="0" w:space="0" w:color="auto"/>
        <w:left w:val="none" w:sz="0" w:space="0" w:color="auto"/>
        <w:bottom w:val="none" w:sz="0" w:space="0" w:color="auto"/>
        <w:right w:val="none" w:sz="0" w:space="0" w:color="auto"/>
      </w:divBdr>
    </w:div>
    <w:div w:id="1260525206">
      <w:marLeft w:val="0"/>
      <w:marRight w:val="0"/>
      <w:marTop w:val="0"/>
      <w:marBottom w:val="0"/>
      <w:divBdr>
        <w:top w:val="none" w:sz="0" w:space="0" w:color="auto"/>
        <w:left w:val="none" w:sz="0" w:space="0" w:color="auto"/>
        <w:bottom w:val="none" w:sz="0" w:space="0" w:color="auto"/>
        <w:right w:val="none" w:sz="0" w:space="0" w:color="auto"/>
      </w:divBdr>
    </w:div>
    <w:div w:id="1261110254">
      <w:marLeft w:val="0"/>
      <w:marRight w:val="0"/>
      <w:marTop w:val="100"/>
      <w:marBottom w:val="100"/>
      <w:divBdr>
        <w:top w:val="none" w:sz="0" w:space="0" w:color="auto"/>
        <w:left w:val="none" w:sz="0" w:space="0" w:color="auto"/>
        <w:bottom w:val="none" w:sz="0" w:space="0" w:color="auto"/>
        <w:right w:val="none" w:sz="0" w:space="0" w:color="auto"/>
      </w:divBdr>
    </w:div>
    <w:div w:id="1270969179">
      <w:marLeft w:val="0"/>
      <w:marRight w:val="0"/>
      <w:marTop w:val="0"/>
      <w:marBottom w:val="200"/>
      <w:divBdr>
        <w:top w:val="none" w:sz="0" w:space="0" w:color="auto"/>
        <w:left w:val="none" w:sz="0" w:space="0" w:color="auto"/>
        <w:bottom w:val="none" w:sz="0" w:space="0" w:color="auto"/>
        <w:right w:val="none" w:sz="0" w:space="0" w:color="auto"/>
      </w:divBdr>
    </w:div>
    <w:div w:id="1281257767">
      <w:marLeft w:val="0"/>
      <w:marRight w:val="0"/>
      <w:marTop w:val="0"/>
      <w:marBottom w:val="0"/>
      <w:divBdr>
        <w:top w:val="none" w:sz="0" w:space="0" w:color="auto"/>
        <w:left w:val="none" w:sz="0" w:space="0" w:color="auto"/>
        <w:bottom w:val="none" w:sz="0" w:space="0" w:color="auto"/>
        <w:right w:val="none" w:sz="0" w:space="0" w:color="auto"/>
      </w:divBdr>
      <w:divsChild>
        <w:div w:id="1802070679">
          <w:marLeft w:val="0"/>
          <w:marRight w:val="0"/>
          <w:marTop w:val="0"/>
          <w:marBottom w:val="0"/>
          <w:divBdr>
            <w:top w:val="none" w:sz="0" w:space="0" w:color="auto"/>
            <w:left w:val="none" w:sz="0" w:space="0" w:color="auto"/>
            <w:bottom w:val="none" w:sz="0" w:space="0" w:color="auto"/>
            <w:right w:val="none" w:sz="0" w:space="0" w:color="auto"/>
          </w:divBdr>
          <w:divsChild>
            <w:div w:id="7884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1161">
      <w:marLeft w:val="0"/>
      <w:marRight w:val="0"/>
      <w:marTop w:val="0"/>
      <w:marBottom w:val="60"/>
      <w:divBdr>
        <w:top w:val="none" w:sz="0" w:space="0" w:color="auto"/>
        <w:left w:val="none" w:sz="0" w:space="0" w:color="auto"/>
        <w:bottom w:val="none" w:sz="0" w:space="0" w:color="auto"/>
        <w:right w:val="none" w:sz="0" w:space="0" w:color="auto"/>
      </w:divBdr>
    </w:div>
    <w:div w:id="1291665199">
      <w:marLeft w:val="0"/>
      <w:marRight w:val="0"/>
      <w:marTop w:val="0"/>
      <w:marBottom w:val="0"/>
      <w:divBdr>
        <w:top w:val="none" w:sz="0" w:space="0" w:color="auto"/>
        <w:left w:val="none" w:sz="0" w:space="0" w:color="auto"/>
        <w:bottom w:val="none" w:sz="0" w:space="0" w:color="auto"/>
        <w:right w:val="none" w:sz="0" w:space="0" w:color="auto"/>
      </w:divBdr>
      <w:divsChild>
        <w:div w:id="1917740741">
          <w:marLeft w:val="0"/>
          <w:marRight w:val="0"/>
          <w:marTop w:val="0"/>
          <w:marBottom w:val="0"/>
          <w:divBdr>
            <w:top w:val="none" w:sz="0" w:space="0" w:color="auto"/>
            <w:left w:val="none" w:sz="0" w:space="0" w:color="auto"/>
            <w:bottom w:val="none" w:sz="0" w:space="0" w:color="auto"/>
            <w:right w:val="none" w:sz="0" w:space="0" w:color="auto"/>
          </w:divBdr>
        </w:div>
        <w:div w:id="1101952347">
          <w:marLeft w:val="0"/>
          <w:marRight w:val="0"/>
          <w:marTop w:val="0"/>
          <w:marBottom w:val="0"/>
          <w:divBdr>
            <w:top w:val="none" w:sz="0" w:space="0" w:color="auto"/>
            <w:left w:val="none" w:sz="0" w:space="0" w:color="auto"/>
            <w:bottom w:val="none" w:sz="0" w:space="0" w:color="auto"/>
            <w:right w:val="none" w:sz="0" w:space="0" w:color="auto"/>
          </w:divBdr>
        </w:div>
      </w:divsChild>
    </w:div>
    <w:div w:id="1299649567">
      <w:marLeft w:val="0"/>
      <w:marRight w:val="0"/>
      <w:marTop w:val="0"/>
      <w:marBottom w:val="200"/>
      <w:divBdr>
        <w:top w:val="none" w:sz="0" w:space="0" w:color="auto"/>
        <w:left w:val="none" w:sz="0" w:space="0" w:color="auto"/>
        <w:bottom w:val="none" w:sz="0" w:space="0" w:color="auto"/>
        <w:right w:val="none" w:sz="0" w:space="0" w:color="auto"/>
      </w:divBdr>
    </w:div>
    <w:div w:id="1303657438">
      <w:marLeft w:val="0"/>
      <w:marRight w:val="0"/>
      <w:marTop w:val="100"/>
      <w:marBottom w:val="100"/>
      <w:divBdr>
        <w:top w:val="none" w:sz="0" w:space="0" w:color="auto"/>
        <w:left w:val="none" w:sz="0" w:space="0" w:color="auto"/>
        <w:bottom w:val="none" w:sz="0" w:space="0" w:color="auto"/>
        <w:right w:val="none" w:sz="0" w:space="0" w:color="auto"/>
      </w:divBdr>
    </w:div>
    <w:div w:id="1305160825">
      <w:marLeft w:val="0"/>
      <w:marRight w:val="0"/>
      <w:marTop w:val="0"/>
      <w:marBottom w:val="200"/>
      <w:divBdr>
        <w:top w:val="none" w:sz="0" w:space="0" w:color="auto"/>
        <w:left w:val="none" w:sz="0" w:space="0" w:color="auto"/>
        <w:bottom w:val="none" w:sz="0" w:space="0" w:color="auto"/>
        <w:right w:val="none" w:sz="0" w:space="0" w:color="auto"/>
      </w:divBdr>
    </w:div>
    <w:div w:id="1305426559">
      <w:marLeft w:val="0"/>
      <w:marRight w:val="0"/>
      <w:marTop w:val="100"/>
      <w:marBottom w:val="100"/>
      <w:divBdr>
        <w:top w:val="none" w:sz="0" w:space="0" w:color="auto"/>
        <w:left w:val="none" w:sz="0" w:space="0" w:color="auto"/>
        <w:bottom w:val="none" w:sz="0" w:space="0" w:color="auto"/>
        <w:right w:val="none" w:sz="0" w:space="0" w:color="auto"/>
      </w:divBdr>
    </w:div>
    <w:div w:id="1307080986">
      <w:marLeft w:val="0"/>
      <w:marRight w:val="0"/>
      <w:marTop w:val="0"/>
      <w:marBottom w:val="0"/>
      <w:divBdr>
        <w:top w:val="none" w:sz="0" w:space="0" w:color="auto"/>
        <w:left w:val="none" w:sz="0" w:space="0" w:color="auto"/>
        <w:bottom w:val="none" w:sz="0" w:space="0" w:color="auto"/>
        <w:right w:val="none" w:sz="0" w:space="0" w:color="auto"/>
      </w:divBdr>
      <w:divsChild>
        <w:div w:id="575748921">
          <w:marLeft w:val="0"/>
          <w:marRight w:val="0"/>
          <w:marTop w:val="0"/>
          <w:marBottom w:val="0"/>
          <w:divBdr>
            <w:top w:val="none" w:sz="0" w:space="0" w:color="auto"/>
            <w:left w:val="none" w:sz="0" w:space="0" w:color="auto"/>
            <w:bottom w:val="none" w:sz="0" w:space="0" w:color="auto"/>
            <w:right w:val="none" w:sz="0" w:space="0" w:color="auto"/>
          </w:divBdr>
        </w:div>
        <w:div w:id="7565479">
          <w:marLeft w:val="0"/>
          <w:marRight w:val="0"/>
          <w:marTop w:val="180"/>
          <w:marBottom w:val="0"/>
          <w:divBdr>
            <w:top w:val="none" w:sz="0" w:space="0" w:color="auto"/>
            <w:left w:val="none" w:sz="0" w:space="0" w:color="auto"/>
            <w:bottom w:val="none" w:sz="0" w:space="0" w:color="auto"/>
            <w:right w:val="none" w:sz="0" w:space="0" w:color="auto"/>
          </w:divBdr>
        </w:div>
      </w:divsChild>
    </w:div>
    <w:div w:id="1318345024">
      <w:marLeft w:val="0"/>
      <w:marRight w:val="0"/>
      <w:marTop w:val="0"/>
      <w:marBottom w:val="0"/>
      <w:divBdr>
        <w:top w:val="none" w:sz="0" w:space="0" w:color="auto"/>
        <w:left w:val="none" w:sz="0" w:space="0" w:color="auto"/>
        <w:bottom w:val="none" w:sz="0" w:space="0" w:color="auto"/>
        <w:right w:val="none" w:sz="0" w:space="0" w:color="auto"/>
      </w:divBdr>
    </w:div>
    <w:div w:id="1322924217">
      <w:marLeft w:val="0"/>
      <w:marRight w:val="0"/>
      <w:marTop w:val="0"/>
      <w:marBottom w:val="120"/>
      <w:divBdr>
        <w:top w:val="none" w:sz="0" w:space="0" w:color="auto"/>
        <w:left w:val="none" w:sz="0" w:space="0" w:color="auto"/>
        <w:bottom w:val="none" w:sz="0" w:space="0" w:color="auto"/>
        <w:right w:val="none" w:sz="0" w:space="0" w:color="auto"/>
      </w:divBdr>
    </w:div>
    <w:div w:id="1332755296">
      <w:marLeft w:val="0"/>
      <w:marRight w:val="0"/>
      <w:marTop w:val="200"/>
      <w:marBottom w:val="0"/>
      <w:divBdr>
        <w:top w:val="none" w:sz="0" w:space="0" w:color="auto"/>
        <w:left w:val="none" w:sz="0" w:space="0" w:color="auto"/>
        <w:bottom w:val="none" w:sz="0" w:space="0" w:color="auto"/>
        <w:right w:val="none" w:sz="0" w:space="0" w:color="auto"/>
      </w:divBdr>
    </w:div>
    <w:div w:id="1334988661">
      <w:marLeft w:val="0"/>
      <w:marRight w:val="0"/>
      <w:marTop w:val="0"/>
      <w:marBottom w:val="0"/>
      <w:divBdr>
        <w:top w:val="none" w:sz="0" w:space="0" w:color="auto"/>
        <w:left w:val="none" w:sz="0" w:space="0" w:color="auto"/>
        <w:bottom w:val="none" w:sz="0" w:space="0" w:color="auto"/>
        <w:right w:val="none" w:sz="0" w:space="0" w:color="auto"/>
      </w:divBdr>
      <w:divsChild>
        <w:div w:id="767576221">
          <w:marLeft w:val="0"/>
          <w:marRight w:val="0"/>
          <w:marTop w:val="0"/>
          <w:marBottom w:val="0"/>
          <w:divBdr>
            <w:top w:val="none" w:sz="0" w:space="0" w:color="auto"/>
            <w:left w:val="none" w:sz="0" w:space="0" w:color="auto"/>
            <w:bottom w:val="none" w:sz="0" w:space="0" w:color="auto"/>
            <w:right w:val="none" w:sz="0" w:space="0" w:color="auto"/>
          </w:divBdr>
        </w:div>
        <w:div w:id="1076783450">
          <w:marLeft w:val="0"/>
          <w:marRight w:val="0"/>
          <w:marTop w:val="180"/>
          <w:marBottom w:val="0"/>
          <w:divBdr>
            <w:top w:val="none" w:sz="0" w:space="0" w:color="auto"/>
            <w:left w:val="none" w:sz="0" w:space="0" w:color="auto"/>
            <w:bottom w:val="none" w:sz="0" w:space="0" w:color="auto"/>
            <w:right w:val="none" w:sz="0" w:space="0" w:color="auto"/>
          </w:divBdr>
        </w:div>
      </w:divsChild>
    </w:div>
    <w:div w:id="1342396022">
      <w:marLeft w:val="0"/>
      <w:marRight w:val="0"/>
      <w:marTop w:val="0"/>
      <w:marBottom w:val="0"/>
      <w:divBdr>
        <w:top w:val="none" w:sz="0" w:space="0" w:color="auto"/>
        <w:left w:val="none" w:sz="0" w:space="0" w:color="auto"/>
        <w:bottom w:val="none" w:sz="0" w:space="0" w:color="auto"/>
        <w:right w:val="none" w:sz="0" w:space="0" w:color="auto"/>
      </w:divBdr>
    </w:div>
    <w:div w:id="1342664541">
      <w:marLeft w:val="0"/>
      <w:marRight w:val="0"/>
      <w:marTop w:val="0"/>
      <w:marBottom w:val="160"/>
      <w:divBdr>
        <w:top w:val="none" w:sz="0" w:space="0" w:color="auto"/>
        <w:left w:val="none" w:sz="0" w:space="0" w:color="auto"/>
        <w:bottom w:val="none" w:sz="0" w:space="0" w:color="auto"/>
        <w:right w:val="none" w:sz="0" w:space="0" w:color="auto"/>
      </w:divBdr>
    </w:div>
    <w:div w:id="1347948306">
      <w:marLeft w:val="0"/>
      <w:marRight w:val="0"/>
      <w:marTop w:val="0"/>
      <w:marBottom w:val="0"/>
      <w:divBdr>
        <w:top w:val="none" w:sz="0" w:space="0" w:color="auto"/>
        <w:left w:val="none" w:sz="0" w:space="0" w:color="auto"/>
        <w:bottom w:val="none" w:sz="0" w:space="0" w:color="auto"/>
        <w:right w:val="none" w:sz="0" w:space="0" w:color="auto"/>
      </w:divBdr>
      <w:divsChild>
        <w:div w:id="849833126">
          <w:marLeft w:val="0"/>
          <w:marRight w:val="0"/>
          <w:marTop w:val="0"/>
          <w:marBottom w:val="0"/>
          <w:divBdr>
            <w:top w:val="none" w:sz="0" w:space="0" w:color="auto"/>
            <w:left w:val="none" w:sz="0" w:space="0" w:color="auto"/>
            <w:bottom w:val="none" w:sz="0" w:space="0" w:color="auto"/>
            <w:right w:val="none" w:sz="0" w:space="0" w:color="auto"/>
          </w:divBdr>
        </w:div>
        <w:div w:id="1148791506">
          <w:marLeft w:val="0"/>
          <w:marRight w:val="0"/>
          <w:marTop w:val="180"/>
          <w:marBottom w:val="0"/>
          <w:divBdr>
            <w:top w:val="none" w:sz="0" w:space="0" w:color="auto"/>
            <w:left w:val="none" w:sz="0" w:space="0" w:color="auto"/>
            <w:bottom w:val="none" w:sz="0" w:space="0" w:color="auto"/>
            <w:right w:val="none" w:sz="0" w:space="0" w:color="auto"/>
          </w:divBdr>
        </w:div>
      </w:divsChild>
    </w:div>
    <w:div w:id="1352340641">
      <w:marLeft w:val="0"/>
      <w:marRight w:val="0"/>
      <w:marTop w:val="100"/>
      <w:marBottom w:val="100"/>
      <w:divBdr>
        <w:top w:val="none" w:sz="0" w:space="0" w:color="auto"/>
        <w:left w:val="none" w:sz="0" w:space="0" w:color="auto"/>
        <w:bottom w:val="none" w:sz="0" w:space="0" w:color="auto"/>
        <w:right w:val="none" w:sz="0" w:space="0" w:color="auto"/>
      </w:divBdr>
    </w:div>
    <w:div w:id="1353531842">
      <w:marLeft w:val="0"/>
      <w:marRight w:val="0"/>
      <w:marTop w:val="100"/>
      <w:marBottom w:val="160"/>
      <w:divBdr>
        <w:top w:val="none" w:sz="0" w:space="0" w:color="auto"/>
        <w:left w:val="none" w:sz="0" w:space="0" w:color="auto"/>
        <w:bottom w:val="none" w:sz="0" w:space="0" w:color="auto"/>
        <w:right w:val="none" w:sz="0" w:space="0" w:color="auto"/>
      </w:divBdr>
    </w:div>
    <w:div w:id="1354726380">
      <w:marLeft w:val="0"/>
      <w:marRight w:val="0"/>
      <w:marTop w:val="0"/>
      <w:marBottom w:val="200"/>
      <w:divBdr>
        <w:top w:val="none" w:sz="0" w:space="0" w:color="auto"/>
        <w:left w:val="none" w:sz="0" w:space="0" w:color="auto"/>
        <w:bottom w:val="none" w:sz="0" w:space="0" w:color="auto"/>
        <w:right w:val="none" w:sz="0" w:space="0" w:color="auto"/>
      </w:divBdr>
    </w:div>
    <w:div w:id="1358001587">
      <w:marLeft w:val="0"/>
      <w:marRight w:val="0"/>
      <w:marTop w:val="0"/>
      <w:marBottom w:val="200"/>
      <w:divBdr>
        <w:top w:val="none" w:sz="0" w:space="0" w:color="auto"/>
        <w:left w:val="none" w:sz="0" w:space="0" w:color="auto"/>
        <w:bottom w:val="none" w:sz="0" w:space="0" w:color="auto"/>
        <w:right w:val="none" w:sz="0" w:space="0" w:color="auto"/>
      </w:divBdr>
    </w:div>
    <w:div w:id="1358963912">
      <w:marLeft w:val="0"/>
      <w:marRight w:val="0"/>
      <w:marTop w:val="100"/>
      <w:marBottom w:val="100"/>
      <w:divBdr>
        <w:top w:val="none" w:sz="0" w:space="0" w:color="auto"/>
        <w:left w:val="none" w:sz="0" w:space="0" w:color="auto"/>
        <w:bottom w:val="none" w:sz="0" w:space="0" w:color="auto"/>
        <w:right w:val="none" w:sz="0" w:space="0" w:color="auto"/>
      </w:divBdr>
    </w:div>
    <w:div w:id="1369376785">
      <w:marLeft w:val="0"/>
      <w:marRight w:val="0"/>
      <w:marTop w:val="0"/>
      <w:marBottom w:val="0"/>
      <w:divBdr>
        <w:top w:val="none" w:sz="0" w:space="0" w:color="auto"/>
        <w:left w:val="none" w:sz="0" w:space="0" w:color="auto"/>
        <w:bottom w:val="none" w:sz="0" w:space="0" w:color="auto"/>
        <w:right w:val="none" w:sz="0" w:space="0" w:color="auto"/>
      </w:divBdr>
      <w:divsChild>
        <w:div w:id="813647625">
          <w:marLeft w:val="0"/>
          <w:marRight w:val="0"/>
          <w:marTop w:val="0"/>
          <w:marBottom w:val="0"/>
          <w:divBdr>
            <w:top w:val="none" w:sz="0" w:space="0" w:color="auto"/>
            <w:left w:val="none" w:sz="0" w:space="0" w:color="auto"/>
            <w:bottom w:val="none" w:sz="0" w:space="0" w:color="auto"/>
            <w:right w:val="none" w:sz="0" w:space="0" w:color="auto"/>
          </w:divBdr>
        </w:div>
      </w:divsChild>
    </w:div>
    <w:div w:id="1374580522">
      <w:marLeft w:val="0"/>
      <w:marRight w:val="0"/>
      <w:marTop w:val="0"/>
      <w:marBottom w:val="0"/>
      <w:divBdr>
        <w:top w:val="none" w:sz="0" w:space="0" w:color="auto"/>
        <w:left w:val="none" w:sz="0" w:space="0" w:color="auto"/>
        <w:bottom w:val="none" w:sz="0" w:space="0" w:color="auto"/>
        <w:right w:val="none" w:sz="0" w:space="0" w:color="auto"/>
      </w:divBdr>
      <w:divsChild>
        <w:div w:id="2107186610">
          <w:marLeft w:val="0"/>
          <w:marRight w:val="0"/>
          <w:marTop w:val="0"/>
          <w:marBottom w:val="0"/>
          <w:divBdr>
            <w:top w:val="none" w:sz="0" w:space="0" w:color="auto"/>
            <w:left w:val="none" w:sz="0" w:space="0" w:color="auto"/>
            <w:bottom w:val="none" w:sz="0" w:space="0" w:color="auto"/>
            <w:right w:val="none" w:sz="0" w:space="0" w:color="auto"/>
          </w:divBdr>
        </w:div>
      </w:divsChild>
    </w:div>
    <w:div w:id="1379552891">
      <w:marLeft w:val="0"/>
      <w:marRight w:val="0"/>
      <w:marTop w:val="0"/>
      <w:marBottom w:val="0"/>
      <w:divBdr>
        <w:top w:val="none" w:sz="0" w:space="0" w:color="auto"/>
        <w:left w:val="none" w:sz="0" w:space="0" w:color="auto"/>
        <w:bottom w:val="none" w:sz="0" w:space="0" w:color="auto"/>
        <w:right w:val="none" w:sz="0" w:space="0" w:color="auto"/>
      </w:divBdr>
      <w:divsChild>
        <w:div w:id="1375738527">
          <w:marLeft w:val="0"/>
          <w:marRight w:val="0"/>
          <w:marTop w:val="0"/>
          <w:marBottom w:val="0"/>
          <w:divBdr>
            <w:top w:val="none" w:sz="0" w:space="0" w:color="auto"/>
            <w:left w:val="none" w:sz="0" w:space="0" w:color="auto"/>
            <w:bottom w:val="none" w:sz="0" w:space="0" w:color="auto"/>
            <w:right w:val="none" w:sz="0" w:space="0" w:color="auto"/>
          </w:divBdr>
        </w:div>
      </w:divsChild>
    </w:div>
    <w:div w:id="1382052802">
      <w:marLeft w:val="0"/>
      <w:marRight w:val="0"/>
      <w:marTop w:val="0"/>
      <w:marBottom w:val="200"/>
      <w:divBdr>
        <w:top w:val="none" w:sz="0" w:space="0" w:color="auto"/>
        <w:left w:val="none" w:sz="0" w:space="0" w:color="auto"/>
        <w:bottom w:val="none" w:sz="0" w:space="0" w:color="auto"/>
        <w:right w:val="none" w:sz="0" w:space="0" w:color="auto"/>
      </w:divBdr>
    </w:div>
    <w:div w:id="1382899407">
      <w:marLeft w:val="0"/>
      <w:marRight w:val="0"/>
      <w:marTop w:val="100"/>
      <w:marBottom w:val="100"/>
      <w:divBdr>
        <w:top w:val="none" w:sz="0" w:space="0" w:color="auto"/>
        <w:left w:val="none" w:sz="0" w:space="0" w:color="auto"/>
        <w:bottom w:val="none" w:sz="0" w:space="0" w:color="auto"/>
        <w:right w:val="none" w:sz="0" w:space="0" w:color="auto"/>
      </w:divBdr>
    </w:div>
    <w:div w:id="1383216169">
      <w:marLeft w:val="0"/>
      <w:marRight w:val="0"/>
      <w:marTop w:val="0"/>
      <w:marBottom w:val="0"/>
      <w:divBdr>
        <w:top w:val="none" w:sz="0" w:space="0" w:color="auto"/>
        <w:left w:val="none" w:sz="0" w:space="0" w:color="auto"/>
        <w:bottom w:val="none" w:sz="0" w:space="0" w:color="auto"/>
        <w:right w:val="none" w:sz="0" w:space="0" w:color="auto"/>
      </w:divBdr>
      <w:divsChild>
        <w:div w:id="1647515405">
          <w:marLeft w:val="0"/>
          <w:marRight w:val="0"/>
          <w:marTop w:val="0"/>
          <w:marBottom w:val="0"/>
          <w:divBdr>
            <w:top w:val="none" w:sz="0" w:space="0" w:color="auto"/>
            <w:left w:val="none" w:sz="0" w:space="0" w:color="auto"/>
            <w:bottom w:val="none" w:sz="0" w:space="0" w:color="auto"/>
            <w:right w:val="none" w:sz="0" w:space="0" w:color="auto"/>
          </w:divBdr>
        </w:div>
      </w:divsChild>
    </w:div>
    <w:div w:id="1384521254">
      <w:marLeft w:val="0"/>
      <w:marRight w:val="0"/>
      <w:marTop w:val="0"/>
      <w:marBottom w:val="0"/>
      <w:divBdr>
        <w:top w:val="none" w:sz="0" w:space="0" w:color="auto"/>
        <w:left w:val="none" w:sz="0" w:space="0" w:color="auto"/>
        <w:bottom w:val="none" w:sz="0" w:space="0" w:color="auto"/>
        <w:right w:val="none" w:sz="0" w:space="0" w:color="auto"/>
      </w:divBdr>
      <w:divsChild>
        <w:div w:id="1486968216">
          <w:marLeft w:val="0"/>
          <w:marRight w:val="0"/>
          <w:marTop w:val="0"/>
          <w:marBottom w:val="0"/>
          <w:divBdr>
            <w:top w:val="none" w:sz="0" w:space="0" w:color="auto"/>
            <w:left w:val="none" w:sz="0" w:space="0" w:color="auto"/>
            <w:bottom w:val="none" w:sz="0" w:space="0" w:color="auto"/>
            <w:right w:val="none" w:sz="0" w:space="0" w:color="auto"/>
          </w:divBdr>
        </w:div>
      </w:divsChild>
    </w:div>
    <w:div w:id="1385372165">
      <w:marLeft w:val="0"/>
      <w:marRight w:val="0"/>
      <w:marTop w:val="100"/>
      <w:marBottom w:val="100"/>
      <w:divBdr>
        <w:top w:val="none" w:sz="0" w:space="0" w:color="auto"/>
        <w:left w:val="none" w:sz="0" w:space="0" w:color="auto"/>
        <w:bottom w:val="none" w:sz="0" w:space="0" w:color="auto"/>
        <w:right w:val="none" w:sz="0" w:space="0" w:color="auto"/>
      </w:divBdr>
      <w:divsChild>
        <w:div w:id="1444301046">
          <w:marLeft w:val="0"/>
          <w:marRight w:val="0"/>
          <w:marTop w:val="0"/>
          <w:marBottom w:val="0"/>
          <w:divBdr>
            <w:top w:val="none" w:sz="0" w:space="0" w:color="auto"/>
            <w:left w:val="none" w:sz="0" w:space="0" w:color="auto"/>
            <w:bottom w:val="none" w:sz="0" w:space="0" w:color="auto"/>
            <w:right w:val="none" w:sz="0" w:space="0" w:color="auto"/>
          </w:divBdr>
        </w:div>
      </w:divsChild>
    </w:div>
    <w:div w:id="1387878961">
      <w:marLeft w:val="0"/>
      <w:marRight w:val="0"/>
      <w:marTop w:val="0"/>
      <w:marBottom w:val="0"/>
      <w:divBdr>
        <w:top w:val="none" w:sz="0" w:space="0" w:color="auto"/>
        <w:left w:val="none" w:sz="0" w:space="0" w:color="auto"/>
        <w:bottom w:val="none" w:sz="0" w:space="0" w:color="auto"/>
        <w:right w:val="none" w:sz="0" w:space="0" w:color="auto"/>
      </w:divBdr>
      <w:divsChild>
        <w:div w:id="1594514043">
          <w:marLeft w:val="0"/>
          <w:marRight w:val="0"/>
          <w:marTop w:val="0"/>
          <w:marBottom w:val="0"/>
          <w:divBdr>
            <w:top w:val="none" w:sz="0" w:space="0" w:color="auto"/>
            <w:left w:val="none" w:sz="0" w:space="0" w:color="auto"/>
            <w:bottom w:val="none" w:sz="0" w:space="0" w:color="auto"/>
            <w:right w:val="none" w:sz="0" w:space="0" w:color="auto"/>
          </w:divBdr>
        </w:div>
      </w:divsChild>
    </w:div>
    <w:div w:id="1393038050">
      <w:marLeft w:val="0"/>
      <w:marRight w:val="0"/>
      <w:marTop w:val="200"/>
      <w:marBottom w:val="0"/>
      <w:divBdr>
        <w:top w:val="none" w:sz="0" w:space="0" w:color="auto"/>
        <w:left w:val="none" w:sz="0" w:space="0" w:color="auto"/>
        <w:bottom w:val="none" w:sz="0" w:space="0" w:color="auto"/>
        <w:right w:val="none" w:sz="0" w:space="0" w:color="auto"/>
      </w:divBdr>
    </w:div>
    <w:div w:id="1403677839">
      <w:marLeft w:val="0"/>
      <w:marRight w:val="0"/>
      <w:marTop w:val="0"/>
      <w:marBottom w:val="200"/>
      <w:divBdr>
        <w:top w:val="none" w:sz="0" w:space="0" w:color="auto"/>
        <w:left w:val="none" w:sz="0" w:space="0" w:color="auto"/>
        <w:bottom w:val="none" w:sz="0" w:space="0" w:color="auto"/>
        <w:right w:val="none" w:sz="0" w:space="0" w:color="auto"/>
      </w:divBdr>
    </w:div>
    <w:div w:id="1408764738">
      <w:marLeft w:val="0"/>
      <w:marRight w:val="0"/>
      <w:marTop w:val="0"/>
      <w:marBottom w:val="0"/>
      <w:divBdr>
        <w:top w:val="none" w:sz="0" w:space="0" w:color="auto"/>
        <w:left w:val="none" w:sz="0" w:space="0" w:color="auto"/>
        <w:bottom w:val="none" w:sz="0" w:space="0" w:color="auto"/>
        <w:right w:val="none" w:sz="0" w:space="0" w:color="auto"/>
      </w:divBdr>
      <w:divsChild>
        <w:div w:id="1360427352">
          <w:marLeft w:val="0"/>
          <w:marRight w:val="0"/>
          <w:marTop w:val="0"/>
          <w:marBottom w:val="0"/>
          <w:divBdr>
            <w:top w:val="none" w:sz="0" w:space="0" w:color="auto"/>
            <w:left w:val="none" w:sz="0" w:space="0" w:color="auto"/>
            <w:bottom w:val="none" w:sz="0" w:space="0" w:color="auto"/>
            <w:right w:val="none" w:sz="0" w:space="0" w:color="auto"/>
          </w:divBdr>
        </w:div>
      </w:divsChild>
    </w:div>
    <w:div w:id="1413039929">
      <w:marLeft w:val="0"/>
      <w:marRight w:val="0"/>
      <w:marTop w:val="0"/>
      <w:marBottom w:val="0"/>
      <w:divBdr>
        <w:top w:val="none" w:sz="0" w:space="0" w:color="auto"/>
        <w:left w:val="none" w:sz="0" w:space="0" w:color="auto"/>
        <w:bottom w:val="none" w:sz="0" w:space="0" w:color="auto"/>
        <w:right w:val="none" w:sz="0" w:space="0" w:color="auto"/>
      </w:divBdr>
      <w:divsChild>
        <w:div w:id="1132403112">
          <w:marLeft w:val="0"/>
          <w:marRight w:val="0"/>
          <w:marTop w:val="0"/>
          <w:marBottom w:val="0"/>
          <w:divBdr>
            <w:top w:val="none" w:sz="0" w:space="0" w:color="auto"/>
            <w:left w:val="none" w:sz="0" w:space="0" w:color="auto"/>
            <w:bottom w:val="none" w:sz="0" w:space="0" w:color="auto"/>
            <w:right w:val="none" w:sz="0" w:space="0" w:color="auto"/>
          </w:divBdr>
        </w:div>
      </w:divsChild>
    </w:div>
    <w:div w:id="1415856132">
      <w:marLeft w:val="0"/>
      <w:marRight w:val="0"/>
      <w:marTop w:val="0"/>
      <w:marBottom w:val="0"/>
      <w:divBdr>
        <w:top w:val="none" w:sz="0" w:space="0" w:color="auto"/>
        <w:left w:val="none" w:sz="0" w:space="0" w:color="auto"/>
        <w:bottom w:val="none" w:sz="0" w:space="0" w:color="auto"/>
        <w:right w:val="none" w:sz="0" w:space="0" w:color="auto"/>
      </w:divBdr>
      <w:divsChild>
        <w:div w:id="733966490">
          <w:marLeft w:val="0"/>
          <w:marRight w:val="0"/>
          <w:marTop w:val="0"/>
          <w:marBottom w:val="0"/>
          <w:divBdr>
            <w:top w:val="none" w:sz="0" w:space="0" w:color="auto"/>
            <w:left w:val="none" w:sz="0" w:space="0" w:color="auto"/>
            <w:bottom w:val="none" w:sz="0" w:space="0" w:color="auto"/>
            <w:right w:val="none" w:sz="0" w:space="0" w:color="auto"/>
          </w:divBdr>
        </w:div>
        <w:div w:id="1979800291">
          <w:marLeft w:val="0"/>
          <w:marRight w:val="0"/>
          <w:marTop w:val="180"/>
          <w:marBottom w:val="0"/>
          <w:divBdr>
            <w:top w:val="none" w:sz="0" w:space="0" w:color="auto"/>
            <w:left w:val="none" w:sz="0" w:space="0" w:color="auto"/>
            <w:bottom w:val="none" w:sz="0" w:space="0" w:color="auto"/>
            <w:right w:val="none" w:sz="0" w:space="0" w:color="auto"/>
          </w:divBdr>
        </w:div>
      </w:divsChild>
    </w:div>
    <w:div w:id="142600239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sChild>
        <w:div w:id="672802974">
          <w:marLeft w:val="0"/>
          <w:marRight w:val="0"/>
          <w:marTop w:val="0"/>
          <w:marBottom w:val="0"/>
          <w:divBdr>
            <w:top w:val="none" w:sz="0" w:space="0" w:color="auto"/>
            <w:left w:val="none" w:sz="0" w:space="0" w:color="auto"/>
            <w:bottom w:val="none" w:sz="0" w:space="0" w:color="auto"/>
            <w:right w:val="none" w:sz="0" w:space="0" w:color="auto"/>
          </w:divBdr>
        </w:div>
      </w:divsChild>
    </w:div>
    <w:div w:id="1441412270">
      <w:marLeft w:val="0"/>
      <w:marRight w:val="0"/>
      <w:marTop w:val="0"/>
      <w:marBottom w:val="160"/>
      <w:divBdr>
        <w:top w:val="none" w:sz="0" w:space="0" w:color="auto"/>
        <w:left w:val="none" w:sz="0" w:space="0" w:color="auto"/>
        <w:bottom w:val="none" w:sz="0" w:space="0" w:color="auto"/>
        <w:right w:val="none" w:sz="0" w:space="0" w:color="auto"/>
      </w:divBdr>
    </w:div>
    <w:div w:id="1447702277">
      <w:marLeft w:val="0"/>
      <w:marRight w:val="0"/>
      <w:marTop w:val="0"/>
      <w:marBottom w:val="0"/>
      <w:divBdr>
        <w:top w:val="none" w:sz="0" w:space="0" w:color="auto"/>
        <w:left w:val="none" w:sz="0" w:space="0" w:color="auto"/>
        <w:bottom w:val="none" w:sz="0" w:space="0" w:color="auto"/>
        <w:right w:val="none" w:sz="0" w:space="0" w:color="auto"/>
      </w:divBdr>
    </w:div>
    <w:div w:id="1448039833">
      <w:marLeft w:val="0"/>
      <w:marRight w:val="0"/>
      <w:marTop w:val="0"/>
      <w:marBottom w:val="0"/>
      <w:divBdr>
        <w:top w:val="none" w:sz="0" w:space="0" w:color="auto"/>
        <w:left w:val="none" w:sz="0" w:space="0" w:color="auto"/>
        <w:bottom w:val="none" w:sz="0" w:space="0" w:color="auto"/>
        <w:right w:val="none" w:sz="0" w:space="0" w:color="auto"/>
      </w:divBdr>
      <w:divsChild>
        <w:div w:id="2058122043">
          <w:marLeft w:val="0"/>
          <w:marRight w:val="0"/>
          <w:marTop w:val="0"/>
          <w:marBottom w:val="0"/>
          <w:divBdr>
            <w:top w:val="none" w:sz="0" w:space="0" w:color="auto"/>
            <w:left w:val="none" w:sz="0" w:space="0" w:color="auto"/>
            <w:bottom w:val="none" w:sz="0" w:space="0" w:color="auto"/>
            <w:right w:val="none" w:sz="0" w:space="0" w:color="auto"/>
          </w:divBdr>
        </w:div>
      </w:divsChild>
    </w:div>
    <w:div w:id="1449425878">
      <w:marLeft w:val="0"/>
      <w:marRight w:val="0"/>
      <w:marTop w:val="0"/>
      <w:marBottom w:val="0"/>
      <w:divBdr>
        <w:top w:val="none" w:sz="0" w:space="0" w:color="auto"/>
        <w:left w:val="none" w:sz="0" w:space="0" w:color="auto"/>
        <w:bottom w:val="none" w:sz="0" w:space="0" w:color="auto"/>
        <w:right w:val="none" w:sz="0" w:space="0" w:color="auto"/>
      </w:divBdr>
      <w:divsChild>
        <w:div w:id="137378756">
          <w:marLeft w:val="0"/>
          <w:marRight w:val="0"/>
          <w:marTop w:val="0"/>
          <w:marBottom w:val="0"/>
          <w:divBdr>
            <w:top w:val="none" w:sz="0" w:space="0" w:color="auto"/>
            <w:left w:val="none" w:sz="0" w:space="0" w:color="auto"/>
            <w:bottom w:val="none" w:sz="0" w:space="0" w:color="auto"/>
            <w:right w:val="none" w:sz="0" w:space="0" w:color="auto"/>
          </w:divBdr>
        </w:div>
        <w:div w:id="1671639686">
          <w:marLeft w:val="0"/>
          <w:marRight w:val="0"/>
          <w:marTop w:val="180"/>
          <w:marBottom w:val="0"/>
          <w:divBdr>
            <w:top w:val="none" w:sz="0" w:space="0" w:color="auto"/>
            <w:left w:val="none" w:sz="0" w:space="0" w:color="auto"/>
            <w:bottom w:val="none" w:sz="0" w:space="0" w:color="auto"/>
            <w:right w:val="none" w:sz="0" w:space="0" w:color="auto"/>
          </w:divBdr>
        </w:div>
      </w:divsChild>
    </w:div>
    <w:div w:id="1457483253">
      <w:marLeft w:val="0"/>
      <w:marRight w:val="0"/>
      <w:marTop w:val="0"/>
      <w:marBottom w:val="0"/>
      <w:divBdr>
        <w:top w:val="none" w:sz="0" w:space="0" w:color="auto"/>
        <w:left w:val="none" w:sz="0" w:space="0" w:color="auto"/>
        <w:bottom w:val="none" w:sz="0" w:space="0" w:color="auto"/>
        <w:right w:val="none" w:sz="0" w:space="0" w:color="auto"/>
      </w:divBdr>
    </w:div>
    <w:div w:id="1458142521">
      <w:marLeft w:val="0"/>
      <w:marRight w:val="0"/>
      <w:marTop w:val="0"/>
      <w:marBottom w:val="0"/>
      <w:divBdr>
        <w:top w:val="none" w:sz="0" w:space="0" w:color="auto"/>
        <w:left w:val="none" w:sz="0" w:space="0" w:color="auto"/>
        <w:bottom w:val="none" w:sz="0" w:space="0" w:color="auto"/>
        <w:right w:val="none" w:sz="0" w:space="0" w:color="auto"/>
      </w:divBdr>
    </w:div>
    <w:div w:id="1460338914">
      <w:marLeft w:val="0"/>
      <w:marRight w:val="0"/>
      <w:marTop w:val="100"/>
      <w:marBottom w:val="100"/>
      <w:divBdr>
        <w:top w:val="none" w:sz="0" w:space="0" w:color="auto"/>
        <w:left w:val="none" w:sz="0" w:space="0" w:color="auto"/>
        <w:bottom w:val="none" w:sz="0" w:space="0" w:color="auto"/>
        <w:right w:val="none" w:sz="0" w:space="0" w:color="auto"/>
      </w:divBdr>
    </w:div>
    <w:div w:id="1460681352">
      <w:marLeft w:val="0"/>
      <w:marRight w:val="0"/>
      <w:marTop w:val="0"/>
      <w:marBottom w:val="0"/>
      <w:divBdr>
        <w:top w:val="none" w:sz="0" w:space="0" w:color="auto"/>
        <w:left w:val="none" w:sz="0" w:space="0" w:color="auto"/>
        <w:bottom w:val="none" w:sz="0" w:space="0" w:color="auto"/>
        <w:right w:val="none" w:sz="0" w:space="0" w:color="auto"/>
      </w:divBdr>
      <w:divsChild>
        <w:div w:id="740493261">
          <w:marLeft w:val="0"/>
          <w:marRight w:val="0"/>
          <w:marTop w:val="0"/>
          <w:marBottom w:val="0"/>
          <w:divBdr>
            <w:top w:val="none" w:sz="0" w:space="0" w:color="auto"/>
            <w:left w:val="none" w:sz="0" w:space="0" w:color="auto"/>
            <w:bottom w:val="none" w:sz="0" w:space="0" w:color="auto"/>
            <w:right w:val="none" w:sz="0" w:space="0" w:color="auto"/>
          </w:divBdr>
        </w:div>
      </w:divsChild>
    </w:div>
    <w:div w:id="1476878373">
      <w:marLeft w:val="0"/>
      <w:marRight w:val="0"/>
      <w:marTop w:val="0"/>
      <w:marBottom w:val="0"/>
      <w:divBdr>
        <w:top w:val="none" w:sz="0" w:space="0" w:color="auto"/>
        <w:left w:val="none" w:sz="0" w:space="0" w:color="auto"/>
        <w:bottom w:val="none" w:sz="0" w:space="0" w:color="auto"/>
        <w:right w:val="none" w:sz="0" w:space="0" w:color="auto"/>
      </w:divBdr>
      <w:divsChild>
        <w:div w:id="1462502122">
          <w:marLeft w:val="0"/>
          <w:marRight w:val="0"/>
          <w:marTop w:val="0"/>
          <w:marBottom w:val="0"/>
          <w:divBdr>
            <w:top w:val="none" w:sz="0" w:space="0" w:color="auto"/>
            <w:left w:val="none" w:sz="0" w:space="0" w:color="auto"/>
            <w:bottom w:val="none" w:sz="0" w:space="0" w:color="auto"/>
            <w:right w:val="none" w:sz="0" w:space="0" w:color="auto"/>
          </w:divBdr>
        </w:div>
        <w:div w:id="1526019698">
          <w:marLeft w:val="0"/>
          <w:marRight w:val="0"/>
          <w:marTop w:val="0"/>
          <w:marBottom w:val="0"/>
          <w:divBdr>
            <w:top w:val="none" w:sz="0" w:space="0" w:color="auto"/>
            <w:left w:val="none" w:sz="0" w:space="0" w:color="auto"/>
            <w:bottom w:val="none" w:sz="0" w:space="0" w:color="auto"/>
            <w:right w:val="none" w:sz="0" w:space="0" w:color="auto"/>
          </w:divBdr>
        </w:div>
      </w:divsChild>
    </w:div>
    <w:div w:id="1483696672">
      <w:marLeft w:val="0"/>
      <w:marRight w:val="0"/>
      <w:marTop w:val="0"/>
      <w:marBottom w:val="0"/>
      <w:divBdr>
        <w:top w:val="none" w:sz="0" w:space="0" w:color="auto"/>
        <w:left w:val="none" w:sz="0" w:space="0" w:color="auto"/>
        <w:bottom w:val="none" w:sz="0" w:space="0" w:color="auto"/>
        <w:right w:val="none" w:sz="0" w:space="0" w:color="auto"/>
      </w:divBdr>
    </w:div>
    <w:div w:id="1493985753">
      <w:marLeft w:val="0"/>
      <w:marRight w:val="0"/>
      <w:marTop w:val="0"/>
      <w:marBottom w:val="0"/>
      <w:divBdr>
        <w:top w:val="none" w:sz="0" w:space="0" w:color="auto"/>
        <w:left w:val="none" w:sz="0" w:space="0" w:color="auto"/>
        <w:bottom w:val="none" w:sz="0" w:space="0" w:color="auto"/>
        <w:right w:val="none" w:sz="0" w:space="0" w:color="auto"/>
      </w:divBdr>
      <w:divsChild>
        <w:div w:id="725566131">
          <w:marLeft w:val="0"/>
          <w:marRight w:val="0"/>
          <w:marTop w:val="0"/>
          <w:marBottom w:val="0"/>
          <w:divBdr>
            <w:top w:val="none" w:sz="0" w:space="0" w:color="auto"/>
            <w:left w:val="none" w:sz="0" w:space="0" w:color="auto"/>
            <w:bottom w:val="none" w:sz="0" w:space="0" w:color="auto"/>
            <w:right w:val="none" w:sz="0" w:space="0" w:color="auto"/>
          </w:divBdr>
        </w:div>
      </w:divsChild>
    </w:div>
    <w:div w:id="1498233621">
      <w:marLeft w:val="0"/>
      <w:marRight w:val="0"/>
      <w:marTop w:val="0"/>
      <w:marBottom w:val="200"/>
      <w:divBdr>
        <w:top w:val="none" w:sz="0" w:space="0" w:color="auto"/>
        <w:left w:val="none" w:sz="0" w:space="0" w:color="auto"/>
        <w:bottom w:val="none" w:sz="0" w:space="0" w:color="auto"/>
        <w:right w:val="none" w:sz="0" w:space="0" w:color="auto"/>
      </w:divBdr>
    </w:div>
    <w:div w:id="1514491636">
      <w:marLeft w:val="0"/>
      <w:marRight w:val="0"/>
      <w:marTop w:val="0"/>
      <w:marBottom w:val="0"/>
      <w:divBdr>
        <w:top w:val="none" w:sz="0" w:space="0" w:color="auto"/>
        <w:left w:val="none" w:sz="0" w:space="0" w:color="auto"/>
        <w:bottom w:val="none" w:sz="0" w:space="0" w:color="auto"/>
        <w:right w:val="none" w:sz="0" w:space="0" w:color="auto"/>
      </w:divBdr>
    </w:div>
    <w:div w:id="1515460054">
      <w:marLeft w:val="0"/>
      <w:marRight w:val="0"/>
      <w:marTop w:val="200"/>
      <w:marBottom w:val="0"/>
      <w:divBdr>
        <w:top w:val="none" w:sz="0" w:space="0" w:color="auto"/>
        <w:left w:val="none" w:sz="0" w:space="0" w:color="auto"/>
        <w:bottom w:val="none" w:sz="0" w:space="0" w:color="auto"/>
        <w:right w:val="none" w:sz="0" w:space="0" w:color="auto"/>
      </w:divBdr>
    </w:div>
    <w:div w:id="1515919653">
      <w:marLeft w:val="0"/>
      <w:marRight w:val="0"/>
      <w:marTop w:val="0"/>
      <w:marBottom w:val="200"/>
      <w:divBdr>
        <w:top w:val="none" w:sz="0" w:space="0" w:color="auto"/>
        <w:left w:val="none" w:sz="0" w:space="0" w:color="auto"/>
        <w:bottom w:val="none" w:sz="0" w:space="0" w:color="auto"/>
        <w:right w:val="none" w:sz="0" w:space="0" w:color="auto"/>
      </w:divBdr>
    </w:div>
    <w:div w:id="1516765934">
      <w:marLeft w:val="0"/>
      <w:marRight w:val="0"/>
      <w:marTop w:val="0"/>
      <w:marBottom w:val="200"/>
      <w:divBdr>
        <w:top w:val="none" w:sz="0" w:space="0" w:color="auto"/>
        <w:left w:val="none" w:sz="0" w:space="0" w:color="auto"/>
        <w:bottom w:val="none" w:sz="0" w:space="0" w:color="auto"/>
        <w:right w:val="none" w:sz="0" w:space="0" w:color="auto"/>
      </w:divBdr>
    </w:div>
    <w:div w:id="1521972672">
      <w:marLeft w:val="0"/>
      <w:marRight w:val="0"/>
      <w:marTop w:val="0"/>
      <w:marBottom w:val="0"/>
      <w:divBdr>
        <w:top w:val="none" w:sz="0" w:space="0" w:color="auto"/>
        <w:left w:val="none" w:sz="0" w:space="0" w:color="auto"/>
        <w:bottom w:val="none" w:sz="0" w:space="0" w:color="auto"/>
        <w:right w:val="none" w:sz="0" w:space="0" w:color="auto"/>
      </w:divBdr>
    </w:div>
    <w:div w:id="1525678568">
      <w:marLeft w:val="0"/>
      <w:marRight w:val="0"/>
      <w:marTop w:val="0"/>
      <w:marBottom w:val="0"/>
      <w:divBdr>
        <w:top w:val="none" w:sz="0" w:space="0" w:color="auto"/>
        <w:left w:val="none" w:sz="0" w:space="0" w:color="auto"/>
        <w:bottom w:val="none" w:sz="0" w:space="0" w:color="auto"/>
        <w:right w:val="none" w:sz="0" w:space="0" w:color="auto"/>
      </w:divBdr>
    </w:div>
    <w:div w:id="1526749930">
      <w:marLeft w:val="0"/>
      <w:marRight w:val="0"/>
      <w:marTop w:val="0"/>
      <w:marBottom w:val="0"/>
      <w:divBdr>
        <w:top w:val="none" w:sz="0" w:space="0" w:color="auto"/>
        <w:left w:val="none" w:sz="0" w:space="0" w:color="auto"/>
        <w:bottom w:val="none" w:sz="0" w:space="0" w:color="auto"/>
        <w:right w:val="none" w:sz="0" w:space="0" w:color="auto"/>
      </w:divBdr>
      <w:divsChild>
        <w:div w:id="228227502">
          <w:marLeft w:val="0"/>
          <w:marRight w:val="0"/>
          <w:marTop w:val="0"/>
          <w:marBottom w:val="0"/>
          <w:divBdr>
            <w:top w:val="none" w:sz="0" w:space="0" w:color="auto"/>
            <w:left w:val="none" w:sz="0" w:space="0" w:color="auto"/>
            <w:bottom w:val="none" w:sz="0" w:space="0" w:color="auto"/>
            <w:right w:val="none" w:sz="0" w:space="0" w:color="auto"/>
          </w:divBdr>
        </w:div>
        <w:div w:id="955868977">
          <w:marLeft w:val="0"/>
          <w:marRight w:val="0"/>
          <w:marTop w:val="0"/>
          <w:marBottom w:val="0"/>
          <w:divBdr>
            <w:top w:val="none" w:sz="0" w:space="0" w:color="auto"/>
            <w:left w:val="none" w:sz="0" w:space="0" w:color="auto"/>
            <w:bottom w:val="none" w:sz="0" w:space="0" w:color="auto"/>
            <w:right w:val="none" w:sz="0" w:space="0" w:color="auto"/>
          </w:divBdr>
        </w:div>
      </w:divsChild>
    </w:div>
    <w:div w:id="1529483475">
      <w:marLeft w:val="0"/>
      <w:marRight w:val="0"/>
      <w:marTop w:val="0"/>
      <w:marBottom w:val="0"/>
      <w:divBdr>
        <w:top w:val="none" w:sz="0" w:space="0" w:color="auto"/>
        <w:left w:val="none" w:sz="0" w:space="0" w:color="auto"/>
        <w:bottom w:val="none" w:sz="0" w:space="0" w:color="auto"/>
        <w:right w:val="none" w:sz="0" w:space="0" w:color="auto"/>
      </w:divBdr>
    </w:div>
    <w:div w:id="1529488988">
      <w:marLeft w:val="0"/>
      <w:marRight w:val="0"/>
      <w:marTop w:val="0"/>
      <w:marBottom w:val="0"/>
      <w:divBdr>
        <w:top w:val="none" w:sz="0" w:space="0" w:color="auto"/>
        <w:left w:val="none" w:sz="0" w:space="0" w:color="auto"/>
        <w:bottom w:val="none" w:sz="0" w:space="0" w:color="auto"/>
        <w:right w:val="none" w:sz="0" w:space="0" w:color="auto"/>
      </w:divBdr>
      <w:divsChild>
        <w:div w:id="1129123957">
          <w:marLeft w:val="0"/>
          <w:marRight w:val="0"/>
          <w:marTop w:val="0"/>
          <w:marBottom w:val="0"/>
          <w:divBdr>
            <w:top w:val="none" w:sz="0" w:space="0" w:color="auto"/>
            <w:left w:val="none" w:sz="0" w:space="0" w:color="auto"/>
            <w:bottom w:val="none" w:sz="0" w:space="0" w:color="auto"/>
            <w:right w:val="none" w:sz="0" w:space="0" w:color="auto"/>
          </w:divBdr>
        </w:div>
      </w:divsChild>
    </w:div>
    <w:div w:id="1534221647">
      <w:marLeft w:val="0"/>
      <w:marRight w:val="0"/>
      <w:marTop w:val="0"/>
      <w:marBottom w:val="0"/>
      <w:divBdr>
        <w:top w:val="none" w:sz="0" w:space="0" w:color="auto"/>
        <w:left w:val="none" w:sz="0" w:space="0" w:color="auto"/>
        <w:bottom w:val="none" w:sz="0" w:space="0" w:color="auto"/>
        <w:right w:val="none" w:sz="0" w:space="0" w:color="auto"/>
      </w:divBdr>
      <w:divsChild>
        <w:div w:id="1420367679">
          <w:marLeft w:val="0"/>
          <w:marRight w:val="0"/>
          <w:marTop w:val="0"/>
          <w:marBottom w:val="0"/>
          <w:divBdr>
            <w:top w:val="none" w:sz="0" w:space="0" w:color="auto"/>
            <w:left w:val="none" w:sz="0" w:space="0" w:color="auto"/>
            <w:bottom w:val="none" w:sz="0" w:space="0" w:color="auto"/>
            <w:right w:val="none" w:sz="0" w:space="0" w:color="auto"/>
          </w:divBdr>
        </w:div>
      </w:divsChild>
    </w:div>
    <w:div w:id="1534996605">
      <w:marLeft w:val="0"/>
      <w:marRight w:val="0"/>
      <w:marTop w:val="0"/>
      <w:marBottom w:val="0"/>
      <w:divBdr>
        <w:top w:val="none" w:sz="0" w:space="0" w:color="auto"/>
        <w:left w:val="none" w:sz="0" w:space="0" w:color="auto"/>
        <w:bottom w:val="none" w:sz="0" w:space="0" w:color="auto"/>
        <w:right w:val="none" w:sz="0" w:space="0" w:color="auto"/>
      </w:divBdr>
      <w:divsChild>
        <w:div w:id="234974571">
          <w:marLeft w:val="0"/>
          <w:marRight w:val="0"/>
          <w:marTop w:val="0"/>
          <w:marBottom w:val="0"/>
          <w:divBdr>
            <w:top w:val="none" w:sz="0" w:space="0" w:color="auto"/>
            <w:left w:val="none" w:sz="0" w:space="0" w:color="auto"/>
            <w:bottom w:val="none" w:sz="0" w:space="0" w:color="auto"/>
            <w:right w:val="none" w:sz="0" w:space="0" w:color="auto"/>
          </w:divBdr>
        </w:div>
      </w:divsChild>
    </w:div>
    <w:div w:id="1546063499">
      <w:marLeft w:val="0"/>
      <w:marRight w:val="0"/>
      <w:marTop w:val="100"/>
      <w:marBottom w:val="0"/>
      <w:divBdr>
        <w:top w:val="none" w:sz="0" w:space="0" w:color="auto"/>
        <w:left w:val="none" w:sz="0" w:space="0" w:color="auto"/>
        <w:bottom w:val="none" w:sz="0" w:space="0" w:color="auto"/>
        <w:right w:val="none" w:sz="0" w:space="0" w:color="auto"/>
      </w:divBdr>
    </w:div>
    <w:div w:id="1549878871">
      <w:marLeft w:val="0"/>
      <w:marRight w:val="0"/>
      <w:marTop w:val="0"/>
      <w:marBottom w:val="200"/>
      <w:divBdr>
        <w:top w:val="none" w:sz="0" w:space="0" w:color="auto"/>
        <w:left w:val="none" w:sz="0" w:space="0" w:color="auto"/>
        <w:bottom w:val="none" w:sz="0" w:space="0" w:color="auto"/>
        <w:right w:val="none" w:sz="0" w:space="0" w:color="auto"/>
      </w:divBdr>
    </w:div>
    <w:div w:id="1558784343">
      <w:marLeft w:val="0"/>
      <w:marRight w:val="0"/>
      <w:marTop w:val="200"/>
      <w:marBottom w:val="0"/>
      <w:divBdr>
        <w:top w:val="none" w:sz="0" w:space="0" w:color="auto"/>
        <w:left w:val="none" w:sz="0" w:space="0" w:color="auto"/>
        <w:bottom w:val="none" w:sz="0" w:space="0" w:color="auto"/>
        <w:right w:val="none" w:sz="0" w:space="0" w:color="auto"/>
      </w:divBdr>
    </w:div>
    <w:div w:id="1570650028">
      <w:marLeft w:val="0"/>
      <w:marRight w:val="0"/>
      <w:marTop w:val="0"/>
      <w:marBottom w:val="0"/>
      <w:divBdr>
        <w:top w:val="none" w:sz="0" w:space="0" w:color="auto"/>
        <w:left w:val="none" w:sz="0" w:space="0" w:color="auto"/>
        <w:bottom w:val="none" w:sz="0" w:space="0" w:color="auto"/>
        <w:right w:val="none" w:sz="0" w:space="0" w:color="auto"/>
      </w:divBdr>
      <w:divsChild>
        <w:div w:id="1340817919">
          <w:marLeft w:val="0"/>
          <w:marRight w:val="0"/>
          <w:marTop w:val="0"/>
          <w:marBottom w:val="0"/>
          <w:divBdr>
            <w:top w:val="none" w:sz="0" w:space="0" w:color="auto"/>
            <w:left w:val="none" w:sz="0" w:space="0" w:color="auto"/>
            <w:bottom w:val="none" w:sz="0" w:space="0" w:color="auto"/>
            <w:right w:val="none" w:sz="0" w:space="0" w:color="auto"/>
          </w:divBdr>
        </w:div>
      </w:divsChild>
    </w:div>
    <w:div w:id="1597707980">
      <w:marLeft w:val="0"/>
      <w:marRight w:val="0"/>
      <w:marTop w:val="100"/>
      <w:marBottom w:val="0"/>
      <w:divBdr>
        <w:top w:val="none" w:sz="0" w:space="0" w:color="auto"/>
        <w:left w:val="none" w:sz="0" w:space="0" w:color="auto"/>
        <w:bottom w:val="none" w:sz="0" w:space="0" w:color="auto"/>
        <w:right w:val="none" w:sz="0" w:space="0" w:color="auto"/>
      </w:divBdr>
    </w:div>
    <w:div w:id="1601403078">
      <w:marLeft w:val="0"/>
      <w:marRight w:val="0"/>
      <w:marTop w:val="0"/>
      <w:marBottom w:val="200"/>
      <w:divBdr>
        <w:top w:val="none" w:sz="0" w:space="0" w:color="auto"/>
        <w:left w:val="none" w:sz="0" w:space="0" w:color="auto"/>
        <w:bottom w:val="none" w:sz="0" w:space="0" w:color="auto"/>
        <w:right w:val="none" w:sz="0" w:space="0" w:color="auto"/>
      </w:divBdr>
    </w:div>
    <w:div w:id="1606427035">
      <w:marLeft w:val="0"/>
      <w:marRight w:val="0"/>
      <w:marTop w:val="0"/>
      <w:marBottom w:val="60"/>
      <w:divBdr>
        <w:top w:val="none" w:sz="0" w:space="0" w:color="auto"/>
        <w:left w:val="none" w:sz="0" w:space="0" w:color="auto"/>
        <w:bottom w:val="none" w:sz="0" w:space="0" w:color="auto"/>
        <w:right w:val="none" w:sz="0" w:space="0" w:color="auto"/>
      </w:divBdr>
    </w:div>
    <w:div w:id="1613896567">
      <w:marLeft w:val="0"/>
      <w:marRight w:val="0"/>
      <w:marTop w:val="0"/>
      <w:marBottom w:val="0"/>
      <w:divBdr>
        <w:top w:val="none" w:sz="0" w:space="0" w:color="auto"/>
        <w:left w:val="none" w:sz="0" w:space="0" w:color="auto"/>
        <w:bottom w:val="none" w:sz="0" w:space="0" w:color="auto"/>
        <w:right w:val="none" w:sz="0" w:space="0" w:color="auto"/>
      </w:divBdr>
    </w:div>
    <w:div w:id="1634482914">
      <w:marLeft w:val="0"/>
      <w:marRight w:val="0"/>
      <w:marTop w:val="0"/>
      <w:marBottom w:val="0"/>
      <w:divBdr>
        <w:top w:val="none" w:sz="0" w:space="0" w:color="auto"/>
        <w:left w:val="none" w:sz="0" w:space="0" w:color="auto"/>
        <w:bottom w:val="none" w:sz="0" w:space="0" w:color="auto"/>
        <w:right w:val="none" w:sz="0" w:space="0" w:color="auto"/>
      </w:divBdr>
      <w:divsChild>
        <w:div w:id="396630002">
          <w:marLeft w:val="0"/>
          <w:marRight w:val="0"/>
          <w:marTop w:val="0"/>
          <w:marBottom w:val="0"/>
          <w:divBdr>
            <w:top w:val="none" w:sz="0" w:space="0" w:color="auto"/>
            <w:left w:val="none" w:sz="0" w:space="0" w:color="auto"/>
            <w:bottom w:val="none" w:sz="0" w:space="0" w:color="auto"/>
            <w:right w:val="none" w:sz="0" w:space="0" w:color="auto"/>
          </w:divBdr>
        </w:div>
        <w:div w:id="908879008">
          <w:marLeft w:val="0"/>
          <w:marRight w:val="0"/>
          <w:marTop w:val="0"/>
          <w:marBottom w:val="0"/>
          <w:divBdr>
            <w:top w:val="none" w:sz="0" w:space="0" w:color="auto"/>
            <w:left w:val="none" w:sz="0" w:space="0" w:color="auto"/>
            <w:bottom w:val="none" w:sz="0" w:space="0" w:color="auto"/>
            <w:right w:val="none" w:sz="0" w:space="0" w:color="auto"/>
          </w:divBdr>
        </w:div>
      </w:divsChild>
    </w:div>
    <w:div w:id="1639995516">
      <w:marLeft w:val="0"/>
      <w:marRight w:val="0"/>
      <w:marTop w:val="0"/>
      <w:marBottom w:val="0"/>
      <w:divBdr>
        <w:top w:val="none" w:sz="0" w:space="0" w:color="auto"/>
        <w:left w:val="none" w:sz="0" w:space="0" w:color="auto"/>
        <w:bottom w:val="none" w:sz="0" w:space="0" w:color="auto"/>
        <w:right w:val="none" w:sz="0" w:space="0" w:color="auto"/>
      </w:divBdr>
      <w:divsChild>
        <w:div w:id="1349982512">
          <w:marLeft w:val="0"/>
          <w:marRight w:val="0"/>
          <w:marTop w:val="0"/>
          <w:marBottom w:val="0"/>
          <w:divBdr>
            <w:top w:val="none" w:sz="0" w:space="0" w:color="auto"/>
            <w:left w:val="none" w:sz="0" w:space="0" w:color="auto"/>
            <w:bottom w:val="none" w:sz="0" w:space="0" w:color="auto"/>
            <w:right w:val="none" w:sz="0" w:space="0" w:color="auto"/>
          </w:divBdr>
        </w:div>
      </w:divsChild>
    </w:div>
    <w:div w:id="1660498008">
      <w:marLeft w:val="0"/>
      <w:marRight w:val="0"/>
      <w:marTop w:val="0"/>
      <w:marBottom w:val="200"/>
      <w:divBdr>
        <w:top w:val="none" w:sz="0" w:space="0" w:color="auto"/>
        <w:left w:val="none" w:sz="0" w:space="0" w:color="auto"/>
        <w:bottom w:val="none" w:sz="0" w:space="0" w:color="auto"/>
        <w:right w:val="none" w:sz="0" w:space="0" w:color="auto"/>
      </w:divBdr>
    </w:div>
    <w:div w:id="1660772294">
      <w:marLeft w:val="0"/>
      <w:marRight w:val="0"/>
      <w:marTop w:val="0"/>
      <w:marBottom w:val="200"/>
      <w:divBdr>
        <w:top w:val="none" w:sz="0" w:space="0" w:color="auto"/>
        <w:left w:val="none" w:sz="0" w:space="0" w:color="auto"/>
        <w:bottom w:val="none" w:sz="0" w:space="0" w:color="auto"/>
        <w:right w:val="none" w:sz="0" w:space="0" w:color="auto"/>
      </w:divBdr>
    </w:div>
    <w:div w:id="1660884017">
      <w:marLeft w:val="0"/>
      <w:marRight w:val="0"/>
      <w:marTop w:val="0"/>
      <w:marBottom w:val="200"/>
      <w:divBdr>
        <w:top w:val="none" w:sz="0" w:space="0" w:color="auto"/>
        <w:left w:val="none" w:sz="0" w:space="0" w:color="auto"/>
        <w:bottom w:val="none" w:sz="0" w:space="0" w:color="auto"/>
        <w:right w:val="none" w:sz="0" w:space="0" w:color="auto"/>
      </w:divBdr>
    </w:div>
    <w:div w:id="1664116756">
      <w:marLeft w:val="0"/>
      <w:marRight w:val="0"/>
      <w:marTop w:val="0"/>
      <w:marBottom w:val="200"/>
      <w:divBdr>
        <w:top w:val="none" w:sz="0" w:space="0" w:color="auto"/>
        <w:left w:val="none" w:sz="0" w:space="0" w:color="auto"/>
        <w:bottom w:val="none" w:sz="0" w:space="0" w:color="auto"/>
        <w:right w:val="none" w:sz="0" w:space="0" w:color="auto"/>
      </w:divBdr>
    </w:div>
    <w:div w:id="1666203633">
      <w:marLeft w:val="0"/>
      <w:marRight w:val="0"/>
      <w:marTop w:val="0"/>
      <w:marBottom w:val="200"/>
      <w:divBdr>
        <w:top w:val="none" w:sz="0" w:space="0" w:color="auto"/>
        <w:left w:val="none" w:sz="0" w:space="0" w:color="auto"/>
        <w:bottom w:val="none" w:sz="0" w:space="0" w:color="auto"/>
        <w:right w:val="none" w:sz="0" w:space="0" w:color="auto"/>
      </w:divBdr>
    </w:div>
    <w:div w:id="1671717077">
      <w:marLeft w:val="0"/>
      <w:marRight w:val="0"/>
      <w:marTop w:val="120"/>
      <w:marBottom w:val="0"/>
      <w:divBdr>
        <w:top w:val="none" w:sz="0" w:space="0" w:color="auto"/>
        <w:left w:val="none" w:sz="0" w:space="0" w:color="auto"/>
        <w:bottom w:val="none" w:sz="0" w:space="0" w:color="auto"/>
        <w:right w:val="none" w:sz="0" w:space="0" w:color="auto"/>
      </w:divBdr>
    </w:div>
    <w:div w:id="1675956246">
      <w:marLeft w:val="0"/>
      <w:marRight w:val="0"/>
      <w:marTop w:val="0"/>
      <w:marBottom w:val="200"/>
      <w:divBdr>
        <w:top w:val="none" w:sz="0" w:space="0" w:color="auto"/>
        <w:left w:val="none" w:sz="0" w:space="0" w:color="auto"/>
        <w:bottom w:val="none" w:sz="0" w:space="0" w:color="auto"/>
        <w:right w:val="none" w:sz="0" w:space="0" w:color="auto"/>
      </w:divBdr>
    </w:div>
    <w:div w:id="1681156984">
      <w:marLeft w:val="0"/>
      <w:marRight w:val="0"/>
      <w:marTop w:val="0"/>
      <w:marBottom w:val="160"/>
      <w:divBdr>
        <w:top w:val="none" w:sz="0" w:space="0" w:color="auto"/>
        <w:left w:val="none" w:sz="0" w:space="0" w:color="auto"/>
        <w:bottom w:val="none" w:sz="0" w:space="0" w:color="auto"/>
        <w:right w:val="none" w:sz="0" w:space="0" w:color="auto"/>
      </w:divBdr>
    </w:div>
    <w:div w:id="1686977956">
      <w:marLeft w:val="0"/>
      <w:marRight w:val="0"/>
      <w:marTop w:val="0"/>
      <w:marBottom w:val="0"/>
      <w:divBdr>
        <w:top w:val="none" w:sz="0" w:space="0" w:color="auto"/>
        <w:left w:val="none" w:sz="0" w:space="0" w:color="auto"/>
        <w:bottom w:val="none" w:sz="0" w:space="0" w:color="auto"/>
        <w:right w:val="none" w:sz="0" w:space="0" w:color="auto"/>
      </w:divBdr>
    </w:div>
    <w:div w:id="1688605601">
      <w:marLeft w:val="0"/>
      <w:marRight w:val="0"/>
      <w:marTop w:val="200"/>
      <w:marBottom w:val="0"/>
      <w:divBdr>
        <w:top w:val="none" w:sz="0" w:space="0" w:color="auto"/>
        <w:left w:val="none" w:sz="0" w:space="0" w:color="auto"/>
        <w:bottom w:val="none" w:sz="0" w:space="0" w:color="auto"/>
        <w:right w:val="none" w:sz="0" w:space="0" w:color="auto"/>
      </w:divBdr>
    </w:div>
    <w:div w:id="1689019612">
      <w:marLeft w:val="0"/>
      <w:marRight w:val="0"/>
      <w:marTop w:val="0"/>
      <w:marBottom w:val="200"/>
      <w:divBdr>
        <w:top w:val="none" w:sz="0" w:space="0" w:color="auto"/>
        <w:left w:val="none" w:sz="0" w:space="0" w:color="auto"/>
        <w:bottom w:val="none" w:sz="0" w:space="0" w:color="auto"/>
        <w:right w:val="none" w:sz="0" w:space="0" w:color="auto"/>
      </w:divBdr>
    </w:div>
    <w:div w:id="1695693506">
      <w:marLeft w:val="0"/>
      <w:marRight w:val="0"/>
      <w:marTop w:val="100"/>
      <w:marBottom w:val="100"/>
      <w:divBdr>
        <w:top w:val="none" w:sz="0" w:space="0" w:color="auto"/>
        <w:left w:val="none" w:sz="0" w:space="0" w:color="auto"/>
        <w:bottom w:val="none" w:sz="0" w:space="0" w:color="auto"/>
        <w:right w:val="none" w:sz="0" w:space="0" w:color="auto"/>
      </w:divBdr>
    </w:div>
    <w:div w:id="1697463273">
      <w:marLeft w:val="0"/>
      <w:marRight w:val="0"/>
      <w:marTop w:val="100"/>
      <w:marBottom w:val="100"/>
      <w:divBdr>
        <w:top w:val="none" w:sz="0" w:space="0" w:color="auto"/>
        <w:left w:val="none" w:sz="0" w:space="0" w:color="auto"/>
        <w:bottom w:val="none" w:sz="0" w:space="0" w:color="auto"/>
        <w:right w:val="none" w:sz="0" w:space="0" w:color="auto"/>
      </w:divBdr>
    </w:div>
    <w:div w:id="1700855934">
      <w:marLeft w:val="0"/>
      <w:marRight w:val="0"/>
      <w:marTop w:val="0"/>
      <w:marBottom w:val="200"/>
      <w:divBdr>
        <w:top w:val="none" w:sz="0" w:space="0" w:color="auto"/>
        <w:left w:val="none" w:sz="0" w:space="0" w:color="auto"/>
        <w:bottom w:val="none" w:sz="0" w:space="0" w:color="auto"/>
        <w:right w:val="none" w:sz="0" w:space="0" w:color="auto"/>
      </w:divBdr>
    </w:div>
    <w:div w:id="1714233984">
      <w:marLeft w:val="0"/>
      <w:marRight w:val="0"/>
      <w:marTop w:val="0"/>
      <w:marBottom w:val="200"/>
      <w:divBdr>
        <w:top w:val="none" w:sz="0" w:space="0" w:color="auto"/>
        <w:left w:val="none" w:sz="0" w:space="0" w:color="auto"/>
        <w:bottom w:val="none" w:sz="0" w:space="0" w:color="auto"/>
        <w:right w:val="none" w:sz="0" w:space="0" w:color="auto"/>
      </w:divBdr>
    </w:div>
    <w:div w:id="1727215800">
      <w:marLeft w:val="0"/>
      <w:marRight w:val="0"/>
      <w:marTop w:val="0"/>
      <w:marBottom w:val="0"/>
      <w:divBdr>
        <w:top w:val="none" w:sz="0" w:space="0" w:color="auto"/>
        <w:left w:val="none" w:sz="0" w:space="0" w:color="auto"/>
        <w:bottom w:val="none" w:sz="0" w:space="0" w:color="auto"/>
        <w:right w:val="none" w:sz="0" w:space="0" w:color="auto"/>
      </w:divBdr>
    </w:div>
    <w:div w:id="1735808926">
      <w:marLeft w:val="0"/>
      <w:marRight w:val="0"/>
      <w:marTop w:val="0"/>
      <w:marBottom w:val="200"/>
      <w:divBdr>
        <w:top w:val="none" w:sz="0" w:space="0" w:color="auto"/>
        <w:left w:val="none" w:sz="0" w:space="0" w:color="auto"/>
        <w:bottom w:val="none" w:sz="0" w:space="0" w:color="auto"/>
        <w:right w:val="none" w:sz="0" w:space="0" w:color="auto"/>
      </w:divBdr>
    </w:div>
    <w:div w:id="1740713141">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sChild>
        <w:div w:id="205263312">
          <w:marLeft w:val="0"/>
          <w:marRight w:val="0"/>
          <w:marTop w:val="0"/>
          <w:marBottom w:val="0"/>
          <w:divBdr>
            <w:top w:val="none" w:sz="0" w:space="0" w:color="auto"/>
            <w:left w:val="none" w:sz="0" w:space="0" w:color="auto"/>
            <w:bottom w:val="none" w:sz="0" w:space="0" w:color="auto"/>
            <w:right w:val="none" w:sz="0" w:space="0" w:color="auto"/>
          </w:divBdr>
        </w:div>
      </w:divsChild>
    </w:div>
    <w:div w:id="1747142682">
      <w:marLeft w:val="0"/>
      <w:marRight w:val="0"/>
      <w:marTop w:val="0"/>
      <w:marBottom w:val="120"/>
      <w:divBdr>
        <w:top w:val="none" w:sz="0" w:space="0" w:color="auto"/>
        <w:left w:val="none" w:sz="0" w:space="0" w:color="auto"/>
        <w:bottom w:val="none" w:sz="0" w:space="0" w:color="auto"/>
        <w:right w:val="none" w:sz="0" w:space="0" w:color="auto"/>
      </w:divBdr>
    </w:div>
    <w:div w:id="1764759789">
      <w:marLeft w:val="0"/>
      <w:marRight w:val="0"/>
      <w:marTop w:val="0"/>
      <w:marBottom w:val="0"/>
      <w:divBdr>
        <w:top w:val="none" w:sz="0" w:space="0" w:color="auto"/>
        <w:left w:val="none" w:sz="0" w:space="0" w:color="auto"/>
        <w:bottom w:val="none" w:sz="0" w:space="0" w:color="auto"/>
        <w:right w:val="none" w:sz="0" w:space="0" w:color="auto"/>
      </w:divBdr>
      <w:divsChild>
        <w:div w:id="1577935998">
          <w:marLeft w:val="0"/>
          <w:marRight w:val="0"/>
          <w:marTop w:val="0"/>
          <w:marBottom w:val="0"/>
          <w:divBdr>
            <w:top w:val="none" w:sz="0" w:space="0" w:color="auto"/>
            <w:left w:val="none" w:sz="0" w:space="0" w:color="auto"/>
            <w:bottom w:val="none" w:sz="0" w:space="0" w:color="auto"/>
            <w:right w:val="none" w:sz="0" w:space="0" w:color="auto"/>
          </w:divBdr>
        </w:div>
      </w:divsChild>
    </w:div>
    <w:div w:id="1769495736">
      <w:marLeft w:val="0"/>
      <w:marRight w:val="0"/>
      <w:marTop w:val="100"/>
      <w:marBottom w:val="160"/>
      <w:divBdr>
        <w:top w:val="none" w:sz="0" w:space="0" w:color="auto"/>
        <w:left w:val="none" w:sz="0" w:space="0" w:color="auto"/>
        <w:bottom w:val="none" w:sz="0" w:space="0" w:color="auto"/>
        <w:right w:val="none" w:sz="0" w:space="0" w:color="auto"/>
      </w:divBdr>
    </w:div>
    <w:div w:id="1773209928">
      <w:marLeft w:val="0"/>
      <w:marRight w:val="0"/>
      <w:marTop w:val="0"/>
      <w:marBottom w:val="0"/>
      <w:divBdr>
        <w:top w:val="none" w:sz="0" w:space="0" w:color="auto"/>
        <w:left w:val="none" w:sz="0" w:space="0" w:color="auto"/>
        <w:bottom w:val="none" w:sz="0" w:space="0" w:color="auto"/>
        <w:right w:val="none" w:sz="0" w:space="0" w:color="auto"/>
      </w:divBdr>
      <w:divsChild>
        <w:div w:id="115951770">
          <w:marLeft w:val="0"/>
          <w:marRight w:val="0"/>
          <w:marTop w:val="0"/>
          <w:marBottom w:val="0"/>
          <w:divBdr>
            <w:top w:val="none" w:sz="0" w:space="0" w:color="auto"/>
            <w:left w:val="none" w:sz="0" w:space="0" w:color="auto"/>
            <w:bottom w:val="none" w:sz="0" w:space="0" w:color="auto"/>
            <w:right w:val="none" w:sz="0" w:space="0" w:color="auto"/>
          </w:divBdr>
        </w:div>
      </w:divsChild>
    </w:div>
    <w:div w:id="1781876359">
      <w:marLeft w:val="0"/>
      <w:marRight w:val="0"/>
      <w:marTop w:val="0"/>
      <w:marBottom w:val="0"/>
      <w:divBdr>
        <w:top w:val="none" w:sz="0" w:space="0" w:color="auto"/>
        <w:left w:val="none" w:sz="0" w:space="0" w:color="auto"/>
        <w:bottom w:val="none" w:sz="0" w:space="0" w:color="auto"/>
        <w:right w:val="none" w:sz="0" w:space="0" w:color="auto"/>
      </w:divBdr>
      <w:divsChild>
        <w:div w:id="832716293">
          <w:marLeft w:val="0"/>
          <w:marRight w:val="0"/>
          <w:marTop w:val="0"/>
          <w:marBottom w:val="0"/>
          <w:divBdr>
            <w:top w:val="none" w:sz="0" w:space="0" w:color="auto"/>
            <w:left w:val="none" w:sz="0" w:space="0" w:color="auto"/>
            <w:bottom w:val="none" w:sz="0" w:space="0" w:color="auto"/>
            <w:right w:val="none" w:sz="0" w:space="0" w:color="auto"/>
          </w:divBdr>
        </w:div>
      </w:divsChild>
    </w:div>
    <w:div w:id="1786385146">
      <w:marLeft w:val="0"/>
      <w:marRight w:val="0"/>
      <w:marTop w:val="100"/>
      <w:marBottom w:val="160"/>
      <w:divBdr>
        <w:top w:val="none" w:sz="0" w:space="0" w:color="auto"/>
        <w:left w:val="none" w:sz="0" w:space="0" w:color="auto"/>
        <w:bottom w:val="none" w:sz="0" w:space="0" w:color="auto"/>
        <w:right w:val="none" w:sz="0" w:space="0" w:color="auto"/>
      </w:divBdr>
    </w:div>
    <w:div w:id="1790933596">
      <w:marLeft w:val="0"/>
      <w:marRight w:val="0"/>
      <w:marTop w:val="0"/>
      <w:marBottom w:val="200"/>
      <w:divBdr>
        <w:top w:val="none" w:sz="0" w:space="0" w:color="auto"/>
        <w:left w:val="none" w:sz="0" w:space="0" w:color="auto"/>
        <w:bottom w:val="none" w:sz="0" w:space="0" w:color="auto"/>
        <w:right w:val="none" w:sz="0" w:space="0" w:color="auto"/>
      </w:divBdr>
    </w:div>
    <w:div w:id="1798178872">
      <w:marLeft w:val="0"/>
      <w:marRight w:val="0"/>
      <w:marTop w:val="100"/>
      <w:marBottom w:val="160"/>
      <w:divBdr>
        <w:top w:val="none" w:sz="0" w:space="0" w:color="auto"/>
        <w:left w:val="none" w:sz="0" w:space="0" w:color="auto"/>
        <w:bottom w:val="none" w:sz="0" w:space="0" w:color="auto"/>
        <w:right w:val="none" w:sz="0" w:space="0" w:color="auto"/>
      </w:divBdr>
    </w:div>
    <w:div w:id="1804419388">
      <w:marLeft w:val="0"/>
      <w:marRight w:val="0"/>
      <w:marTop w:val="0"/>
      <w:marBottom w:val="0"/>
      <w:divBdr>
        <w:top w:val="none" w:sz="0" w:space="0" w:color="auto"/>
        <w:left w:val="none" w:sz="0" w:space="0" w:color="auto"/>
        <w:bottom w:val="none" w:sz="0" w:space="0" w:color="auto"/>
        <w:right w:val="none" w:sz="0" w:space="0" w:color="auto"/>
      </w:divBdr>
      <w:divsChild>
        <w:div w:id="1441025883">
          <w:marLeft w:val="0"/>
          <w:marRight w:val="0"/>
          <w:marTop w:val="0"/>
          <w:marBottom w:val="0"/>
          <w:divBdr>
            <w:top w:val="none" w:sz="0" w:space="0" w:color="auto"/>
            <w:left w:val="none" w:sz="0" w:space="0" w:color="auto"/>
            <w:bottom w:val="none" w:sz="0" w:space="0" w:color="auto"/>
            <w:right w:val="none" w:sz="0" w:space="0" w:color="auto"/>
          </w:divBdr>
        </w:div>
        <w:div w:id="1700350177">
          <w:marLeft w:val="0"/>
          <w:marRight w:val="0"/>
          <w:marTop w:val="180"/>
          <w:marBottom w:val="0"/>
          <w:divBdr>
            <w:top w:val="none" w:sz="0" w:space="0" w:color="auto"/>
            <w:left w:val="none" w:sz="0" w:space="0" w:color="auto"/>
            <w:bottom w:val="none" w:sz="0" w:space="0" w:color="auto"/>
            <w:right w:val="none" w:sz="0" w:space="0" w:color="auto"/>
          </w:divBdr>
        </w:div>
      </w:divsChild>
    </w:div>
    <w:div w:id="1813520865">
      <w:marLeft w:val="0"/>
      <w:marRight w:val="0"/>
      <w:marTop w:val="100"/>
      <w:marBottom w:val="160"/>
      <w:divBdr>
        <w:top w:val="none" w:sz="0" w:space="0" w:color="auto"/>
        <w:left w:val="none" w:sz="0" w:space="0" w:color="auto"/>
        <w:bottom w:val="none" w:sz="0" w:space="0" w:color="auto"/>
        <w:right w:val="none" w:sz="0" w:space="0" w:color="auto"/>
      </w:divBdr>
    </w:div>
    <w:div w:id="1820609765">
      <w:marLeft w:val="0"/>
      <w:marRight w:val="0"/>
      <w:marTop w:val="100"/>
      <w:marBottom w:val="100"/>
      <w:divBdr>
        <w:top w:val="none" w:sz="0" w:space="0" w:color="auto"/>
        <w:left w:val="none" w:sz="0" w:space="0" w:color="auto"/>
        <w:bottom w:val="none" w:sz="0" w:space="0" w:color="auto"/>
        <w:right w:val="none" w:sz="0" w:space="0" w:color="auto"/>
      </w:divBdr>
      <w:divsChild>
        <w:div w:id="1033113571">
          <w:marLeft w:val="0"/>
          <w:marRight w:val="0"/>
          <w:marTop w:val="0"/>
          <w:marBottom w:val="0"/>
          <w:divBdr>
            <w:top w:val="none" w:sz="0" w:space="0" w:color="auto"/>
            <w:left w:val="none" w:sz="0" w:space="0" w:color="auto"/>
            <w:bottom w:val="none" w:sz="0" w:space="0" w:color="auto"/>
            <w:right w:val="none" w:sz="0" w:space="0" w:color="auto"/>
          </w:divBdr>
        </w:div>
        <w:div w:id="214777645">
          <w:marLeft w:val="0"/>
          <w:marRight w:val="0"/>
          <w:marTop w:val="0"/>
          <w:marBottom w:val="0"/>
          <w:divBdr>
            <w:top w:val="none" w:sz="0" w:space="0" w:color="auto"/>
            <w:left w:val="none" w:sz="0" w:space="0" w:color="auto"/>
            <w:bottom w:val="none" w:sz="0" w:space="0" w:color="auto"/>
            <w:right w:val="none" w:sz="0" w:space="0" w:color="auto"/>
          </w:divBdr>
        </w:div>
        <w:div w:id="958487747">
          <w:marLeft w:val="0"/>
          <w:marRight w:val="0"/>
          <w:marTop w:val="0"/>
          <w:marBottom w:val="0"/>
          <w:divBdr>
            <w:top w:val="none" w:sz="0" w:space="0" w:color="auto"/>
            <w:left w:val="none" w:sz="0" w:space="0" w:color="auto"/>
            <w:bottom w:val="none" w:sz="0" w:space="0" w:color="auto"/>
            <w:right w:val="none" w:sz="0" w:space="0" w:color="auto"/>
          </w:divBdr>
        </w:div>
        <w:div w:id="1518234989">
          <w:marLeft w:val="0"/>
          <w:marRight w:val="0"/>
          <w:marTop w:val="0"/>
          <w:marBottom w:val="0"/>
          <w:divBdr>
            <w:top w:val="none" w:sz="0" w:space="0" w:color="auto"/>
            <w:left w:val="none" w:sz="0" w:space="0" w:color="auto"/>
            <w:bottom w:val="none" w:sz="0" w:space="0" w:color="auto"/>
            <w:right w:val="none" w:sz="0" w:space="0" w:color="auto"/>
          </w:divBdr>
        </w:div>
      </w:divsChild>
    </w:div>
    <w:div w:id="1831868363">
      <w:marLeft w:val="0"/>
      <w:marRight w:val="0"/>
      <w:marTop w:val="0"/>
      <w:marBottom w:val="0"/>
      <w:divBdr>
        <w:top w:val="none" w:sz="0" w:space="0" w:color="auto"/>
        <w:left w:val="none" w:sz="0" w:space="0" w:color="auto"/>
        <w:bottom w:val="none" w:sz="0" w:space="0" w:color="auto"/>
        <w:right w:val="none" w:sz="0" w:space="0" w:color="auto"/>
      </w:divBdr>
      <w:divsChild>
        <w:div w:id="227347373">
          <w:marLeft w:val="0"/>
          <w:marRight w:val="0"/>
          <w:marTop w:val="0"/>
          <w:marBottom w:val="0"/>
          <w:divBdr>
            <w:top w:val="none" w:sz="0" w:space="0" w:color="auto"/>
            <w:left w:val="none" w:sz="0" w:space="0" w:color="auto"/>
            <w:bottom w:val="none" w:sz="0" w:space="0" w:color="auto"/>
            <w:right w:val="none" w:sz="0" w:space="0" w:color="auto"/>
          </w:divBdr>
        </w:div>
      </w:divsChild>
    </w:div>
    <w:div w:id="1833639032">
      <w:marLeft w:val="0"/>
      <w:marRight w:val="0"/>
      <w:marTop w:val="0"/>
      <w:marBottom w:val="0"/>
      <w:divBdr>
        <w:top w:val="none" w:sz="0" w:space="0" w:color="auto"/>
        <w:left w:val="none" w:sz="0" w:space="0" w:color="auto"/>
        <w:bottom w:val="none" w:sz="0" w:space="0" w:color="auto"/>
        <w:right w:val="none" w:sz="0" w:space="0" w:color="auto"/>
      </w:divBdr>
      <w:divsChild>
        <w:div w:id="1354922759">
          <w:marLeft w:val="0"/>
          <w:marRight w:val="0"/>
          <w:marTop w:val="0"/>
          <w:marBottom w:val="0"/>
          <w:divBdr>
            <w:top w:val="none" w:sz="0" w:space="0" w:color="auto"/>
            <w:left w:val="none" w:sz="0" w:space="0" w:color="auto"/>
            <w:bottom w:val="none" w:sz="0" w:space="0" w:color="auto"/>
            <w:right w:val="none" w:sz="0" w:space="0" w:color="auto"/>
          </w:divBdr>
        </w:div>
        <w:div w:id="1910266889">
          <w:marLeft w:val="0"/>
          <w:marRight w:val="0"/>
          <w:marTop w:val="180"/>
          <w:marBottom w:val="0"/>
          <w:divBdr>
            <w:top w:val="none" w:sz="0" w:space="0" w:color="auto"/>
            <w:left w:val="none" w:sz="0" w:space="0" w:color="auto"/>
            <w:bottom w:val="none" w:sz="0" w:space="0" w:color="auto"/>
            <w:right w:val="none" w:sz="0" w:space="0" w:color="auto"/>
          </w:divBdr>
        </w:div>
      </w:divsChild>
    </w:div>
    <w:div w:id="1834948821">
      <w:marLeft w:val="0"/>
      <w:marRight w:val="0"/>
      <w:marTop w:val="0"/>
      <w:marBottom w:val="0"/>
      <w:divBdr>
        <w:top w:val="none" w:sz="0" w:space="0" w:color="auto"/>
        <w:left w:val="none" w:sz="0" w:space="0" w:color="auto"/>
        <w:bottom w:val="none" w:sz="0" w:space="0" w:color="auto"/>
        <w:right w:val="none" w:sz="0" w:space="0" w:color="auto"/>
      </w:divBdr>
      <w:divsChild>
        <w:div w:id="1148478130">
          <w:marLeft w:val="0"/>
          <w:marRight w:val="0"/>
          <w:marTop w:val="0"/>
          <w:marBottom w:val="0"/>
          <w:divBdr>
            <w:top w:val="none" w:sz="0" w:space="0" w:color="auto"/>
            <w:left w:val="none" w:sz="0" w:space="0" w:color="auto"/>
            <w:bottom w:val="none" w:sz="0" w:space="0" w:color="auto"/>
            <w:right w:val="none" w:sz="0" w:space="0" w:color="auto"/>
          </w:divBdr>
        </w:div>
      </w:divsChild>
    </w:div>
    <w:div w:id="1841238242">
      <w:marLeft w:val="0"/>
      <w:marRight w:val="0"/>
      <w:marTop w:val="100"/>
      <w:marBottom w:val="100"/>
      <w:divBdr>
        <w:top w:val="none" w:sz="0" w:space="0" w:color="auto"/>
        <w:left w:val="none" w:sz="0" w:space="0" w:color="auto"/>
        <w:bottom w:val="none" w:sz="0" w:space="0" w:color="auto"/>
        <w:right w:val="none" w:sz="0" w:space="0" w:color="auto"/>
      </w:divBdr>
      <w:divsChild>
        <w:div w:id="444543311">
          <w:marLeft w:val="0"/>
          <w:marRight w:val="0"/>
          <w:marTop w:val="0"/>
          <w:marBottom w:val="0"/>
          <w:divBdr>
            <w:top w:val="none" w:sz="0" w:space="0" w:color="auto"/>
            <w:left w:val="none" w:sz="0" w:space="0" w:color="auto"/>
            <w:bottom w:val="none" w:sz="0" w:space="0" w:color="auto"/>
            <w:right w:val="none" w:sz="0" w:space="0" w:color="auto"/>
          </w:divBdr>
        </w:div>
      </w:divsChild>
    </w:div>
    <w:div w:id="1856189529">
      <w:marLeft w:val="0"/>
      <w:marRight w:val="0"/>
      <w:marTop w:val="0"/>
      <w:marBottom w:val="200"/>
      <w:divBdr>
        <w:top w:val="none" w:sz="0" w:space="0" w:color="auto"/>
        <w:left w:val="none" w:sz="0" w:space="0" w:color="auto"/>
        <w:bottom w:val="none" w:sz="0" w:space="0" w:color="auto"/>
        <w:right w:val="none" w:sz="0" w:space="0" w:color="auto"/>
      </w:divBdr>
    </w:div>
    <w:div w:id="1861819308">
      <w:marLeft w:val="0"/>
      <w:marRight w:val="0"/>
      <w:marTop w:val="0"/>
      <w:marBottom w:val="200"/>
      <w:divBdr>
        <w:top w:val="none" w:sz="0" w:space="0" w:color="auto"/>
        <w:left w:val="none" w:sz="0" w:space="0" w:color="auto"/>
        <w:bottom w:val="none" w:sz="0" w:space="0" w:color="auto"/>
        <w:right w:val="none" w:sz="0" w:space="0" w:color="auto"/>
      </w:divBdr>
    </w:div>
    <w:div w:id="1867328235">
      <w:marLeft w:val="0"/>
      <w:marRight w:val="0"/>
      <w:marTop w:val="0"/>
      <w:marBottom w:val="0"/>
      <w:divBdr>
        <w:top w:val="none" w:sz="0" w:space="0" w:color="auto"/>
        <w:left w:val="none" w:sz="0" w:space="0" w:color="auto"/>
        <w:bottom w:val="none" w:sz="0" w:space="0" w:color="auto"/>
        <w:right w:val="none" w:sz="0" w:space="0" w:color="auto"/>
      </w:divBdr>
      <w:divsChild>
        <w:div w:id="1675304991">
          <w:marLeft w:val="0"/>
          <w:marRight w:val="0"/>
          <w:marTop w:val="0"/>
          <w:marBottom w:val="0"/>
          <w:divBdr>
            <w:top w:val="none" w:sz="0" w:space="0" w:color="auto"/>
            <w:left w:val="none" w:sz="0" w:space="0" w:color="auto"/>
            <w:bottom w:val="none" w:sz="0" w:space="0" w:color="auto"/>
            <w:right w:val="none" w:sz="0" w:space="0" w:color="auto"/>
          </w:divBdr>
        </w:div>
        <w:div w:id="1548295913">
          <w:marLeft w:val="0"/>
          <w:marRight w:val="0"/>
          <w:marTop w:val="180"/>
          <w:marBottom w:val="0"/>
          <w:divBdr>
            <w:top w:val="none" w:sz="0" w:space="0" w:color="auto"/>
            <w:left w:val="none" w:sz="0" w:space="0" w:color="auto"/>
            <w:bottom w:val="none" w:sz="0" w:space="0" w:color="auto"/>
            <w:right w:val="none" w:sz="0" w:space="0" w:color="auto"/>
          </w:divBdr>
        </w:div>
      </w:divsChild>
    </w:div>
    <w:div w:id="1872037951">
      <w:marLeft w:val="0"/>
      <w:marRight w:val="0"/>
      <w:marTop w:val="0"/>
      <w:marBottom w:val="0"/>
      <w:divBdr>
        <w:top w:val="none" w:sz="0" w:space="0" w:color="auto"/>
        <w:left w:val="none" w:sz="0" w:space="0" w:color="auto"/>
        <w:bottom w:val="none" w:sz="0" w:space="0" w:color="auto"/>
        <w:right w:val="none" w:sz="0" w:space="0" w:color="auto"/>
      </w:divBdr>
      <w:divsChild>
        <w:div w:id="389618361">
          <w:marLeft w:val="0"/>
          <w:marRight w:val="0"/>
          <w:marTop w:val="0"/>
          <w:marBottom w:val="0"/>
          <w:divBdr>
            <w:top w:val="none" w:sz="0" w:space="0" w:color="auto"/>
            <w:left w:val="none" w:sz="0" w:space="0" w:color="auto"/>
            <w:bottom w:val="none" w:sz="0" w:space="0" w:color="auto"/>
            <w:right w:val="none" w:sz="0" w:space="0" w:color="auto"/>
          </w:divBdr>
        </w:div>
        <w:div w:id="823014890">
          <w:marLeft w:val="0"/>
          <w:marRight w:val="0"/>
          <w:marTop w:val="180"/>
          <w:marBottom w:val="0"/>
          <w:divBdr>
            <w:top w:val="none" w:sz="0" w:space="0" w:color="auto"/>
            <w:left w:val="none" w:sz="0" w:space="0" w:color="auto"/>
            <w:bottom w:val="none" w:sz="0" w:space="0" w:color="auto"/>
            <w:right w:val="none" w:sz="0" w:space="0" w:color="auto"/>
          </w:divBdr>
        </w:div>
      </w:divsChild>
    </w:div>
    <w:div w:id="1874002797">
      <w:marLeft w:val="0"/>
      <w:marRight w:val="0"/>
      <w:marTop w:val="0"/>
      <w:marBottom w:val="0"/>
      <w:divBdr>
        <w:top w:val="none" w:sz="0" w:space="0" w:color="auto"/>
        <w:left w:val="none" w:sz="0" w:space="0" w:color="auto"/>
        <w:bottom w:val="none" w:sz="0" w:space="0" w:color="auto"/>
        <w:right w:val="none" w:sz="0" w:space="0" w:color="auto"/>
      </w:divBdr>
      <w:divsChild>
        <w:div w:id="2032682941">
          <w:marLeft w:val="0"/>
          <w:marRight w:val="0"/>
          <w:marTop w:val="0"/>
          <w:marBottom w:val="0"/>
          <w:divBdr>
            <w:top w:val="none" w:sz="0" w:space="0" w:color="auto"/>
            <w:left w:val="none" w:sz="0" w:space="0" w:color="auto"/>
            <w:bottom w:val="none" w:sz="0" w:space="0" w:color="auto"/>
            <w:right w:val="none" w:sz="0" w:space="0" w:color="auto"/>
          </w:divBdr>
        </w:div>
        <w:div w:id="943541196">
          <w:marLeft w:val="0"/>
          <w:marRight w:val="0"/>
          <w:marTop w:val="180"/>
          <w:marBottom w:val="0"/>
          <w:divBdr>
            <w:top w:val="none" w:sz="0" w:space="0" w:color="auto"/>
            <w:left w:val="none" w:sz="0" w:space="0" w:color="auto"/>
            <w:bottom w:val="none" w:sz="0" w:space="0" w:color="auto"/>
            <w:right w:val="none" w:sz="0" w:space="0" w:color="auto"/>
          </w:divBdr>
        </w:div>
      </w:divsChild>
    </w:div>
    <w:div w:id="1890678003">
      <w:marLeft w:val="0"/>
      <w:marRight w:val="0"/>
      <w:marTop w:val="0"/>
      <w:marBottom w:val="200"/>
      <w:divBdr>
        <w:top w:val="none" w:sz="0" w:space="0" w:color="auto"/>
        <w:left w:val="none" w:sz="0" w:space="0" w:color="auto"/>
        <w:bottom w:val="none" w:sz="0" w:space="0" w:color="auto"/>
        <w:right w:val="none" w:sz="0" w:space="0" w:color="auto"/>
      </w:divBdr>
    </w:div>
    <w:div w:id="1893232698">
      <w:marLeft w:val="0"/>
      <w:marRight w:val="0"/>
      <w:marTop w:val="0"/>
      <w:marBottom w:val="200"/>
      <w:divBdr>
        <w:top w:val="none" w:sz="0" w:space="0" w:color="auto"/>
        <w:left w:val="none" w:sz="0" w:space="0" w:color="auto"/>
        <w:bottom w:val="none" w:sz="0" w:space="0" w:color="auto"/>
        <w:right w:val="none" w:sz="0" w:space="0" w:color="auto"/>
      </w:divBdr>
    </w:div>
    <w:div w:id="1894269057">
      <w:marLeft w:val="0"/>
      <w:marRight w:val="0"/>
      <w:marTop w:val="0"/>
      <w:marBottom w:val="0"/>
      <w:divBdr>
        <w:top w:val="none" w:sz="0" w:space="0" w:color="auto"/>
        <w:left w:val="none" w:sz="0" w:space="0" w:color="auto"/>
        <w:bottom w:val="none" w:sz="0" w:space="0" w:color="auto"/>
        <w:right w:val="none" w:sz="0" w:space="0" w:color="auto"/>
      </w:divBdr>
      <w:divsChild>
        <w:div w:id="518659230">
          <w:marLeft w:val="0"/>
          <w:marRight w:val="0"/>
          <w:marTop w:val="0"/>
          <w:marBottom w:val="0"/>
          <w:divBdr>
            <w:top w:val="none" w:sz="0" w:space="0" w:color="auto"/>
            <w:left w:val="none" w:sz="0" w:space="0" w:color="auto"/>
            <w:bottom w:val="none" w:sz="0" w:space="0" w:color="auto"/>
            <w:right w:val="none" w:sz="0" w:space="0" w:color="auto"/>
          </w:divBdr>
        </w:div>
      </w:divsChild>
    </w:div>
    <w:div w:id="1899048011">
      <w:marLeft w:val="0"/>
      <w:marRight w:val="0"/>
      <w:marTop w:val="120"/>
      <w:marBottom w:val="0"/>
      <w:divBdr>
        <w:top w:val="none" w:sz="0" w:space="0" w:color="auto"/>
        <w:left w:val="none" w:sz="0" w:space="0" w:color="auto"/>
        <w:bottom w:val="none" w:sz="0" w:space="0" w:color="auto"/>
        <w:right w:val="none" w:sz="0" w:space="0" w:color="auto"/>
      </w:divBdr>
    </w:div>
    <w:div w:id="1904440238">
      <w:marLeft w:val="0"/>
      <w:marRight w:val="0"/>
      <w:marTop w:val="0"/>
      <w:marBottom w:val="200"/>
      <w:divBdr>
        <w:top w:val="none" w:sz="0" w:space="0" w:color="auto"/>
        <w:left w:val="none" w:sz="0" w:space="0" w:color="auto"/>
        <w:bottom w:val="none" w:sz="0" w:space="0" w:color="auto"/>
        <w:right w:val="none" w:sz="0" w:space="0" w:color="auto"/>
      </w:divBdr>
    </w:div>
    <w:div w:id="1905674789">
      <w:marLeft w:val="0"/>
      <w:marRight w:val="0"/>
      <w:marTop w:val="0"/>
      <w:marBottom w:val="200"/>
      <w:divBdr>
        <w:top w:val="none" w:sz="0" w:space="0" w:color="auto"/>
        <w:left w:val="none" w:sz="0" w:space="0" w:color="auto"/>
        <w:bottom w:val="none" w:sz="0" w:space="0" w:color="auto"/>
        <w:right w:val="none" w:sz="0" w:space="0" w:color="auto"/>
      </w:divBdr>
    </w:div>
    <w:div w:id="1907908989">
      <w:marLeft w:val="0"/>
      <w:marRight w:val="0"/>
      <w:marTop w:val="100"/>
      <w:marBottom w:val="0"/>
      <w:divBdr>
        <w:top w:val="none" w:sz="0" w:space="0" w:color="auto"/>
        <w:left w:val="none" w:sz="0" w:space="0" w:color="auto"/>
        <w:bottom w:val="none" w:sz="0" w:space="0" w:color="auto"/>
        <w:right w:val="none" w:sz="0" w:space="0" w:color="auto"/>
      </w:divBdr>
    </w:div>
    <w:div w:id="1911646406">
      <w:marLeft w:val="0"/>
      <w:marRight w:val="0"/>
      <w:marTop w:val="0"/>
      <w:marBottom w:val="200"/>
      <w:divBdr>
        <w:top w:val="none" w:sz="0" w:space="0" w:color="auto"/>
        <w:left w:val="none" w:sz="0" w:space="0" w:color="auto"/>
        <w:bottom w:val="none" w:sz="0" w:space="0" w:color="auto"/>
        <w:right w:val="none" w:sz="0" w:space="0" w:color="auto"/>
      </w:divBdr>
    </w:div>
    <w:div w:id="1914898268">
      <w:marLeft w:val="0"/>
      <w:marRight w:val="0"/>
      <w:marTop w:val="0"/>
      <w:marBottom w:val="0"/>
      <w:divBdr>
        <w:top w:val="none" w:sz="0" w:space="0" w:color="auto"/>
        <w:left w:val="none" w:sz="0" w:space="0" w:color="auto"/>
        <w:bottom w:val="none" w:sz="0" w:space="0" w:color="auto"/>
        <w:right w:val="none" w:sz="0" w:space="0" w:color="auto"/>
      </w:divBdr>
    </w:div>
    <w:div w:id="1917667544">
      <w:marLeft w:val="0"/>
      <w:marRight w:val="0"/>
      <w:marTop w:val="0"/>
      <w:marBottom w:val="0"/>
      <w:divBdr>
        <w:top w:val="none" w:sz="0" w:space="0" w:color="auto"/>
        <w:left w:val="none" w:sz="0" w:space="0" w:color="auto"/>
        <w:bottom w:val="none" w:sz="0" w:space="0" w:color="auto"/>
        <w:right w:val="none" w:sz="0" w:space="0" w:color="auto"/>
      </w:divBdr>
      <w:divsChild>
        <w:div w:id="1918243350">
          <w:marLeft w:val="0"/>
          <w:marRight w:val="0"/>
          <w:marTop w:val="0"/>
          <w:marBottom w:val="0"/>
          <w:divBdr>
            <w:top w:val="none" w:sz="0" w:space="0" w:color="auto"/>
            <w:left w:val="none" w:sz="0" w:space="0" w:color="auto"/>
            <w:bottom w:val="none" w:sz="0" w:space="0" w:color="auto"/>
            <w:right w:val="none" w:sz="0" w:space="0" w:color="auto"/>
          </w:divBdr>
        </w:div>
      </w:divsChild>
    </w:div>
    <w:div w:id="1923954657">
      <w:marLeft w:val="0"/>
      <w:marRight w:val="0"/>
      <w:marTop w:val="100"/>
      <w:marBottom w:val="100"/>
      <w:divBdr>
        <w:top w:val="none" w:sz="0" w:space="0" w:color="auto"/>
        <w:left w:val="none" w:sz="0" w:space="0" w:color="auto"/>
        <w:bottom w:val="none" w:sz="0" w:space="0" w:color="auto"/>
        <w:right w:val="none" w:sz="0" w:space="0" w:color="auto"/>
      </w:divBdr>
    </w:div>
    <w:div w:id="1924949858">
      <w:marLeft w:val="0"/>
      <w:marRight w:val="0"/>
      <w:marTop w:val="0"/>
      <w:marBottom w:val="200"/>
      <w:divBdr>
        <w:top w:val="none" w:sz="0" w:space="0" w:color="auto"/>
        <w:left w:val="none" w:sz="0" w:space="0" w:color="auto"/>
        <w:bottom w:val="none" w:sz="0" w:space="0" w:color="auto"/>
        <w:right w:val="none" w:sz="0" w:space="0" w:color="auto"/>
      </w:divBdr>
    </w:div>
    <w:div w:id="1925795042">
      <w:marLeft w:val="0"/>
      <w:marRight w:val="0"/>
      <w:marTop w:val="0"/>
      <w:marBottom w:val="0"/>
      <w:divBdr>
        <w:top w:val="none" w:sz="0" w:space="0" w:color="auto"/>
        <w:left w:val="none" w:sz="0" w:space="0" w:color="auto"/>
        <w:bottom w:val="none" w:sz="0" w:space="0" w:color="auto"/>
        <w:right w:val="none" w:sz="0" w:space="0" w:color="auto"/>
      </w:divBdr>
    </w:div>
    <w:div w:id="1938250800">
      <w:marLeft w:val="0"/>
      <w:marRight w:val="0"/>
      <w:marTop w:val="0"/>
      <w:marBottom w:val="0"/>
      <w:divBdr>
        <w:top w:val="none" w:sz="0" w:space="0" w:color="auto"/>
        <w:left w:val="none" w:sz="0" w:space="0" w:color="auto"/>
        <w:bottom w:val="none" w:sz="0" w:space="0" w:color="auto"/>
        <w:right w:val="none" w:sz="0" w:space="0" w:color="auto"/>
      </w:divBdr>
      <w:divsChild>
        <w:div w:id="761688229">
          <w:marLeft w:val="0"/>
          <w:marRight w:val="0"/>
          <w:marTop w:val="0"/>
          <w:marBottom w:val="0"/>
          <w:divBdr>
            <w:top w:val="none" w:sz="0" w:space="0" w:color="auto"/>
            <w:left w:val="none" w:sz="0" w:space="0" w:color="auto"/>
            <w:bottom w:val="none" w:sz="0" w:space="0" w:color="auto"/>
            <w:right w:val="none" w:sz="0" w:space="0" w:color="auto"/>
          </w:divBdr>
        </w:div>
        <w:div w:id="330643112">
          <w:marLeft w:val="0"/>
          <w:marRight w:val="0"/>
          <w:marTop w:val="180"/>
          <w:marBottom w:val="0"/>
          <w:divBdr>
            <w:top w:val="none" w:sz="0" w:space="0" w:color="auto"/>
            <w:left w:val="none" w:sz="0" w:space="0" w:color="auto"/>
            <w:bottom w:val="none" w:sz="0" w:space="0" w:color="auto"/>
            <w:right w:val="none" w:sz="0" w:space="0" w:color="auto"/>
          </w:divBdr>
        </w:div>
      </w:divsChild>
    </w:div>
    <w:div w:id="1953241854">
      <w:marLeft w:val="0"/>
      <w:marRight w:val="0"/>
      <w:marTop w:val="200"/>
      <w:marBottom w:val="0"/>
      <w:divBdr>
        <w:top w:val="none" w:sz="0" w:space="0" w:color="auto"/>
        <w:left w:val="none" w:sz="0" w:space="0" w:color="auto"/>
        <w:bottom w:val="none" w:sz="0" w:space="0" w:color="auto"/>
        <w:right w:val="none" w:sz="0" w:space="0" w:color="auto"/>
      </w:divBdr>
    </w:div>
    <w:div w:id="1955668989">
      <w:marLeft w:val="0"/>
      <w:marRight w:val="0"/>
      <w:marTop w:val="0"/>
      <w:marBottom w:val="200"/>
      <w:divBdr>
        <w:top w:val="none" w:sz="0" w:space="0" w:color="auto"/>
        <w:left w:val="none" w:sz="0" w:space="0" w:color="auto"/>
        <w:bottom w:val="none" w:sz="0" w:space="0" w:color="auto"/>
        <w:right w:val="none" w:sz="0" w:space="0" w:color="auto"/>
      </w:divBdr>
    </w:div>
    <w:div w:id="1960598850">
      <w:marLeft w:val="0"/>
      <w:marRight w:val="0"/>
      <w:marTop w:val="0"/>
      <w:marBottom w:val="0"/>
      <w:divBdr>
        <w:top w:val="none" w:sz="0" w:space="0" w:color="auto"/>
        <w:left w:val="none" w:sz="0" w:space="0" w:color="auto"/>
        <w:bottom w:val="none" w:sz="0" w:space="0" w:color="auto"/>
        <w:right w:val="none" w:sz="0" w:space="0" w:color="auto"/>
      </w:divBdr>
      <w:divsChild>
        <w:div w:id="364989178">
          <w:marLeft w:val="0"/>
          <w:marRight w:val="0"/>
          <w:marTop w:val="0"/>
          <w:marBottom w:val="0"/>
          <w:divBdr>
            <w:top w:val="none" w:sz="0" w:space="0" w:color="auto"/>
            <w:left w:val="none" w:sz="0" w:space="0" w:color="auto"/>
            <w:bottom w:val="none" w:sz="0" w:space="0" w:color="auto"/>
            <w:right w:val="none" w:sz="0" w:space="0" w:color="auto"/>
          </w:divBdr>
        </w:div>
      </w:divsChild>
    </w:div>
    <w:div w:id="1960839099">
      <w:marLeft w:val="0"/>
      <w:marRight w:val="0"/>
      <w:marTop w:val="0"/>
      <w:marBottom w:val="200"/>
      <w:divBdr>
        <w:top w:val="none" w:sz="0" w:space="0" w:color="auto"/>
        <w:left w:val="none" w:sz="0" w:space="0" w:color="auto"/>
        <w:bottom w:val="none" w:sz="0" w:space="0" w:color="auto"/>
        <w:right w:val="none" w:sz="0" w:space="0" w:color="auto"/>
      </w:divBdr>
    </w:div>
    <w:div w:id="1966737400">
      <w:marLeft w:val="0"/>
      <w:marRight w:val="0"/>
      <w:marTop w:val="0"/>
      <w:marBottom w:val="200"/>
      <w:divBdr>
        <w:top w:val="none" w:sz="0" w:space="0" w:color="auto"/>
        <w:left w:val="none" w:sz="0" w:space="0" w:color="auto"/>
        <w:bottom w:val="none" w:sz="0" w:space="0" w:color="auto"/>
        <w:right w:val="none" w:sz="0" w:space="0" w:color="auto"/>
      </w:divBdr>
    </w:div>
    <w:div w:id="1967854921">
      <w:marLeft w:val="0"/>
      <w:marRight w:val="0"/>
      <w:marTop w:val="100"/>
      <w:marBottom w:val="100"/>
      <w:divBdr>
        <w:top w:val="none" w:sz="0" w:space="0" w:color="auto"/>
        <w:left w:val="none" w:sz="0" w:space="0" w:color="auto"/>
        <w:bottom w:val="none" w:sz="0" w:space="0" w:color="auto"/>
        <w:right w:val="none" w:sz="0" w:space="0" w:color="auto"/>
      </w:divBdr>
    </w:div>
    <w:div w:id="1969626856">
      <w:marLeft w:val="0"/>
      <w:marRight w:val="0"/>
      <w:marTop w:val="100"/>
      <w:marBottom w:val="100"/>
      <w:divBdr>
        <w:top w:val="none" w:sz="0" w:space="0" w:color="auto"/>
        <w:left w:val="none" w:sz="0" w:space="0" w:color="auto"/>
        <w:bottom w:val="none" w:sz="0" w:space="0" w:color="auto"/>
        <w:right w:val="none" w:sz="0" w:space="0" w:color="auto"/>
      </w:divBdr>
      <w:divsChild>
        <w:div w:id="714355168">
          <w:marLeft w:val="0"/>
          <w:marRight w:val="0"/>
          <w:marTop w:val="0"/>
          <w:marBottom w:val="0"/>
          <w:divBdr>
            <w:top w:val="none" w:sz="0" w:space="0" w:color="auto"/>
            <w:left w:val="none" w:sz="0" w:space="0" w:color="auto"/>
            <w:bottom w:val="none" w:sz="0" w:space="0" w:color="auto"/>
            <w:right w:val="none" w:sz="0" w:space="0" w:color="auto"/>
          </w:divBdr>
        </w:div>
        <w:div w:id="1674994913">
          <w:marLeft w:val="0"/>
          <w:marRight w:val="0"/>
          <w:marTop w:val="0"/>
          <w:marBottom w:val="0"/>
          <w:divBdr>
            <w:top w:val="none" w:sz="0" w:space="0" w:color="auto"/>
            <w:left w:val="none" w:sz="0" w:space="0" w:color="auto"/>
            <w:bottom w:val="none" w:sz="0" w:space="0" w:color="auto"/>
            <w:right w:val="none" w:sz="0" w:space="0" w:color="auto"/>
          </w:divBdr>
        </w:div>
        <w:div w:id="1140267000">
          <w:marLeft w:val="0"/>
          <w:marRight w:val="0"/>
          <w:marTop w:val="0"/>
          <w:marBottom w:val="0"/>
          <w:divBdr>
            <w:top w:val="none" w:sz="0" w:space="0" w:color="auto"/>
            <w:left w:val="none" w:sz="0" w:space="0" w:color="auto"/>
            <w:bottom w:val="none" w:sz="0" w:space="0" w:color="auto"/>
            <w:right w:val="none" w:sz="0" w:space="0" w:color="auto"/>
          </w:divBdr>
        </w:div>
      </w:divsChild>
    </w:div>
    <w:div w:id="1977904697">
      <w:marLeft w:val="0"/>
      <w:marRight w:val="0"/>
      <w:marTop w:val="0"/>
      <w:marBottom w:val="0"/>
      <w:divBdr>
        <w:top w:val="none" w:sz="0" w:space="0" w:color="auto"/>
        <w:left w:val="none" w:sz="0" w:space="0" w:color="auto"/>
        <w:bottom w:val="none" w:sz="0" w:space="0" w:color="auto"/>
        <w:right w:val="none" w:sz="0" w:space="0" w:color="auto"/>
      </w:divBdr>
      <w:divsChild>
        <w:div w:id="100078973">
          <w:marLeft w:val="0"/>
          <w:marRight w:val="0"/>
          <w:marTop w:val="0"/>
          <w:marBottom w:val="0"/>
          <w:divBdr>
            <w:top w:val="none" w:sz="0" w:space="0" w:color="auto"/>
            <w:left w:val="none" w:sz="0" w:space="0" w:color="auto"/>
            <w:bottom w:val="none" w:sz="0" w:space="0" w:color="auto"/>
            <w:right w:val="none" w:sz="0" w:space="0" w:color="auto"/>
          </w:divBdr>
        </w:div>
      </w:divsChild>
    </w:div>
    <w:div w:id="1980374645">
      <w:marLeft w:val="0"/>
      <w:marRight w:val="0"/>
      <w:marTop w:val="0"/>
      <w:marBottom w:val="0"/>
      <w:divBdr>
        <w:top w:val="none" w:sz="0" w:space="0" w:color="auto"/>
        <w:left w:val="none" w:sz="0" w:space="0" w:color="auto"/>
        <w:bottom w:val="none" w:sz="0" w:space="0" w:color="auto"/>
        <w:right w:val="none" w:sz="0" w:space="0" w:color="auto"/>
      </w:divBdr>
    </w:div>
    <w:div w:id="1983267462">
      <w:marLeft w:val="0"/>
      <w:marRight w:val="0"/>
      <w:marTop w:val="100"/>
      <w:marBottom w:val="0"/>
      <w:divBdr>
        <w:top w:val="none" w:sz="0" w:space="0" w:color="auto"/>
        <w:left w:val="none" w:sz="0" w:space="0" w:color="auto"/>
        <w:bottom w:val="none" w:sz="0" w:space="0" w:color="auto"/>
        <w:right w:val="none" w:sz="0" w:space="0" w:color="auto"/>
      </w:divBdr>
    </w:div>
    <w:div w:id="1985349705">
      <w:marLeft w:val="0"/>
      <w:marRight w:val="0"/>
      <w:marTop w:val="0"/>
      <w:marBottom w:val="0"/>
      <w:divBdr>
        <w:top w:val="none" w:sz="0" w:space="0" w:color="auto"/>
        <w:left w:val="none" w:sz="0" w:space="0" w:color="auto"/>
        <w:bottom w:val="none" w:sz="0" w:space="0" w:color="auto"/>
        <w:right w:val="none" w:sz="0" w:space="0" w:color="auto"/>
      </w:divBdr>
      <w:divsChild>
        <w:div w:id="1039205409">
          <w:marLeft w:val="0"/>
          <w:marRight w:val="0"/>
          <w:marTop w:val="0"/>
          <w:marBottom w:val="0"/>
          <w:divBdr>
            <w:top w:val="none" w:sz="0" w:space="0" w:color="auto"/>
            <w:left w:val="none" w:sz="0" w:space="0" w:color="auto"/>
            <w:bottom w:val="none" w:sz="0" w:space="0" w:color="auto"/>
            <w:right w:val="none" w:sz="0" w:space="0" w:color="auto"/>
          </w:divBdr>
        </w:div>
      </w:divsChild>
    </w:div>
    <w:div w:id="1991523337">
      <w:marLeft w:val="0"/>
      <w:marRight w:val="0"/>
      <w:marTop w:val="0"/>
      <w:marBottom w:val="0"/>
      <w:divBdr>
        <w:top w:val="none" w:sz="0" w:space="0" w:color="auto"/>
        <w:left w:val="none" w:sz="0" w:space="0" w:color="auto"/>
        <w:bottom w:val="none" w:sz="0" w:space="0" w:color="auto"/>
        <w:right w:val="none" w:sz="0" w:space="0" w:color="auto"/>
      </w:divBdr>
    </w:div>
    <w:div w:id="1999336714">
      <w:marLeft w:val="0"/>
      <w:marRight w:val="0"/>
      <w:marTop w:val="0"/>
      <w:marBottom w:val="0"/>
      <w:divBdr>
        <w:top w:val="none" w:sz="0" w:space="0" w:color="auto"/>
        <w:left w:val="none" w:sz="0" w:space="0" w:color="auto"/>
        <w:bottom w:val="none" w:sz="0" w:space="0" w:color="auto"/>
        <w:right w:val="none" w:sz="0" w:space="0" w:color="auto"/>
      </w:divBdr>
      <w:divsChild>
        <w:div w:id="957563228">
          <w:marLeft w:val="0"/>
          <w:marRight w:val="0"/>
          <w:marTop w:val="0"/>
          <w:marBottom w:val="0"/>
          <w:divBdr>
            <w:top w:val="none" w:sz="0" w:space="0" w:color="auto"/>
            <w:left w:val="none" w:sz="0" w:space="0" w:color="auto"/>
            <w:bottom w:val="none" w:sz="0" w:space="0" w:color="auto"/>
            <w:right w:val="none" w:sz="0" w:space="0" w:color="auto"/>
          </w:divBdr>
        </w:div>
      </w:divsChild>
    </w:div>
    <w:div w:id="1999382135">
      <w:marLeft w:val="0"/>
      <w:marRight w:val="0"/>
      <w:marTop w:val="0"/>
      <w:marBottom w:val="0"/>
      <w:divBdr>
        <w:top w:val="none" w:sz="0" w:space="0" w:color="auto"/>
        <w:left w:val="none" w:sz="0" w:space="0" w:color="auto"/>
        <w:bottom w:val="none" w:sz="0" w:space="0" w:color="auto"/>
        <w:right w:val="none" w:sz="0" w:space="0" w:color="auto"/>
      </w:divBdr>
    </w:div>
    <w:div w:id="2009021270">
      <w:marLeft w:val="0"/>
      <w:marRight w:val="0"/>
      <w:marTop w:val="0"/>
      <w:marBottom w:val="0"/>
      <w:divBdr>
        <w:top w:val="none" w:sz="0" w:space="0" w:color="auto"/>
        <w:left w:val="none" w:sz="0" w:space="0" w:color="auto"/>
        <w:bottom w:val="none" w:sz="0" w:space="0" w:color="auto"/>
        <w:right w:val="none" w:sz="0" w:space="0" w:color="auto"/>
      </w:divBdr>
      <w:divsChild>
        <w:div w:id="819690791">
          <w:marLeft w:val="0"/>
          <w:marRight w:val="0"/>
          <w:marTop w:val="0"/>
          <w:marBottom w:val="0"/>
          <w:divBdr>
            <w:top w:val="none" w:sz="0" w:space="0" w:color="auto"/>
            <w:left w:val="none" w:sz="0" w:space="0" w:color="auto"/>
            <w:bottom w:val="none" w:sz="0" w:space="0" w:color="auto"/>
            <w:right w:val="none" w:sz="0" w:space="0" w:color="auto"/>
          </w:divBdr>
        </w:div>
      </w:divsChild>
    </w:div>
    <w:div w:id="2013868179">
      <w:marLeft w:val="0"/>
      <w:marRight w:val="0"/>
      <w:marTop w:val="0"/>
      <w:marBottom w:val="200"/>
      <w:divBdr>
        <w:top w:val="none" w:sz="0" w:space="0" w:color="auto"/>
        <w:left w:val="none" w:sz="0" w:space="0" w:color="auto"/>
        <w:bottom w:val="none" w:sz="0" w:space="0" w:color="auto"/>
        <w:right w:val="none" w:sz="0" w:space="0" w:color="auto"/>
      </w:divBdr>
    </w:div>
    <w:div w:id="2035031630">
      <w:marLeft w:val="0"/>
      <w:marRight w:val="0"/>
      <w:marTop w:val="0"/>
      <w:marBottom w:val="0"/>
      <w:divBdr>
        <w:top w:val="none" w:sz="0" w:space="0" w:color="auto"/>
        <w:left w:val="none" w:sz="0" w:space="0" w:color="auto"/>
        <w:bottom w:val="none" w:sz="0" w:space="0" w:color="auto"/>
        <w:right w:val="none" w:sz="0" w:space="0" w:color="auto"/>
      </w:divBdr>
      <w:divsChild>
        <w:div w:id="321658960">
          <w:marLeft w:val="0"/>
          <w:marRight w:val="0"/>
          <w:marTop w:val="0"/>
          <w:marBottom w:val="0"/>
          <w:divBdr>
            <w:top w:val="none" w:sz="0" w:space="0" w:color="auto"/>
            <w:left w:val="none" w:sz="0" w:space="0" w:color="auto"/>
            <w:bottom w:val="none" w:sz="0" w:space="0" w:color="auto"/>
            <w:right w:val="none" w:sz="0" w:space="0" w:color="auto"/>
          </w:divBdr>
        </w:div>
        <w:div w:id="818888922">
          <w:marLeft w:val="0"/>
          <w:marRight w:val="0"/>
          <w:marTop w:val="180"/>
          <w:marBottom w:val="0"/>
          <w:divBdr>
            <w:top w:val="none" w:sz="0" w:space="0" w:color="auto"/>
            <w:left w:val="none" w:sz="0" w:space="0" w:color="auto"/>
            <w:bottom w:val="none" w:sz="0" w:space="0" w:color="auto"/>
            <w:right w:val="none" w:sz="0" w:space="0" w:color="auto"/>
          </w:divBdr>
        </w:div>
      </w:divsChild>
    </w:div>
    <w:div w:id="2035111810">
      <w:marLeft w:val="0"/>
      <w:marRight w:val="0"/>
      <w:marTop w:val="0"/>
      <w:marBottom w:val="0"/>
      <w:divBdr>
        <w:top w:val="none" w:sz="0" w:space="0" w:color="auto"/>
        <w:left w:val="none" w:sz="0" w:space="0" w:color="auto"/>
        <w:bottom w:val="none" w:sz="0" w:space="0" w:color="auto"/>
        <w:right w:val="none" w:sz="0" w:space="0" w:color="auto"/>
      </w:divBdr>
    </w:div>
    <w:div w:id="2046326297">
      <w:marLeft w:val="0"/>
      <w:marRight w:val="0"/>
      <w:marTop w:val="0"/>
      <w:marBottom w:val="0"/>
      <w:divBdr>
        <w:top w:val="none" w:sz="0" w:space="0" w:color="auto"/>
        <w:left w:val="none" w:sz="0" w:space="0" w:color="auto"/>
        <w:bottom w:val="none" w:sz="0" w:space="0" w:color="auto"/>
        <w:right w:val="none" w:sz="0" w:space="0" w:color="auto"/>
      </w:divBdr>
      <w:divsChild>
        <w:div w:id="1298025994">
          <w:marLeft w:val="0"/>
          <w:marRight w:val="0"/>
          <w:marTop w:val="0"/>
          <w:marBottom w:val="0"/>
          <w:divBdr>
            <w:top w:val="none" w:sz="0" w:space="0" w:color="auto"/>
            <w:left w:val="none" w:sz="0" w:space="0" w:color="auto"/>
            <w:bottom w:val="none" w:sz="0" w:space="0" w:color="auto"/>
            <w:right w:val="none" w:sz="0" w:space="0" w:color="auto"/>
          </w:divBdr>
        </w:div>
      </w:divsChild>
    </w:div>
    <w:div w:id="2047563162">
      <w:marLeft w:val="0"/>
      <w:marRight w:val="0"/>
      <w:marTop w:val="0"/>
      <w:marBottom w:val="200"/>
      <w:divBdr>
        <w:top w:val="none" w:sz="0" w:space="0" w:color="auto"/>
        <w:left w:val="none" w:sz="0" w:space="0" w:color="auto"/>
        <w:bottom w:val="none" w:sz="0" w:space="0" w:color="auto"/>
        <w:right w:val="none" w:sz="0" w:space="0" w:color="auto"/>
      </w:divBdr>
    </w:div>
    <w:div w:id="2055276847">
      <w:marLeft w:val="0"/>
      <w:marRight w:val="0"/>
      <w:marTop w:val="0"/>
      <w:marBottom w:val="160"/>
      <w:divBdr>
        <w:top w:val="none" w:sz="0" w:space="0" w:color="auto"/>
        <w:left w:val="none" w:sz="0" w:space="0" w:color="auto"/>
        <w:bottom w:val="none" w:sz="0" w:space="0" w:color="auto"/>
        <w:right w:val="none" w:sz="0" w:space="0" w:color="auto"/>
      </w:divBdr>
    </w:div>
    <w:div w:id="2063863978">
      <w:marLeft w:val="0"/>
      <w:marRight w:val="0"/>
      <w:marTop w:val="0"/>
      <w:marBottom w:val="0"/>
      <w:divBdr>
        <w:top w:val="none" w:sz="0" w:space="0" w:color="auto"/>
        <w:left w:val="none" w:sz="0" w:space="0" w:color="auto"/>
        <w:bottom w:val="none" w:sz="0" w:space="0" w:color="auto"/>
        <w:right w:val="none" w:sz="0" w:space="0" w:color="auto"/>
      </w:divBdr>
      <w:divsChild>
        <w:div w:id="1156070571">
          <w:marLeft w:val="0"/>
          <w:marRight w:val="0"/>
          <w:marTop w:val="0"/>
          <w:marBottom w:val="0"/>
          <w:divBdr>
            <w:top w:val="none" w:sz="0" w:space="0" w:color="auto"/>
            <w:left w:val="none" w:sz="0" w:space="0" w:color="auto"/>
            <w:bottom w:val="none" w:sz="0" w:space="0" w:color="auto"/>
            <w:right w:val="none" w:sz="0" w:space="0" w:color="auto"/>
          </w:divBdr>
        </w:div>
      </w:divsChild>
    </w:div>
    <w:div w:id="2067415444">
      <w:marLeft w:val="0"/>
      <w:marRight w:val="0"/>
      <w:marTop w:val="0"/>
      <w:marBottom w:val="200"/>
      <w:divBdr>
        <w:top w:val="none" w:sz="0" w:space="0" w:color="auto"/>
        <w:left w:val="none" w:sz="0" w:space="0" w:color="auto"/>
        <w:bottom w:val="none" w:sz="0" w:space="0" w:color="auto"/>
        <w:right w:val="none" w:sz="0" w:space="0" w:color="auto"/>
      </w:divBdr>
    </w:div>
    <w:div w:id="2067994705">
      <w:marLeft w:val="0"/>
      <w:marRight w:val="0"/>
      <w:marTop w:val="0"/>
      <w:marBottom w:val="0"/>
      <w:divBdr>
        <w:top w:val="none" w:sz="0" w:space="0" w:color="auto"/>
        <w:left w:val="none" w:sz="0" w:space="0" w:color="auto"/>
        <w:bottom w:val="none" w:sz="0" w:space="0" w:color="auto"/>
        <w:right w:val="none" w:sz="0" w:space="0" w:color="auto"/>
      </w:divBdr>
      <w:divsChild>
        <w:div w:id="748767326">
          <w:marLeft w:val="0"/>
          <w:marRight w:val="0"/>
          <w:marTop w:val="0"/>
          <w:marBottom w:val="0"/>
          <w:divBdr>
            <w:top w:val="none" w:sz="0" w:space="0" w:color="auto"/>
            <w:left w:val="none" w:sz="0" w:space="0" w:color="auto"/>
            <w:bottom w:val="none" w:sz="0" w:space="0" w:color="auto"/>
            <w:right w:val="none" w:sz="0" w:space="0" w:color="auto"/>
          </w:divBdr>
        </w:div>
        <w:div w:id="1314528818">
          <w:marLeft w:val="0"/>
          <w:marRight w:val="0"/>
          <w:marTop w:val="180"/>
          <w:marBottom w:val="0"/>
          <w:divBdr>
            <w:top w:val="none" w:sz="0" w:space="0" w:color="auto"/>
            <w:left w:val="none" w:sz="0" w:space="0" w:color="auto"/>
            <w:bottom w:val="none" w:sz="0" w:space="0" w:color="auto"/>
            <w:right w:val="none" w:sz="0" w:space="0" w:color="auto"/>
          </w:divBdr>
        </w:div>
      </w:divsChild>
    </w:div>
    <w:div w:id="2072459545">
      <w:marLeft w:val="0"/>
      <w:marRight w:val="0"/>
      <w:marTop w:val="200"/>
      <w:marBottom w:val="0"/>
      <w:divBdr>
        <w:top w:val="none" w:sz="0" w:space="0" w:color="auto"/>
        <w:left w:val="none" w:sz="0" w:space="0" w:color="auto"/>
        <w:bottom w:val="none" w:sz="0" w:space="0" w:color="auto"/>
        <w:right w:val="none" w:sz="0" w:space="0" w:color="auto"/>
      </w:divBdr>
    </w:div>
    <w:div w:id="2079588636">
      <w:marLeft w:val="0"/>
      <w:marRight w:val="0"/>
      <w:marTop w:val="100"/>
      <w:marBottom w:val="100"/>
      <w:divBdr>
        <w:top w:val="none" w:sz="0" w:space="0" w:color="auto"/>
        <w:left w:val="none" w:sz="0" w:space="0" w:color="auto"/>
        <w:bottom w:val="none" w:sz="0" w:space="0" w:color="auto"/>
        <w:right w:val="none" w:sz="0" w:space="0" w:color="auto"/>
      </w:divBdr>
    </w:div>
    <w:div w:id="2081976178">
      <w:marLeft w:val="0"/>
      <w:marRight w:val="0"/>
      <w:marTop w:val="100"/>
      <w:marBottom w:val="100"/>
      <w:divBdr>
        <w:top w:val="none" w:sz="0" w:space="0" w:color="auto"/>
        <w:left w:val="none" w:sz="0" w:space="0" w:color="auto"/>
        <w:bottom w:val="none" w:sz="0" w:space="0" w:color="auto"/>
        <w:right w:val="none" w:sz="0" w:space="0" w:color="auto"/>
      </w:divBdr>
    </w:div>
    <w:div w:id="2092002096">
      <w:marLeft w:val="0"/>
      <w:marRight w:val="0"/>
      <w:marTop w:val="100"/>
      <w:marBottom w:val="0"/>
      <w:divBdr>
        <w:top w:val="none" w:sz="0" w:space="0" w:color="auto"/>
        <w:left w:val="none" w:sz="0" w:space="0" w:color="auto"/>
        <w:bottom w:val="none" w:sz="0" w:space="0" w:color="auto"/>
        <w:right w:val="none" w:sz="0" w:space="0" w:color="auto"/>
      </w:divBdr>
    </w:div>
    <w:div w:id="2095200621">
      <w:marLeft w:val="0"/>
      <w:marRight w:val="0"/>
      <w:marTop w:val="0"/>
      <w:marBottom w:val="0"/>
      <w:divBdr>
        <w:top w:val="none" w:sz="0" w:space="0" w:color="auto"/>
        <w:left w:val="none" w:sz="0" w:space="0" w:color="auto"/>
        <w:bottom w:val="none" w:sz="0" w:space="0" w:color="auto"/>
        <w:right w:val="none" w:sz="0" w:space="0" w:color="auto"/>
      </w:divBdr>
      <w:divsChild>
        <w:div w:id="1687053556">
          <w:marLeft w:val="0"/>
          <w:marRight w:val="0"/>
          <w:marTop w:val="0"/>
          <w:marBottom w:val="0"/>
          <w:divBdr>
            <w:top w:val="none" w:sz="0" w:space="0" w:color="auto"/>
            <w:left w:val="none" w:sz="0" w:space="0" w:color="auto"/>
            <w:bottom w:val="none" w:sz="0" w:space="0" w:color="auto"/>
            <w:right w:val="none" w:sz="0" w:space="0" w:color="auto"/>
          </w:divBdr>
        </w:div>
      </w:divsChild>
    </w:div>
    <w:div w:id="2111310485">
      <w:marLeft w:val="0"/>
      <w:marRight w:val="0"/>
      <w:marTop w:val="0"/>
      <w:marBottom w:val="200"/>
      <w:divBdr>
        <w:top w:val="none" w:sz="0" w:space="0" w:color="auto"/>
        <w:left w:val="none" w:sz="0" w:space="0" w:color="auto"/>
        <w:bottom w:val="none" w:sz="0" w:space="0" w:color="auto"/>
        <w:right w:val="none" w:sz="0" w:space="0" w:color="auto"/>
      </w:divBdr>
    </w:div>
    <w:div w:id="2116441909">
      <w:marLeft w:val="0"/>
      <w:marRight w:val="0"/>
      <w:marTop w:val="0"/>
      <w:marBottom w:val="0"/>
      <w:divBdr>
        <w:top w:val="none" w:sz="0" w:space="0" w:color="auto"/>
        <w:left w:val="none" w:sz="0" w:space="0" w:color="auto"/>
        <w:bottom w:val="none" w:sz="0" w:space="0" w:color="auto"/>
        <w:right w:val="none" w:sz="0" w:space="0" w:color="auto"/>
      </w:divBdr>
      <w:divsChild>
        <w:div w:id="1614632629">
          <w:marLeft w:val="0"/>
          <w:marRight w:val="0"/>
          <w:marTop w:val="0"/>
          <w:marBottom w:val="0"/>
          <w:divBdr>
            <w:top w:val="none" w:sz="0" w:space="0" w:color="auto"/>
            <w:left w:val="none" w:sz="0" w:space="0" w:color="auto"/>
            <w:bottom w:val="none" w:sz="0" w:space="0" w:color="auto"/>
            <w:right w:val="none" w:sz="0" w:space="0" w:color="auto"/>
          </w:divBdr>
        </w:div>
      </w:divsChild>
    </w:div>
    <w:div w:id="2132241590">
      <w:marLeft w:val="0"/>
      <w:marRight w:val="0"/>
      <w:marTop w:val="0"/>
      <w:marBottom w:val="200"/>
      <w:divBdr>
        <w:top w:val="none" w:sz="0" w:space="0" w:color="auto"/>
        <w:left w:val="none" w:sz="0" w:space="0" w:color="auto"/>
        <w:bottom w:val="none" w:sz="0" w:space="0" w:color="auto"/>
        <w:right w:val="none" w:sz="0" w:space="0" w:color="auto"/>
      </w:divBdr>
    </w:div>
    <w:div w:id="2135126458">
      <w:marLeft w:val="0"/>
      <w:marRight w:val="0"/>
      <w:marTop w:val="0"/>
      <w:marBottom w:val="0"/>
      <w:divBdr>
        <w:top w:val="none" w:sz="0" w:space="0" w:color="auto"/>
        <w:left w:val="none" w:sz="0" w:space="0" w:color="auto"/>
        <w:bottom w:val="none" w:sz="0" w:space="0" w:color="auto"/>
        <w:right w:val="none" w:sz="0" w:space="0" w:color="auto"/>
      </w:divBdr>
      <w:divsChild>
        <w:div w:id="391389003">
          <w:marLeft w:val="0"/>
          <w:marRight w:val="0"/>
          <w:marTop w:val="0"/>
          <w:marBottom w:val="0"/>
          <w:divBdr>
            <w:top w:val="none" w:sz="0" w:space="0" w:color="auto"/>
            <w:left w:val="none" w:sz="0" w:space="0" w:color="auto"/>
            <w:bottom w:val="none" w:sz="0" w:space="0" w:color="auto"/>
            <w:right w:val="none" w:sz="0" w:space="0" w:color="auto"/>
          </w:divBdr>
        </w:div>
      </w:divsChild>
    </w:div>
    <w:div w:id="2138260174">
      <w:marLeft w:val="0"/>
      <w:marRight w:val="0"/>
      <w:marTop w:val="100"/>
      <w:marBottom w:val="160"/>
      <w:divBdr>
        <w:top w:val="none" w:sz="0" w:space="0" w:color="auto"/>
        <w:left w:val="none" w:sz="0" w:space="0" w:color="auto"/>
        <w:bottom w:val="none" w:sz="0" w:space="0" w:color="auto"/>
        <w:right w:val="none" w:sz="0" w:space="0" w:color="auto"/>
      </w:divBdr>
    </w:div>
    <w:div w:id="2140758067">
      <w:marLeft w:val="0"/>
      <w:marRight w:val="0"/>
      <w:marTop w:val="0"/>
      <w:marBottom w:val="200"/>
      <w:divBdr>
        <w:top w:val="none" w:sz="0" w:space="0" w:color="auto"/>
        <w:left w:val="none" w:sz="0" w:space="0" w:color="auto"/>
        <w:bottom w:val="none" w:sz="0" w:space="0" w:color="auto"/>
        <w:right w:val="none" w:sz="0" w:space="0" w:color="auto"/>
      </w:divBdr>
    </w:div>
    <w:div w:id="2144153126">
      <w:marLeft w:val="0"/>
      <w:marRight w:val="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05-nonxemployeedir.htm" TargetMode="External"/><Relationship Id="rId13" Type="http://schemas.openxmlformats.org/officeDocument/2006/relationships/hyperlink" Target="exhibit102-formof21uspeas.htm" TargetMode="External"/><Relationship Id="rId18" Type="http://schemas.openxmlformats.org/officeDocument/2006/relationships/hyperlink" Target="ugicorpq23312021ex312.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exhibit104-nonxemployeedir.htm" TargetMode="External"/><Relationship Id="rId12" Type="http://schemas.openxmlformats.org/officeDocument/2006/relationships/hyperlink" Target="exhibit101-formof21usoeas.htm" TargetMode="External"/><Relationship Id="rId17" Type="http://schemas.openxmlformats.org/officeDocument/2006/relationships/hyperlink" Target="ugicorpq23312021ex311.htm" TargetMode="External"/><Relationship Id="rId2" Type="http://schemas.openxmlformats.org/officeDocument/2006/relationships/settings" Target="settings.xml"/><Relationship Id="rId16" Type="http://schemas.openxmlformats.org/officeDocument/2006/relationships/hyperlink" Target="exhibit105-nonxemployeedir.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exhibit103-formof21usreas.htm" TargetMode="External"/><Relationship Id="rId11" Type="http://schemas.openxmlformats.org/officeDocument/2006/relationships/hyperlink" Target="ugicorpq23312021ex32.htm" TargetMode="External"/><Relationship Id="rId5" Type="http://schemas.openxmlformats.org/officeDocument/2006/relationships/hyperlink" Target="exhibit102-formof21uspeas.htm" TargetMode="External"/><Relationship Id="rId15" Type="http://schemas.openxmlformats.org/officeDocument/2006/relationships/hyperlink" Target="exhibit104-nonxemployeedir.htm" TargetMode="External"/><Relationship Id="rId10" Type="http://schemas.openxmlformats.org/officeDocument/2006/relationships/hyperlink" Target="ugicorpq23312021ex312.htm" TargetMode="External"/><Relationship Id="rId19" Type="http://schemas.openxmlformats.org/officeDocument/2006/relationships/hyperlink" Target="ugicorpq23312021ex32.htm" TargetMode="External"/><Relationship Id="rId4" Type="http://schemas.openxmlformats.org/officeDocument/2006/relationships/hyperlink" Target="exhibit101-formof21usoeas.htm" TargetMode="External"/><Relationship Id="rId9" Type="http://schemas.openxmlformats.org/officeDocument/2006/relationships/hyperlink" Target="ugicorpq23312021ex311.htm" TargetMode="External"/><Relationship Id="rId14" Type="http://schemas.openxmlformats.org/officeDocument/2006/relationships/hyperlink" Target="exhibit103-formof21usrea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42561</Words>
  <Characters>242602</Characters>
  <Application>Microsoft Office Word</Application>
  <DocSecurity>0</DocSecurity>
  <Lines>2021</Lines>
  <Paragraphs>569</Paragraphs>
  <ScaleCrop>false</ScaleCrop>
  <Company/>
  <LinksUpToDate>false</LinksUpToDate>
  <CharactersWithSpaces>284594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ugi-20210331</dc:title>
  <dc:subject/>
  <dc:creator>Chongjian.Yue</dc:creator>
  <cp:keywords/>
  <dc:description/>
  <cp:lastModifiedBy>Yue Chongjian</cp:lastModifiedBy>
  <cp:revision>1</cp:revision>
  <dcterms:created xsi:type="dcterms:W3CDTF">2024-01-04T16:03:00Z</dcterms:created>
  <dcterms:modified xsi:type="dcterms:W3CDTF">2024-01-04T16:03:00Z</dcterms:modified>
</cp:coreProperties>
</file>